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3552_3244359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63554_3244359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63556_3244359995">
            <w:r>
              <w:rPr>
                <w:webHidden/>
                <w:rStyle w:val="IndexLink"/>
                <w:rtl w:val="true"/>
              </w:rPr>
              <w:t>[</w:t>
            </w:r>
            <w:r>
              <w:rPr>
                <w:rStyle w:val="IndexLink"/>
                <w:rtl w:val="true"/>
              </w:rPr>
              <w:t>تتمة المقصد العاشر</w:t>
            </w:r>
            <w:r>
              <w:rPr>
                <w:rStyle w:val="IndexLink"/>
                <w:rtl w:val="true"/>
              </w:rPr>
              <w:t>]</w:t>
              <w:tab/>
            </w:r>
            <w:r>
              <w:rPr>
                <w:rStyle w:val="IndexLink"/>
              </w:rPr>
              <w:t>13</w:t>
            </w:r>
          </w:hyperlink>
        </w:p>
        <w:p>
          <w:pPr>
            <w:pStyle w:val="Contents3"/>
            <w:tabs>
              <w:tab w:val="clear" w:pos="8459"/>
              <w:tab w:val="right" w:pos="9026" w:leader="dot"/>
            </w:tabs>
            <w:rPr/>
          </w:pPr>
          <w:hyperlink w:anchor="__RefHeading___Toc763558_3244359995">
            <w:r>
              <w:rPr>
                <w:webHidden/>
                <w:rStyle w:val="IndexLink"/>
                <w:rtl w:val="true"/>
              </w:rPr>
              <w:t>[</w:t>
            </w:r>
            <w:r>
              <w:rPr>
                <w:rStyle w:val="IndexLink"/>
                <w:rtl w:val="true"/>
              </w:rPr>
              <w:t>تتمة الجهة الثالثة</w:t>
            </w:r>
            <w:r>
              <w:rPr>
                <w:rStyle w:val="IndexLink"/>
                <w:rtl w:val="true"/>
              </w:rPr>
              <w:t>]</w:t>
              <w:tab/>
            </w:r>
            <w:r>
              <w:rPr>
                <w:rStyle w:val="IndexLink"/>
              </w:rPr>
              <w:t>13</w:t>
            </w:r>
          </w:hyperlink>
        </w:p>
        <w:p>
          <w:pPr>
            <w:pStyle w:val="Contents4"/>
            <w:tabs>
              <w:tab w:val="clear" w:pos="8176"/>
              <w:tab w:val="right" w:pos="9026" w:leader="dot"/>
            </w:tabs>
            <w:rPr/>
          </w:pPr>
          <w:hyperlink w:anchor="__RefHeading___Toc763560_3244359995">
            <w:r>
              <w:rPr>
                <w:webHidden/>
                <w:rStyle w:val="IndexLink"/>
                <w:rtl w:val="true"/>
              </w:rPr>
              <w:t>المسألة الثالثة فی الأقلّ و الأکثر</w:t>
            </w:r>
            <w:r>
              <w:rPr>
                <w:rStyle w:val="IndexLink"/>
                <w:rtl w:val="true"/>
              </w:rPr>
              <w:tab/>
            </w:r>
            <w:r>
              <w:rPr>
                <w:rStyle w:val="IndexLink"/>
              </w:rPr>
              <w:t>13</w:t>
            </w:r>
          </w:hyperlink>
        </w:p>
        <w:p>
          <w:pPr>
            <w:pStyle w:val="Contents5"/>
            <w:tabs>
              <w:tab w:val="clear" w:pos="7892"/>
              <w:tab w:val="right" w:pos="9026" w:leader="dot"/>
            </w:tabs>
            <w:rPr/>
          </w:pPr>
          <w:hyperlink w:anchor="__RefHeading___Toc763562_3244359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763564_3244359995">
            <w:r>
              <w:rPr>
                <w:webHidden/>
                <w:rStyle w:val="IndexLink"/>
                <w:rtl w:val="true"/>
              </w:rPr>
              <w:t>مقدّمة</w:t>
            </w:r>
            <w:r>
              <w:rPr>
                <w:rStyle w:val="IndexLink"/>
                <w:rtl w:val="true"/>
              </w:rPr>
              <w:tab/>
            </w:r>
            <w:r>
              <w:rPr>
                <w:rStyle w:val="IndexLink"/>
              </w:rPr>
              <w:t>14</w:t>
            </w:r>
          </w:hyperlink>
        </w:p>
        <w:p>
          <w:pPr>
            <w:pStyle w:val="Contents6"/>
            <w:tabs>
              <w:tab w:val="clear" w:pos="7609"/>
              <w:tab w:val="right" w:pos="9026" w:leader="dot"/>
            </w:tabs>
            <w:rPr/>
          </w:pPr>
          <w:hyperlink w:anchor="__RefHeading___Toc763566_3244359995">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763568_3244359995">
            <w:r>
              <w:rPr>
                <w:webHidden/>
                <w:rStyle w:val="IndexLink"/>
                <w:rtl w:val="true"/>
              </w:rPr>
              <w:t>أحدها</w:t>
            </w:r>
            <w:r>
              <w:rPr>
                <w:rStyle w:val="IndexLink"/>
                <w:rtl w:val="true"/>
              </w:rPr>
              <w:t xml:space="preserve">: </w:t>
            </w:r>
            <w:r>
              <w:rPr>
                <w:rStyle w:val="IndexLink"/>
                <w:rtl w:val="true"/>
              </w:rPr>
              <w:t>فی الفرق بین هذه المسألة و مسائل الأسباب و المحصّلات</w:t>
            </w:r>
            <w:r>
              <w:rPr>
                <w:rStyle w:val="IndexLink"/>
                <w:rtl w:val="true"/>
              </w:rPr>
              <w:tab/>
            </w:r>
            <w:r>
              <w:rPr>
                <w:rStyle w:val="IndexLink"/>
              </w:rPr>
              <w:t>15</w:t>
            </w:r>
          </w:hyperlink>
        </w:p>
        <w:p>
          <w:pPr>
            <w:pStyle w:val="Contents6"/>
            <w:tabs>
              <w:tab w:val="clear" w:pos="7609"/>
              <w:tab w:val="right" w:pos="9026" w:leader="dot"/>
            </w:tabs>
            <w:rPr/>
          </w:pPr>
          <w:hyperlink w:anchor="__RefHeading___Toc763570_3244359995">
            <w:r>
              <w:rPr>
                <w:webHidden/>
                <w:rStyle w:val="IndexLink"/>
                <w:rtl w:val="true"/>
              </w:rPr>
              <w:t>ثانیها</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الأقلّ</w:t>
            </w:r>
            <w:r>
              <w:rPr>
                <w:rStyle w:val="IndexLink"/>
                <w:rtl w:val="true"/>
              </w:rPr>
              <w:t>»</w:t>
              <w:tab/>
            </w:r>
            <w:r>
              <w:rPr>
                <w:rStyle w:val="IndexLink"/>
              </w:rPr>
              <w:t>15</w:t>
            </w:r>
          </w:hyperlink>
        </w:p>
        <w:p>
          <w:pPr>
            <w:pStyle w:val="Contents6"/>
            <w:tabs>
              <w:tab w:val="clear" w:pos="7609"/>
              <w:tab w:val="right" w:pos="9026" w:leader="dot"/>
            </w:tabs>
            <w:rPr/>
          </w:pPr>
          <w:hyperlink w:anchor="__RefHeading___Toc763572_3244359995">
            <w:r>
              <w:rPr>
                <w:webHidden/>
                <w:rStyle w:val="IndexLink"/>
                <w:rtl w:val="true"/>
              </w:rPr>
              <w:t>ثالثها</w:t>
            </w:r>
            <w:r>
              <w:rPr>
                <w:rStyle w:val="IndexLink"/>
                <w:rtl w:val="true"/>
              </w:rPr>
              <w:t xml:space="preserve">: </w:t>
            </w:r>
            <w:r>
              <w:rPr>
                <w:rStyle w:val="IndexLink"/>
                <w:rtl w:val="true"/>
              </w:rPr>
              <w:t>فی أنحاء الأقلّ و الأکثر</w:t>
            </w:r>
            <w:r>
              <w:rPr>
                <w:rStyle w:val="IndexLink"/>
                <w:rtl w:val="true"/>
              </w:rPr>
              <w:tab/>
            </w:r>
            <w:r>
              <w:rPr>
                <w:rStyle w:val="IndexLink"/>
              </w:rPr>
              <w:t>16</w:t>
            </w:r>
          </w:hyperlink>
        </w:p>
        <w:p>
          <w:pPr>
            <w:pStyle w:val="Contents5"/>
            <w:tabs>
              <w:tab w:val="clear" w:pos="7892"/>
              <w:tab w:val="right" w:pos="9026" w:leader="dot"/>
            </w:tabs>
            <w:rPr/>
          </w:pPr>
          <w:hyperlink w:anchor="__RefHeading___Toc763574_3244359995">
            <w:r>
              <w:rPr>
                <w:webHidden/>
                <w:rStyle w:val="IndexLink"/>
                <w:rtl w:val="true"/>
              </w:rPr>
              <w:t>البحث الأوّل</w:t>
            </w:r>
            <w:r>
              <w:rPr>
                <w:rStyle w:val="IndexLink"/>
                <w:rtl w:val="true"/>
              </w:rPr>
              <w:t xml:space="preserve">: </w:t>
            </w:r>
            <w:r>
              <w:rPr>
                <w:rStyle w:val="IndexLink"/>
                <w:rtl w:val="true"/>
              </w:rPr>
              <w:t>فی الشبهة التحریمیّة من الأقلّ و الأکثر</w:t>
            </w:r>
            <w:r>
              <w:rPr>
                <w:rStyle w:val="IndexLink"/>
                <w:rtl w:val="true"/>
              </w:rPr>
              <w:tab/>
            </w:r>
            <w:r>
              <w:rPr>
                <w:rStyle w:val="IndexLink"/>
              </w:rPr>
              <w:t>17</w:t>
            </w:r>
          </w:hyperlink>
        </w:p>
        <w:p>
          <w:pPr>
            <w:pStyle w:val="Contents6"/>
            <w:tabs>
              <w:tab w:val="clear" w:pos="7609"/>
              <w:tab w:val="right" w:pos="9026" w:leader="dot"/>
            </w:tabs>
            <w:rPr/>
          </w:pPr>
          <w:hyperlink w:anchor="__RefHeading___Toc763576_3244359995">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763578_3244359995">
            <w:r>
              <w:rPr>
                <w:webHidden/>
                <w:rStyle w:val="IndexLink"/>
                <w:rtl w:val="true"/>
              </w:rPr>
              <w:t>بقی شی‌ء</w:t>
            </w:r>
            <w:r>
              <w:rPr>
                <w:rStyle w:val="IndexLink"/>
                <w:rtl w:val="true"/>
              </w:rPr>
              <w:t xml:space="preserve">: </w:t>
            </w:r>
            <w:r>
              <w:rPr>
                <w:rStyle w:val="IndexLink"/>
                <w:rtl w:val="true"/>
              </w:rPr>
              <w:t>فی بیان المثال لهذه الشبهة</w:t>
            </w:r>
            <w:r>
              <w:rPr>
                <w:rStyle w:val="IndexLink"/>
                <w:rtl w:val="true"/>
              </w:rPr>
              <w:tab/>
            </w:r>
            <w:r>
              <w:rPr>
                <w:rStyle w:val="IndexLink"/>
              </w:rPr>
              <w:t>17</w:t>
            </w:r>
          </w:hyperlink>
        </w:p>
        <w:p>
          <w:pPr>
            <w:pStyle w:val="Contents5"/>
            <w:tabs>
              <w:tab w:val="clear" w:pos="7892"/>
              <w:tab w:val="right" w:pos="9026" w:leader="dot"/>
            </w:tabs>
            <w:rPr/>
          </w:pPr>
          <w:hyperlink w:anchor="__RefHeading___Toc763580_3244359995">
            <w:r>
              <w:rPr>
                <w:webHidden/>
                <w:rStyle w:val="IndexLink"/>
                <w:rtl w:val="true"/>
              </w:rPr>
              <w:t>البحث الثانی فی موارد الدوران بین المطلق و المقیّد</w:t>
            </w:r>
            <w:r>
              <w:rPr>
                <w:rStyle w:val="IndexLink"/>
                <w:rtl w:val="true"/>
              </w:rPr>
              <w:tab/>
            </w:r>
            <w:r>
              <w:rPr>
                <w:rStyle w:val="IndexLink"/>
              </w:rPr>
              <w:t>19</w:t>
            </w:r>
          </w:hyperlink>
        </w:p>
        <w:p>
          <w:pPr>
            <w:pStyle w:val="Contents6"/>
            <w:tabs>
              <w:tab w:val="clear" w:pos="7609"/>
              <w:tab w:val="right" w:pos="9026" w:leader="dot"/>
            </w:tabs>
            <w:rPr/>
          </w:pPr>
          <w:hyperlink w:anchor="__RefHeading___Toc763582_3244359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763584_3244359995">
            <w:r>
              <w:rPr>
                <w:webHidden/>
                <w:rStyle w:val="IndexLink"/>
                <w:rtl w:val="true"/>
              </w:rPr>
              <w:t>بقی تنبیه</w:t>
            </w:r>
            <w:r>
              <w:rPr>
                <w:rStyle w:val="IndexLink"/>
                <w:rtl w:val="true"/>
              </w:rPr>
              <w:t xml:space="preserve">: </w:t>
            </w:r>
            <w:r>
              <w:rPr>
                <w:rStyle w:val="IndexLink"/>
                <w:rtl w:val="true"/>
              </w:rPr>
              <w:t>فیما یتوجّه إلی المحققین الآخند و النائینی و العراقی رحمهم اللّه</w:t>
            </w:r>
            <w:r>
              <w:rPr>
                <w:rStyle w:val="IndexLink"/>
                <w:rtl w:val="true"/>
              </w:rPr>
              <w:tab/>
            </w:r>
            <w:r>
              <w:rPr>
                <w:rStyle w:val="IndexLink"/>
              </w:rPr>
              <w:t>21</w:t>
            </w:r>
          </w:hyperlink>
        </w:p>
        <w:p>
          <w:pPr>
            <w:pStyle w:val="Contents6"/>
            <w:tabs>
              <w:tab w:val="clear" w:pos="7609"/>
              <w:tab w:val="right" w:pos="9026" w:leader="dot"/>
            </w:tabs>
            <w:rPr/>
          </w:pPr>
          <w:hyperlink w:anchor="__RefHeading___Toc763586_3244359995">
            <w:r>
              <w:rPr>
                <w:webHidden/>
                <w:rStyle w:val="IndexLink"/>
                <w:rtl w:val="true"/>
              </w:rPr>
              <w:t>إعادة و تحصیل</w:t>
            </w:r>
            <w:r>
              <w:rPr>
                <w:rStyle w:val="IndexLink"/>
                <w:rtl w:val="true"/>
              </w:rPr>
              <w:tab/>
            </w:r>
            <w:r>
              <w:rPr>
                <w:rStyle w:val="IndexLink"/>
              </w:rPr>
              <w:t>22</w:t>
            </w:r>
          </w:hyperlink>
        </w:p>
        <w:p>
          <w:pPr>
            <w:pStyle w:val="Contents5"/>
            <w:tabs>
              <w:tab w:val="clear" w:pos="7892"/>
              <w:tab w:val="right" w:pos="9026" w:leader="dot"/>
            </w:tabs>
            <w:rPr/>
          </w:pPr>
          <w:hyperlink w:anchor="__RefHeading___Toc763588_3244359995">
            <w:r>
              <w:rPr>
                <w:webHidden/>
                <w:rStyle w:val="IndexLink"/>
                <w:rtl w:val="true"/>
              </w:rPr>
              <w:t>البحث الثالث فی الأقلّ و الأکثر الاستقلالیّین</w:t>
            </w:r>
            <w:r>
              <w:rPr>
                <w:rStyle w:val="IndexLink"/>
                <w:rtl w:val="true"/>
              </w:rPr>
              <w:tab/>
            </w:r>
            <w:r>
              <w:rPr>
                <w:rStyle w:val="IndexLink"/>
              </w:rPr>
              <w:t>24</w:t>
            </w:r>
          </w:hyperlink>
        </w:p>
        <w:p>
          <w:pPr>
            <w:pStyle w:val="Contents5"/>
            <w:tabs>
              <w:tab w:val="clear" w:pos="7892"/>
              <w:tab w:val="right" w:pos="9026" w:leader="dot"/>
            </w:tabs>
            <w:rPr/>
          </w:pPr>
          <w:hyperlink w:anchor="__RefHeading___Toc763590_3244359995">
            <w:r>
              <w:rPr>
                <w:webHidden/>
                <w:rStyle w:val="IndexLink"/>
                <w:rtl w:val="true"/>
              </w:rPr>
              <w:t>البحث الرابع فی الأقلّ و الأکثر الارتباطیّین من المرکّبات الخارجیّة</w:t>
            </w:r>
            <w:r>
              <w:rPr>
                <w:rStyle w:val="IndexLink"/>
                <w:rtl w:val="true"/>
              </w:rPr>
              <w:tab/>
            </w:r>
            <w:r>
              <w:rPr>
                <w:rStyle w:val="IndexLink"/>
              </w:rPr>
              <w:t>28</w:t>
            </w:r>
          </w:hyperlink>
        </w:p>
        <w:p>
          <w:pPr>
            <w:pStyle w:val="Contents6"/>
            <w:tabs>
              <w:tab w:val="clear" w:pos="7609"/>
              <w:tab w:val="right" w:pos="9026" w:leader="dot"/>
            </w:tabs>
            <w:rPr/>
          </w:pPr>
          <w:hyperlink w:anchor="__RefHeading___Toc763592_3244359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763594_3244359995">
            <w:r>
              <w:rPr>
                <w:webHidden/>
                <w:rStyle w:val="IndexLink"/>
                <w:rtl w:val="true"/>
              </w:rPr>
              <w:t>الوجوه المستند إلیها لتقریب الاشتغال</w:t>
            </w:r>
            <w:r>
              <w:rPr>
                <w:rStyle w:val="IndexLink"/>
                <w:rtl w:val="true"/>
              </w:rPr>
              <w:tab/>
            </w:r>
            <w:r>
              <w:rPr>
                <w:rStyle w:val="IndexLink"/>
              </w:rPr>
              <w:t>29</w:t>
            </w:r>
          </w:hyperlink>
        </w:p>
        <w:p>
          <w:pPr>
            <w:pStyle w:val="Contents6"/>
            <w:tabs>
              <w:tab w:val="clear" w:pos="7609"/>
              <w:tab w:val="right" w:pos="9026" w:leader="dot"/>
            </w:tabs>
            <w:rPr/>
          </w:pPr>
          <w:hyperlink w:anchor="__RefHeading___Toc763596_3244359995">
            <w:r>
              <w:rPr>
                <w:webHidden/>
                <w:rStyle w:val="IndexLink"/>
                <w:rtl w:val="true"/>
              </w:rPr>
              <w:t>تذییل و تکمیل</w:t>
            </w:r>
            <w:r>
              <w:rPr>
                <w:rStyle w:val="IndexLink"/>
                <w:rtl w:val="true"/>
              </w:rPr>
              <w:t xml:space="preserve">: </w:t>
            </w:r>
            <w:r>
              <w:rPr>
                <w:rStyle w:val="IndexLink"/>
                <w:rtl w:val="true"/>
              </w:rPr>
              <w:t>لإثبات الاشتغال فی الارتباطیّ من المرکبات الخارجیة</w:t>
            </w:r>
            <w:r>
              <w:rPr>
                <w:rStyle w:val="IndexLink"/>
                <w:rtl w:val="true"/>
              </w:rPr>
              <w:tab/>
            </w:r>
            <w:r>
              <w:rPr>
                <w:rStyle w:val="IndexLink"/>
              </w:rPr>
              <w:t>43</w:t>
            </w:r>
          </w:hyperlink>
        </w:p>
        <w:p>
          <w:pPr>
            <w:pStyle w:val="Contents6"/>
            <w:tabs>
              <w:tab w:val="clear" w:pos="7609"/>
              <w:tab w:val="right" w:pos="9026" w:leader="dot"/>
            </w:tabs>
            <w:rPr/>
          </w:pPr>
          <w:hyperlink w:anchor="__RefHeading___Toc763598_3244359995">
            <w:r>
              <w:rPr>
                <w:webHidden/>
                <w:rStyle w:val="IndexLink"/>
                <w:rtl w:val="true"/>
              </w:rPr>
              <w:t>تنبیه</w:t>
            </w:r>
            <w:r>
              <w:rPr>
                <w:rStyle w:val="IndexLink"/>
                <w:rtl w:val="true"/>
              </w:rPr>
              <w:t xml:space="preserve">: </w:t>
            </w:r>
            <w:r>
              <w:rPr>
                <w:rStyle w:val="IndexLink"/>
                <w:rtl w:val="true"/>
              </w:rPr>
              <w:t>فی قصور البراءة العقلائیّة فی المقام</w:t>
            </w:r>
            <w:r>
              <w:rPr>
                <w:rStyle w:val="IndexLink"/>
                <w:rtl w:val="true"/>
              </w:rPr>
              <w:tab/>
            </w:r>
            <w:r>
              <w:rPr>
                <w:rStyle w:val="IndexLink"/>
              </w:rPr>
              <w:t>49</w:t>
            </w:r>
          </w:hyperlink>
        </w:p>
        <w:p>
          <w:pPr>
            <w:pStyle w:val="Contents6"/>
            <w:tabs>
              <w:tab w:val="clear" w:pos="7609"/>
              <w:tab w:val="right" w:pos="9026" w:leader="dot"/>
            </w:tabs>
            <w:rPr/>
          </w:pPr>
          <w:hyperlink w:anchor="__RefHeading___Toc763600_3244359995">
            <w:r>
              <w:rPr>
                <w:webHidden/>
                <w:rStyle w:val="IndexLink"/>
                <w:rtl w:val="true"/>
              </w:rPr>
              <w:t>تنبیهات</w:t>
            </w:r>
            <w:r>
              <w:rPr>
                <w:rStyle w:val="IndexLink"/>
                <w:rtl w:val="true"/>
              </w:rPr>
              <w:tab/>
            </w:r>
            <w:r>
              <w:rPr>
                <w:rStyle w:val="IndexLink"/>
              </w:rPr>
              <w:t>49</w:t>
            </w:r>
          </w:hyperlink>
        </w:p>
        <w:p>
          <w:pPr>
            <w:pStyle w:val="Contents6"/>
            <w:tabs>
              <w:tab w:val="clear" w:pos="7609"/>
              <w:tab w:val="right" w:pos="9026" w:leader="dot"/>
            </w:tabs>
            <w:rPr/>
          </w:pPr>
          <w:hyperlink w:anchor="__RefHeading___Toc763602_3244359995">
            <w:r>
              <w:rPr>
                <w:webHidden/>
                <w:rStyle w:val="IndexLink"/>
                <w:rtl w:val="true"/>
              </w:rPr>
              <w:t>التنبیه الأوّل</w:t>
            </w:r>
            <w:r>
              <w:rPr>
                <w:rStyle w:val="IndexLink"/>
                <w:rtl w:val="true"/>
              </w:rPr>
              <w:t xml:space="preserve">: </w:t>
            </w:r>
            <w:r>
              <w:rPr>
                <w:rStyle w:val="IndexLink"/>
                <w:rtl w:val="true"/>
              </w:rPr>
              <w:t>فیما لو تردّد الأمر بین الارتباطی و الاستقلالی</w:t>
            </w:r>
            <w:r>
              <w:rPr>
                <w:rStyle w:val="IndexLink"/>
                <w:rtl w:val="true"/>
              </w:rPr>
              <w:tab/>
            </w:r>
            <w:r>
              <w:rPr>
                <w:rStyle w:val="IndexLink"/>
              </w:rPr>
              <w:t>49</w:t>
            </w:r>
          </w:hyperlink>
        </w:p>
        <w:p>
          <w:pPr>
            <w:pStyle w:val="Contents6"/>
            <w:tabs>
              <w:tab w:val="clear" w:pos="7609"/>
              <w:tab w:val="right" w:pos="9026" w:leader="dot"/>
            </w:tabs>
            <w:rPr/>
          </w:pPr>
          <w:hyperlink w:anchor="__RefHeading___Toc763604_3244359995">
            <w:r>
              <w:rPr>
                <w:webHidden/>
                <w:rStyle w:val="IndexLink"/>
                <w:rtl w:val="true"/>
              </w:rPr>
              <w:t>التنبیه الثانی</w:t>
            </w:r>
            <w:r>
              <w:rPr>
                <w:rStyle w:val="IndexLink"/>
                <w:rtl w:val="true"/>
              </w:rPr>
              <w:t xml:space="preserve">: </w:t>
            </w:r>
            <w:r>
              <w:rPr>
                <w:rStyle w:val="IndexLink"/>
                <w:rtl w:val="true"/>
              </w:rPr>
              <w:t>حول منع جریان البراءة الشرعیّة عن الأکثر</w:t>
            </w:r>
            <w:r>
              <w:rPr>
                <w:rStyle w:val="IndexLink"/>
                <w:rtl w:val="true"/>
              </w:rPr>
              <w:tab/>
            </w:r>
            <w:r>
              <w:rPr>
                <w:rStyle w:val="IndexLink"/>
              </w:rPr>
              <w:t>51</w:t>
            </w:r>
          </w:hyperlink>
        </w:p>
        <w:p>
          <w:pPr>
            <w:pStyle w:val="Contents6"/>
            <w:tabs>
              <w:tab w:val="clear" w:pos="7609"/>
              <w:tab w:val="right" w:pos="9026" w:leader="dot"/>
            </w:tabs>
            <w:rPr/>
          </w:pPr>
          <w:hyperlink w:anchor="__RefHeading___Toc763606_3244359995">
            <w:r>
              <w:rPr>
                <w:webHidden/>
                <w:rStyle w:val="IndexLink"/>
                <w:rtl w:val="true"/>
              </w:rPr>
              <w:t>التنبیه الثالث</w:t>
            </w:r>
            <w:r>
              <w:rPr>
                <w:rStyle w:val="IndexLink"/>
                <w:rtl w:val="true"/>
              </w:rPr>
              <w:t xml:space="preserve">: </w:t>
            </w:r>
            <w:r>
              <w:rPr>
                <w:rStyle w:val="IndexLink"/>
                <w:rtl w:val="true"/>
              </w:rPr>
              <w:t>تلازم جریان البراءتین العقلیّة و الشرعیّة هنا</w:t>
            </w:r>
            <w:r>
              <w:rPr>
                <w:rStyle w:val="IndexLink"/>
                <w:rtl w:val="true"/>
              </w:rPr>
              <w:tab/>
            </w:r>
            <w:r>
              <w:rPr>
                <w:rStyle w:val="IndexLink"/>
              </w:rPr>
              <w:t>58</w:t>
            </w:r>
          </w:hyperlink>
        </w:p>
        <w:p>
          <w:pPr>
            <w:pStyle w:val="Contents6"/>
            <w:tabs>
              <w:tab w:val="clear" w:pos="7609"/>
              <w:tab w:val="right" w:pos="9026" w:leader="dot"/>
            </w:tabs>
            <w:rPr/>
          </w:pPr>
          <w:hyperlink w:anchor="__RefHeading___Toc763608_3244359995">
            <w:r>
              <w:rPr>
                <w:webHidden/>
                <w:rStyle w:val="IndexLink"/>
                <w:rtl w:val="true"/>
              </w:rPr>
              <w:t>نقل و نقد</w:t>
            </w:r>
            <w:r>
              <w:rPr>
                <w:rStyle w:val="IndexLink"/>
                <w:rtl w:val="true"/>
              </w:rPr>
              <w:t xml:space="preserve">: </w:t>
            </w:r>
            <w:r>
              <w:rPr>
                <w:rStyle w:val="IndexLink"/>
                <w:rtl w:val="true"/>
              </w:rPr>
              <w:t>حول کلام الشیخ الرئیس فی ردّ الرجل الهمدانی</w:t>
            </w:r>
            <w:r>
              <w:rPr>
                <w:rStyle w:val="IndexLink"/>
                <w:rtl w:val="true"/>
              </w:rPr>
              <w:tab/>
            </w:r>
            <w:r>
              <w:rPr>
                <w:rStyle w:val="IndexLink"/>
              </w:rPr>
              <w:t>60</w:t>
            </w:r>
          </w:hyperlink>
        </w:p>
        <w:p>
          <w:pPr>
            <w:pStyle w:val="Contents6"/>
            <w:tabs>
              <w:tab w:val="clear" w:pos="7609"/>
              <w:tab w:val="right" w:pos="9026" w:leader="dot"/>
            </w:tabs>
            <w:rPr/>
          </w:pPr>
          <w:hyperlink w:anchor="__RefHeading___Toc763610_3244359995">
            <w:r>
              <w:rPr>
                <w:webHidden/>
                <w:rStyle w:val="IndexLink"/>
                <w:rtl w:val="true"/>
              </w:rPr>
              <w:t>تتمیم و تکمیل</w:t>
            </w:r>
            <w:r>
              <w:rPr>
                <w:rStyle w:val="IndexLink"/>
                <w:rtl w:val="true"/>
              </w:rPr>
              <w:t xml:space="preserve">: </w:t>
            </w:r>
            <w:r>
              <w:rPr>
                <w:rStyle w:val="IndexLink"/>
                <w:rtl w:val="true"/>
              </w:rPr>
              <w:t>دوران الأمر بین المطلق و المقیّد</w:t>
            </w:r>
            <w:r>
              <w:rPr>
                <w:rStyle w:val="IndexLink"/>
                <w:rtl w:val="true"/>
              </w:rPr>
              <w:tab/>
            </w:r>
            <w:r>
              <w:rPr>
                <w:rStyle w:val="IndexLink"/>
              </w:rPr>
              <w:t>61</w:t>
            </w:r>
          </w:hyperlink>
        </w:p>
        <w:p>
          <w:pPr>
            <w:pStyle w:val="Contents6"/>
            <w:tabs>
              <w:tab w:val="clear" w:pos="7609"/>
              <w:tab w:val="right" w:pos="9026" w:leader="dot"/>
            </w:tabs>
            <w:rPr/>
          </w:pPr>
          <w:hyperlink w:anchor="__RefHeading___Toc763612_3244359995">
            <w:r>
              <w:rPr>
                <w:webHidden/>
                <w:rStyle w:val="IndexLink"/>
                <w:rtl w:val="true"/>
              </w:rPr>
              <w:t>بقی شی‌ء</w:t>
            </w:r>
            <w:r>
              <w:rPr>
                <w:rStyle w:val="IndexLink"/>
                <w:rtl w:val="true"/>
              </w:rPr>
              <w:t xml:space="preserve">: </w:t>
            </w:r>
            <w:r>
              <w:rPr>
                <w:rStyle w:val="IndexLink"/>
                <w:rtl w:val="true"/>
              </w:rPr>
              <w:t>فی بیان حکم الدوران بین الإطلاق و التقیید العنوانیّین و التطبیقیّین</w:t>
            </w:r>
            <w:r>
              <w:rPr>
                <w:rStyle w:val="IndexLink"/>
                <w:rtl w:val="true"/>
              </w:rPr>
              <w:tab/>
            </w:r>
            <w:r>
              <w:rPr>
                <w:rStyle w:val="IndexLink"/>
              </w:rPr>
              <w:t>62</w:t>
            </w:r>
          </w:hyperlink>
        </w:p>
        <w:p>
          <w:pPr>
            <w:pStyle w:val="Contents6"/>
            <w:tabs>
              <w:tab w:val="clear" w:pos="7609"/>
              <w:tab w:val="right" w:pos="9026" w:leader="dot"/>
            </w:tabs>
            <w:rPr/>
          </w:pPr>
          <w:hyperlink w:anchor="__RefHeading___Toc763614_3244359995">
            <w:r>
              <w:rPr>
                <w:webHidden/>
                <w:rStyle w:val="IndexLink"/>
                <w:rtl w:val="true"/>
              </w:rPr>
              <w:t>تذنیبان</w:t>
            </w:r>
            <w:r>
              <w:rPr>
                <w:rStyle w:val="IndexLink"/>
                <w:rtl w:val="true"/>
              </w:rPr>
              <w:t>:</w:t>
              <w:tab/>
            </w:r>
            <w:r>
              <w:rPr>
                <w:rStyle w:val="IndexLink"/>
              </w:rPr>
              <w:t>65</w:t>
            </w:r>
          </w:hyperlink>
        </w:p>
        <w:p>
          <w:pPr>
            <w:pStyle w:val="Contents6"/>
            <w:tabs>
              <w:tab w:val="clear" w:pos="7609"/>
              <w:tab w:val="right" w:pos="9026" w:leader="dot"/>
            </w:tabs>
            <w:rPr/>
          </w:pPr>
          <w:hyperlink w:anchor="__RefHeading___Toc763616_3244359995">
            <w:r>
              <w:rPr>
                <w:webHidden/>
                <w:rStyle w:val="IndexLink"/>
                <w:rtl w:val="true"/>
              </w:rPr>
              <w:t>الأوّل</w:t>
            </w:r>
            <w:r>
              <w:rPr>
                <w:rStyle w:val="IndexLink"/>
                <w:rtl w:val="true"/>
              </w:rPr>
              <w:t xml:space="preserve">: </w:t>
            </w:r>
            <w:r>
              <w:rPr>
                <w:rStyle w:val="IndexLink"/>
                <w:rtl w:val="true"/>
              </w:rPr>
              <w:t>فی موارد الشکّ فی مانعیّة شی‌ء</w:t>
            </w:r>
            <w:r>
              <w:rPr>
                <w:rStyle w:val="IndexLink"/>
                <w:rtl w:val="true"/>
              </w:rPr>
              <w:tab/>
            </w:r>
            <w:r>
              <w:rPr>
                <w:rStyle w:val="IndexLink"/>
              </w:rPr>
              <w:t>65</w:t>
            </w:r>
          </w:hyperlink>
        </w:p>
        <w:p>
          <w:pPr>
            <w:pStyle w:val="Contents6"/>
            <w:tabs>
              <w:tab w:val="clear" w:pos="7609"/>
              <w:tab w:val="right" w:pos="9026" w:leader="dot"/>
            </w:tabs>
            <w:rPr/>
          </w:pPr>
          <w:hyperlink w:anchor="__RefHeading___Toc763618_3244359995">
            <w:r>
              <w:rPr>
                <w:webHidden/>
                <w:rStyle w:val="IndexLink"/>
                <w:rtl w:val="true"/>
              </w:rPr>
              <w:t>الثانی</w:t>
            </w:r>
            <w:r>
              <w:rPr>
                <w:rStyle w:val="IndexLink"/>
                <w:rtl w:val="true"/>
              </w:rPr>
              <w:t xml:space="preserve">: </w:t>
            </w:r>
            <w:r>
              <w:rPr>
                <w:rStyle w:val="IndexLink"/>
                <w:rtl w:val="true"/>
              </w:rPr>
              <w:t>فی موارد الشکّ فی السقوط التی یکون منشأها الشکّ فی الثبوت</w:t>
            </w:r>
            <w:r>
              <w:rPr>
                <w:rStyle w:val="IndexLink"/>
                <w:rtl w:val="true"/>
              </w:rPr>
              <w:tab/>
            </w:r>
            <w:r>
              <w:rPr>
                <w:rStyle w:val="IndexLink"/>
              </w:rPr>
              <w:t>66</w:t>
            </w:r>
          </w:hyperlink>
        </w:p>
        <w:p>
          <w:pPr>
            <w:pStyle w:val="Contents5"/>
            <w:tabs>
              <w:tab w:val="clear" w:pos="7892"/>
              <w:tab w:val="right" w:pos="9026" w:leader="dot"/>
            </w:tabs>
            <w:rPr/>
          </w:pPr>
          <w:hyperlink w:anchor="__RefHeading___Toc763620_3244359995">
            <w:r>
              <w:rPr>
                <w:webHidden/>
                <w:rStyle w:val="IndexLink"/>
                <w:rtl w:val="true"/>
              </w:rPr>
              <w:t>البحث الخامس فی الأسباب و المحصّلات</w:t>
            </w:r>
            <w:r>
              <w:rPr>
                <w:rStyle w:val="IndexLink"/>
                <w:rtl w:val="true"/>
              </w:rPr>
              <w:tab/>
            </w:r>
            <w:r>
              <w:rPr>
                <w:rStyle w:val="IndexLink"/>
              </w:rPr>
              <w:t>68</w:t>
            </w:r>
          </w:hyperlink>
        </w:p>
        <w:p>
          <w:pPr>
            <w:pStyle w:val="Contents6"/>
            <w:tabs>
              <w:tab w:val="clear" w:pos="7609"/>
              <w:tab w:val="right" w:pos="9026" w:leader="dot"/>
            </w:tabs>
            <w:rPr/>
          </w:pPr>
          <w:hyperlink w:anchor="__RefHeading___Toc763622_3244359995">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763624_3244359995">
            <w:r>
              <w:rPr>
                <w:webHidden/>
                <w:rStyle w:val="IndexLink"/>
                <w:rtl w:val="true"/>
              </w:rPr>
              <w:t>الأمر الأوّل</w:t>
            </w:r>
            <w:r>
              <w:rPr>
                <w:rStyle w:val="IndexLink"/>
                <w:rtl w:val="true"/>
              </w:rPr>
              <w:t xml:space="preserve">: </w:t>
            </w:r>
            <w:r>
              <w:rPr>
                <w:rStyle w:val="IndexLink"/>
                <w:rtl w:val="true"/>
              </w:rPr>
              <w:t>فی تمحّض البحث بالشکّ فی السقوط</w:t>
            </w:r>
            <w:r>
              <w:rPr>
                <w:rStyle w:val="IndexLink"/>
                <w:rtl w:val="true"/>
              </w:rPr>
              <w:tab/>
            </w:r>
            <w:r>
              <w:rPr>
                <w:rStyle w:val="IndexLink"/>
              </w:rPr>
              <w:t>69</w:t>
            </w:r>
          </w:hyperlink>
        </w:p>
        <w:p>
          <w:pPr>
            <w:pStyle w:val="Contents6"/>
            <w:tabs>
              <w:tab w:val="clear" w:pos="7609"/>
              <w:tab w:val="right" w:pos="9026" w:leader="dot"/>
            </w:tabs>
            <w:rPr/>
          </w:pPr>
          <w:hyperlink w:anchor="__RefHeading___Toc763626_3244359995">
            <w:r>
              <w:rPr>
                <w:webHidden/>
                <w:rStyle w:val="IndexLink"/>
                <w:rtl w:val="true"/>
              </w:rPr>
              <w:t>الأمر الثانی</w:t>
            </w:r>
            <w:r>
              <w:rPr>
                <w:rStyle w:val="IndexLink"/>
                <w:rtl w:val="true"/>
              </w:rPr>
              <w:t xml:space="preserve">: </w:t>
            </w:r>
            <w:r>
              <w:rPr>
                <w:rStyle w:val="IndexLink"/>
                <w:rtl w:val="true"/>
              </w:rPr>
              <w:t>فی أجنبیة بحث المعاملات هنا</w:t>
            </w:r>
            <w:r>
              <w:rPr>
                <w:rStyle w:val="IndexLink"/>
                <w:rtl w:val="true"/>
              </w:rPr>
              <w:tab/>
            </w:r>
            <w:r>
              <w:rPr>
                <w:rStyle w:val="IndexLink"/>
              </w:rPr>
              <w:t>70</w:t>
            </w:r>
          </w:hyperlink>
        </w:p>
        <w:p>
          <w:pPr>
            <w:pStyle w:val="Contents6"/>
            <w:tabs>
              <w:tab w:val="clear" w:pos="7609"/>
              <w:tab w:val="right" w:pos="9026" w:leader="dot"/>
            </w:tabs>
            <w:rPr/>
          </w:pPr>
          <w:hyperlink w:anchor="__RefHeading___Toc763628_3244359995">
            <w:r>
              <w:rPr>
                <w:webHidden/>
                <w:rStyle w:val="IndexLink"/>
                <w:rtl w:val="true"/>
              </w:rPr>
              <w:t>و هم و دفع</w:t>
            </w:r>
            <w:r>
              <w:rPr>
                <w:rStyle w:val="IndexLink"/>
                <w:rtl w:val="true"/>
              </w:rPr>
              <w:t xml:space="preserve">: </w:t>
            </w:r>
            <w:r>
              <w:rPr>
                <w:rStyle w:val="IndexLink"/>
                <w:rtl w:val="true"/>
              </w:rPr>
              <w:t>حول بطلان البحث لخروج المسبب عن الاختیار</w:t>
            </w:r>
            <w:r>
              <w:rPr>
                <w:rStyle w:val="IndexLink"/>
                <w:rtl w:val="true"/>
              </w:rPr>
              <w:tab/>
            </w:r>
            <w:r>
              <w:rPr>
                <w:rStyle w:val="IndexLink"/>
              </w:rPr>
              <w:t>70</w:t>
            </w:r>
          </w:hyperlink>
        </w:p>
        <w:p>
          <w:pPr>
            <w:pStyle w:val="Contents6"/>
            <w:tabs>
              <w:tab w:val="clear" w:pos="7609"/>
              <w:tab w:val="right" w:pos="9026" w:leader="dot"/>
            </w:tabs>
            <w:rPr/>
          </w:pPr>
          <w:hyperlink w:anchor="__RefHeading___Toc763630_3244359995">
            <w:r>
              <w:rPr>
                <w:webHidden/>
                <w:rStyle w:val="IndexLink"/>
                <w:rtl w:val="true"/>
              </w:rPr>
              <w:t>تحقیق و توضیح</w:t>
            </w:r>
            <w:r>
              <w:rPr>
                <w:rStyle w:val="IndexLink"/>
                <w:rtl w:val="true"/>
              </w:rPr>
              <w:t xml:space="preserve">: </w:t>
            </w:r>
            <w:r>
              <w:rPr>
                <w:rStyle w:val="IndexLink"/>
                <w:rtl w:val="true"/>
              </w:rPr>
              <w:t>فی انحصار السبب بالعقلی</w:t>
            </w:r>
            <w:r>
              <w:rPr>
                <w:rStyle w:val="IndexLink"/>
                <w:rtl w:val="true"/>
              </w:rPr>
              <w:tab/>
            </w:r>
            <w:r>
              <w:rPr>
                <w:rStyle w:val="IndexLink"/>
              </w:rPr>
              <w:t>72</w:t>
            </w:r>
          </w:hyperlink>
        </w:p>
        <w:p>
          <w:pPr>
            <w:pStyle w:val="Contents6"/>
            <w:tabs>
              <w:tab w:val="clear" w:pos="7609"/>
              <w:tab w:val="right" w:pos="9026" w:leader="dot"/>
            </w:tabs>
            <w:rPr/>
          </w:pPr>
          <w:hyperlink w:anchor="__RefHeading___Toc763632_3244359995">
            <w:r>
              <w:rPr>
                <w:webHidden/>
                <w:rStyle w:val="IndexLink"/>
                <w:rtl w:val="true"/>
              </w:rPr>
              <w:t>تکمیل و تتمیم</w:t>
            </w:r>
            <w:r>
              <w:rPr>
                <w:rStyle w:val="IndexLink"/>
                <w:rtl w:val="true"/>
              </w:rPr>
              <w:t xml:space="preserve">: </w:t>
            </w:r>
            <w:r>
              <w:rPr>
                <w:rStyle w:val="IndexLink"/>
                <w:rtl w:val="true"/>
              </w:rPr>
              <w:t>فی عدم تقید المسبّب بالسبب الخاصّ</w:t>
            </w:r>
            <w:r>
              <w:rPr>
                <w:rStyle w:val="IndexLink"/>
                <w:rtl w:val="true"/>
              </w:rPr>
              <w:tab/>
            </w:r>
            <w:r>
              <w:rPr>
                <w:rStyle w:val="IndexLink"/>
              </w:rPr>
              <w:t>74</w:t>
            </w:r>
          </w:hyperlink>
        </w:p>
        <w:p>
          <w:pPr>
            <w:pStyle w:val="Contents6"/>
            <w:tabs>
              <w:tab w:val="clear" w:pos="7609"/>
              <w:tab w:val="right" w:pos="9026" w:leader="dot"/>
            </w:tabs>
            <w:rPr/>
          </w:pPr>
          <w:hyperlink w:anchor="__RefHeading___Toc763634_3244359995">
            <w:r>
              <w:rPr>
                <w:webHidden/>
                <w:rStyle w:val="IndexLink"/>
                <w:rtl w:val="true"/>
              </w:rPr>
              <w:t>اختیار الاشتغال عند الشکّ فی المحصّل</w:t>
            </w:r>
            <w:r>
              <w:rPr>
                <w:rStyle w:val="IndexLink"/>
                <w:rtl w:val="true"/>
              </w:rPr>
              <w:tab/>
            </w:r>
            <w:r>
              <w:rPr>
                <w:rStyle w:val="IndexLink"/>
              </w:rPr>
              <w:t>75</w:t>
            </w:r>
          </w:hyperlink>
        </w:p>
        <w:p>
          <w:pPr>
            <w:pStyle w:val="Contents6"/>
            <w:tabs>
              <w:tab w:val="clear" w:pos="7609"/>
              <w:tab w:val="right" w:pos="9026" w:leader="dot"/>
            </w:tabs>
            <w:rPr/>
          </w:pPr>
          <w:hyperlink w:anchor="__RefHeading___Toc763636_3244359995">
            <w:r>
              <w:rPr>
                <w:webHidden/>
                <w:rStyle w:val="IndexLink"/>
                <w:rtl w:val="true"/>
              </w:rPr>
              <w:t>بقی شی‌ء</w:t>
            </w:r>
            <w:r>
              <w:rPr>
                <w:rStyle w:val="IndexLink"/>
                <w:rtl w:val="true"/>
              </w:rPr>
              <w:t xml:space="preserve">: </w:t>
            </w:r>
            <w:r>
              <w:rPr>
                <w:rStyle w:val="IndexLink"/>
                <w:rtl w:val="true"/>
              </w:rPr>
              <w:t>فی حکم ما لا تصل إلیه العقول من الأسباب عند الشکّ</w:t>
            </w:r>
            <w:r>
              <w:rPr>
                <w:rStyle w:val="IndexLink"/>
                <w:rtl w:val="true"/>
              </w:rPr>
              <w:tab/>
            </w:r>
            <w:r>
              <w:rPr>
                <w:rStyle w:val="IndexLink"/>
              </w:rPr>
              <w:t>76</w:t>
            </w:r>
          </w:hyperlink>
        </w:p>
        <w:p>
          <w:pPr>
            <w:pStyle w:val="Contents5"/>
            <w:tabs>
              <w:tab w:val="clear" w:pos="7892"/>
              <w:tab w:val="right" w:pos="9026" w:leader="dot"/>
            </w:tabs>
            <w:rPr/>
          </w:pPr>
          <w:hyperlink w:anchor="__RefHeading___Toc763638_3244359995">
            <w:r>
              <w:rPr>
                <w:webHidden/>
                <w:rStyle w:val="IndexLink"/>
                <w:rtl w:val="true"/>
              </w:rPr>
              <w:t>البحث السادس فی الشبهة الموضوعیّة للأقلّ و الأکثر</w:t>
            </w:r>
            <w:r>
              <w:rPr>
                <w:rStyle w:val="IndexLink"/>
                <w:rtl w:val="true"/>
              </w:rPr>
              <w:tab/>
            </w:r>
            <w:r>
              <w:rPr>
                <w:rStyle w:val="IndexLink"/>
              </w:rPr>
              <w:t>78</w:t>
            </w:r>
          </w:hyperlink>
        </w:p>
        <w:p>
          <w:pPr>
            <w:pStyle w:val="Contents6"/>
            <w:tabs>
              <w:tab w:val="clear" w:pos="7609"/>
              <w:tab w:val="right" w:pos="9026" w:leader="dot"/>
            </w:tabs>
            <w:rPr/>
          </w:pPr>
          <w:hyperlink w:anchor="__RefHeading___Toc763640_3244359995">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763642_3244359995">
            <w:r>
              <w:rPr>
                <w:webHidden/>
                <w:rStyle w:val="IndexLink"/>
                <w:rtl w:val="true"/>
              </w:rPr>
              <w:t>بسط و بحث</w:t>
            </w:r>
            <w:r>
              <w:rPr>
                <w:rStyle w:val="IndexLink"/>
                <w:rtl w:val="true"/>
              </w:rPr>
              <w:t xml:space="preserve">: </w:t>
            </w:r>
            <w:r>
              <w:rPr>
                <w:rStyle w:val="IndexLink"/>
                <w:rtl w:val="true"/>
              </w:rPr>
              <w:t>فی بیان سرّ عدم التمسّک بأدلّة الحلّ و البراءة فی المقام</w:t>
            </w:r>
            <w:r>
              <w:rPr>
                <w:rStyle w:val="IndexLink"/>
                <w:rtl w:val="true"/>
              </w:rPr>
              <w:tab/>
            </w:r>
            <w:r>
              <w:rPr>
                <w:rStyle w:val="IndexLink"/>
              </w:rPr>
              <w:t>81</w:t>
            </w:r>
          </w:hyperlink>
        </w:p>
        <w:p>
          <w:pPr>
            <w:pStyle w:val="Contents6"/>
            <w:tabs>
              <w:tab w:val="clear" w:pos="7609"/>
              <w:tab w:val="right" w:pos="9026" w:leader="dot"/>
            </w:tabs>
            <w:rPr/>
          </w:pPr>
          <w:hyperlink w:anchor="__RefHeading___Toc763644_3244359995">
            <w:r>
              <w:rPr>
                <w:webHidden/>
                <w:rStyle w:val="IndexLink"/>
                <w:rtl w:val="true"/>
              </w:rPr>
              <w:t>بقی تنبیه</w:t>
            </w:r>
            <w:r>
              <w:rPr>
                <w:rStyle w:val="IndexLink"/>
                <w:rtl w:val="true"/>
              </w:rPr>
              <w:t xml:space="preserve">: </w:t>
            </w:r>
            <w:r>
              <w:rPr>
                <w:rStyle w:val="IndexLink"/>
                <w:rtl w:val="true"/>
              </w:rPr>
              <w:t>حول متعلق الأمر أو النهی</w:t>
            </w:r>
            <w:r>
              <w:rPr>
                <w:rStyle w:val="IndexLink"/>
                <w:rtl w:val="true"/>
              </w:rPr>
              <w:tab/>
            </w:r>
            <w:r>
              <w:rPr>
                <w:rStyle w:val="IndexLink"/>
              </w:rPr>
              <w:t>82</w:t>
            </w:r>
          </w:hyperlink>
        </w:p>
        <w:p>
          <w:pPr>
            <w:pStyle w:val="Contents6"/>
            <w:tabs>
              <w:tab w:val="clear" w:pos="7609"/>
              <w:tab w:val="right" w:pos="9026" w:leader="dot"/>
            </w:tabs>
            <w:rPr/>
          </w:pPr>
          <w:hyperlink w:anchor="__RefHeading___Toc763646_3244359995">
            <w:r>
              <w:rPr>
                <w:webHidden/>
                <w:rStyle w:val="IndexLink"/>
                <w:rtl w:val="true"/>
              </w:rPr>
              <w:t>حکم الأجزاء الخارجیّة و التحلیلیّة هنا</w:t>
            </w:r>
            <w:r>
              <w:rPr>
                <w:rStyle w:val="IndexLink"/>
                <w:rtl w:val="true"/>
              </w:rPr>
              <w:tab/>
            </w:r>
            <w:r>
              <w:rPr>
                <w:rStyle w:val="IndexLink"/>
              </w:rPr>
              <w:t>84</w:t>
            </w:r>
          </w:hyperlink>
        </w:p>
        <w:p>
          <w:pPr>
            <w:pStyle w:val="Contents6"/>
            <w:tabs>
              <w:tab w:val="clear" w:pos="7609"/>
              <w:tab w:val="right" w:pos="9026" w:leader="dot"/>
            </w:tabs>
            <w:rPr/>
          </w:pPr>
          <w:hyperlink w:anchor="__RefHeading___Toc763648_3244359995">
            <w:r>
              <w:rPr>
                <w:webHidden/>
                <w:rStyle w:val="IndexLink"/>
                <w:rtl w:val="true"/>
              </w:rPr>
              <w:t>تذنیب</w:t>
            </w:r>
            <w:r>
              <w:rPr>
                <w:rStyle w:val="IndexLink"/>
                <w:rtl w:val="true"/>
              </w:rPr>
              <w:t xml:space="preserve">: </w:t>
            </w:r>
            <w:r>
              <w:rPr>
                <w:rStyle w:val="IndexLink"/>
                <w:rtl w:val="true"/>
              </w:rPr>
              <w:t>حول افتراض السید المجدد للشرط العدمی علی نعت العموم الاصولی</w:t>
            </w:r>
            <w:r>
              <w:rPr>
                <w:rStyle w:val="IndexLink"/>
                <w:rtl w:val="true"/>
              </w:rPr>
              <w:tab/>
            </w:r>
            <w:r>
              <w:rPr>
                <w:rStyle w:val="IndexLink"/>
              </w:rPr>
              <w:t>87</w:t>
            </w:r>
          </w:hyperlink>
        </w:p>
        <w:p>
          <w:pPr>
            <w:pStyle w:val="Contents6"/>
            <w:tabs>
              <w:tab w:val="clear" w:pos="7609"/>
              <w:tab w:val="right" w:pos="9026" w:leader="dot"/>
            </w:tabs>
            <w:rPr/>
          </w:pPr>
          <w:hyperlink w:anchor="__RefHeading___Toc763650_3244359995">
            <w:r>
              <w:rPr>
                <w:webHidden/>
                <w:rStyle w:val="IndexLink"/>
                <w:rtl w:val="true"/>
              </w:rPr>
              <w:t>ذنابة</w:t>
            </w:r>
            <w:r>
              <w:rPr>
                <w:rStyle w:val="IndexLink"/>
                <w:rtl w:val="true"/>
              </w:rPr>
              <w:t xml:space="preserve">: </w:t>
            </w:r>
            <w:r>
              <w:rPr>
                <w:rStyle w:val="IndexLink"/>
                <w:rtl w:val="true"/>
              </w:rPr>
              <w:t>فی تصویر الشبهة الموضوعیة للأقل و الأکثر علی ثلاثة وجوه</w:t>
            </w:r>
            <w:r>
              <w:rPr>
                <w:rStyle w:val="IndexLink"/>
                <w:rtl w:val="true"/>
              </w:rPr>
              <w:tab/>
            </w:r>
            <w:r>
              <w:rPr>
                <w:rStyle w:val="IndexLink"/>
              </w:rPr>
              <w:t>89</w:t>
            </w:r>
          </w:hyperlink>
        </w:p>
        <w:p>
          <w:pPr>
            <w:pStyle w:val="Contents6"/>
            <w:tabs>
              <w:tab w:val="clear" w:pos="7609"/>
              <w:tab w:val="right" w:pos="9026" w:leader="dot"/>
            </w:tabs>
            <w:rPr/>
          </w:pPr>
          <w:hyperlink w:anchor="__RefHeading___Toc763652_3244359995">
            <w:r>
              <w:rPr>
                <w:webHidden/>
                <w:rStyle w:val="IndexLink"/>
                <w:rtl w:val="true"/>
              </w:rPr>
              <w:t>تنبیهان</w:t>
            </w:r>
            <w:r>
              <w:rPr>
                <w:rStyle w:val="IndexLink"/>
                <w:rtl w:val="true"/>
              </w:rPr>
              <w:t>:</w:t>
              <w:tab/>
            </w:r>
            <w:r>
              <w:rPr>
                <w:rStyle w:val="IndexLink"/>
              </w:rPr>
              <w:t>91</w:t>
            </w:r>
          </w:hyperlink>
        </w:p>
        <w:p>
          <w:pPr>
            <w:pStyle w:val="Contents6"/>
            <w:tabs>
              <w:tab w:val="clear" w:pos="7609"/>
              <w:tab w:val="right" w:pos="9026" w:leader="dot"/>
            </w:tabs>
            <w:rPr/>
          </w:pPr>
          <w:hyperlink w:anchor="__RefHeading___Toc763654_3244359995">
            <w:r>
              <w:rPr>
                <w:webHidden/>
                <w:rStyle w:val="IndexLink"/>
                <w:rtl w:val="true"/>
              </w:rPr>
              <w:t>أحدهما</w:t>
            </w:r>
            <w:r>
              <w:rPr>
                <w:rStyle w:val="IndexLink"/>
                <w:rtl w:val="true"/>
              </w:rPr>
              <w:t xml:space="preserve">: </w:t>
            </w:r>
            <w:r>
              <w:rPr>
                <w:rStyle w:val="IndexLink"/>
                <w:rtl w:val="true"/>
              </w:rPr>
              <w:t>فی الشبهة الموضوعیّة للمانع</w:t>
            </w:r>
            <w:r>
              <w:rPr>
                <w:rStyle w:val="IndexLink"/>
                <w:rtl w:val="true"/>
              </w:rPr>
              <w:tab/>
            </w:r>
            <w:r>
              <w:rPr>
                <w:rStyle w:val="IndexLink"/>
              </w:rPr>
              <w:t>91</w:t>
            </w:r>
          </w:hyperlink>
        </w:p>
        <w:p>
          <w:pPr>
            <w:pStyle w:val="Contents6"/>
            <w:tabs>
              <w:tab w:val="clear" w:pos="7609"/>
              <w:tab w:val="right" w:pos="9026" w:leader="dot"/>
            </w:tabs>
            <w:rPr/>
          </w:pPr>
          <w:hyperlink w:anchor="__RefHeading___Toc763656_3244359995">
            <w:r>
              <w:rPr>
                <w:webHidden/>
                <w:rStyle w:val="IndexLink"/>
                <w:rtl w:val="true"/>
              </w:rPr>
              <w:t>ثانیهما</w:t>
            </w:r>
            <w:r>
              <w:rPr>
                <w:rStyle w:val="IndexLink"/>
                <w:rtl w:val="true"/>
              </w:rPr>
              <w:t xml:space="preserve">: </w:t>
            </w:r>
            <w:r>
              <w:rPr>
                <w:rStyle w:val="IndexLink"/>
                <w:rtl w:val="true"/>
              </w:rPr>
              <w:t>إذا شکّ فی قاطعیّة شی‌ء لشبهة حکمیّة، أو موضوعیّة</w:t>
            </w:r>
            <w:r>
              <w:rPr>
                <w:rStyle w:val="IndexLink"/>
                <w:rtl w:val="true"/>
              </w:rPr>
              <w:tab/>
            </w:r>
            <w:r>
              <w:rPr>
                <w:rStyle w:val="IndexLink"/>
              </w:rPr>
              <w:t>95</w:t>
            </w:r>
          </w:hyperlink>
        </w:p>
        <w:p>
          <w:pPr>
            <w:pStyle w:val="Contents6"/>
            <w:tabs>
              <w:tab w:val="clear" w:pos="7609"/>
              <w:tab w:val="right" w:pos="9026" w:leader="dot"/>
            </w:tabs>
            <w:rPr/>
          </w:pPr>
          <w:hyperlink w:anchor="__RefHeading___Toc763658_3244359995">
            <w:r>
              <w:rPr>
                <w:webHidden/>
                <w:rStyle w:val="IndexLink"/>
                <w:rtl w:val="true"/>
              </w:rPr>
              <w:t>بقی تنبیه</w:t>
            </w:r>
            <w:r>
              <w:rPr>
                <w:rStyle w:val="IndexLink"/>
                <w:rtl w:val="true"/>
              </w:rPr>
              <w:t xml:space="preserve">: </w:t>
            </w:r>
            <w:r>
              <w:rPr>
                <w:rStyle w:val="IndexLink"/>
                <w:rtl w:val="true"/>
              </w:rPr>
              <w:t>فی اعتبار القاطعیة بالنسبة إلی المرکّبات</w:t>
            </w:r>
            <w:r>
              <w:rPr>
                <w:rStyle w:val="IndexLink"/>
                <w:rtl w:val="true"/>
              </w:rPr>
              <w:tab/>
            </w:r>
            <w:r>
              <w:rPr>
                <w:rStyle w:val="IndexLink"/>
              </w:rPr>
              <w:t>95</w:t>
            </w:r>
          </w:hyperlink>
        </w:p>
        <w:p>
          <w:pPr>
            <w:pStyle w:val="Contents6"/>
            <w:tabs>
              <w:tab w:val="clear" w:pos="7609"/>
              <w:tab w:val="right" w:pos="9026" w:leader="dot"/>
            </w:tabs>
            <w:rPr/>
          </w:pPr>
          <w:hyperlink w:anchor="__RefHeading___Toc763660_3244359995">
            <w:r>
              <w:rPr>
                <w:webHidden/>
                <w:rStyle w:val="IndexLink"/>
                <w:rtl w:val="true"/>
              </w:rPr>
              <w:t>تکمیل و توضیح</w:t>
            </w:r>
            <w:r>
              <w:rPr>
                <w:rStyle w:val="IndexLink"/>
                <w:rtl w:val="true"/>
              </w:rPr>
              <w:t xml:space="preserve">: </w:t>
            </w:r>
            <w:r>
              <w:rPr>
                <w:rStyle w:val="IndexLink"/>
                <w:rtl w:val="true"/>
              </w:rPr>
              <w:t>حول القاطعیة للهیئة الاتصالیة و لعنوان العبادة</w:t>
            </w:r>
            <w:r>
              <w:rPr>
                <w:rStyle w:val="IndexLink"/>
                <w:rtl w:val="true"/>
              </w:rPr>
              <w:tab/>
            </w:r>
            <w:r>
              <w:rPr>
                <w:rStyle w:val="IndexLink"/>
              </w:rPr>
              <w:t>98</w:t>
            </w:r>
          </w:hyperlink>
        </w:p>
        <w:p>
          <w:pPr>
            <w:pStyle w:val="Contents6"/>
            <w:tabs>
              <w:tab w:val="clear" w:pos="7609"/>
              <w:tab w:val="right" w:pos="9026" w:leader="dot"/>
            </w:tabs>
            <w:rPr/>
          </w:pPr>
          <w:hyperlink w:anchor="__RefHeading___Toc763662_3244359995">
            <w:r>
              <w:rPr>
                <w:webHidden/>
                <w:rStyle w:val="IndexLink"/>
                <w:rtl w:val="true"/>
              </w:rPr>
              <w:t>بقی شی‌ء</w:t>
            </w:r>
            <w:r>
              <w:rPr>
                <w:rStyle w:val="IndexLink"/>
                <w:rtl w:val="true"/>
              </w:rPr>
              <w:t xml:space="preserve">: </w:t>
            </w:r>
            <w:r>
              <w:rPr>
                <w:rStyle w:val="IndexLink"/>
                <w:rtl w:val="true"/>
              </w:rPr>
              <w:t>فی عدم اعتبار القاطع و المانع بالنسبة إلی المرکّب غیر العبادی</w:t>
            </w:r>
            <w:r>
              <w:rPr>
                <w:rStyle w:val="IndexLink"/>
                <w:rtl w:val="true"/>
              </w:rPr>
              <w:tab/>
            </w:r>
            <w:r>
              <w:rPr>
                <w:rStyle w:val="IndexLink"/>
              </w:rPr>
              <w:t>100</w:t>
            </w:r>
          </w:hyperlink>
        </w:p>
        <w:p>
          <w:pPr>
            <w:pStyle w:val="Contents6"/>
            <w:tabs>
              <w:tab w:val="clear" w:pos="7609"/>
              <w:tab w:val="right" w:pos="9026" w:leader="dot"/>
            </w:tabs>
            <w:rPr/>
          </w:pPr>
          <w:hyperlink w:anchor="__RefHeading___Toc763664_3244359995">
            <w:r>
              <w:rPr>
                <w:webHidden/>
                <w:rStyle w:val="IndexLink"/>
                <w:rtl w:val="true"/>
              </w:rPr>
              <w:t>مقتضی الأصل فی الشبهة الحکمیة للقاطع</w:t>
            </w:r>
            <w:r>
              <w:rPr>
                <w:rStyle w:val="IndexLink"/>
                <w:rtl w:val="true"/>
              </w:rPr>
              <w:tab/>
            </w:r>
            <w:r>
              <w:rPr>
                <w:rStyle w:val="IndexLink"/>
              </w:rPr>
              <w:t>101</w:t>
            </w:r>
          </w:hyperlink>
        </w:p>
        <w:p>
          <w:pPr>
            <w:pStyle w:val="Contents6"/>
            <w:tabs>
              <w:tab w:val="clear" w:pos="7609"/>
              <w:tab w:val="right" w:pos="9026" w:leader="dot"/>
            </w:tabs>
            <w:rPr/>
          </w:pPr>
          <w:hyperlink w:anchor="__RefHeading___Toc763666_3244359995">
            <w:r>
              <w:rPr>
                <w:webHidden/>
                <w:rStyle w:val="IndexLink"/>
                <w:rtl w:val="true"/>
              </w:rPr>
              <w:t>مقتضی الأصل فی الهیئة الاتصالیّة</w:t>
            </w:r>
            <w:r>
              <w:rPr>
                <w:rStyle w:val="IndexLink"/>
                <w:rtl w:val="true"/>
              </w:rPr>
              <w:tab/>
            </w:r>
            <w:r>
              <w:rPr>
                <w:rStyle w:val="IndexLink"/>
              </w:rPr>
              <w:t>102</w:t>
            </w:r>
          </w:hyperlink>
        </w:p>
        <w:p>
          <w:pPr>
            <w:pStyle w:val="Contents6"/>
            <w:tabs>
              <w:tab w:val="clear" w:pos="7609"/>
              <w:tab w:val="right" w:pos="9026" w:leader="dot"/>
            </w:tabs>
            <w:rPr/>
          </w:pPr>
          <w:hyperlink w:anchor="__RefHeading___Toc763668_3244359995">
            <w:r>
              <w:rPr>
                <w:webHidden/>
                <w:rStyle w:val="IndexLink"/>
                <w:rtl w:val="true"/>
              </w:rPr>
              <w:t>مقتضی الأصل فی الشبهة الموضوعیّة للقاطع</w:t>
            </w:r>
            <w:r>
              <w:rPr>
                <w:rStyle w:val="IndexLink"/>
                <w:rtl w:val="true"/>
              </w:rPr>
              <w:tab/>
            </w:r>
            <w:r>
              <w:rPr>
                <w:rStyle w:val="IndexLink"/>
              </w:rPr>
              <w:t>103</w:t>
            </w:r>
          </w:hyperlink>
        </w:p>
        <w:p>
          <w:pPr>
            <w:pStyle w:val="Contents6"/>
            <w:tabs>
              <w:tab w:val="clear" w:pos="7609"/>
              <w:tab w:val="right" w:pos="9026" w:leader="dot"/>
            </w:tabs>
            <w:rPr/>
          </w:pPr>
          <w:hyperlink w:anchor="__RefHeading___Toc763670_3244359995">
            <w:r>
              <w:rPr>
                <w:webHidden/>
                <w:rStyle w:val="IndexLink"/>
                <w:rtl w:val="true"/>
              </w:rPr>
              <w:t>تنبیهات و توضیحات</w:t>
            </w:r>
            <w:r>
              <w:rPr>
                <w:rStyle w:val="IndexLink"/>
                <w:rtl w:val="true"/>
              </w:rPr>
              <w:t xml:space="preserve">: </w:t>
            </w:r>
            <w:r>
              <w:rPr>
                <w:rStyle w:val="IndexLink"/>
                <w:rtl w:val="true"/>
              </w:rPr>
              <w:t>حول الإخلال بأجزاء المرکّب</w:t>
            </w:r>
            <w:r>
              <w:rPr>
                <w:rStyle w:val="IndexLink"/>
                <w:rtl w:val="true"/>
              </w:rPr>
              <w:tab/>
            </w:r>
            <w:r>
              <w:rPr>
                <w:rStyle w:val="IndexLink"/>
              </w:rPr>
              <w:t>104</w:t>
            </w:r>
          </w:hyperlink>
        </w:p>
        <w:p>
          <w:pPr>
            <w:pStyle w:val="Contents6"/>
            <w:tabs>
              <w:tab w:val="clear" w:pos="7609"/>
              <w:tab w:val="right" w:pos="9026" w:leader="dot"/>
            </w:tabs>
            <w:rPr/>
          </w:pPr>
          <w:hyperlink w:anchor="__RefHeading___Toc763672_3244359995">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763674_3244359995">
            <w:r>
              <w:rPr>
                <w:webHidden/>
                <w:rStyle w:val="IndexLink"/>
                <w:rtl w:val="true"/>
              </w:rPr>
              <w:t>مقتضی القواعد الأوّلیّة الثبوتیة و الشبهات العقلیة فی صورة الإخلال بالمرکّب</w:t>
            </w:r>
            <w:r>
              <w:rPr>
                <w:rStyle w:val="IndexLink"/>
                <w:rtl w:val="true"/>
              </w:rPr>
              <w:tab/>
            </w:r>
            <w:r>
              <w:rPr>
                <w:rStyle w:val="IndexLink"/>
              </w:rPr>
              <w:t>106</w:t>
            </w:r>
          </w:hyperlink>
        </w:p>
        <w:p>
          <w:pPr>
            <w:pStyle w:val="Contents6"/>
            <w:tabs>
              <w:tab w:val="clear" w:pos="7609"/>
              <w:tab w:val="right" w:pos="9026" w:leader="dot"/>
            </w:tabs>
            <w:rPr/>
          </w:pPr>
          <w:hyperlink w:anchor="__RefHeading___Toc763676_3244359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763678_3244359995">
            <w:r>
              <w:rPr>
                <w:webHidden/>
                <w:rStyle w:val="IndexLink"/>
                <w:rtl w:val="true"/>
              </w:rPr>
              <w:t>البحث الأوّل</w:t>
            </w:r>
            <w:r>
              <w:rPr>
                <w:rStyle w:val="IndexLink"/>
                <w:rtl w:val="true"/>
              </w:rPr>
              <w:t xml:space="preserve">: </w:t>
            </w:r>
            <w:r>
              <w:rPr>
                <w:rStyle w:val="IndexLink"/>
                <w:rtl w:val="true"/>
              </w:rPr>
              <w:t>حول صحّة المرکّب مع الإخلال بالجزء عمدا</w:t>
            </w:r>
            <w:r>
              <w:rPr>
                <w:rStyle w:val="IndexLink"/>
                <w:rtl w:val="true"/>
              </w:rPr>
              <w:tab/>
            </w:r>
            <w:r>
              <w:rPr>
                <w:rStyle w:val="IndexLink"/>
              </w:rPr>
              <w:t>106</w:t>
            </w:r>
          </w:hyperlink>
        </w:p>
        <w:p>
          <w:pPr>
            <w:pStyle w:val="Contents6"/>
            <w:tabs>
              <w:tab w:val="clear" w:pos="7609"/>
              <w:tab w:val="right" w:pos="9026" w:leader="dot"/>
            </w:tabs>
            <w:rPr/>
          </w:pPr>
          <w:hyperlink w:anchor="__RefHeading___Toc763680_3244359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763682_3244359995">
            <w:r>
              <w:rPr>
                <w:webHidden/>
                <w:rStyle w:val="IndexLink"/>
                <w:rtl w:val="true"/>
              </w:rPr>
              <w:t>ذنابة</w:t>
            </w:r>
            <w:r>
              <w:rPr>
                <w:rStyle w:val="IndexLink"/>
                <w:rtl w:val="true"/>
              </w:rPr>
              <w:t xml:space="preserve">: </w:t>
            </w:r>
            <w:r>
              <w:rPr>
                <w:rStyle w:val="IndexLink"/>
                <w:rtl w:val="true"/>
              </w:rPr>
              <w:t>حول تحریر محطّ النزاع</w:t>
            </w:r>
            <w:r>
              <w:rPr>
                <w:rStyle w:val="IndexLink"/>
                <w:rtl w:val="true"/>
              </w:rPr>
              <w:tab/>
            </w:r>
            <w:r>
              <w:rPr>
                <w:rStyle w:val="IndexLink"/>
              </w:rPr>
              <w:t>110</w:t>
            </w:r>
          </w:hyperlink>
        </w:p>
        <w:p>
          <w:pPr>
            <w:pStyle w:val="Contents6"/>
            <w:tabs>
              <w:tab w:val="clear" w:pos="7609"/>
              <w:tab w:val="right" w:pos="9026" w:leader="dot"/>
            </w:tabs>
            <w:rPr/>
          </w:pPr>
          <w:hyperlink w:anchor="__RefHeading___Toc763684_3244359995">
            <w:r>
              <w:rPr>
                <w:webHidden/>
                <w:rStyle w:val="IndexLink"/>
                <w:rtl w:val="true"/>
              </w:rPr>
              <w:t>البحث الثانی</w:t>
            </w:r>
            <w:r>
              <w:rPr>
                <w:rStyle w:val="IndexLink"/>
                <w:rtl w:val="true"/>
              </w:rPr>
              <w:t xml:space="preserve">: </w:t>
            </w:r>
            <w:r>
              <w:rPr>
                <w:rStyle w:val="IndexLink"/>
                <w:rtl w:val="true"/>
              </w:rPr>
              <w:t>حول امتناع خطاب الناسی و الغافل و إمکانه</w:t>
            </w:r>
            <w:r>
              <w:rPr>
                <w:rStyle w:val="IndexLink"/>
                <w:rtl w:val="true"/>
              </w:rPr>
              <w:tab/>
            </w:r>
            <w:r>
              <w:rPr>
                <w:rStyle w:val="IndexLink"/>
              </w:rPr>
              <w:t>111</w:t>
            </w:r>
          </w:hyperlink>
        </w:p>
        <w:p>
          <w:pPr>
            <w:pStyle w:val="Contents6"/>
            <w:tabs>
              <w:tab w:val="clear" w:pos="7609"/>
              <w:tab w:val="right" w:pos="9026" w:leader="dot"/>
            </w:tabs>
            <w:rPr/>
          </w:pPr>
          <w:hyperlink w:anchor="__RefHeading___Toc763686_3244359995">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763688_3244359995">
            <w:r>
              <w:rPr>
                <w:webHidden/>
                <w:rStyle w:val="IndexLink"/>
                <w:rtl w:val="true"/>
              </w:rPr>
              <w:t>بقی شی‌ء</w:t>
            </w:r>
            <w:r>
              <w:rPr>
                <w:rStyle w:val="IndexLink"/>
                <w:rtl w:val="true"/>
              </w:rPr>
              <w:t xml:space="preserve">: </w:t>
            </w:r>
            <w:r>
              <w:rPr>
                <w:rStyle w:val="IndexLink"/>
                <w:rtl w:val="true"/>
              </w:rPr>
              <w:t>فی إمکان خطاب الغافل بناء علی شخصیة الخطابات الشرعیة</w:t>
            </w:r>
            <w:r>
              <w:rPr>
                <w:rStyle w:val="IndexLink"/>
                <w:rtl w:val="true"/>
              </w:rPr>
              <w:tab/>
            </w:r>
            <w:r>
              <w:rPr>
                <w:rStyle w:val="IndexLink"/>
              </w:rPr>
              <w:t>114</w:t>
            </w:r>
          </w:hyperlink>
        </w:p>
        <w:p>
          <w:pPr>
            <w:pStyle w:val="Contents6"/>
            <w:tabs>
              <w:tab w:val="clear" w:pos="7609"/>
              <w:tab w:val="right" w:pos="9026" w:leader="dot"/>
            </w:tabs>
            <w:rPr/>
          </w:pPr>
          <w:hyperlink w:anchor="__RefHeading___Toc763690_3244359995">
            <w:r>
              <w:rPr>
                <w:webHidden/>
                <w:rStyle w:val="IndexLink"/>
                <w:rtl w:val="true"/>
              </w:rPr>
              <w:t>حول أصالة الرکنیّة</w:t>
            </w:r>
            <w:r>
              <w:rPr>
                <w:rStyle w:val="IndexLink"/>
                <w:rtl w:val="true"/>
              </w:rPr>
              <w:tab/>
            </w:r>
            <w:r>
              <w:rPr>
                <w:rStyle w:val="IndexLink"/>
              </w:rPr>
              <w:t>115</w:t>
            </w:r>
          </w:hyperlink>
        </w:p>
        <w:p>
          <w:pPr>
            <w:pStyle w:val="Contents6"/>
            <w:tabs>
              <w:tab w:val="clear" w:pos="7609"/>
              <w:tab w:val="right" w:pos="9026" w:leader="dot"/>
            </w:tabs>
            <w:rPr/>
          </w:pPr>
          <w:hyperlink w:anchor="__RefHeading___Toc763692_3244359995">
            <w:r>
              <w:rPr>
                <w:webHidden/>
                <w:rStyle w:val="IndexLink"/>
                <w:rtl w:val="true"/>
              </w:rPr>
              <w:t>بقی تذنیب</w:t>
            </w:r>
            <w:r>
              <w:rPr>
                <w:rStyle w:val="IndexLink"/>
                <w:rtl w:val="true"/>
              </w:rPr>
              <w:t xml:space="preserve">: </w:t>
            </w:r>
            <w:r>
              <w:rPr>
                <w:rStyle w:val="IndexLink"/>
                <w:rtl w:val="true"/>
              </w:rPr>
              <w:t>فی مورد إهمال دلیل الجزء و الشرط فی الأسباب و المسبّبات و العقود و الإیقاعات</w:t>
            </w:r>
            <w:r>
              <w:rPr>
                <w:rStyle w:val="IndexLink"/>
                <w:rtl w:val="true"/>
              </w:rPr>
              <w:tab/>
            </w:r>
            <w:r>
              <w:rPr>
                <w:rStyle w:val="IndexLink"/>
              </w:rPr>
              <w:t>119</w:t>
            </w:r>
          </w:hyperlink>
        </w:p>
        <w:p>
          <w:pPr>
            <w:pStyle w:val="Contents6"/>
            <w:tabs>
              <w:tab w:val="clear" w:pos="7609"/>
              <w:tab w:val="right" w:pos="9026" w:leader="dot"/>
            </w:tabs>
            <w:rPr/>
          </w:pPr>
          <w:hyperlink w:anchor="__RefHeading___Toc763694_3244359995">
            <w:r>
              <w:rPr>
                <w:webHidden/>
                <w:rStyle w:val="IndexLink"/>
                <w:rtl w:val="true"/>
              </w:rPr>
              <w:t>ذنابة</w:t>
            </w:r>
            <w:r>
              <w:rPr>
                <w:rStyle w:val="IndexLink"/>
                <w:rtl w:val="true"/>
              </w:rPr>
              <w:t xml:space="preserve">: </w:t>
            </w:r>
            <w:r>
              <w:rPr>
                <w:rStyle w:val="IndexLink"/>
                <w:rtl w:val="true"/>
              </w:rPr>
              <w:t>فی حکم العجز عن الجزء و الشرط</w:t>
            </w:r>
            <w:r>
              <w:rPr>
                <w:rStyle w:val="IndexLink"/>
                <w:rtl w:val="true"/>
              </w:rPr>
              <w:tab/>
            </w:r>
            <w:r>
              <w:rPr>
                <w:rStyle w:val="IndexLink"/>
              </w:rPr>
              <w:t>120</w:t>
            </w:r>
          </w:hyperlink>
        </w:p>
        <w:p>
          <w:pPr>
            <w:pStyle w:val="Contents6"/>
            <w:tabs>
              <w:tab w:val="clear" w:pos="7609"/>
              <w:tab w:val="right" w:pos="9026" w:leader="dot"/>
            </w:tabs>
            <w:rPr/>
          </w:pPr>
          <w:hyperlink w:anchor="__RefHeading___Toc763696_3244359995">
            <w:r>
              <w:rPr>
                <w:webHidden/>
                <w:rStyle w:val="IndexLink"/>
                <w:rtl w:val="true"/>
              </w:rPr>
              <w:t>وجه عدم التمسّک بالإطلاق عند العجز عن الجزء و دفعه</w:t>
            </w:r>
            <w:r>
              <w:rPr>
                <w:rStyle w:val="IndexLink"/>
                <w:rtl w:val="true"/>
              </w:rPr>
              <w:tab/>
            </w:r>
            <w:r>
              <w:rPr>
                <w:rStyle w:val="IndexLink"/>
              </w:rPr>
              <w:t>123</w:t>
            </w:r>
          </w:hyperlink>
        </w:p>
        <w:p>
          <w:pPr>
            <w:pStyle w:val="Contents6"/>
            <w:tabs>
              <w:tab w:val="clear" w:pos="7609"/>
              <w:tab w:val="right" w:pos="9026" w:leader="dot"/>
            </w:tabs>
            <w:rPr/>
          </w:pPr>
          <w:hyperlink w:anchor="__RefHeading___Toc763698_3244359995">
            <w:r>
              <w:rPr>
                <w:webHidden/>
                <w:rStyle w:val="IndexLink"/>
                <w:rtl w:val="true"/>
              </w:rPr>
              <w:t>تنبیه</w:t>
            </w:r>
            <w:r>
              <w:rPr>
                <w:rStyle w:val="IndexLink"/>
                <w:rtl w:val="true"/>
              </w:rPr>
              <w:t xml:space="preserve">: </w:t>
            </w:r>
            <w:r>
              <w:rPr>
                <w:rStyle w:val="IndexLink"/>
                <w:rtl w:val="true"/>
              </w:rPr>
              <w:t>فی رکنیة الجزء القربی و لو مع إهمال دلیله</w:t>
            </w:r>
            <w:r>
              <w:rPr>
                <w:rStyle w:val="IndexLink"/>
                <w:rtl w:val="true"/>
              </w:rPr>
              <w:tab/>
            </w:r>
            <w:r>
              <w:rPr>
                <w:rStyle w:val="IndexLink"/>
              </w:rPr>
              <w:t>124</w:t>
            </w:r>
          </w:hyperlink>
        </w:p>
        <w:p>
          <w:pPr>
            <w:pStyle w:val="Contents6"/>
            <w:tabs>
              <w:tab w:val="clear" w:pos="7609"/>
              <w:tab w:val="right" w:pos="9026" w:leader="dot"/>
            </w:tabs>
            <w:rPr/>
          </w:pPr>
          <w:hyperlink w:anchor="__RefHeading___Toc763700_3244359995">
            <w:r>
              <w:rPr>
                <w:webHidden/>
                <w:rStyle w:val="IndexLink"/>
                <w:rtl w:val="true"/>
              </w:rPr>
              <w:t>البحث الثالث</w:t>
            </w:r>
            <w:r>
              <w:rPr>
                <w:rStyle w:val="IndexLink"/>
                <w:rtl w:val="true"/>
              </w:rPr>
              <w:t xml:space="preserve">: </w:t>
            </w:r>
            <w:r>
              <w:rPr>
                <w:rStyle w:val="IndexLink"/>
                <w:rtl w:val="true"/>
              </w:rPr>
              <w:t>فی الإخلال بإحدی المرکّبات علی نحو الزیادة العمدیّة و السهویّة</w:t>
            </w:r>
            <w:r>
              <w:rPr>
                <w:rStyle w:val="IndexLink"/>
                <w:rtl w:val="true"/>
              </w:rPr>
              <w:tab/>
            </w:r>
            <w:r>
              <w:rPr>
                <w:rStyle w:val="IndexLink"/>
              </w:rPr>
              <w:t>125</w:t>
            </w:r>
          </w:hyperlink>
        </w:p>
        <w:p>
          <w:pPr>
            <w:pStyle w:val="Contents6"/>
            <w:tabs>
              <w:tab w:val="clear" w:pos="7609"/>
              <w:tab w:val="right" w:pos="9026" w:leader="dot"/>
            </w:tabs>
            <w:rPr/>
          </w:pPr>
          <w:hyperlink w:anchor="__RefHeading___Toc763702_3244359995">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763704_3244359995">
            <w:r>
              <w:rPr>
                <w:webHidden/>
                <w:rStyle w:val="IndexLink"/>
                <w:rtl w:val="true"/>
              </w:rPr>
              <w:t>المرحلة الاولی</w:t>
            </w:r>
            <w:r>
              <w:rPr>
                <w:rStyle w:val="IndexLink"/>
                <w:rtl w:val="true"/>
              </w:rPr>
              <w:t xml:space="preserve">: </w:t>
            </w:r>
            <w:r>
              <w:rPr>
                <w:rStyle w:val="IndexLink"/>
                <w:rtl w:val="true"/>
              </w:rPr>
              <w:t>فی أصل تصویر ذلک</w:t>
            </w:r>
            <w:r>
              <w:rPr>
                <w:rStyle w:val="IndexLink"/>
                <w:rtl w:val="true"/>
              </w:rPr>
              <w:tab/>
            </w:r>
            <w:r>
              <w:rPr>
                <w:rStyle w:val="IndexLink"/>
              </w:rPr>
              <w:t>125</w:t>
            </w:r>
          </w:hyperlink>
        </w:p>
        <w:p>
          <w:pPr>
            <w:pStyle w:val="Contents6"/>
            <w:tabs>
              <w:tab w:val="clear" w:pos="7609"/>
              <w:tab w:val="right" w:pos="9026" w:leader="dot"/>
            </w:tabs>
            <w:rPr/>
          </w:pPr>
          <w:hyperlink w:anchor="__RefHeading___Toc763706_3244359995">
            <w:r>
              <w:rPr>
                <w:webHidden/>
                <w:rStyle w:val="IndexLink"/>
                <w:rtl w:val="true"/>
              </w:rPr>
              <w:t>المرحلة الثانیة</w:t>
            </w:r>
            <w:r>
              <w:rPr>
                <w:rStyle w:val="IndexLink"/>
                <w:rtl w:val="true"/>
              </w:rPr>
              <w:t xml:space="preserve">: </w:t>
            </w:r>
            <w:r>
              <w:rPr>
                <w:rStyle w:val="IndexLink"/>
                <w:rtl w:val="true"/>
              </w:rPr>
              <w:t>فی حکم المرکّب المشتمل علی الزیادة حقیقة کانت، أو عرفیّة</w:t>
            </w:r>
            <w:r>
              <w:rPr>
                <w:rStyle w:val="IndexLink"/>
                <w:rtl w:val="true"/>
              </w:rPr>
              <w:tab/>
            </w:r>
            <w:r>
              <w:rPr>
                <w:rStyle w:val="IndexLink"/>
              </w:rPr>
              <w:t>129</w:t>
            </w:r>
          </w:hyperlink>
        </w:p>
        <w:p>
          <w:pPr>
            <w:pStyle w:val="Contents6"/>
            <w:tabs>
              <w:tab w:val="clear" w:pos="7609"/>
              <w:tab w:val="right" w:pos="9026" w:leader="dot"/>
            </w:tabs>
            <w:rPr/>
          </w:pPr>
          <w:hyperlink w:anchor="__RefHeading___Toc763708_3244359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763710_3244359995">
            <w:r>
              <w:rPr>
                <w:webHidden/>
                <w:rStyle w:val="IndexLink"/>
                <w:rtl w:val="true"/>
              </w:rPr>
              <w:t>الأوّل</w:t>
            </w:r>
            <w:r>
              <w:rPr>
                <w:rStyle w:val="IndexLink"/>
                <w:rtl w:val="true"/>
              </w:rPr>
              <w:t xml:space="preserve">: </w:t>
            </w:r>
            <w:r>
              <w:rPr>
                <w:rStyle w:val="IndexLink"/>
                <w:rtl w:val="true"/>
              </w:rPr>
              <w:t>فی مقتضی القاعدة</w:t>
            </w:r>
            <w:r>
              <w:rPr>
                <w:rStyle w:val="IndexLink"/>
                <w:rtl w:val="true"/>
              </w:rPr>
              <w:tab/>
            </w:r>
            <w:r>
              <w:rPr>
                <w:rStyle w:val="IndexLink"/>
              </w:rPr>
              <w:t>129</w:t>
            </w:r>
          </w:hyperlink>
        </w:p>
        <w:p>
          <w:pPr>
            <w:pStyle w:val="Contents6"/>
            <w:tabs>
              <w:tab w:val="clear" w:pos="7609"/>
              <w:tab w:val="right" w:pos="9026" w:leader="dot"/>
            </w:tabs>
            <w:rPr/>
          </w:pPr>
          <w:hyperlink w:anchor="__RefHeading___Toc763712_3244359995">
            <w:r>
              <w:rPr>
                <w:webHidden/>
                <w:rStyle w:val="IndexLink"/>
                <w:rtl w:val="true"/>
              </w:rPr>
              <w:t>الثانی</w:t>
            </w:r>
            <w:r>
              <w:rPr>
                <w:rStyle w:val="IndexLink"/>
                <w:rtl w:val="true"/>
              </w:rPr>
              <w:t xml:space="preserve">: </w:t>
            </w:r>
            <w:r>
              <w:rPr>
                <w:rStyle w:val="IndexLink"/>
                <w:rtl w:val="true"/>
              </w:rPr>
              <w:t>فی إبطال الزیادة المحرّمة تشریعا</w:t>
            </w:r>
            <w:r>
              <w:rPr>
                <w:rStyle w:val="IndexLink"/>
                <w:rtl w:val="true"/>
              </w:rPr>
              <w:tab/>
            </w:r>
            <w:r>
              <w:rPr>
                <w:rStyle w:val="IndexLink"/>
              </w:rPr>
              <w:t>130</w:t>
            </w:r>
          </w:hyperlink>
        </w:p>
        <w:p>
          <w:pPr>
            <w:pStyle w:val="Contents6"/>
            <w:tabs>
              <w:tab w:val="clear" w:pos="7609"/>
              <w:tab w:val="right" w:pos="9026" w:leader="dot"/>
            </w:tabs>
            <w:rPr/>
          </w:pPr>
          <w:hyperlink w:anchor="__RefHeading___Toc763714_3244359995">
            <w:r>
              <w:rPr>
                <w:webHidden/>
                <w:rStyle w:val="IndexLink"/>
                <w:rtl w:val="true"/>
              </w:rPr>
              <w:t>الثالث</w:t>
            </w:r>
            <w:r>
              <w:rPr>
                <w:rStyle w:val="IndexLink"/>
                <w:rtl w:val="true"/>
              </w:rPr>
              <w:t xml:space="preserve">: </w:t>
            </w:r>
            <w:r>
              <w:rPr>
                <w:rStyle w:val="IndexLink"/>
                <w:rtl w:val="true"/>
              </w:rPr>
              <w:t>فی إخلال الزیادة بالهیئة الاتصالی و التوالیّ</w:t>
            </w:r>
            <w:r>
              <w:rPr>
                <w:rStyle w:val="IndexLink"/>
                <w:rtl w:val="true"/>
              </w:rPr>
              <w:tab/>
            </w:r>
            <w:r>
              <w:rPr>
                <w:rStyle w:val="IndexLink"/>
              </w:rPr>
              <w:t>130</w:t>
            </w:r>
          </w:hyperlink>
        </w:p>
        <w:p>
          <w:pPr>
            <w:pStyle w:val="Contents6"/>
            <w:tabs>
              <w:tab w:val="clear" w:pos="7609"/>
              <w:tab w:val="right" w:pos="9026" w:leader="dot"/>
            </w:tabs>
            <w:rPr/>
          </w:pPr>
          <w:hyperlink w:anchor="__RefHeading___Toc763716_3244359995">
            <w:r>
              <w:rPr>
                <w:webHidden/>
                <w:rStyle w:val="IndexLink"/>
                <w:rtl w:val="true"/>
              </w:rPr>
              <w:t>الرابع</w:t>
            </w:r>
            <w:r>
              <w:rPr>
                <w:rStyle w:val="IndexLink"/>
                <w:rtl w:val="true"/>
              </w:rPr>
              <w:t xml:space="preserve">: </w:t>
            </w:r>
            <w:r>
              <w:rPr>
                <w:rStyle w:val="IndexLink"/>
                <w:rtl w:val="true"/>
              </w:rPr>
              <w:t>فی إخلال الزیادة الصوریّة بالتوالی</w:t>
            </w:r>
            <w:r>
              <w:rPr>
                <w:rStyle w:val="IndexLink"/>
                <w:rtl w:val="true"/>
              </w:rPr>
              <w:tab/>
            </w:r>
            <w:r>
              <w:rPr>
                <w:rStyle w:val="IndexLink"/>
              </w:rPr>
              <w:t>131</w:t>
            </w:r>
          </w:hyperlink>
        </w:p>
        <w:p>
          <w:pPr>
            <w:pStyle w:val="Contents6"/>
            <w:tabs>
              <w:tab w:val="clear" w:pos="7609"/>
              <w:tab w:val="right" w:pos="9026" w:leader="dot"/>
            </w:tabs>
            <w:rPr/>
          </w:pPr>
          <w:hyperlink w:anchor="__RefHeading___Toc763718_3244359995">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763720_3244359995">
            <w:r>
              <w:rPr>
                <w:webHidden/>
                <w:rStyle w:val="IndexLink"/>
                <w:rtl w:val="true"/>
              </w:rPr>
              <w:t>تحریر</w:t>
            </w:r>
            <w:r>
              <w:rPr>
                <w:rStyle w:val="IndexLink"/>
                <w:rtl w:val="true"/>
              </w:rPr>
              <w:t xml:space="preserve">: </w:t>
            </w:r>
            <w:r>
              <w:rPr>
                <w:rStyle w:val="IndexLink"/>
                <w:rtl w:val="true"/>
              </w:rPr>
              <w:t>حول ما هو محط الکلام فی الزیادة</w:t>
            </w:r>
            <w:r>
              <w:rPr>
                <w:rStyle w:val="IndexLink"/>
                <w:rtl w:val="true"/>
              </w:rPr>
              <w:tab/>
            </w:r>
            <w:r>
              <w:rPr>
                <w:rStyle w:val="IndexLink"/>
              </w:rPr>
              <w:t>132</w:t>
            </w:r>
          </w:hyperlink>
        </w:p>
        <w:p>
          <w:pPr>
            <w:pStyle w:val="Contents6"/>
            <w:tabs>
              <w:tab w:val="clear" w:pos="7609"/>
              <w:tab w:val="right" w:pos="9026" w:leader="dot"/>
            </w:tabs>
            <w:rPr/>
          </w:pPr>
          <w:hyperlink w:anchor="__RefHeading___Toc763722_3244359995">
            <w:r>
              <w:rPr>
                <w:webHidden/>
                <w:rStyle w:val="IndexLink"/>
                <w:rtl w:val="true"/>
              </w:rPr>
              <w:t>الخامس</w:t>
            </w:r>
            <w:r>
              <w:rPr>
                <w:rStyle w:val="IndexLink"/>
                <w:rtl w:val="true"/>
              </w:rPr>
              <w:t xml:space="preserve">: </w:t>
            </w:r>
            <w:r>
              <w:rPr>
                <w:rStyle w:val="IndexLink"/>
                <w:rtl w:val="true"/>
              </w:rPr>
              <w:t>حول بطلان المرکّب مع نیّة الانبعاث عن الأمر المتعلق بالطبیعة المزید فیها</w:t>
            </w:r>
            <w:r>
              <w:rPr>
                <w:rStyle w:val="IndexLink"/>
                <w:rtl w:val="true"/>
              </w:rPr>
              <w:tab/>
            </w:r>
            <w:r>
              <w:rPr>
                <w:rStyle w:val="IndexLink"/>
              </w:rPr>
              <w:t>133</w:t>
            </w:r>
          </w:hyperlink>
        </w:p>
        <w:p>
          <w:pPr>
            <w:pStyle w:val="Contents6"/>
            <w:tabs>
              <w:tab w:val="clear" w:pos="7609"/>
              <w:tab w:val="right" w:pos="9026" w:leader="dot"/>
            </w:tabs>
            <w:rPr/>
          </w:pPr>
          <w:hyperlink w:anchor="__RefHeading___Toc763724_3244359995">
            <w:r>
              <w:rPr>
                <w:webHidden/>
                <w:rStyle w:val="IndexLink"/>
                <w:rtl w:val="true"/>
              </w:rPr>
              <w:t>السادس</w:t>
            </w:r>
            <w:r>
              <w:rPr>
                <w:rStyle w:val="IndexLink"/>
                <w:rtl w:val="true"/>
              </w:rPr>
              <w:t xml:space="preserve">: </w:t>
            </w:r>
            <w:r>
              <w:rPr>
                <w:rStyle w:val="IndexLink"/>
                <w:rtl w:val="true"/>
              </w:rPr>
              <w:t>فی أجنبیة البحث عن الزیادة فی الصلاة</w:t>
            </w:r>
            <w:r>
              <w:rPr>
                <w:rStyle w:val="IndexLink"/>
                <w:rtl w:val="true"/>
              </w:rPr>
              <w:tab/>
            </w:r>
            <w:r>
              <w:rPr>
                <w:rStyle w:val="IndexLink"/>
              </w:rPr>
              <w:t>133</w:t>
            </w:r>
          </w:hyperlink>
        </w:p>
        <w:p>
          <w:pPr>
            <w:pStyle w:val="Contents6"/>
            <w:tabs>
              <w:tab w:val="clear" w:pos="7609"/>
              <w:tab w:val="right" w:pos="9026" w:leader="dot"/>
            </w:tabs>
            <w:rPr/>
          </w:pPr>
          <w:hyperlink w:anchor="__RefHeading___Toc763726_3244359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763728_3244359995">
            <w:r>
              <w:rPr>
                <w:webHidden/>
                <w:rStyle w:val="IndexLink"/>
                <w:rtl w:val="true"/>
              </w:rPr>
              <w:t>بقی شی‌ء</w:t>
            </w:r>
            <w:r>
              <w:rPr>
                <w:rStyle w:val="IndexLink"/>
                <w:rtl w:val="true"/>
              </w:rPr>
              <w:t xml:space="preserve">: </w:t>
            </w:r>
            <w:r>
              <w:rPr>
                <w:rStyle w:val="IndexLink"/>
                <w:rtl w:val="true"/>
              </w:rPr>
              <w:t>حول الفرق بین سجدة التلاوة و إقحام الصلاة فی الصلاة</w:t>
            </w:r>
            <w:r>
              <w:rPr>
                <w:rStyle w:val="IndexLink"/>
                <w:rtl w:val="true"/>
              </w:rPr>
              <w:tab/>
            </w:r>
            <w:r>
              <w:rPr>
                <w:rStyle w:val="IndexLink"/>
              </w:rPr>
              <w:t>135</w:t>
            </w:r>
          </w:hyperlink>
        </w:p>
        <w:p>
          <w:pPr>
            <w:pStyle w:val="Contents6"/>
            <w:tabs>
              <w:tab w:val="clear" w:pos="7609"/>
              <w:tab w:val="right" w:pos="9026" w:leader="dot"/>
            </w:tabs>
            <w:rPr/>
          </w:pPr>
          <w:hyperlink w:anchor="__RefHeading___Toc763730_3244359995">
            <w:r>
              <w:rPr>
                <w:webHidden/>
                <w:rStyle w:val="IndexLink"/>
                <w:rtl w:val="true"/>
              </w:rPr>
              <w:t>خاتمة الکلام فی حدیث استصحاب الصحّة و استصحاب الهیئة الاتصالیّة</w:t>
            </w:r>
            <w:r>
              <w:rPr>
                <w:rStyle w:val="IndexLink"/>
                <w:rtl w:val="true"/>
              </w:rPr>
              <w:tab/>
            </w:r>
            <w:r>
              <w:rPr>
                <w:rStyle w:val="IndexLink"/>
              </w:rPr>
              <w:t>136</w:t>
            </w:r>
          </w:hyperlink>
        </w:p>
        <w:p>
          <w:pPr>
            <w:pStyle w:val="Contents6"/>
            <w:tabs>
              <w:tab w:val="clear" w:pos="7609"/>
              <w:tab w:val="right" w:pos="9026" w:leader="dot"/>
            </w:tabs>
            <w:rPr/>
          </w:pPr>
          <w:hyperlink w:anchor="__RefHeading___Toc763732_3244359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63734_3244359995">
            <w:r>
              <w:rPr>
                <w:webHidden/>
                <w:rStyle w:val="IndexLink"/>
                <w:rtl w:val="true"/>
              </w:rPr>
              <w:t>الأمر الأوّل</w:t>
            </w:r>
            <w:r>
              <w:rPr>
                <w:rStyle w:val="IndexLink"/>
                <w:rtl w:val="true"/>
              </w:rPr>
              <w:t xml:space="preserve">: </w:t>
            </w:r>
            <w:r>
              <w:rPr>
                <w:rStyle w:val="IndexLink"/>
                <w:rtl w:val="true"/>
              </w:rPr>
              <w:t>فی بیان محلّ الکلام فی استصحاب الصحة</w:t>
            </w:r>
            <w:r>
              <w:rPr>
                <w:rStyle w:val="IndexLink"/>
                <w:rtl w:val="true"/>
              </w:rPr>
              <w:tab/>
            </w:r>
            <w:r>
              <w:rPr>
                <w:rStyle w:val="IndexLink"/>
              </w:rPr>
              <w:t>136</w:t>
            </w:r>
          </w:hyperlink>
        </w:p>
        <w:p>
          <w:pPr>
            <w:pStyle w:val="Contents6"/>
            <w:tabs>
              <w:tab w:val="clear" w:pos="7609"/>
              <w:tab w:val="right" w:pos="9026" w:leader="dot"/>
            </w:tabs>
            <w:rPr/>
          </w:pPr>
          <w:hyperlink w:anchor="__RefHeading___Toc763736_3244359995">
            <w:r>
              <w:rPr>
                <w:webHidden/>
                <w:rStyle w:val="IndexLink"/>
                <w:rtl w:val="true"/>
              </w:rPr>
              <w:t>الأمر الثانی</w:t>
            </w:r>
            <w:r>
              <w:rPr>
                <w:rStyle w:val="IndexLink"/>
                <w:rtl w:val="true"/>
              </w:rPr>
              <w:t xml:space="preserve">: </w:t>
            </w:r>
            <w:r>
              <w:rPr>
                <w:rStyle w:val="IndexLink"/>
                <w:rtl w:val="true"/>
              </w:rPr>
              <w:t>حول حقیقة الصحّة و الفساد و کیفیة اتّصاف المرکّب بهما</w:t>
            </w:r>
            <w:r>
              <w:rPr>
                <w:rStyle w:val="IndexLink"/>
                <w:rtl w:val="true"/>
              </w:rPr>
              <w:tab/>
            </w:r>
            <w:r>
              <w:rPr>
                <w:rStyle w:val="IndexLink"/>
              </w:rPr>
              <w:t>138</w:t>
            </w:r>
          </w:hyperlink>
        </w:p>
        <w:p>
          <w:pPr>
            <w:pStyle w:val="Contents6"/>
            <w:tabs>
              <w:tab w:val="clear" w:pos="7609"/>
              <w:tab w:val="right" w:pos="9026" w:leader="dot"/>
            </w:tabs>
            <w:rPr/>
          </w:pPr>
          <w:hyperlink w:anchor="__RefHeading___Toc763738_3244359995">
            <w:r>
              <w:rPr>
                <w:webHidden/>
                <w:rStyle w:val="IndexLink"/>
                <w:rtl w:val="true"/>
              </w:rPr>
              <w:t>التحقیق فی استصحاب الصحّة</w:t>
            </w:r>
            <w:r>
              <w:rPr>
                <w:rStyle w:val="IndexLink"/>
                <w:rtl w:val="true"/>
              </w:rPr>
              <w:tab/>
            </w:r>
            <w:r>
              <w:rPr>
                <w:rStyle w:val="IndexLink"/>
              </w:rPr>
              <w:t>140</w:t>
            </w:r>
          </w:hyperlink>
        </w:p>
        <w:p>
          <w:pPr>
            <w:pStyle w:val="Contents6"/>
            <w:tabs>
              <w:tab w:val="clear" w:pos="7609"/>
              <w:tab w:val="right" w:pos="9026" w:leader="dot"/>
            </w:tabs>
            <w:rPr/>
          </w:pPr>
          <w:hyperlink w:anchor="__RefHeading___Toc763740_3244359995">
            <w:r>
              <w:rPr>
                <w:webHidden/>
                <w:rStyle w:val="IndexLink"/>
                <w:rtl w:val="true"/>
              </w:rPr>
              <w:t>بقی شی‌ء</w:t>
            </w:r>
            <w:r>
              <w:rPr>
                <w:rStyle w:val="IndexLink"/>
                <w:rtl w:val="true"/>
              </w:rPr>
              <w:t xml:space="preserve">: </w:t>
            </w:r>
            <w:r>
              <w:rPr>
                <w:rStyle w:val="IndexLink"/>
                <w:rtl w:val="true"/>
              </w:rPr>
              <w:t>فی استصحاب الهیئة الاتصالیّة عند الشک فی حصول القاطع</w:t>
            </w:r>
            <w:r>
              <w:rPr>
                <w:rStyle w:val="IndexLink"/>
                <w:rtl w:val="true"/>
              </w:rPr>
              <w:tab/>
            </w:r>
            <w:r>
              <w:rPr>
                <w:rStyle w:val="IndexLink"/>
              </w:rPr>
              <w:t>143</w:t>
            </w:r>
          </w:hyperlink>
        </w:p>
        <w:p>
          <w:pPr>
            <w:pStyle w:val="Contents6"/>
            <w:tabs>
              <w:tab w:val="clear" w:pos="7609"/>
              <w:tab w:val="right" w:pos="9026" w:leader="dot"/>
            </w:tabs>
            <w:rPr/>
          </w:pPr>
          <w:hyperlink w:anchor="__RefHeading___Toc763742_3244359995">
            <w:r>
              <w:rPr>
                <w:webHidden/>
                <w:rStyle w:val="IndexLink"/>
                <w:rtl w:val="true"/>
              </w:rPr>
              <w:t>تنبیه</w:t>
            </w:r>
            <w:r>
              <w:rPr>
                <w:rStyle w:val="IndexLink"/>
                <w:rtl w:val="true"/>
              </w:rPr>
              <w:t xml:space="preserve">: </w:t>
            </w:r>
            <w:r>
              <w:rPr>
                <w:rStyle w:val="IndexLink"/>
                <w:rtl w:val="true"/>
              </w:rPr>
              <w:t>فی مرجعیة الاشتغال مع عدم جریان الاستصحاب</w:t>
            </w:r>
            <w:r>
              <w:rPr>
                <w:rStyle w:val="IndexLink"/>
                <w:rtl w:val="true"/>
              </w:rPr>
              <w:tab/>
            </w:r>
            <w:r>
              <w:rPr>
                <w:rStyle w:val="IndexLink"/>
              </w:rPr>
              <w:t>144</w:t>
            </w:r>
          </w:hyperlink>
        </w:p>
        <w:p>
          <w:pPr>
            <w:pStyle w:val="Contents6"/>
            <w:tabs>
              <w:tab w:val="clear" w:pos="7609"/>
              <w:tab w:val="right" w:pos="9026" w:leader="dot"/>
            </w:tabs>
            <w:rPr/>
          </w:pPr>
          <w:hyperlink w:anchor="__RefHeading___Toc763744_3244359995">
            <w:r>
              <w:rPr>
                <w:webHidden/>
                <w:rStyle w:val="IndexLink"/>
                <w:rtl w:val="true"/>
              </w:rPr>
              <w:t>البحث الرابع</w:t>
            </w:r>
            <w:r>
              <w:rPr>
                <w:rStyle w:val="IndexLink"/>
                <w:rtl w:val="true"/>
              </w:rPr>
              <w:t xml:space="preserve">: </w:t>
            </w:r>
            <w:r>
              <w:rPr>
                <w:rStyle w:val="IndexLink"/>
                <w:rtl w:val="true"/>
              </w:rPr>
              <w:t>فی موارد الاضطرار إلی إیجاد المانع و القاطع، و الاضطرار و الإکراه علی ترک الجزء الصوریّ أو التحلیلیّ</w:t>
            </w:r>
            <w:r>
              <w:rPr>
                <w:rStyle w:val="IndexLink"/>
                <w:rtl w:val="true"/>
              </w:rPr>
              <w:tab/>
            </w:r>
            <w:r>
              <w:rPr>
                <w:rStyle w:val="IndexLink"/>
              </w:rPr>
              <w:t>144</w:t>
            </w:r>
          </w:hyperlink>
        </w:p>
        <w:p>
          <w:pPr>
            <w:pStyle w:val="Contents6"/>
            <w:tabs>
              <w:tab w:val="clear" w:pos="7609"/>
              <w:tab w:val="right" w:pos="9026" w:leader="dot"/>
            </w:tabs>
            <w:rPr/>
          </w:pPr>
          <w:hyperlink w:anchor="__RefHeading___Toc763746_3244359995">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763748_3244359995">
            <w:r>
              <w:rPr>
                <w:webHidden/>
                <w:rStyle w:val="IndexLink"/>
                <w:rtl w:val="true"/>
              </w:rPr>
              <w:t>تذنیب</w:t>
            </w:r>
            <w:r>
              <w:rPr>
                <w:rStyle w:val="IndexLink"/>
                <w:rtl w:val="true"/>
              </w:rPr>
              <w:t xml:space="preserve">: </w:t>
            </w:r>
            <w:r>
              <w:rPr>
                <w:rStyle w:val="IndexLink"/>
                <w:rtl w:val="true"/>
              </w:rPr>
              <w:t>فی دعوی البراءة عن وجوب المرکّب لتعارض الإطلاقین و دفعها</w:t>
            </w:r>
            <w:r>
              <w:rPr>
                <w:rStyle w:val="IndexLink"/>
                <w:rtl w:val="true"/>
              </w:rPr>
              <w:tab/>
            </w:r>
            <w:r>
              <w:rPr>
                <w:rStyle w:val="IndexLink"/>
              </w:rPr>
              <w:t>148</w:t>
            </w:r>
          </w:hyperlink>
        </w:p>
        <w:p>
          <w:pPr>
            <w:pStyle w:val="Contents6"/>
            <w:tabs>
              <w:tab w:val="clear" w:pos="7609"/>
              <w:tab w:val="right" w:pos="9026" w:leader="dot"/>
            </w:tabs>
            <w:rPr/>
          </w:pPr>
          <w:hyperlink w:anchor="__RefHeading___Toc763750_3244359995">
            <w:r>
              <w:rPr>
                <w:webHidden/>
                <w:rStyle w:val="IndexLink"/>
                <w:rtl w:val="true"/>
              </w:rPr>
              <w:t>ذنابة</w:t>
            </w:r>
            <w:r>
              <w:rPr>
                <w:rStyle w:val="IndexLink"/>
                <w:rtl w:val="true"/>
              </w:rPr>
              <w:t xml:space="preserve">: </w:t>
            </w:r>
            <w:r>
              <w:rPr>
                <w:rStyle w:val="IndexLink"/>
                <w:rtl w:val="true"/>
              </w:rPr>
              <w:t>فیها تأیید لوجوب الإتیان بالمرکّب مع الجزء و تحمل الاضطرار</w:t>
            </w:r>
            <w:r>
              <w:rPr>
                <w:rStyle w:val="IndexLink"/>
                <w:rtl w:val="true"/>
              </w:rPr>
              <w:tab/>
            </w:r>
            <w:r>
              <w:rPr>
                <w:rStyle w:val="IndexLink"/>
              </w:rPr>
              <w:t>150</w:t>
            </w:r>
          </w:hyperlink>
        </w:p>
        <w:p>
          <w:pPr>
            <w:pStyle w:val="Contents6"/>
            <w:tabs>
              <w:tab w:val="clear" w:pos="7609"/>
              <w:tab w:val="right" w:pos="9026" w:leader="dot"/>
            </w:tabs>
            <w:rPr/>
          </w:pPr>
          <w:hyperlink w:anchor="__RefHeading___Toc763752_3244359995">
            <w:r>
              <w:rPr>
                <w:webHidden/>
                <w:rStyle w:val="IndexLink"/>
                <w:rtl w:val="true"/>
              </w:rPr>
              <w:t>مقتضی القواعد الثانویة الإثباتیّة فی صورة الإخلال بالمرکّب</w:t>
            </w:r>
            <w:r>
              <w:rPr>
                <w:rStyle w:val="IndexLink"/>
                <w:rtl w:val="true"/>
              </w:rPr>
              <w:tab/>
            </w:r>
            <w:r>
              <w:rPr>
                <w:rStyle w:val="IndexLink"/>
              </w:rPr>
              <w:t>151</w:t>
            </w:r>
          </w:hyperlink>
        </w:p>
        <w:p>
          <w:pPr>
            <w:pStyle w:val="Contents6"/>
            <w:tabs>
              <w:tab w:val="clear" w:pos="7609"/>
              <w:tab w:val="right" w:pos="9026" w:leader="dot"/>
            </w:tabs>
            <w:rPr/>
          </w:pPr>
          <w:hyperlink w:anchor="__RefHeading___Toc763754_3244359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763756_3244359995">
            <w:r>
              <w:rPr>
                <w:webHidden/>
                <w:rStyle w:val="IndexLink"/>
                <w:rtl w:val="true"/>
              </w:rPr>
              <w:t>المبحث الأوّل</w:t>
            </w:r>
            <w:r>
              <w:rPr>
                <w:rStyle w:val="IndexLink"/>
                <w:rtl w:val="true"/>
              </w:rPr>
              <w:t xml:space="preserve">: </w:t>
            </w:r>
            <w:r>
              <w:rPr>
                <w:rStyle w:val="IndexLink"/>
                <w:rtl w:val="true"/>
              </w:rPr>
              <w:t>حول مقتضی الاصول العملیّة فی صورة نسیان جزء المرکّب و لم یکن لدلیله الإطلاق</w:t>
            </w:r>
            <w:r>
              <w:rPr>
                <w:rStyle w:val="IndexLink"/>
                <w:rtl w:val="true"/>
              </w:rPr>
              <w:tab/>
            </w:r>
            <w:r>
              <w:rPr>
                <w:rStyle w:val="IndexLink"/>
              </w:rPr>
              <w:t>153</w:t>
            </w:r>
          </w:hyperlink>
        </w:p>
        <w:p>
          <w:pPr>
            <w:pStyle w:val="Contents6"/>
            <w:tabs>
              <w:tab w:val="clear" w:pos="7609"/>
              <w:tab w:val="right" w:pos="9026" w:leader="dot"/>
            </w:tabs>
            <w:rPr/>
          </w:pPr>
          <w:hyperlink w:anchor="__RefHeading___Toc763758_3244359995">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763760_3244359995">
            <w:r>
              <w:rPr>
                <w:webHidden/>
                <w:rStyle w:val="IndexLink"/>
                <w:rtl w:val="true"/>
              </w:rPr>
              <w:t>ذنابة</w:t>
            </w:r>
            <w:r>
              <w:rPr>
                <w:rStyle w:val="IndexLink"/>
                <w:rtl w:val="true"/>
              </w:rPr>
              <w:t xml:space="preserve">: </w:t>
            </w:r>
            <w:r>
              <w:rPr>
                <w:rStyle w:val="IndexLink"/>
                <w:rtl w:val="true"/>
              </w:rPr>
              <w:t>حول التمسّک بحدیث الرفع لنفی جزئیّة المنسیّ</w:t>
            </w:r>
            <w:r>
              <w:rPr>
                <w:rStyle w:val="IndexLink"/>
                <w:rtl w:val="true"/>
              </w:rPr>
              <w:tab/>
            </w:r>
            <w:r>
              <w:rPr>
                <w:rStyle w:val="IndexLink"/>
              </w:rPr>
              <w:t>155</w:t>
            </w:r>
          </w:hyperlink>
        </w:p>
        <w:p>
          <w:pPr>
            <w:pStyle w:val="Contents6"/>
            <w:tabs>
              <w:tab w:val="clear" w:pos="7609"/>
              <w:tab w:val="right" w:pos="9026" w:leader="dot"/>
            </w:tabs>
            <w:rPr/>
          </w:pPr>
          <w:hyperlink w:anchor="__RefHeading___Toc763762_3244359995">
            <w:r>
              <w:rPr>
                <w:webHidden/>
                <w:rStyle w:val="IndexLink"/>
                <w:rtl w:val="true"/>
              </w:rPr>
              <w:t>بقی شی‌ء</w:t>
            </w:r>
            <w:r>
              <w:rPr>
                <w:rStyle w:val="IndexLink"/>
                <w:rtl w:val="true"/>
              </w:rPr>
              <w:t xml:space="preserve">: </w:t>
            </w:r>
            <w:r>
              <w:rPr>
                <w:rStyle w:val="IndexLink"/>
                <w:rtl w:val="true"/>
              </w:rPr>
              <w:t>فی توهّم عدم جریان الاستصحاب فی المقام و دفعه</w:t>
            </w:r>
            <w:r>
              <w:rPr>
                <w:rStyle w:val="IndexLink"/>
                <w:rtl w:val="true"/>
              </w:rPr>
              <w:tab/>
            </w:r>
            <w:r>
              <w:rPr>
                <w:rStyle w:val="IndexLink"/>
              </w:rPr>
              <w:t>156</w:t>
            </w:r>
          </w:hyperlink>
        </w:p>
        <w:p>
          <w:pPr>
            <w:pStyle w:val="Contents6"/>
            <w:tabs>
              <w:tab w:val="clear" w:pos="7609"/>
              <w:tab w:val="right" w:pos="9026" w:leader="dot"/>
            </w:tabs>
            <w:rPr/>
          </w:pPr>
          <w:hyperlink w:anchor="__RefHeading___Toc763764_3244359995">
            <w:r>
              <w:rPr>
                <w:webHidden/>
                <w:rStyle w:val="IndexLink"/>
                <w:rtl w:val="true"/>
              </w:rPr>
              <w:t>تنبیه</w:t>
            </w:r>
            <w:r>
              <w:rPr>
                <w:rStyle w:val="IndexLink"/>
                <w:rtl w:val="true"/>
              </w:rPr>
              <w:t xml:space="preserve">: </w:t>
            </w:r>
            <w:r>
              <w:rPr>
                <w:rStyle w:val="IndexLink"/>
                <w:rtl w:val="true"/>
              </w:rPr>
              <w:t>حول حکم نسیان الجزء و الجزئیّة</w:t>
            </w:r>
            <w:r>
              <w:rPr>
                <w:rStyle w:val="IndexLink"/>
                <w:rtl w:val="true"/>
              </w:rPr>
              <w:tab/>
            </w:r>
            <w:r>
              <w:rPr>
                <w:rStyle w:val="IndexLink"/>
              </w:rPr>
              <w:t>157</w:t>
            </w:r>
          </w:hyperlink>
        </w:p>
        <w:p>
          <w:pPr>
            <w:pStyle w:val="Contents6"/>
            <w:tabs>
              <w:tab w:val="clear" w:pos="7609"/>
              <w:tab w:val="right" w:pos="9026" w:leader="dot"/>
            </w:tabs>
            <w:rPr/>
          </w:pPr>
          <w:hyperlink w:anchor="__RefHeading___Toc763766_3244359995">
            <w:r>
              <w:rPr>
                <w:webHidden/>
                <w:rStyle w:val="IndexLink"/>
                <w:rtl w:val="true"/>
              </w:rPr>
              <w:t>الإیراد علی السیّد المحقّق الوالد</w:t>
            </w:r>
            <w:r>
              <w:rPr>
                <w:rStyle w:val="IndexLink"/>
                <w:rtl w:val="true"/>
              </w:rPr>
              <w:t xml:space="preserve">- </w:t>
            </w:r>
            <w:r>
              <w:rPr>
                <w:rStyle w:val="IndexLink"/>
                <w:rtl w:val="true"/>
              </w:rPr>
              <w:t>مدّ ظلّه</w:t>
            </w:r>
            <w:r>
              <w:rPr>
                <w:rStyle w:val="IndexLink"/>
                <w:rtl w:val="true"/>
              </w:rPr>
              <w:t>-</w:t>
              <w:tab/>
            </w:r>
            <w:r>
              <w:rPr>
                <w:rStyle w:val="IndexLink"/>
              </w:rPr>
              <w:t>159</w:t>
            </w:r>
          </w:hyperlink>
        </w:p>
        <w:p>
          <w:pPr>
            <w:pStyle w:val="Contents6"/>
            <w:tabs>
              <w:tab w:val="clear" w:pos="7609"/>
              <w:tab w:val="right" w:pos="9026" w:leader="dot"/>
            </w:tabs>
            <w:rPr/>
          </w:pPr>
          <w:hyperlink w:anchor="__RefHeading___Toc763768_3244359995">
            <w:r>
              <w:rPr>
                <w:webHidden/>
                <w:rStyle w:val="IndexLink"/>
                <w:rtl w:val="true"/>
              </w:rPr>
              <w:t>تتمیم</w:t>
            </w:r>
            <w:r>
              <w:rPr>
                <w:rStyle w:val="IndexLink"/>
                <w:rtl w:val="true"/>
              </w:rPr>
              <w:t xml:space="preserve">: </w:t>
            </w:r>
            <w:r>
              <w:rPr>
                <w:rStyle w:val="IndexLink"/>
                <w:rtl w:val="true"/>
              </w:rPr>
              <w:t>فی تذکّر نسیان الجزء و الجزئیّة فی الوقت</w:t>
            </w:r>
            <w:r>
              <w:rPr>
                <w:rStyle w:val="IndexLink"/>
                <w:rtl w:val="true"/>
              </w:rPr>
              <w:tab/>
            </w:r>
            <w:r>
              <w:rPr>
                <w:rStyle w:val="IndexLink"/>
              </w:rPr>
              <w:t>160</w:t>
            </w:r>
          </w:hyperlink>
        </w:p>
        <w:p>
          <w:pPr>
            <w:pStyle w:val="Contents6"/>
            <w:tabs>
              <w:tab w:val="clear" w:pos="7609"/>
              <w:tab w:val="right" w:pos="9026" w:leader="dot"/>
            </w:tabs>
            <w:rPr/>
          </w:pPr>
          <w:hyperlink w:anchor="__RefHeading___Toc763770_3244359995">
            <w:r>
              <w:rPr>
                <w:webHidden/>
                <w:rStyle w:val="IndexLink"/>
                <w:rtl w:val="true"/>
              </w:rPr>
              <w:t>خاتمة المسألة</w:t>
            </w:r>
            <w:r>
              <w:rPr>
                <w:rStyle w:val="IndexLink"/>
                <w:rtl w:val="true"/>
              </w:rPr>
              <w:t xml:space="preserve">: </w:t>
            </w:r>
            <w:r>
              <w:rPr>
                <w:rStyle w:val="IndexLink"/>
                <w:rtl w:val="true"/>
              </w:rPr>
              <w:t>حول نسیان الجزء بالنسبة إلی غیر المرکّبات العبادیّة</w:t>
            </w:r>
            <w:r>
              <w:rPr>
                <w:rStyle w:val="IndexLink"/>
                <w:rtl w:val="true"/>
              </w:rPr>
              <w:tab/>
            </w:r>
            <w:r>
              <w:rPr>
                <w:rStyle w:val="IndexLink"/>
              </w:rPr>
              <w:t>162</w:t>
            </w:r>
          </w:hyperlink>
        </w:p>
        <w:p>
          <w:pPr>
            <w:pStyle w:val="Contents6"/>
            <w:tabs>
              <w:tab w:val="clear" w:pos="7609"/>
              <w:tab w:val="right" w:pos="9026" w:leader="dot"/>
            </w:tabs>
            <w:rPr/>
          </w:pPr>
          <w:hyperlink w:anchor="__RefHeading___Toc763772_3244359995">
            <w:r>
              <w:rPr>
                <w:webHidden/>
                <w:rStyle w:val="IndexLink"/>
                <w:rtl w:val="true"/>
              </w:rPr>
              <w:t>تتمّة</w:t>
            </w:r>
            <w:r>
              <w:rPr>
                <w:rStyle w:val="IndexLink"/>
                <w:rtl w:val="true"/>
              </w:rPr>
              <w:t xml:space="preserve">: </w:t>
            </w:r>
            <w:r>
              <w:rPr>
                <w:rStyle w:val="IndexLink"/>
                <w:rtl w:val="true"/>
              </w:rPr>
              <w:t>فی حکم الشکّ فی أنّ رفع نسیان الجزء واقعی أو ظاهری</w:t>
            </w:r>
            <w:r>
              <w:rPr>
                <w:rStyle w:val="IndexLink"/>
                <w:rtl w:val="true"/>
              </w:rPr>
              <w:tab/>
            </w:r>
            <w:r>
              <w:rPr>
                <w:rStyle w:val="IndexLink"/>
              </w:rPr>
              <w:t>165</w:t>
            </w:r>
          </w:hyperlink>
        </w:p>
        <w:p>
          <w:pPr>
            <w:pStyle w:val="Contents6"/>
            <w:tabs>
              <w:tab w:val="clear" w:pos="7609"/>
              <w:tab w:val="right" w:pos="9026" w:leader="dot"/>
            </w:tabs>
            <w:rPr/>
          </w:pPr>
          <w:hyperlink w:anchor="__RefHeading___Toc763774_3244359995">
            <w:r>
              <w:rPr>
                <w:webHidden/>
                <w:rStyle w:val="IndexLink"/>
                <w:rtl w:val="true"/>
              </w:rPr>
              <w:t>تنبیه</w:t>
            </w:r>
            <w:r>
              <w:rPr>
                <w:rStyle w:val="IndexLink"/>
                <w:rtl w:val="true"/>
              </w:rPr>
              <w:t xml:space="preserve">: </w:t>
            </w:r>
            <w:r>
              <w:rPr>
                <w:rStyle w:val="IndexLink"/>
                <w:rtl w:val="true"/>
              </w:rPr>
              <w:t>فی نسیان المانعیة و القاطعیة</w:t>
            </w:r>
            <w:r>
              <w:rPr>
                <w:rStyle w:val="IndexLink"/>
                <w:rtl w:val="true"/>
              </w:rPr>
              <w:tab/>
            </w:r>
            <w:r>
              <w:rPr>
                <w:rStyle w:val="IndexLink"/>
              </w:rPr>
              <w:t>166</w:t>
            </w:r>
          </w:hyperlink>
        </w:p>
        <w:p>
          <w:pPr>
            <w:pStyle w:val="Contents6"/>
            <w:tabs>
              <w:tab w:val="clear" w:pos="7609"/>
              <w:tab w:val="right" w:pos="9026" w:leader="dot"/>
            </w:tabs>
            <w:rPr/>
          </w:pPr>
          <w:hyperlink w:anchor="__RefHeading___Toc763776_3244359995">
            <w:r>
              <w:rPr>
                <w:webHidden/>
                <w:rStyle w:val="IndexLink"/>
                <w:rtl w:val="true"/>
              </w:rPr>
              <w:t>بقی شی‌ء</w:t>
            </w:r>
            <w:r>
              <w:rPr>
                <w:rStyle w:val="IndexLink"/>
                <w:rtl w:val="true"/>
              </w:rPr>
              <w:t xml:space="preserve">: </w:t>
            </w:r>
            <w:r>
              <w:rPr>
                <w:rStyle w:val="IndexLink"/>
                <w:rtl w:val="true"/>
              </w:rPr>
              <w:t>فی حکم الزیادة فی المرکّب نسیانا</w:t>
            </w:r>
            <w:r>
              <w:rPr>
                <w:rStyle w:val="IndexLink"/>
                <w:rtl w:val="true"/>
              </w:rPr>
              <w:tab/>
            </w:r>
            <w:r>
              <w:rPr>
                <w:rStyle w:val="IndexLink"/>
              </w:rPr>
              <w:t>167</w:t>
            </w:r>
          </w:hyperlink>
        </w:p>
        <w:p>
          <w:pPr>
            <w:pStyle w:val="Contents6"/>
            <w:tabs>
              <w:tab w:val="clear" w:pos="7609"/>
              <w:tab w:val="right" w:pos="9026" w:leader="dot"/>
            </w:tabs>
            <w:rPr/>
          </w:pPr>
          <w:hyperlink w:anchor="__RefHeading___Toc763778_3244359995">
            <w:r>
              <w:rPr>
                <w:webHidden/>
                <w:rStyle w:val="IndexLink"/>
                <w:rtl w:val="true"/>
              </w:rPr>
              <w:t>المبحث الثانی</w:t>
            </w:r>
            <w:r>
              <w:rPr>
                <w:rStyle w:val="IndexLink"/>
                <w:rtl w:val="true"/>
              </w:rPr>
              <w:t xml:space="preserve">: </w:t>
            </w:r>
            <w:r>
              <w:rPr>
                <w:rStyle w:val="IndexLink"/>
                <w:rtl w:val="true"/>
              </w:rPr>
              <w:t>حول مقتضی الأصل العملیّ فی صورة العجز عن الإتیان بالجزء عجزا عقلیّا</w:t>
            </w:r>
            <w:r>
              <w:rPr>
                <w:rStyle w:val="IndexLink"/>
                <w:rtl w:val="true"/>
              </w:rPr>
              <w:tab/>
            </w:r>
            <w:r>
              <w:rPr>
                <w:rStyle w:val="IndexLink"/>
              </w:rPr>
              <w:t>169</w:t>
            </w:r>
          </w:hyperlink>
        </w:p>
        <w:p>
          <w:pPr>
            <w:pStyle w:val="Contents6"/>
            <w:tabs>
              <w:tab w:val="clear" w:pos="7609"/>
              <w:tab w:val="right" w:pos="9026" w:leader="dot"/>
            </w:tabs>
            <w:rPr/>
          </w:pPr>
          <w:hyperlink w:anchor="__RefHeading___Toc763780_3244359995">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763782_3244359995">
            <w:r>
              <w:rPr>
                <w:webHidden/>
                <w:rStyle w:val="IndexLink"/>
                <w:rtl w:val="true"/>
              </w:rPr>
              <w:t>بقی شی‌ء</w:t>
            </w:r>
            <w:r>
              <w:rPr>
                <w:rStyle w:val="IndexLink"/>
                <w:rtl w:val="true"/>
              </w:rPr>
              <w:t xml:space="preserve">: </w:t>
            </w:r>
            <w:r>
              <w:rPr>
                <w:rStyle w:val="IndexLink"/>
                <w:rtl w:val="true"/>
              </w:rPr>
              <w:t>فی وجه استفادة رفع ما لا یقدرون من حدیث الرفع</w:t>
            </w:r>
            <w:r>
              <w:rPr>
                <w:rStyle w:val="IndexLink"/>
                <w:rtl w:val="true"/>
              </w:rPr>
              <w:tab/>
            </w:r>
            <w:r>
              <w:rPr>
                <w:rStyle w:val="IndexLink"/>
              </w:rPr>
              <w:t>170</w:t>
            </w:r>
          </w:hyperlink>
        </w:p>
        <w:p>
          <w:pPr>
            <w:pStyle w:val="Contents6"/>
            <w:tabs>
              <w:tab w:val="clear" w:pos="7609"/>
              <w:tab w:val="right" w:pos="9026" w:leader="dot"/>
            </w:tabs>
            <w:rPr/>
          </w:pPr>
          <w:hyperlink w:anchor="__RefHeading___Toc763784_3244359995">
            <w:r>
              <w:rPr>
                <w:webHidden/>
                <w:rStyle w:val="IndexLink"/>
                <w:rtl w:val="true"/>
              </w:rPr>
              <w:t>تتمّة الکلام</w:t>
            </w:r>
            <w:r>
              <w:rPr>
                <w:rStyle w:val="IndexLink"/>
                <w:rtl w:val="true"/>
              </w:rPr>
              <w:t xml:space="preserve">: </w:t>
            </w:r>
            <w:r>
              <w:rPr>
                <w:rStyle w:val="IndexLink"/>
                <w:rtl w:val="true"/>
              </w:rPr>
              <w:t>فی تقدم البراءة عن أصل وجوب الطبیعة علی الاستصحاب</w:t>
            </w:r>
            <w:r>
              <w:rPr>
                <w:rStyle w:val="IndexLink"/>
                <w:rtl w:val="true"/>
              </w:rPr>
              <w:tab/>
            </w:r>
            <w:r>
              <w:rPr>
                <w:rStyle w:val="IndexLink"/>
              </w:rPr>
              <w:t>173</w:t>
            </w:r>
          </w:hyperlink>
        </w:p>
        <w:p>
          <w:pPr>
            <w:pStyle w:val="Contents6"/>
            <w:tabs>
              <w:tab w:val="clear" w:pos="7609"/>
              <w:tab w:val="right" w:pos="9026" w:leader="dot"/>
            </w:tabs>
            <w:rPr/>
          </w:pPr>
          <w:hyperlink w:anchor="__RefHeading___Toc763786_3244359995">
            <w:r>
              <w:rPr>
                <w:webHidden/>
                <w:rStyle w:val="IndexLink"/>
                <w:rtl w:val="true"/>
              </w:rPr>
              <w:t>فذلکة البحث</w:t>
            </w:r>
            <w:r>
              <w:rPr>
                <w:rStyle w:val="IndexLink"/>
                <w:rtl w:val="true"/>
              </w:rPr>
              <w:tab/>
            </w:r>
            <w:r>
              <w:rPr>
                <w:rStyle w:val="IndexLink"/>
              </w:rPr>
              <w:t>174</w:t>
            </w:r>
          </w:hyperlink>
        </w:p>
        <w:p>
          <w:pPr>
            <w:pStyle w:val="Contents6"/>
            <w:tabs>
              <w:tab w:val="clear" w:pos="7609"/>
              <w:tab w:val="right" w:pos="9026" w:leader="dot"/>
            </w:tabs>
            <w:rPr/>
          </w:pPr>
          <w:hyperlink w:anchor="__RefHeading___Toc763788_3244359995">
            <w:r>
              <w:rPr>
                <w:webHidden/>
                <w:rStyle w:val="IndexLink"/>
                <w:rtl w:val="true"/>
              </w:rPr>
              <w:t>المبحث الثالث</w:t>
            </w:r>
            <w:r>
              <w:rPr>
                <w:rStyle w:val="IndexLink"/>
                <w:rtl w:val="true"/>
              </w:rPr>
              <w:t xml:space="preserve">: </w:t>
            </w:r>
            <w:r>
              <w:rPr>
                <w:rStyle w:val="IndexLink"/>
                <w:rtl w:val="true"/>
              </w:rPr>
              <w:t>حول مقتضی القواعد الثانویّة فیما إذا طرأ العجز عن إتیان بعض المأمور به جزء أو شرطا</w:t>
            </w:r>
            <w:r>
              <w:rPr>
                <w:rStyle w:val="IndexLink"/>
                <w:rtl w:val="true"/>
              </w:rPr>
              <w:tab/>
            </w:r>
            <w:r>
              <w:rPr>
                <w:rStyle w:val="IndexLink"/>
              </w:rPr>
              <w:t>179</w:t>
            </w:r>
          </w:hyperlink>
        </w:p>
        <w:p>
          <w:pPr>
            <w:pStyle w:val="Contents6"/>
            <w:tabs>
              <w:tab w:val="clear" w:pos="7609"/>
              <w:tab w:val="right" w:pos="9026" w:leader="dot"/>
            </w:tabs>
            <w:rPr/>
          </w:pPr>
          <w:hyperlink w:anchor="__RefHeading___Toc763790_3244359995">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763792_3244359995">
            <w:r>
              <w:rPr>
                <w:webHidden/>
                <w:rStyle w:val="IndexLink"/>
                <w:rtl w:val="true"/>
              </w:rPr>
              <w:t xml:space="preserve">حول التمسّک بحدیث </w:t>
            </w:r>
            <w:r>
              <w:rPr>
                <w:rStyle w:val="IndexLink"/>
                <w:rtl w:val="true"/>
              </w:rPr>
              <w:t>«</w:t>
            </w:r>
            <w:r>
              <w:rPr>
                <w:rStyle w:val="IndexLink"/>
                <w:rtl w:val="true"/>
              </w:rPr>
              <w:t>المیسور</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ما لا یدرک </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إذا أمرتکم </w:t>
            </w:r>
            <w:r>
              <w:rPr>
                <w:rStyle w:val="IndexLink"/>
                <w:rtl w:val="true"/>
              </w:rPr>
              <w:t xml:space="preserve">...» </w:t>
            </w:r>
            <w:r>
              <w:rPr>
                <w:rStyle w:val="IndexLink"/>
                <w:rtl w:val="true"/>
              </w:rPr>
              <w:t>لإثبات وجوب الباقی</w:t>
            </w:r>
            <w:r>
              <w:rPr>
                <w:rStyle w:val="IndexLink"/>
                <w:rtl w:val="true"/>
              </w:rPr>
              <w:tab/>
            </w:r>
            <w:r>
              <w:rPr>
                <w:rStyle w:val="IndexLink"/>
              </w:rPr>
              <w:t>181</w:t>
            </w:r>
          </w:hyperlink>
        </w:p>
        <w:p>
          <w:pPr>
            <w:pStyle w:val="Contents6"/>
            <w:tabs>
              <w:tab w:val="clear" w:pos="7609"/>
              <w:tab w:val="right" w:pos="9026" w:leader="dot"/>
            </w:tabs>
            <w:rPr/>
          </w:pPr>
          <w:hyperlink w:anchor="__RefHeading___Toc763794_3244359995">
            <w:r>
              <w:rPr>
                <w:webHidden/>
                <w:rStyle w:val="IndexLink"/>
                <w:rtl w:val="true"/>
              </w:rPr>
              <w:t xml:space="preserve">التعرض لحدیث </w:t>
            </w:r>
            <w:r>
              <w:rPr>
                <w:rStyle w:val="IndexLink"/>
                <w:rtl w:val="true"/>
              </w:rPr>
              <w:t>«</w:t>
            </w:r>
            <w:r>
              <w:rPr>
                <w:rStyle w:val="IndexLink"/>
                <w:rtl w:val="true"/>
              </w:rPr>
              <w:t xml:space="preserve">إذا أمرتکم </w:t>
            </w:r>
            <w:r>
              <w:rPr>
                <w:rStyle w:val="IndexLink"/>
                <w:rtl w:val="true"/>
              </w:rPr>
              <w:t>...»</w:t>
              <w:tab/>
            </w:r>
            <w:r>
              <w:rPr>
                <w:rStyle w:val="IndexLink"/>
              </w:rPr>
              <w:t>183</w:t>
            </w:r>
          </w:hyperlink>
        </w:p>
        <w:p>
          <w:pPr>
            <w:pStyle w:val="Contents6"/>
            <w:tabs>
              <w:tab w:val="clear" w:pos="7609"/>
              <w:tab w:val="right" w:pos="9026" w:leader="dot"/>
            </w:tabs>
            <w:rPr/>
          </w:pPr>
          <w:hyperlink w:anchor="__RefHeading___Toc763796_3244359995">
            <w:r>
              <w:rPr>
                <w:webHidden/>
                <w:rStyle w:val="IndexLink"/>
                <w:rtl w:val="true"/>
              </w:rPr>
              <w:t>بقی شی‌ء</w:t>
            </w:r>
            <w:r>
              <w:rPr>
                <w:rStyle w:val="IndexLink"/>
                <w:rtl w:val="true"/>
              </w:rPr>
              <w:t xml:space="preserve">: </w:t>
            </w:r>
            <w:r>
              <w:rPr>
                <w:rStyle w:val="IndexLink"/>
                <w:rtl w:val="true"/>
              </w:rPr>
              <w:t xml:space="preserve">فی ابتناء المسألة علی المراد من کلمة </w:t>
            </w:r>
            <w:r>
              <w:rPr>
                <w:rStyle w:val="IndexLink"/>
                <w:rtl w:val="true"/>
              </w:rPr>
              <w:t>«</w:t>
            </w:r>
            <w:r>
              <w:rPr>
                <w:rStyle w:val="IndexLink"/>
                <w:rtl w:val="true"/>
              </w:rPr>
              <w:t>من</w:t>
            </w:r>
            <w:r>
              <w:rPr>
                <w:rStyle w:val="IndexLink"/>
                <w:rtl w:val="true"/>
              </w:rPr>
              <w:t xml:space="preserve">» </w:t>
            </w:r>
            <w:r>
              <w:rPr>
                <w:rStyle w:val="IndexLink"/>
                <w:rtl w:val="true"/>
              </w:rPr>
              <w:t>فی الحدیث</w:t>
            </w:r>
            <w:r>
              <w:rPr>
                <w:rStyle w:val="IndexLink"/>
                <w:rtl w:val="true"/>
              </w:rPr>
              <w:tab/>
            </w:r>
            <w:r>
              <w:rPr>
                <w:rStyle w:val="IndexLink"/>
              </w:rPr>
              <w:t>185</w:t>
            </w:r>
          </w:hyperlink>
        </w:p>
        <w:p>
          <w:pPr>
            <w:pStyle w:val="Contents6"/>
            <w:tabs>
              <w:tab w:val="clear" w:pos="7609"/>
              <w:tab w:val="right" w:pos="9026" w:leader="dot"/>
            </w:tabs>
            <w:rPr/>
          </w:pPr>
          <w:hyperlink w:anchor="__RefHeading___Toc763798_3244359995">
            <w:r>
              <w:rPr>
                <w:webHidden/>
                <w:rStyle w:val="IndexLink"/>
                <w:rtl w:val="true"/>
              </w:rPr>
              <w:t>تتمّة</w:t>
            </w:r>
            <w:r>
              <w:rPr>
                <w:rStyle w:val="IndexLink"/>
                <w:rtl w:val="true"/>
              </w:rPr>
              <w:t xml:space="preserve">: </w:t>
            </w:r>
            <w:r>
              <w:rPr>
                <w:rStyle w:val="IndexLink"/>
                <w:rtl w:val="true"/>
              </w:rPr>
              <w:t>حول دعوی نظر الحدیث إلی الفرد و الکلّی لا العموم المجموعی و المرکّب</w:t>
            </w:r>
            <w:r>
              <w:rPr>
                <w:rStyle w:val="IndexLink"/>
                <w:rtl w:val="true"/>
              </w:rPr>
              <w:tab/>
            </w:r>
            <w:r>
              <w:rPr>
                <w:rStyle w:val="IndexLink"/>
              </w:rPr>
              <w:t>187</w:t>
            </w:r>
          </w:hyperlink>
        </w:p>
        <w:p>
          <w:pPr>
            <w:pStyle w:val="Contents6"/>
            <w:tabs>
              <w:tab w:val="clear" w:pos="7609"/>
              <w:tab w:val="right" w:pos="9026" w:leader="dot"/>
            </w:tabs>
            <w:rPr/>
          </w:pPr>
          <w:hyperlink w:anchor="__RefHeading___Toc763800_3244359995">
            <w:r>
              <w:rPr>
                <w:webHidden/>
                <w:rStyle w:val="IndexLink"/>
                <w:rtl w:val="true"/>
              </w:rPr>
              <w:t>التعرض لحدیث المیسور</w:t>
            </w:r>
            <w:r>
              <w:rPr>
                <w:rStyle w:val="IndexLink"/>
                <w:rtl w:val="true"/>
              </w:rPr>
              <w:tab/>
            </w:r>
            <w:r>
              <w:rPr>
                <w:rStyle w:val="IndexLink"/>
              </w:rPr>
              <w:t>188</w:t>
            </w:r>
          </w:hyperlink>
        </w:p>
        <w:p>
          <w:pPr>
            <w:pStyle w:val="Contents6"/>
            <w:tabs>
              <w:tab w:val="clear" w:pos="7609"/>
              <w:tab w:val="right" w:pos="9026" w:leader="dot"/>
            </w:tabs>
            <w:rPr/>
          </w:pPr>
          <w:hyperlink w:anchor="__RefHeading___Toc763802_3244359995">
            <w:r>
              <w:rPr>
                <w:webHidden/>
                <w:rStyle w:val="IndexLink"/>
                <w:rtl w:val="true"/>
              </w:rPr>
              <w:t xml:space="preserve">التعرض لحدیث </w:t>
            </w:r>
            <w:r>
              <w:rPr>
                <w:rStyle w:val="IndexLink"/>
                <w:rtl w:val="true"/>
              </w:rPr>
              <w:t>«</w:t>
            </w:r>
            <w:r>
              <w:rPr>
                <w:rStyle w:val="IndexLink"/>
                <w:rtl w:val="true"/>
              </w:rPr>
              <w:t xml:space="preserve">ما لا یدرک </w:t>
            </w:r>
            <w:r>
              <w:rPr>
                <w:rStyle w:val="IndexLink"/>
                <w:rtl w:val="true"/>
              </w:rPr>
              <w:t>...»</w:t>
              <w:tab/>
            </w:r>
            <w:r>
              <w:rPr>
                <w:rStyle w:val="IndexLink"/>
              </w:rPr>
              <w:t>190</w:t>
            </w:r>
          </w:hyperlink>
        </w:p>
        <w:p>
          <w:pPr>
            <w:pStyle w:val="Contents6"/>
            <w:tabs>
              <w:tab w:val="clear" w:pos="7609"/>
              <w:tab w:val="right" w:pos="9026" w:leader="dot"/>
            </w:tabs>
            <w:rPr/>
          </w:pPr>
          <w:hyperlink w:anchor="__RefHeading___Toc763804_3244359995">
            <w:r>
              <w:rPr>
                <w:webHidden/>
                <w:rStyle w:val="IndexLink"/>
                <w:rtl w:val="true"/>
              </w:rPr>
              <w:t>بقی شی‌ء</w:t>
            </w:r>
            <w:r>
              <w:rPr>
                <w:rStyle w:val="IndexLink"/>
                <w:rtl w:val="true"/>
              </w:rPr>
              <w:t xml:space="preserve">: </w:t>
            </w:r>
            <w:r>
              <w:rPr>
                <w:rStyle w:val="IndexLink"/>
                <w:rtl w:val="true"/>
              </w:rPr>
              <w:t>حول دلالة الأحادیث الثلاثة علی وجوب الباقی</w:t>
            </w:r>
            <w:r>
              <w:rPr>
                <w:rStyle w:val="IndexLink"/>
                <w:rtl w:val="true"/>
              </w:rPr>
              <w:tab/>
            </w:r>
            <w:r>
              <w:rPr>
                <w:rStyle w:val="IndexLink"/>
              </w:rPr>
              <w:t>192</w:t>
            </w:r>
          </w:hyperlink>
        </w:p>
        <w:p>
          <w:pPr>
            <w:pStyle w:val="Contents6"/>
            <w:tabs>
              <w:tab w:val="clear" w:pos="7609"/>
              <w:tab w:val="right" w:pos="9026" w:leader="dot"/>
            </w:tabs>
            <w:rPr/>
          </w:pPr>
          <w:hyperlink w:anchor="__RefHeading___Toc763806_3244359995">
            <w:r>
              <w:rPr>
                <w:webHidden/>
                <w:rStyle w:val="IndexLink"/>
                <w:rtl w:val="true"/>
              </w:rPr>
              <w:t>شبهة و حلّ</w:t>
            </w:r>
            <w:r>
              <w:rPr>
                <w:rStyle w:val="IndexLink"/>
                <w:rtl w:val="true"/>
              </w:rPr>
              <w:tab/>
            </w:r>
            <w:r>
              <w:rPr>
                <w:rStyle w:val="IndexLink"/>
              </w:rPr>
              <w:t>193</w:t>
            </w:r>
          </w:hyperlink>
        </w:p>
        <w:p>
          <w:pPr>
            <w:pStyle w:val="Contents6"/>
            <w:tabs>
              <w:tab w:val="clear" w:pos="7609"/>
              <w:tab w:val="right" w:pos="9026" w:leader="dot"/>
            </w:tabs>
            <w:rPr/>
          </w:pPr>
          <w:hyperlink w:anchor="__RefHeading___Toc763808_3244359995">
            <w:r>
              <w:rPr>
                <w:webHidden/>
                <w:rStyle w:val="IndexLink"/>
                <w:rtl w:val="true"/>
              </w:rPr>
              <w:t>تنبیه</w:t>
            </w:r>
            <w:r>
              <w:rPr>
                <w:rStyle w:val="IndexLink"/>
                <w:rtl w:val="true"/>
              </w:rPr>
              <w:t xml:space="preserve">: </w:t>
            </w:r>
            <w:r>
              <w:rPr>
                <w:rStyle w:val="IndexLink"/>
                <w:rtl w:val="true"/>
              </w:rPr>
              <w:t>حول مقتضی القواعد الأوّلیة و الثانویة بالنسبة إلی وجوب الباقی</w:t>
            </w:r>
            <w:r>
              <w:rPr>
                <w:rStyle w:val="IndexLink"/>
                <w:rtl w:val="true"/>
              </w:rPr>
              <w:tab/>
            </w:r>
            <w:r>
              <w:rPr>
                <w:rStyle w:val="IndexLink"/>
              </w:rPr>
              <w:t>194</w:t>
            </w:r>
          </w:hyperlink>
        </w:p>
        <w:p>
          <w:pPr>
            <w:pStyle w:val="Contents6"/>
            <w:tabs>
              <w:tab w:val="clear" w:pos="7609"/>
              <w:tab w:val="right" w:pos="9026" w:leader="dot"/>
            </w:tabs>
            <w:rPr/>
          </w:pPr>
          <w:hyperlink w:anchor="__RefHeading___Toc763810_3244359995">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763812_3244359995">
            <w:r>
              <w:rPr>
                <w:webHidden/>
                <w:rStyle w:val="IndexLink"/>
                <w:rtl w:val="true"/>
              </w:rPr>
              <w:t>أمّا مقتضی القواعد الأوّلیة</w:t>
            </w:r>
            <w:r>
              <w:rPr>
                <w:rStyle w:val="IndexLink"/>
                <w:rtl w:val="true"/>
              </w:rPr>
              <w:tab/>
            </w:r>
            <w:r>
              <w:rPr>
                <w:rStyle w:val="IndexLink"/>
              </w:rPr>
              <w:t>194</w:t>
            </w:r>
          </w:hyperlink>
        </w:p>
        <w:p>
          <w:pPr>
            <w:pStyle w:val="Contents6"/>
            <w:tabs>
              <w:tab w:val="clear" w:pos="7609"/>
              <w:tab w:val="right" w:pos="9026" w:leader="dot"/>
            </w:tabs>
            <w:rPr/>
          </w:pPr>
          <w:hyperlink w:anchor="__RefHeading___Toc763814_3244359995">
            <w:r>
              <w:rPr>
                <w:webHidden/>
                <w:rStyle w:val="IndexLink"/>
                <w:rtl w:val="true"/>
              </w:rPr>
              <w:t>و أمّا مقتضی القواعد الثانویة</w:t>
            </w:r>
            <w:r>
              <w:rPr>
                <w:rStyle w:val="IndexLink"/>
                <w:rtl w:val="true"/>
              </w:rPr>
              <w:tab/>
            </w:r>
            <w:r>
              <w:rPr>
                <w:rStyle w:val="IndexLink"/>
              </w:rPr>
              <w:t>198</w:t>
            </w:r>
          </w:hyperlink>
        </w:p>
        <w:p>
          <w:pPr>
            <w:pStyle w:val="Contents6"/>
            <w:tabs>
              <w:tab w:val="clear" w:pos="7609"/>
              <w:tab w:val="right" w:pos="9026" w:leader="dot"/>
            </w:tabs>
            <w:rPr/>
          </w:pPr>
          <w:hyperlink w:anchor="__RefHeading___Toc763816_3244359995">
            <w:r>
              <w:rPr>
                <w:webHidden/>
                <w:rStyle w:val="IndexLink"/>
                <w:rtl w:val="true"/>
              </w:rPr>
              <w:t>المبحث الرابع</w:t>
            </w:r>
            <w:r>
              <w:rPr>
                <w:rStyle w:val="IndexLink"/>
                <w:rtl w:val="true"/>
              </w:rPr>
              <w:t xml:space="preserve">: </w:t>
            </w:r>
            <w:r>
              <w:rPr>
                <w:rStyle w:val="IndexLink"/>
                <w:rtl w:val="true"/>
              </w:rPr>
              <w:t>فیما لو تردّدت حال شی‌ء بین کونه جزء أو شرطا، و بین کونه مانعا أو قاطعا</w:t>
            </w:r>
            <w:r>
              <w:rPr>
                <w:rStyle w:val="IndexLink"/>
                <w:rtl w:val="true"/>
              </w:rPr>
              <w:tab/>
            </w:r>
            <w:r>
              <w:rPr>
                <w:rStyle w:val="IndexLink"/>
              </w:rPr>
              <w:t>199</w:t>
            </w:r>
          </w:hyperlink>
        </w:p>
        <w:p>
          <w:pPr>
            <w:pStyle w:val="Contents4"/>
            <w:tabs>
              <w:tab w:val="clear" w:pos="8176"/>
              <w:tab w:val="right" w:pos="9026" w:leader="dot"/>
            </w:tabs>
            <w:rPr/>
          </w:pPr>
          <w:hyperlink w:anchor="__RefHeading___Toc763818_3244359995">
            <w:r>
              <w:rPr>
                <w:webHidden/>
                <w:rStyle w:val="IndexLink"/>
                <w:rtl w:val="true"/>
              </w:rPr>
              <w:t>ختام فی شرائط الاحتیاط و البراءات الثلاث العقلیّة، و العقلائیّة، و الشرعیّة</w:t>
            </w:r>
            <w:r>
              <w:rPr>
                <w:rStyle w:val="IndexLink"/>
                <w:rtl w:val="true"/>
              </w:rPr>
              <w:tab/>
            </w:r>
            <w:r>
              <w:rPr>
                <w:rStyle w:val="IndexLink"/>
              </w:rPr>
              <w:t>203</w:t>
            </w:r>
          </w:hyperlink>
        </w:p>
        <w:p>
          <w:pPr>
            <w:pStyle w:val="Contents5"/>
            <w:tabs>
              <w:tab w:val="clear" w:pos="7892"/>
              <w:tab w:val="right" w:pos="9026" w:leader="dot"/>
            </w:tabs>
            <w:rPr/>
          </w:pPr>
          <w:hyperlink w:anchor="__RefHeading___Toc763820_3244359995">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63822_3244359995">
            <w:r>
              <w:rPr>
                <w:webHidden/>
                <w:rStyle w:val="IndexLink"/>
                <w:rtl w:val="true"/>
              </w:rPr>
              <w:t>المقام الأوّل</w:t>
            </w:r>
            <w:r>
              <w:rPr>
                <w:rStyle w:val="IndexLink"/>
                <w:rtl w:val="true"/>
              </w:rPr>
              <w:t xml:space="preserve">: </w:t>
            </w:r>
            <w:r>
              <w:rPr>
                <w:rStyle w:val="IndexLink"/>
                <w:rtl w:val="true"/>
              </w:rPr>
              <w:t>فی الاحتیاط</w:t>
            </w:r>
            <w:r>
              <w:rPr>
                <w:rStyle w:val="IndexLink"/>
                <w:rtl w:val="true"/>
              </w:rPr>
              <w:tab/>
            </w:r>
            <w:r>
              <w:rPr>
                <w:rStyle w:val="IndexLink"/>
              </w:rPr>
              <w:t>203</w:t>
            </w:r>
          </w:hyperlink>
        </w:p>
        <w:p>
          <w:pPr>
            <w:pStyle w:val="Contents6"/>
            <w:tabs>
              <w:tab w:val="clear" w:pos="7609"/>
              <w:tab w:val="right" w:pos="9026" w:leader="dot"/>
            </w:tabs>
            <w:rPr/>
          </w:pPr>
          <w:hyperlink w:anchor="__RefHeading___Toc763824_3244359995">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763826_3244359995">
            <w:r>
              <w:rPr>
                <w:webHidden/>
                <w:rStyle w:val="IndexLink"/>
                <w:rtl w:val="true"/>
              </w:rPr>
              <w:t>الجهة الاولی</w:t>
            </w:r>
            <w:r>
              <w:rPr>
                <w:rStyle w:val="IndexLink"/>
                <w:rtl w:val="true"/>
              </w:rPr>
              <w:t xml:space="preserve">: </w:t>
            </w:r>
            <w:r>
              <w:rPr>
                <w:rStyle w:val="IndexLink"/>
                <w:rtl w:val="true"/>
              </w:rPr>
              <w:t>فی حدّ حسن الاحتیاط</w:t>
            </w:r>
            <w:r>
              <w:rPr>
                <w:rStyle w:val="IndexLink"/>
                <w:rtl w:val="true"/>
              </w:rPr>
              <w:tab/>
            </w:r>
            <w:r>
              <w:rPr>
                <w:rStyle w:val="IndexLink"/>
              </w:rPr>
              <w:t>204</w:t>
            </w:r>
          </w:hyperlink>
        </w:p>
        <w:p>
          <w:pPr>
            <w:pStyle w:val="Contents6"/>
            <w:tabs>
              <w:tab w:val="clear" w:pos="7609"/>
              <w:tab w:val="right" w:pos="9026" w:leader="dot"/>
            </w:tabs>
            <w:rPr/>
          </w:pPr>
          <w:hyperlink w:anchor="__RefHeading___Toc763828_3244359995">
            <w:r>
              <w:rPr>
                <w:webHidden/>
                <w:rStyle w:val="IndexLink"/>
                <w:rtl w:val="true"/>
              </w:rPr>
              <w:t>الجهة الثانیة</w:t>
            </w:r>
            <w:r>
              <w:rPr>
                <w:rStyle w:val="IndexLink"/>
                <w:rtl w:val="true"/>
              </w:rPr>
              <w:t xml:space="preserve">: </w:t>
            </w:r>
            <w:r>
              <w:rPr>
                <w:rStyle w:val="IndexLink"/>
                <w:rtl w:val="true"/>
              </w:rPr>
              <w:t>فی منع جواز الاحتیاط علی الإطلاق</w:t>
            </w:r>
            <w:r>
              <w:rPr>
                <w:rStyle w:val="IndexLink"/>
                <w:rtl w:val="true"/>
              </w:rPr>
              <w:tab/>
            </w:r>
            <w:r>
              <w:rPr>
                <w:rStyle w:val="IndexLink"/>
              </w:rPr>
              <w:t>206</w:t>
            </w:r>
          </w:hyperlink>
        </w:p>
        <w:p>
          <w:pPr>
            <w:pStyle w:val="Contents6"/>
            <w:tabs>
              <w:tab w:val="clear" w:pos="7609"/>
              <w:tab w:val="right" w:pos="9026" w:leader="dot"/>
            </w:tabs>
            <w:rPr/>
          </w:pPr>
          <w:hyperlink w:anchor="__RefHeading___Toc763830_3244359995">
            <w:r>
              <w:rPr>
                <w:webHidden/>
                <w:rStyle w:val="IndexLink"/>
                <w:rtl w:val="true"/>
              </w:rPr>
              <w:t>الجهة الثالثة</w:t>
            </w:r>
            <w:r>
              <w:rPr>
                <w:rStyle w:val="IndexLink"/>
                <w:rtl w:val="true"/>
              </w:rPr>
              <w:t xml:space="preserve">: </w:t>
            </w:r>
            <w:r>
              <w:rPr>
                <w:rStyle w:val="IndexLink"/>
                <w:rtl w:val="true"/>
              </w:rPr>
              <w:t>فی حکم الاحتیاط فی الشبهات البدویّة التوصلیة و التعبدیّة</w:t>
            </w:r>
            <w:r>
              <w:rPr>
                <w:rStyle w:val="IndexLink"/>
                <w:rtl w:val="true"/>
              </w:rPr>
              <w:tab/>
            </w:r>
            <w:r>
              <w:rPr>
                <w:rStyle w:val="IndexLink"/>
              </w:rPr>
              <w:t>207</w:t>
            </w:r>
          </w:hyperlink>
        </w:p>
        <w:p>
          <w:pPr>
            <w:pStyle w:val="Contents6"/>
            <w:tabs>
              <w:tab w:val="clear" w:pos="7609"/>
              <w:tab w:val="right" w:pos="9026" w:leader="dot"/>
            </w:tabs>
            <w:rPr/>
          </w:pPr>
          <w:hyperlink w:anchor="__RefHeading___Toc763832_3244359995">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763834_3244359995">
            <w:r>
              <w:rPr>
                <w:webHidden/>
                <w:rStyle w:val="IndexLink"/>
                <w:rtl w:val="true"/>
              </w:rPr>
              <w:t>تنبیه</w:t>
            </w:r>
            <w:r>
              <w:rPr>
                <w:rStyle w:val="IndexLink"/>
                <w:rtl w:val="true"/>
              </w:rPr>
              <w:t xml:space="preserve">: </w:t>
            </w:r>
            <w:r>
              <w:rPr>
                <w:rStyle w:val="IndexLink"/>
                <w:rtl w:val="true"/>
              </w:rPr>
              <w:t>توهّم عدم إمکان الاحتیاط فی العبادات و ما فیه</w:t>
            </w:r>
            <w:r>
              <w:rPr>
                <w:rStyle w:val="IndexLink"/>
                <w:rtl w:val="true"/>
              </w:rPr>
              <w:tab/>
            </w:r>
            <w:r>
              <w:rPr>
                <w:rStyle w:val="IndexLink"/>
              </w:rPr>
              <w:t>208</w:t>
            </w:r>
          </w:hyperlink>
        </w:p>
        <w:p>
          <w:pPr>
            <w:pStyle w:val="Contents6"/>
            <w:tabs>
              <w:tab w:val="clear" w:pos="7609"/>
              <w:tab w:val="right" w:pos="9026" w:leader="dot"/>
            </w:tabs>
            <w:rPr/>
          </w:pPr>
          <w:hyperlink w:anchor="__RefHeading___Toc763836_3244359995">
            <w:r>
              <w:rPr>
                <w:webHidden/>
                <w:rStyle w:val="IndexLink"/>
                <w:rtl w:val="true"/>
              </w:rPr>
              <w:t>ذنابة</w:t>
            </w:r>
            <w:r>
              <w:rPr>
                <w:rStyle w:val="IndexLink"/>
                <w:rtl w:val="true"/>
              </w:rPr>
              <w:t xml:space="preserve">: </w:t>
            </w:r>
            <w:r>
              <w:rPr>
                <w:rStyle w:val="IndexLink"/>
                <w:rtl w:val="true"/>
              </w:rPr>
              <w:t>فی استواء الاحتیاط و ترکه بلحاظ العقل</w:t>
            </w:r>
            <w:r>
              <w:rPr>
                <w:rStyle w:val="IndexLink"/>
                <w:rtl w:val="true"/>
              </w:rPr>
              <w:tab/>
            </w:r>
            <w:r>
              <w:rPr>
                <w:rStyle w:val="IndexLink"/>
              </w:rPr>
              <w:t>209</w:t>
            </w:r>
          </w:hyperlink>
        </w:p>
        <w:p>
          <w:pPr>
            <w:pStyle w:val="Contents6"/>
            <w:tabs>
              <w:tab w:val="clear" w:pos="7609"/>
              <w:tab w:val="right" w:pos="9026" w:leader="dot"/>
            </w:tabs>
            <w:rPr/>
          </w:pPr>
          <w:hyperlink w:anchor="__RefHeading___Toc763838_3244359995">
            <w:r>
              <w:rPr>
                <w:webHidden/>
                <w:rStyle w:val="IndexLink"/>
                <w:rtl w:val="true"/>
              </w:rPr>
              <w:t>بقی شی‌ء</w:t>
            </w:r>
            <w:r>
              <w:rPr>
                <w:rStyle w:val="IndexLink"/>
                <w:rtl w:val="true"/>
              </w:rPr>
              <w:t xml:space="preserve">: </w:t>
            </w:r>
            <w:r>
              <w:rPr>
                <w:rStyle w:val="IndexLink"/>
                <w:rtl w:val="true"/>
              </w:rPr>
              <w:t>حول استلزام الاحتیاط للتکرار فی الشبهات البدویة</w:t>
            </w:r>
            <w:r>
              <w:rPr>
                <w:rStyle w:val="IndexLink"/>
                <w:rtl w:val="true"/>
              </w:rPr>
              <w:tab/>
            </w:r>
            <w:r>
              <w:rPr>
                <w:rStyle w:val="IndexLink"/>
              </w:rPr>
              <w:t>209</w:t>
            </w:r>
          </w:hyperlink>
        </w:p>
        <w:p>
          <w:pPr>
            <w:pStyle w:val="Contents6"/>
            <w:tabs>
              <w:tab w:val="clear" w:pos="7609"/>
              <w:tab w:val="right" w:pos="9026" w:leader="dot"/>
            </w:tabs>
            <w:rPr/>
          </w:pPr>
          <w:hyperlink w:anchor="__RefHeading___Toc763840_3244359995">
            <w:r>
              <w:rPr>
                <w:webHidden/>
                <w:rStyle w:val="IndexLink"/>
                <w:rtl w:val="true"/>
              </w:rPr>
              <w:t>الجهة الرابعة</w:t>
            </w:r>
            <w:r>
              <w:rPr>
                <w:rStyle w:val="IndexLink"/>
                <w:rtl w:val="true"/>
              </w:rPr>
              <w:t xml:space="preserve">: </w:t>
            </w:r>
            <w:r>
              <w:rPr>
                <w:rStyle w:val="IndexLink"/>
                <w:rtl w:val="true"/>
              </w:rPr>
              <w:t>حول الاحتیاط مع عدم التمکن من حلّ العلم الإجمالی</w:t>
            </w:r>
            <w:r>
              <w:rPr>
                <w:rStyle w:val="IndexLink"/>
                <w:rtl w:val="true"/>
              </w:rPr>
              <w:tab/>
            </w:r>
            <w:r>
              <w:rPr>
                <w:rStyle w:val="IndexLink"/>
              </w:rPr>
              <w:t>210</w:t>
            </w:r>
          </w:hyperlink>
        </w:p>
        <w:p>
          <w:pPr>
            <w:pStyle w:val="Contents6"/>
            <w:tabs>
              <w:tab w:val="clear" w:pos="7609"/>
              <w:tab w:val="right" w:pos="9026" w:leader="dot"/>
            </w:tabs>
            <w:rPr/>
          </w:pPr>
          <w:hyperlink w:anchor="__RefHeading___Toc763842_3244359995">
            <w:r>
              <w:rPr>
                <w:webHidden/>
                <w:rStyle w:val="IndexLink"/>
                <w:rtl w:val="true"/>
              </w:rPr>
              <w:t>الجهة الخامسة</w:t>
            </w:r>
            <w:r>
              <w:rPr>
                <w:rStyle w:val="IndexLink"/>
                <w:rtl w:val="true"/>
              </w:rPr>
              <w:t xml:space="preserve">: </w:t>
            </w:r>
            <w:r>
              <w:rPr>
                <w:rStyle w:val="IndexLink"/>
                <w:rtl w:val="true"/>
              </w:rPr>
              <w:t>حول الاحتیاط فی مورد العلم الإجمالی مع التمکّن من حلّه</w:t>
            </w:r>
            <w:r>
              <w:rPr>
                <w:rStyle w:val="IndexLink"/>
                <w:rtl w:val="true"/>
              </w:rPr>
              <w:tab/>
            </w:r>
            <w:r>
              <w:rPr>
                <w:rStyle w:val="IndexLink"/>
              </w:rPr>
              <w:t>212</w:t>
            </w:r>
          </w:hyperlink>
        </w:p>
        <w:p>
          <w:pPr>
            <w:pStyle w:val="Contents6"/>
            <w:tabs>
              <w:tab w:val="clear" w:pos="7609"/>
              <w:tab w:val="right" w:pos="9026" w:leader="dot"/>
            </w:tabs>
            <w:rPr/>
          </w:pPr>
          <w:hyperlink w:anchor="__RefHeading___Toc763844_3244359995">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763846_3244359995">
            <w:r>
              <w:rPr>
                <w:webHidden/>
                <w:rStyle w:val="IndexLink"/>
                <w:rtl w:val="true"/>
              </w:rPr>
              <w:t>بقی شی‌ء آخر</w:t>
            </w:r>
            <w:r>
              <w:rPr>
                <w:rStyle w:val="IndexLink"/>
                <w:rtl w:val="true"/>
              </w:rPr>
              <w:t xml:space="preserve">: </w:t>
            </w:r>
            <w:r>
              <w:rPr>
                <w:rStyle w:val="IndexLink"/>
                <w:rtl w:val="true"/>
              </w:rPr>
              <w:t>فی وجوب حلّ العلم الإجمالی بناء علی القول بالاشتغال فی الأقلّ و الأکثر</w:t>
            </w:r>
            <w:r>
              <w:rPr>
                <w:rStyle w:val="IndexLink"/>
                <w:rtl w:val="true"/>
              </w:rPr>
              <w:tab/>
            </w:r>
            <w:r>
              <w:rPr>
                <w:rStyle w:val="IndexLink"/>
              </w:rPr>
              <w:t>214</w:t>
            </w:r>
          </w:hyperlink>
        </w:p>
        <w:p>
          <w:pPr>
            <w:pStyle w:val="Contents6"/>
            <w:tabs>
              <w:tab w:val="clear" w:pos="7609"/>
              <w:tab w:val="right" w:pos="9026" w:leader="dot"/>
            </w:tabs>
            <w:rPr/>
          </w:pPr>
          <w:hyperlink w:anchor="__RefHeading___Toc763848_3244359995">
            <w:r>
              <w:rPr>
                <w:webHidden/>
                <w:rStyle w:val="IndexLink"/>
                <w:rtl w:val="true"/>
              </w:rPr>
              <w:t>عدم اعتبار قصد الوجه بناء علی الاحتیاط فی الأقل و الأکثر</w:t>
            </w:r>
            <w:r>
              <w:rPr>
                <w:rStyle w:val="IndexLink"/>
                <w:rtl w:val="true"/>
              </w:rPr>
              <w:tab/>
            </w:r>
            <w:r>
              <w:rPr>
                <w:rStyle w:val="IndexLink"/>
              </w:rPr>
              <w:t>215</w:t>
            </w:r>
          </w:hyperlink>
        </w:p>
        <w:p>
          <w:pPr>
            <w:pStyle w:val="Contents6"/>
            <w:tabs>
              <w:tab w:val="clear" w:pos="7609"/>
              <w:tab w:val="right" w:pos="9026" w:leader="dot"/>
            </w:tabs>
            <w:rPr/>
          </w:pPr>
          <w:hyperlink w:anchor="__RefHeading___Toc763850_3244359995">
            <w:r>
              <w:rPr>
                <w:webHidden/>
                <w:rStyle w:val="IndexLink"/>
                <w:rtl w:val="true"/>
              </w:rPr>
              <w:t>تتمیم</w:t>
            </w:r>
            <w:r>
              <w:rPr>
                <w:rStyle w:val="IndexLink"/>
                <w:rtl w:val="true"/>
              </w:rPr>
              <w:t xml:space="preserve">: </w:t>
            </w:r>
            <w:r>
              <w:rPr>
                <w:rStyle w:val="IndexLink"/>
                <w:rtl w:val="true"/>
              </w:rPr>
              <w:t>فی استحالة قصد الوجه و التمییز فی موارد الانحلال بالحجّة</w:t>
            </w:r>
            <w:r>
              <w:rPr>
                <w:rStyle w:val="IndexLink"/>
                <w:rtl w:val="true"/>
              </w:rPr>
              <w:tab/>
            </w:r>
            <w:r>
              <w:rPr>
                <w:rStyle w:val="IndexLink"/>
              </w:rPr>
              <w:t>216</w:t>
            </w:r>
          </w:hyperlink>
        </w:p>
        <w:p>
          <w:pPr>
            <w:pStyle w:val="Contents6"/>
            <w:tabs>
              <w:tab w:val="clear" w:pos="7609"/>
              <w:tab w:val="right" w:pos="9026" w:leader="dot"/>
            </w:tabs>
            <w:rPr/>
          </w:pPr>
          <w:hyperlink w:anchor="__RefHeading___Toc763852_3244359995">
            <w:r>
              <w:rPr>
                <w:webHidden/>
                <w:rStyle w:val="IndexLink"/>
                <w:rtl w:val="true"/>
              </w:rPr>
              <w:t>تتمّة</w:t>
            </w:r>
            <w:r>
              <w:rPr>
                <w:rStyle w:val="IndexLink"/>
                <w:rtl w:val="true"/>
              </w:rPr>
              <w:t xml:space="preserve">: </w:t>
            </w:r>
            <w:r>
              <w:rPr>
                <w:rStyle w:val="IndexLink"/>
                <w:rtl w:val="true"/>
              </w:rPr>
              <w:t>حول المراتب الأربع للامتثال و الطاعة</w:t>
            </w:r>
            <w:r>
              <w:rPr>
                <w:rStyle w:val="IndexLink"/>
                <w:rtl w:val="true"/>
              </w:rPr>
              <w:tab/>
            </w:r>
            <w:r>
              <w:rPr>
                <w:rStyle w:val="IndexLink"/>
              </w:rPr>
              <w:t>216</w:t>
            </w:r>
          </w:hyperlink>
        </w:p>
        <w:p>
          <w:pPr>
            <w:pStyle w:val="Contents6"/>
            <w:tabs>
              <w:tab w:val="clear" w:pos="7609"/>
              <w:tab w:val="right" w:pos="9026" w:leader="dot"/>
            </w:tabs>
            <w:rPr/>
          </w:pPr>
          <w:hyperlink w:anchor="__RefHeading___Toc763854_3244359995">
            <w:r>
              <w:rPr>
                <w:webHidden/>
                <w:rStyle w:val="IndexLink"/>
                <w:rtl w:val="true"/>
              </w:rPr>
              <w:t>ذنابة</w:t>
            </w:r>
            <w:r>
              <w:rPr>
                <w:rStyle w:val="IndexLink"/>
                <w:rtl w:val="true"/>
              </w:rPr>
              <w:t xml:space="preserve">: </w:t>
            </w:r>
            <w:r>
              <w:rPr>
                <w:rStyle w:val="IndexLink"/>
                <w:rtl w:val="true"/>
              </w:rPr>
              <w:t>فی بطلان تکرار العبادة مع إمکان حلّ العلم الإجمالی بسهولة</w:t>
            </w:r>
            <w:r>
              <w:rPr>
                <w:rStyle w:val="IndexLink"/>
                <w:rtl w:val="true"/>
              </w:rPr>
              <w:tab/>
            </w:r>
            <w:r>
              <w:rPr>
                <w:rStyle w:val="IndexLink"/>
              </w:rPr>
              <w:t>217</w:t>
            </w:r>
          </w:hyperlink>
        </w:p>
        <w:p>
          <w:pPr>
            <w:pStyle w:val="Contents6"/>
            <w:tabs>
              <w:tab w:val="clear" w:pos="7609"/>
              <w:tab w:val="right" w:pos="9026" w:leader="dot"/>
            </w:tabs>
            <w:rPr/>
          </w:pPr>
          <w:hyperlink w:anchor="__RefHeading___Toc763856_3244359995">
            <w:r>
              <w:rPr>
                <w:webHidden/>
                <w:rStyle w:val="IndexLink"/>
                <w:rtl w:val="true"/>
              </w:rPr>
              <w:t>توهّم دوران الأمر بین التعیین و التخییر عند التمکن من حلّ العلم و دفعه</w:t>
            </w:r>
            <w:r>
              <w:rPr>
                <w:rStyle w:val="IndexLink"/>
                <w:rtl w:val="true"/>
              </w:rPr>
              <w:tab/>
            </w:r>
            <w:r>
              <w:rPr>
                <w:rStyle w:val="IndexLink"/>
              </w:rPr>
              <w:t>218</w:t>
            </w:r>
          </w:hyperlink>
        </w:p>
        <w:p>
          <w:pPr>
            <w:pStyle w:val="Contents6"/>
            <w:tabs>
              <w:tab w:val="clear" w:pos="7609"/>
              <w:tab w:val="right" w:pos="9026" w:leader="dot"/>
            </w:tabs>
            <w:rPr/>
          </w:pPr>
          <w:hyperlink w:anchor="__RefHeading___Toc763858_3244359995">
            <w:r>
              <w:rPr>
                <w:webHidden/>
                <w:rStyle w:val="IndexLink"/>
                <w:rtl w:val="true"/>
              </w:rPr>
              <w:t>الجهة السادسة</w:t>
            </w:r>
            <w:r>
              <w:rPr>
                <w:rStyle w:val="IndexLink"/>
                <w:rtl w:val="true"/>
              </w:rPr>
              <w:t xml:space="preserve">: </w:t>
            </w:r>
            <w:r>
              <w:rPr>
                <w:rStyle w:val="IndexLink"/>
                <w:rtl w:val="true"/>
              </w:rPr>
              <w:t>فی بقاء موضوع الاحتیاط عند الانحلال الحکمی</w:t>
            </w:r>
            <w:r>
              <w:rPr>
                <w:rStyle w:val="IndexLink"/>
                <w:rtl w:val="true"/>
              </w:rPr>
              <w:tab/>
            </w:r>
            <w:r>
              <w:rPr>
                <w:rStyle w:val="IndexLink"/>
              </w:rPr>
              <w:t>219</w:t>
            </w:r>
          </w:hyperlink>
        </w:p>
        <w:p>
          <w:pPr>
            <w:pStyle w:val="Contents6"/>
            <w:tabs>
              <w:tab w:val="clear" w:pos="7609"/>
              <w:tab w:val="right" w:pos="9026" w:leader="dot"/>
            </w:tabs>
            <w:rPr/>
          </w:pPr>
          <w:hyperlink w:anchor="__RefHeading___Toc763860_3244359995">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763862_3244359995">
            <w:r>
              <w:rPr>
                <w:webHidden/>
                <w:rStyle w:val="IndexLink"/>
                <w:rtl w:val="true"/>
              </w:rPr>
              <w:t>تنبیه</w:t>
            </w:r>
            <w:r>
              <w:rPr>
                <w:rStyle w:val="IndexLink"/>
                <w:rtl w:val="true"/>
              </w:rPr>
              <w:t xml:space="preserve">: </w:t>
            </w:r>
            <w:r>
              <w:rPr>
                <w:rStyle w:val="IndexLink"/>
                <w:rtl w:val="true"/>
              </w:rPr>
              <w:t>فی جریان شرط الاحتیاط فی النواهی التعبدیة</w:t>
            </w:r>
            <w:r>
              <w:rPr>
                <w:rStyle w:val="IndexLink"/>
                <w:rtl w:val="true"/>
              </w:rPr>
              <w:tab/>
            </w:r>
            <w:r>
              <w:rPr>
                <w:rStyle w:val="IndexLink"/>
              </w:rPr>
              <w:t>221</w:t>
            </w:r>
          </w:hyperlink>
        </w:p>
        <w:p>
          <w:pPr>
            <w:pStyle w:val="Contents6"/>
            <w:tabs>
              <w:tab w:val="clear" w:pos="7609"/>
              <w:tab w:val="right" w:pos="9026" w:leader="dot"/>
            </w:tabs>
            <w:rPr/>
          </w:pPr>
          <w:hyperlink w:anchor="__RefHeading___Toc763864_3244359995">
            <w:r>
              <w:rPr>
                <w:webHidden/>
                <w:rStyle w:val="IndexLink"/>
                <w:rtl w:val="true"/>
              </w:rPr>
              <w:t>الجهة السابعة</w:t>
            </w:r>
            <w:r>
              <w:rPr>
                <w:rStyle w:val="IndexLink"/>
                <w:rtl w:val="true"/>
              </w:rPr>
              <w:t xml:space="preserve">: </w:t>
            </w:r>
            <w:r>
              <w:rPr>
                <w:rStyle w:val="IndexLink"/>
                <w:rtl w:val="true"/>
              </w:rPr>
              <w:t>حول الاحتیاط قبل الفحص</w:t>
            </w:r>
            <w:r>
              <w:rPr>
                <w:rStyle w:val="IndexLink"/>
                <w:rtl w:val="true"/>
              </w:rPr>
              <w:tab/>
            </w:r>
            <w:r>
              <w:rPr>
                <w:rStyle w:val="IndexLink"/>
              </w:rPr>
              <w:t>222</w:t>
            </w:r>
          </w:hyperlink>
        </w:p>
        <w:p>
          <w:pPr>
            <w:pStyle w:val="Contents6"/>
            <w:tabs>
              <w:tab w:val="clear" w:pos="7609"/>
              <w:tab w:val="right" w:pos="9026" w:leader="dot"/>
            </w:tabs>
            <w:rPr/>
          </w:pPr>
          <w:hyperlink w:anchor="__RefHeading___Toc763866_3244359995">
            <w:r>
              <w:rPr>
                <w:webHidden/>
                <w:rStyle w:val="IndexLink"/>
                <w:rtl w:val="true"/>
              </w:rPr>
              <w:t>و هم و دفع</w:t>
            </w:r>
            <w:r>
              <w:rPr>
                <w:rStyle w:val="IndexLink"/>
                <w:rtl w:val="true"/>
              </w:rPr>
              <w:tab/>
            </w:r>
            <w:r>
              <w:rPr>
                <w:rStyle w:val="IndexLink"/>
              </w:rPr>
              <w:t>224</w:t>
            </w:r>
          </w:hyperlink>
        </w:p>
        <w:p>
          <w:pPr>
            <w:pStyle w:val="Contents6"/>
            <w:tabs>
              <w:tab w:val="clear" w:pos="7609"/>
              <w:tab w:val="right" w:pos="9026" w:leader="dot"/>
            </w:tabs>
            <w:rPr/>
          </w:pPr>
          <w:hyperlink w:anchor="__RefHeading___Toc763868_3244359995">
            <w:r>
              <w:rPr>
                <w:webHidden/>
                <w:rStyle w:val="IndexLink"/>
                <w:rtl w:val="true"/>
              </w:rPr>
              <w:t>تنبیه</w:t>
            </w:r>
            <w:r>
              <w:rPr>
                <w:rStyle w:val="IndexLink"/>
                <w:rtl w:val="true"/>
              </w:rPr>
              <w:t xml:space="preserve">: </w:t>
            </w:r>
            <w:r>
              <w:rPr>
                <w:rStyle w:val="IndexLink"/>
                <w:rtl w:val="true"/>
              </w:rPr>
              <w:t>فی جریان المناقشة الصغرویة فی الاحتیاط حتّی فی الشبهات البدویة</w:t>
            </w:r>
            <w:r>
              <w:rPr>
                <w:rStyle w:val="IndexLink"/>
                <w:rtl w:val="true"/>
              </w:rPr>
              <w:tab/>
            </w:r>
            <w:r>
              <w:rPr>
                <w:rStyle w:val="IndexLink"/>
              </w:rPr>
              <w:t>225</w:t>
            </w:r>
          </w:hyperlink>
        </w:p>
        <w:p>
          <w:pPr>
            <w:pStyle w:val="Contents5"/>
            <w:tabs>
              <w:tab w:val="clear" w:pos="7892"/>
              <w:tab w:val="right" w:pos="9026" w:leader="dot"/>
            </w:tabs>
            <w:rPr/>
          </w:pPr>
          <w:hyperlink w:anchor="__RefHeading___Toc763870_3244359995">
            <w:r>
              <w:rPr>
                <w:webHidden/>
                <w:rStyle w:val="IndexLink"/>
                <w:rtl w:val="true"/>
              </w:rPr>
              <w:t>المقام الثانی</w:t>
            </w:r>
            <w:r>
              <w:rPr>
                <w:rStyle w:val="IndexLink"/>
                <w:rtl w:val="true"/>
              </w:rPr>
              <w:t xml:space="preserve">: </w:t>
            </w:r>
            <w:r>
              <w:rPr>
                <w:rStyle w:val="IndexLink"/>
                <w:rtl w:val="true"/>
              </w:rPr>
              <w:t>فی شروط البراءة العقلیّة و النقلیّة</w:t>
            </w:r>
            <w:r>
              <w:rPr>
                <w:rStyle w:val="IndexLink"/>
                <w:rtl w:val="true"/>
              </w:rPr>
              <w:tab/>
            </w:r>
            <w:r>
              <w:rPr>
                <w:rStyle w:val="IndexLink"/>
              </w:rPr>
              <w:t>225</w:t>
            </w:r>
          </w:hyperlink>
        </w:p>
        <w:p>
          <w:pPr>
            <w:pStyle w:val="Contents6"/>
            <w:tabs>
              <w:tab w:val="clear" w:pos="7609"/>
              <w:tab w:val="right" w:pos="9026" w:leader="dot"/>
            </w:tabs>
            <w:rPr/>
          </w:pPr>
          <w:hyperlink w:anchor="__RefHeading___Toc763872_3244359995">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763874_3244359995">
            <w:r>
              <w:rPr>
                <w:webHidden/>
                <w:rStyle w:val="IndexLink"/>
                <w:rtl w:val="true"/>
              </w:rPr>
              <w:t>تنبیه</w:t>
            </w:r>
            <w:r>
              <w:rPr>
                <w:rStyle w:val="IndexLink"/>
                <w:rtl w:val="true"/>
              </w:rPr>
              <w:t xml:space="preserve">: </w:t>
            </w:r>
            <w:r>
              <w:rPr>
                <w:rStyle w:val="IndexLink"/>
                <w:rtl w:val="true"/>
              </w:rPr>
              <w:t>فی أنّ ترک الفحص لیس ظلما</w:t>
            </w:r>
            <w:r>
              <w:rPr>
                <w:rStyle w:val="IndexLink"/>
                <w:rtl w:val="true"/>
              </w:rPr>
              <w:tab/>
            </w:r>
            <w:r>
              <w:rPr>
                <w:rStyle w:val="IndexLink"/>
              </w:rPr>
              <w:t>228</w:t>
            </w:r>
          </w:hyperlink>
        </w:p>
        <w:p>
          <w:pPr>
            <w:pStyle w:val="Contents6"/>
            <w:tabs>
              <w:tab w:val="clear" w:pos="7609"/>
              <w:tab w:val="right" w:pos="9026" w:leader="dot"/>
            </w:tabs>
            <w:rPr/>
          </w:pPr>
          <w:hyperlink w:anchor="__RefHeading___Toc763876_3244359995">
            <w:r>
              <w:rPr>
                <w:webHidden/>
                <w:rStyle w:val="IndexLink"/>
                <w:rtl w:val="true"/>
              </w:rPr>
              <w:t>مشکلة عدم إدراک العقل وجوب الفحص و التفقّه و جوابها</w:t>
            </w:r>
            <w:r>
              <w:rPr>
                <w:rStyle w:val="IndexLink"/>
                <w:rtl w:val="true"/>
              </w:rPr>
              <w:tab/>
            </w:r>
            <w:r>
              <w:rPr>
                <w:rStyle w:val="IndexLink"/>
              </w:rPr>
              <w:t>228</w:t>
            </w:r>
          </w:hyperlink>
        </w:p>
        <w:p>
          <w:pPr>
            <w:pStyle w:val="Contents6"/>
            <w:tabs>
              <w:tab w:val="clear" w:pos="7609"/>
              <w:tab w:val="right" w:pos="9026" w:leader="dot"/>
            </w:tabs>
            <w:rPr/>
          </w:pPr>
          <w:hyperlink w:anchor="__RefHeading___Toc763878_3244359995">
            <w:r>
              <w:rPr>
                <w:webHidden/>
                <w:rStyle w:val="IndexLink"/>
                <w:rtl w:val="true"/>
              </w:rPr>
              <w:t>ذنابة</w:t>
            </w:r>
            <w:r>
              <w:rPr>
                <w:rStyle w:val="IndexLink"/>
                <w:rtl w:val="true"/>
              </w:rPr>
              <w:t xml:space="preserve">: </w:t>
            </w:r>
            <w:r>
              <w:rPr>
                <w:rStyle w:val="IndexLink"/>
                <w:rtl w:val="true"/>
              </w:rPr>
              <w:t xml:space="preserve">فی بیان المراد من </w:t>
            </w:r>
            <w:r>
              <w:rPr>
                <w:rStyle w:val="IndexLink"/>
                <w:rtl w:val="true"/>
              </w:rPr>
              <w:t>«</w:t>
            </w:r>
            <w:r>
              <w:rPr>
                <w:rStyle w:val="IndexLink"/>
                <w:rtl w:val="true"/>
              </w:rPr>
              <w:t>الفحص</w:t>
            </w:r>
            <w:r>
              <w:rPr>
                <w:rStyle w:val="IndexLink"/>
                <w:rtl w:val="true"/>
              </w:rPr>
              <w:t xml:space="preserve">» </w:t>
            </w:r>
            <w:r>
              <w:rPr>
                <w:rStyle w:val="IndexLink"/>
                <w:rtl w:val="true"/>
              </w:rPr>
              <w:t>و حدوده</w:t>
            </w:r>
            <w:r>
              <w:rPr>
                <w:rStyle w:val="IndexLink"/>
                <w:rtl w:val="true"/>
              </w:rPr>
              <w:tab/>
            </w:r>
            <w:r>
              <w:rPr>
                <w:rStyle w:val="IndexLink"/>
              </w:rPr>
              <w:t>230</w:t>
            </w:r>
          </w:hyperlink>
        </w:p>
        <w:p>
          <w:pPr>
            <w:pStyle w:val="Contents6"/>
            <w:tabs>
              <w:tab w:val="clear" w:pos="7609"/>
              <w:tab w:val="right" w:pos="9026" w:leader="dot"/>
            </w:tabs>
            <w:rPr/>
          </w:pPr>
          <w:hyperlink w:anchor="__RefHeading___Toc763880_3244359995">
            <w:r>
              <w:rPr>
                <w:webHidden/>
                <w:rStyle w:val="IndexLink"/>
                <w:rtl w:val="true"/>
              </w:rPr>
              <w:t>تذنیب</w:t>
            </w:r>
            <w:r>
              <w:rPr>
                <w:rStyle w:val="IndexLink"/>
                <w:rtl w:val="true"/>
              </w:rPr>
              <w:t xml:space="preserve">: </w:t>
            </w:r>
            <w:r>
              <w:rPr>
                <w:rStyle w:val="IndexLink"/>
                <w:rtl w:val="true"/>
              </w:rPr>
              <w:t>فی عدم وجوب الفحص فی الشبهات الموضوعیة و وجوبه فی بعض الموضوعات</w:t>
            </w:r>
            <w:r>
              <w:rPr>
                <w:rStyle w:val="IndexLink"/>
                <w:rtl w:val="true"/>
              </w:rPr>
              <w:tab/>
            </w:r>
            <w:r>
              <w:rPr>
                <w:rStyle w:val="IndexLink"/>
              </w:rPr>
              <w:t>232</w:t>
            </w:r>
          </w:hyperlink>
        </w:p>
        <w:p>
          <w:pPr>
            <w:pStyle w:val="Contents6"/>
            <w:tabs>
              <w:tab w:val="clear" w:pos="7609"/>
              <w:tab w:val="right" w:pos="9026" w:leader="dot"/>
            </w:tabs>
            <w:rPr/>
          </w:pPr>
          <w:hyperlink w:anchor="__RefHeading___Toc763882_3244359995">
            <w:r>
              <w:rPr>
                <w:webHidden/>
                <w:rStyle w:val="IndexLink"/>
                <w:rtl w:val="true"/>
              </w:rPr>
              <w:t>توضیح و تنقیح</w:t>
            </w:r>
            <w:r>
              <w:rPr>
                <w:rStyle w:val="IndexLink"/>
                <w:rtl w:val="true"/>
              </w:rPr>
              <w:t xml:space="preserve">: </w:t>
            </w:r>
            <w:r>
              <w:rPr>
                <w:rStyle w:val="IndexLink"/>
                <w:rtl w:val="true"/>
              </w:rPr>
              <w:t>حول عدم جریان البراءة الشرعیة قبل الفحص مطلقا</w:t>
            </w:r>
            <w:r>
              <w:rPr>
                <w:rStyle w:val="IndexLink"/>
                <w:rtl w:val="true"/>
              </w:rPr>
              <w:tab/>
            </w:r>
            <w:r>
              <w:rPr>
                <w:rStyle w:val="IndexLink"/>
              </w:rPr>
              <w:t>233</w:t>
            </w:r>
          </w:hyperlink>
        </w:p>
        <w:p>
          <w:pPr>
            <w:pStyle w:val="Contents6"/>
            <w:tabs>
              <w:tab w:val="clear" w:pos="7609"/>
              <w:tab w:val="right" w:pos="9026" w:leader="dot"/>
            </w:tabs>
            <w:rPr/>
          </w:pPr>
          <w:hyperlink w:anchor="__RefHeading___Toc763884_3244359995">
            <w:r>
              <w:rPr>
                <w:webHidden/>
                <w:rStyle w:val="IndexLink"/>
                <w:rtl w:val="true"/>
              </w:rPr>
              <w:t>بقی شی‌ء</w:t>
            </w:r>
            <w:r>
              <w:rPr>
                <w:rStyle w:val="IndexLink"/>
                <w:rtl w:val="true"/>
              </w:rPr>
              <w:t xml:space="preserve">: </w:t>
            </w:r>
            <w:r>
              <w:rPr>
                <w:rStyle w:val="IndexLink"/>
                <w:rtl w:val="true"/>
              </w:rPr>
              <w:t>حول مختار الوالد المحقق</w:t>
            </w:r>
            <w:r>
              <w:rPr>
                <w:rStyle w:val="IndexLink"/>
                <w:rtl w:val="true"/>
              </w:rPr>
              <w:t xml:space="preserve">- </w:t>
            </w:r>
            <w:r>
              <w:rPr>
                <w:rStyle w:val="IndexLink"/>
                <w:rtl w:val="true"/>
              </w:rPr>
              <w:t>مدّ ظلّه</w:t>
            </w:r>
            <w:r>
              <w:rPr>
                <w:rStyle w:val="IndexLink"/>
                <w:rtl w:val="true"/>
              </w:rPr>
              <w:t xml:space="preserve">- </w:t>
            </w:r>
            <w:r>
              <w:rPr>
                <w:rStyle w:val="IndexLink"/>
                <w:rtl w:val="true"/>
              </w:rPr>
              <w:t>من عدم معذوریة الغافل التارک للفحص</w:t>
            </w:r>
            <w:r>
              <w:rPr>
                <w:rStyle w:val="IndexLink"/>
                <w:rtl w:val="true"/>
              </w:rPr>
              <w:tab/>
            </w:r>
            <w:r>
              <w:rPr>
                <w:rStyle w:val="IndexLink"/>
              </w:rPr>
              <w:t>235</w:t>
            </w:r>
          </w:hyperlink>
        </w:p>
        <w:p>
          <w:pPr>
            <w:pStyle w:val="Contents6"/>
            <w:tabs>
              <w:tab w:val="clear" w:pos="7609"/>
              <w:tab w:val="right" w:pos="9026" w:leader="dot"/>
            </w:tabs>
            <w:rPr/>
          </w:pPr>
          <w:hyperlink w:anchor="__RefHeading___Toc763886_3244359995">
            <w:r>
              <w:rPr>
                <w:webHidden/>
                <w:rStyle w:val="IndexLink"/>
                <w:rtl w:val="true"/>
              </w:rPr>
              <w:t>ختام الکلام فی المقام</w:t>
            </w:r>
            <w:r>
              <w:rPr>
                <w:rStyle w:val="IndexLink"/>
                <w:rtl w:val="true"/>
              </w:rPr>
              <w:t xml:space="preserve">: </w:t>
            </w:r>
            <w:r>
              <w:rPr>
                <w:rStyle w:val="IndexLink"/>
                <w:rtl w:val="true"/>
              </w:rPr>
              <w:t>حول استحقاق العقاب علی ترک الفحص و التعلم</w:t>
            </w:r>
            <w:r>
              <w:rPr>
                <w:rStyle w:val="IndexLink"/>
                <w:rtl w:val="true"/>
              </w:rPr>
              <w:tab/>
            </w:r>
            <w:r>
              <w:rPr>
                <w:rStyle w:val="IndexLink"/>
              </w:rPr>
              <w:t>237</w:t>
            </w:r>
          </w:hyperlink>
        </w:p>
        <w:p>
          <w:pPr>
            <w:pStyle w:val="Contents6"/>
            <w:tabs>
              <w:tab w:val="clear" w:pos="7609"/>
              <w:tab w:val="right" w:pos="9026" w:leader="dot"/>
            </w:tabs>
            <w:rPr/>
          </w:pPr>
          <w:hyperlink w:anchor="__RefHeading___Toc763888_3244359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763890_3244359995">
            <w:r>
              <w:rPr>
                <w:webHidden/>
                <w:rStyle w:val="IndexLink"/>
                <w:rtl w:val="true"/>
              </w:rPr>
              <w:t>إعضال</w:t>
            </w:r>
            <w:r>
              <w:rPr>
                <w:rStyle w:val="IndexLink"/>
                <w:rtl w:val="true"/>
              </w:rPr>
              <w:tab/>
            </w:r>
            <w:r>
              <w:rPr>
                <w:rStyle w:val="IndexLink"/>
              </w:rPr>
              <w:t>240</w:t>
            </w:r>
          </w:hyperlink>
        </w:p>
        <w:p>
          <w:pPr>
            <w:pStyle w:val="Contents6"/>
            <w:tabs>
              <w:tab w:val="clear" w:pos="7609"/>
              <w:tab w:val="right" w:pos="9026" w:leader="dot"/>
            </w:tabs>
            <w:rPr/>
          </w:pPr>
          <w:hyperlink w:anchor="__RefHeading___Toc763892_3244359995">
            <w:r>
              <w:rPr>
                <w:webHidden/>
                <w:rStyle w:val="IndexLink"/>
                <w:rtl w:val="true"/>
              </w:rPr>
              <w:t>تحقیق و تشحیذ</w:t>
            </w:r>
            <w:r>
              <w:rPr>
                <w:rStyle w:val="IndexLink"/>
                <w:rtl w:val="true"/>
              </w:rPr>
              <w:t xml:space="preserve">: </w:t>
            </w:r>
            <w:r>
              <w:rPr>
                <w:rStyle w:val="IndexLink"/>
                <w:rtl w:val="true"/>
              </w:rPr>
              <w:t>فی أنّ الحجة عند الظفر بالطریق هی احتمال التکلیف أو نفس الطریق</w:t>
            </w:r>
            <w:r>
              <w:rPr>
                <w:rStyle w:val="IndexLink"/>
                <w:rtl w:val="true"/>
              </w:rPr>
              <w:tab/>
            </w:r>
            <w:r>
              <w:rPr>
                <w:rStyle w:val="IndexLink"/>
              </w:rPr>
              <w:t>241</w:t>
            </w:r>
          </w:hyperlink>
        </w:p>
        <w:p>
          <w:pPr>
            <w:pStyle w:val="Contents6"/>
            <w:tabs>
              <w:tab w:val="clear" w:pos="7609"/>
              <w:tab w:val="right" w:pos="9026" w:leader="dot"/>
            </w:tabs>
            <w:rPr/>
          </w:pPr>
          <w:hyperlink w:anchor="__RefHeading___Toc763894_3244359995">
            <w:r>
              <w:rPr>
                <w:webHidden/>
                <w:rStyle w:val="IndexLink"/>
                <w:rtl w:val="true"/>
              </w:rPr>
              <w:t>إعادة و إفادة</w:t>
            </w:r>
            <w:r>
              <w:rPr>
                <w:rStyle w:val="IndexLink"/>
                <w:rtl w:val="true"/>
              </w:rPr>
              <w:tab/>
            </w:r>
            <w:r>
              <w:rPr>
                <w:rStyle w:val="IndexLink"/>
              </w:rPr>
              <w:t>242</w:t>
            </w:r>
          </w:hyperlink>
        </w:p>
        <w:p>
          <w:pPr>
            <w:pStyle w:val="Contents6"/>
            <w:tabs>
              <w:tab w:val="clear" w:pos="7609"/>
              <w:tab w:val="right" w:pos="9026" w:leader="dot"/>
            </w:tabs>
            <w:rPr/>
          </w:pPr>
          <w:hyperlink w:anchor="__RefHeading___Toc763896_3244359995">
            <w:r>
              <w:rPr>
                <w:webHidden/>
                <w:rStyle w:val="IndexLink"/>
                <w:rtl w:val="true"/>
              </w:rPr>
              <w:t>توجیه الفقهاء العظام إلی أمر هام فی اتخاذهم الحجج</w:t>
            </w:r>
            <w:r>
              <w:rPr>
                <w:rStyle w:val="IndexLink"/>
                <w:rtl w:val="true"/>
              </w:rPr>
              <w:tab/>
            </w:r>
            <w:r>
              <w:rPr>
                <w:rStyle w:val="IndexLink"/>
              </w:rPr>
              <w:t>244</w:t>
            </w:r>
          </w:hyperlink>
        </w:p>
        <w:p>
          <w:pPr>
            <w:pStyle w:val="Contents6"/>
            <w:tabs>
              <w:tab w:val="clear" w:pos="7609"/>
              <w:tab w:val="right" w:pos="9026" w:leader="dot"/>
            </w:tabs>
            <w:rPr/>
          </w:pPr>
          <w:hyperlink w:anchor="__RefHeading___Toc763898_3244359995">
            <w:r>
              <w:rPr>
                <w:webHidden/>
                <w:rStyle w:val="IndexLink"/>
                <w:rtl w:val="true"/>
              </w:rPr>
              <w:t>خاتمة الختام فی إعضال فی المقام</w:t>
            </w:r>
            <w:r>
              <w:rPr>
                <w:rStyle w:val="IndexLink"/>
                <w:rtl w:val="true"/>
              </w:rPr>
              <w:t xml:space="preserve">: </w:t>
            </w:r>
            <w:r>
              <w:rPr>
                <w:rStyle w:val="IndexLink"/>
                <w:rtl w:val="true"/>
              </w:rPr>
              <w:t>حول مشکلة صحّة عمل الجاهل فی موارد الجهر و القصر</w:t>
            </w:r>
            <w:r>
              <w:rPr>
                <w:rStyle w:val="IndexLink"/>
                <w:rtl w:val="true"/>
              </w:rPr>
              <w:tab/>
            </w:r>
            <w:r>
              <w:rPr>
                <w:rStyle w:val="IndexLink"/>
              </w:rPr>
              <w:t>245</w:t>
            </w:r>
          </w:hyperlink>
        </w:p>
        <w:p>
          <w:pPr>
            <w:pStyle w:val="Contents6"/>
            <w:tabs>
              <w:tab w:val="clear" w:pos="7609"/>
              <w:tab w:val="right" w:pos="9026" w:leader="dot"/>
            </w:tabs>
            <w:rPr/>
          </w:pPr>
          <w:hyperlink w:anchor="__RefHeading___Toc763900_3244359995">
            <w:r>
              <w:rPr>
                <w:webHidden/>
                <w:rStyle w:val="IndexLink"/>
                <w:rtl w:val="true"/>
              </w:rPr>
              <w:t>تکمیل منّا لحلّ المشکلة السابقة</w:t>
            </w:r>
            <w:r>
              <w:rPr>
                <w:rStyle w:val="IndexLink"/>
                <w:rtl w:val="true"/>
              </w:rPr>
              <w:tab/>
            </w:r>
            <w:r>
              <w:rPr>
                <w:rStyle w:val="IndexLink"/>
              </w:rPr>
              <w:t>248</w:t>
            </w:r>
          </w:hyperlink>
        </w:p>
        <w:p>
          <w:pPr>
            <w:pStyle w:val="Contents6"/>
            <w:tabs>
              <w:tab w:val="clear" w:pos="7609"/>
              <w:tab w:val="right" w:pos="9026" w:leader="dot"/>
            </w:tabs>
            <w:rPr/>
          </w:pPr>
          <w:hyperlink w:anchor="__RefHeading___Toc763902_3244359995">
            <w:r>
              <w:rPr>
                <w:webHidden/>
                <w:rStyle w:val="IndexLink"/>
                <w:rtl w:val="true"/>
              </w:rPr>
              <w:t>تذنیب</w:t>
            </w:r>
            <w:r>
              <w:rPr>
                <w:rStyle w:val="IndexLink"/>
                <w:rtl w:val="true"/>
              </w:rPr>
              <w:t xml:space="preserve">: </w:t>
            </w:r>
            <w:r>
              <w:rPr>
                <w:rStyle w:val="IndexLink"/>
                <w:rtl w:val="true"/>
              </w:rPr>
              <w:t>و هو وجه آخر لحلّ المشکلة السابقة</w:t>
            </w:r>
            <w:r>
              <w:rPr>
                <w:rStyle w:val="IndexLink"/>
                <w:rtl w:val="true"/>
              </w:rPr>
              <w:tab/>
            </w:r>
            <w:r>
              <w:rPr>
                <w:rStyle w:val="IndexLink"/>
              </w:rPr>
              <w:t>250</w:t>
            </w:r>
          </w:hyperlink>
        </w:p>
        <w:p>
          <w:pPr>
            <w:pStyle w:val="Contents6"/>
            <w:tabs>
              <w:tab w:val="clear" w:pos="7609"/>
              <w:tab w:val="right" w:pos="9026" w:leader="dot"/>
            </w:tabs>
            <w:rPr/>
          </w:pPr>
          <w:hyperlink w:anchor="__RefHeading___Toc763904_3244359995">
            <w:r>
              <w:rPr>
                <w:webHidden/>
                <w:rStyle w:val="IndexLink"/>
                <w:rtl w:val="true"/>
              </w:rPr>
              <w:t>ذنابة</w:t>
            </w:r>
            <w:r>
              <w:rPr>
                <w:rStyle w:val="IndexLink"/>
                <w:rtl w:val="true"/>
              </w:rPr>
              <w:t xml:space="preserve">: </w:t>
            </w:r>
            <w:r>
              <w:rPr>
                <w:rStyle w:val="IndexLink"/>
                <w:rtl w:val="true"/>
              </w:rPr>
              <w:t>حول تعدّد عقاب الجاهل التارک لصلاته</w:t>
            </w:r>
            <w:r>
              <w:rPr>
                <w:rStyle w:val="IndexLink"/>
                <w:rtl w:val="true"/>
              </w:rPr>
              <w:tab/>
            </w:r>
            <w:r>
              <w:rPr>
                <w:rStyle w:val="IndexLink"/>
              </w:rPr>
              <w:t>251</w:t>
            </w:r>
          </w:hyperlink>
        </w:p>
        <w:p>
          <w:pPr>
            <w:pStyle w:val="Contents6"/>
            <w:tabs>
              <w:tab w:val="clear" w:pos="7609"/>
              <w:tab w:val="right" w:pos="9026" w:leader="dot"/>
            </w:tabs>
            <w:rPr/>
          </w:pPr>
          <w:hyperlink w:anchor="__RefHeading___Toc763906_3244359995">
            <w:r>
              <w:rPr>
                <w:webHidden/>
                <w:rStyle w:val="IndexLink"/>
                <w:rtl w:val="true"/>
              </w:rPr>
              <w:t>ختام الخاتمة</w:t>
            </w:r>
            <w:r>
              <w:rPr>
                <w:rStyle w:val="IndexLink"/>
                <w:rtl w:val="true"/>
              </w:rPr>
              <w:t xml:space="preserve">: </w:t>
            </w:r>
            <w:r>
              <w:rPr>
                <w:rStyle w:val="IndexLink"/>
                <w:rtl w:val="true"/>
              </w:rPr>
              <w:t>حول شرطی الفاضل التونی لجریان البراءة</w:t>
            </w:r>
            <w:r>
              <w:rPr>
                <w:rStyle w:val="IndexLink"/>
                <w:rtl w:val="true"/>
              </w:rPr>
              <w:tab/>
            </w:r>
            <w:r>
              <w:rPr>
                <w:rStyle w:val="IndexLink"/>
              </w:rPr>
              <w:t>251</w:t>
            </w:r>
          </w:hyperlink>
        </w:p>
        <w:p>
          <w:pPr>
            <w:pStyle w:val="Contents4"/>
            <w:tabs>
              <w:tab w:val="clear" w:pos="8176"/>
              <w:tab w:val="right" w:pos="9026" w:leader="dot"/>
            </w:tabs>
            <w:rPr/>
          </w:pPr>
          <w:hyperlink w:anchor="__RefHeading___Toc763908_3244359995">
            <w:r>
              <w:rPr>
                <w:webHidden/>
                <w:rStyle w:val="IndexLink"/>
                <w:rtl w:val="true"/>
              </w:rPr>
              <w:t>تذییل فی قاعدة نفی الضرر</w:t>
            </w:r>
            <w:r>
              <w:rPr>
                <w:rStyle w:val="IndexLink"/>
                <w:rtl w:val="true"/>
              </w:rPr>
              <w:tab/>
            </w:r>
            <w:r>
              <w:rPr>
                <w:rStyle w:val="IndexLink"/>
              </w:rPr>
              <w:t>257</w:t>
            </w:r>
          </w:hyperlink>
        </w:p>
        <w:p>
          <w:pPr>
            <w:pStyle w:val="Contents5"/>
            <w:tabs>
              <w:tab w:val="clear" w:pos="7892"/>
              <w:tab w:val="right" w:pos="9026" w:leader="dot"/>
            </w:tabs>
            <w:rPr/>
          </w:pPr>
          <w:hyperlink w:anchor="__RefHeading___Toc763910_3244359995">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763912_3244359995">
            <w:r>
              <w:rPr>
                <w:webHidden/>
                <w:rStyle w:val="IndexLink"/>
                <w:rtl w:val="true"/>
              </w:rPr>
              <w:t>تحقیق حول سند القاعدة</w:t>
            </w:r>
            <w:r>
              <w:rPr>
                <w:rStyle w:val="IndexLink"/>
                <w:rtl w:val="true"/>
              </w:rPr>
              <w:tab/>
            </w:r>
            <w:r>
              <w:rPr>
                <w:rStyle w:val="IndexLink"/>
              </w:rPr>
              <w:t>258</w:t>
            </w:r>
          </w:hyperlink>
        </w:p>
        <w:p>
          <w:pPr>
            <w:pStyle w:val="Contents5"/>
            <w:tabs>
              <w:tab w:val="clear" w:pos="7892"/>
              <w:tab w:val="right" w:pos="9026" w:leader="dot"/>
            </w:tabs>
            <w:rPr/>
          </w:pPr>
          <w:hyperlink w:anchor="__RefHeading___Toc763914_3244359995">
            <w:r>
              <w:rPr>
                <w:webHidden/>
                <w:rStyle w:val="IndexLink"/>
                <w:rtl w:val="true"/>
              </w:rPr>
              <w:t>تنبیه أوّل</w:t>
            </w:r>
            <w:r>
              <w:rPr>
                <w:rStyle w:val="IndexLink"/>
                <w:rtl w:val="true"/>
              </w:rPr>
              <w:t xml:space="preserve">: </w:t>
            </w:r>
            <w:r>
              <w:rPr>
                <w:rStyle w:val="IndexLink"/>
                <w:rtl w:val="true"/>
              </w:rPr>
              <w:t>حول الإشکال علی اعتبار المتن من ناحیة اختلافه</w:t>
            </w:r>
            <w:r>
              <w:rPr>
                <w:rStyle w:val="IndexLink"/>
                <w:rtl w:val="true"/>
              </w:rPr>
              <w:tab/>
            </w:r>
            <w:r>
              <w:rPr>
                <w:rStyle w:val="IndexLink"/>
              </w:rPr>
              <w:t>263</w:t>
            </w:r>
          </w:hyperlink>
        </w:p>
        <w:p>
          <w:pPr>
            <w:pStyle w:val="Contents5"/>
            <w:tabs>
              <w:tab w:val="clear" w:pos="7892"/>
              <w:tab w:val="right" w:pos="9026" w:leader="dot"/>
            </w:tabs>
            <w:rPr/>
          </w:pPr>
          <w:hyperlink w:anchor="__RefHeading___Toc763916_3244359995">
            <w:r>
              <w:rPr>
                <w:webHidden/>
                <w:rStyle w:val="IndexLink"/>
                <w:rtl w:val="true"/>
              </w:rPr>
              <w:t>تنبیه آخر</w:t>
            </w:r>
            <w:r>
              <w:rPr>
                <w:rStyle w:val="IndexLink"/>
                <w:rtl w:val="true"/>
              </w:rPr>
              <w:t xml:space="preserve">: </w:t>
            </w:r>
            <w:r>
              <w:rPr>
                <w:rStyle w:val="IndexLink"/>
                <w:rtl w:val="true"/>
              </w:rPr>
              <w:t>حول إجمال القاعدة</w:t>
            </w:r>
            <w:r>
              <w:rPr>
                <w:rStyle w:val="IndexLink"/>
                <w:rtl w:val="true"/>
              </w:rPr>
              <w:tab/>
            </w:r>
            <w:r>
              <w:rPr>
                <w:rStyle w:val="IndexLink"/>
              </w:rPr>
              <w:t>264</w:t>
            </w:r>
          </w:hyperlink>
        </w:p>
        <w:p>
          <w:pPr>
            <w:pStyle w:val="Contents5"/>
            <w:tabs>
              <w:tab w:val="clear" w:pos="7892"/>
              <w:tab w:val="right" w:pos="9026" w:leader="dot"/>
            </w:tabs>
            <w:rPr/>
          </w:pPr>
          <w:hyperlink w:anchor="__RefHeading___Toc763918_3244359995">
            <w:r>
              <w:rPr>
                <w:webHidden/>
                <w:rStyle w:val="IndexLink"/>
                <w:rtl w:val="true"/>
              </w:rPr>
              <w:t>تنبیه ثالث</w:t>
            </w:r>
            <w:r>
              <w:rPr>
                <w:rStyle w:val="IndexLink"/>
                <w:rtl w:val="true"/>
              </w:rPr>
              <w:t xml:space="preserve">: </w:t>
            </w:r>
            <w:r>
              <w:rPr>
                <w:rStyle w:val="IndexLink"/>
                <w:rtl w:val="true"/>
              </w:rPr>
              <w:t>حول ذیل القاعدة و صدورها مرّات أو مرّة</w:t>
            </w:r>
            <w:r>
              <w:rPr>
                <w:rStyle w:val="IndexLink"/>
                <w:rtl w:val="true"/>
              </w:rPr>
              <w:tab/>
            </w:r>
            <w:r>
              <w:rPr>
                <w:rStyle w:val="IndexLink"/>
              </w:rPr>
              <w:t>268</w:t>
            </w:r>
          </w:hyperlink>
        </w:p>
        <w:p>
          <w:pPr>
            <w:pStyle w:val="Contents5"/>
            <w:tabs>
              <w:tab w:val="clear" w:pos="7892"/>
              <w:tab w:val="right" w:pos="9026" w:leader="dot"/>
            </w:tabs>
            <w:rPr/>
          </w:pPr>
          <w:hyperlink w:anchor="__RefHeading___Toc763920_3244359995">
            <w:r>
              <w:rPr>
                <w:webHidden/>
                <w:rStyle w:val="IndexLink"/>
                <w:rtl w:val="true"/>
              </w:rPr>
              <w:t>تنبیه رابع</w:t>
            </w:r>
            <w:r>
              <w:rPr>
                <w:rStyle w:val="IndexLink"/>
                <w:rtl w:val="true"/>
              </w:rPr>
              <w:t xml:space="preserve">: </w:t>
            </w:r>
            <w:r>
              <w:rPr>
                <w:rStyle w:val="IndexLink"/>
                <w:rtl w:val="true"/>
              </w:rPr>
              <w:t>فی الوجوه التی یمکن الاعتماد علیها لرفع الإجمال المذکور</w:t>
            </w:r>
            <w:r>
              <w:rPr>
                <w:rStyle w:val="IndexLink"/>
                <w:rtl w:val="true"/>
              </w:rPr>
              <w:tab/>
            </w:r>
            <w:r>
              <w:rPr>
                <w:rStyle w:val="IndexLink"/>
              </w:rPr>
              <w:t>271</w:t>
            </w:r>
          </w:hyperlink>
        </w:p>
        <w:p>
          <w:pPr>
            <w:pStyle w:val="Contents6"/>
            <w:tabs>
              <w:tab w:val="clear" w:pos="7609"/>
              <w:tab w:val="right" w:pos="9026" w:leader="dot"/>
            </w:tabs>
            <w:rPr/>
          </w:pPr>
          <w:hyperlink w:anchor="__RefHeading___Toc763922_3244359995">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763924_3244359995">
            <w:r>
              <w:rPr>
                <w:webHidden/>
                <w:rStyle w:val="IndexLink"/>
                <w:rtl w:val="true"/>
              </w:rPr>
              <w:t>بقی شی‌ء</w:t>
            </w:r>
            <w:r>
              <w:rPr>
                <w:rStyle w:val="IndexLink"/>
                <w:rtl w:val="true"/>
              </w:rPr>
              <w:t xml:space="preserve">: </w:t>
            </w:r>
            <w:r>
              <w:rPr>
                <w:rStyle w:val="IndexLink"/>
                <w:rtl w:val="true"/>
              </w:rPr>
              <w:t>فی بیان آخر لوجه الإجمال</w:t>
            </w:r>
            <w:r>
              <w:rPr>
                <w:rStyle w:val="IndexLink"/>
                <w:rtl w:val="true"/>
              </w:rPr>
              <w:tab/>
            </w:r>
            <w:r>
              <w:rPr>
                <w:rStyle w:val="IndexLink"/>
              </w:rPr>
              <w:t>274</w:t>
            </w:r>
          </w:hyperlink>
        </w:p>
        <w:p>
          <w:pPr>
            <w:pStyle w:val="Contents5"/>
            <w:tabs>
              <w:tab w:val="clear" w:pos="7892"/>
              <w:tab w:val="right" w:pos="9026" w:leader="dot"/>
            </w:tabs>
            <w:rPr/>
          </w:pPr>
          <w:hyperlink w:anchor="__RefHeading___Toc763926_3244359995">
            <w:r>
              <w:rPr>
                <w:webHidden/>
                <w:rStyle w:val="IndexLink"/>
                <w:rtl w:val="true"/>
              </w:rPr>
              <w:t>تنبیه خامس</w:t>
            </w:r>
            <w:r>
              <w:rPr>
                <w:rStyle w:val="IndexLink"/>
                <w:rtl w:val="true"/>
              </w:rPr>
              <w:t xml:space="preserve">: </w:t>
            </w:r>
            <w:r>
              <w:rPr>
                <w:rStyle w:val="IndexLink"/>
                <w:rtl w:val="true"/>
              </w:rPr>
              <w:t>حول حلّ مشکلة أبدعناها علی القاعدة</w:t>
            </w:r>
            <w:r>
              <w:rPr>
                <w:rStyle w:val="IndexLink"/>
                <w:rtl w:val="true"/>
              </w:rPr>
              <w:tab/>
            </w:r>
            <w:r>
              <w:rPr>
                <w:rStyle w:val="IndexLink"/>
              </w:rPr>
              <w:t>275</w:t>
            </w:r>
          </w:hyperlink>
        </w:p>
        <w:p>
          <w:pPr>
            <w:pStyle w:val="Contents6"/>
            <w:tabs>
              <w:tab w:val="clear" w:pos="7609"/>
              <w:tab w:val="right" w:pos="9026" w:leader="dot"/>
            </w:tabs>
            <w:rPr/>
          </w:pPr>
          <w:hyperlink w:anchor="__RefHeading___Toc763928_3244359995">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763930_3244359995">
            <w:r>
              <w:rPr>
                <w:webHidden/>
                <w:rStyle w:val="IndexLink"/>
                <w:rtl w:val="true"/>
              </w:rPr>
              <w:t>إفادة</w:t>
            </w:r>
            <w:r>
              <w:rPr>
                <w:rStyle w:val="IndexLink"/>
                <w:rtl w:val="true"/>
              </w:rPr>
              <w:t xml:space="preserve">: </w:t>
            </w:r>
            <w:r>
              <w:rPr>
                <w:rStyle w:val="IndexLink"/>
                <w:rtl w:val="true"/>
              </w:rPr>
              <w:t xml:space="preserve">فی دلالة </w:t>
            </w:r>
            <w:r>
              <w:rPr>
                <w:rStyle w:val="IndexLink"/>
                <w:rtl w:val="true"/>
              </w:rPr>
              <w:t>«</w:t>
            </w:r>
            <w:r>
              <w:rPr>
                <w:rStyle w:val="IndexLink"/>
                <w:rtl w:val="true"/>
              </w:rPr>
              <w:t>لا ضرار</w:t>
            </w:r>
            <w:r>
              <w:rPr>
                <w:rStyle w:val="IndexLink"/>
                <w:rtl w:val="true"/>
              </w:rPr>
              <w:t xml:space="preserve">» </w:t>
            </w:r>
            <w:r>
              <w:rPr>
                <w:rStyle w:val="IndexLink"/>
                <w:rtl w:val="true"/>
              </w:rPr>
              <w:t>علی تحدید العمومات و الإطلاقات</w:t>
            </w:r>
            <w:r>
              <w:rPr>
                <w:rStyle w:val="IndexLink"/>
                <w:rtl w:val="true"/>
              </w:rPr>
              <w:tab/>
            </w:r>
            <w:r>
              <w:rPr>
                <w:rStyle w:val="IndexLink"/>
              </w:rPr>
              <w:t>279</w:t>
            </w:r>
          </w:hyperlink>
        </w:p>
        <w:p>
          <w:pPr>
            <w:pStyle w:val="Contents6"/>
            <w:tabs>
              <w:tab w:val="clear" w:pos="7609"/>
              <w:tab w:val="right" w:pos="9026" w:leader="dot"/>
            </w:tabs>
            <w:rPr/>
          </w:pPr>
          <w:hyperlink w:anchor="__RefHeading___Toc763932_3244359995">
            <w:r>
              <w:rPr>
                <w:webHidden/>
                <w:rStyle w:val="IndexLink"/>
                <w:rtl w:val="true"/>
              </w:rPr>
              <w:t>بقی أمر</w:t>
            </w:r>
            <w:r>
              <w:rPr>
                <w:rStyle w:val="IndexLink"/>
                <w:rtl w:val="true"/>
              </w:rPr>
              <w:t xml:space="preserve">: </w:t>
            </w:r>
            <w:r>
              <w:rPr>
                <w:rStyle w:val="IndexLink"/>
                <w:rtl w:val="true"/>
              </w:rPr>
              <w:t>فی بیان وجه آخر لتقدیم ضرر الأنصاری علی ضرر سمرة</w:t>
            </w:r>
            <w:r>
              <w:rPr>
                <w:rStyle w:val="IndexLink"/>
                <w:rtl w:val="true"/>
              </w:rPr>
              <w:tab/>
            </w:r>
            <w:r>
              <w:rPr>
                <w:rStyle w:val="IndexLink"/>
              </w:rPr>
              <w:t>282</w:t>
            </w:r>
          </w:hyperlink>
        </w:p>
        <w:p>
          <w:pPr>
            <w:pStyle w:val="Contents5"/>
            <w:tabs>
              <w:tab w:val="clear" w:pos="7892"/>
              <w:tab w:val="right" w:pos="9026" w:leader="dot"/>
            </w:tabs>
            <w:rPr/>
          </w:pPr>
          <w:hyperlink w:anchor="__RefHeading___Toc763934_3244359995">
            <w:r>
              <w:rPr>
                <w:webHidden/>
                <w:rStyle w:val="IndexLink"/>
                <w:rtl w:val="true"/>
              </w:rPr>
              <w:t>تنبیه سادس</w:t>
            </w:r>
            <w:r>
              <w:rPr>
                <w:rStyle w:val="IndexLink"/>
                <w:rtl w:val="true"/>
              </w:rPr>
              <w:t xml:space="preserve">: </w:t>
            </w:r>
            <w:r>
              <w:rPr>
                <w:rStyle w:val="IndexLink"/>
                <w:rtl w:val="true"/>
              </w:rPr>
              <w:t>فی إبطال ما أفاده الأعلام حول القاعدة المذکورة</w:t>
            </w:r>
            <w:r>
              <w:rPr>
                <w:rStyle w:val="IndexLink"/>
                <w:rtl w:val="true"/>
              </w:rPr>
              <w:tab/>
            </w:r>
            <w:r>
              <w:rPr>
                <w:rStyle w:val="IndexLink"/>
              </w:rPr>
              <w:t>284</w:t>
            </w:r>
          </w:hyperlink>
        </w:p>
        <w:p>
          <w:pPr>
            <w:pStyle w:val="Contents6"/>
            <w:tabs>
              <w:tab w:val="clear" w:pos="7609"/>
              <w:tab w:val="right" w:pos="9026" w:leader="dot"/>
            </w:tabs>
            <w:rPr/>
          </w:pPr>
          <w:hyperlink w:anchor="__RefHeading___Toc763936_3244359995">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763938_3244359995">
            <w:r>
              <w:rPr>
                <w:webHidden/>
                <w:rStyle w:val="IndexLink"/>
                <w:rtl w:val="true"/>
              </w:rPr>
              <w:t>إفادة</w:t>
            </w:r>
            <w:r>
              <w:rPr>
                <w:rStyle w:val="IndexLink"/>
                <w:rtl w:val="true"/>
              </w:rPr>
              <w:t xml:space="preserve">: </w:t>
            </w:r>
            <w:r>
              <w:rPr>
                <w:rStyle w:val="IndexLink"/>
                <w:rtl w:val="true"/>
              </w:rPr>
              <w:t>فی بیان إیراد علی حلّنا لمشکلة الإجمال</w:t>
            </w:r>
            <w:r>
              <w:rPr>
                <w:rStyle w:val="IndexLink"/>
                <w:rtl w:val="true"/>
              </w:rPr>
              <w:tab/>
            </w:r>
            <w:r>
              <w:rPr>
                <w:rStyle w:val="IndexLink"/>
              </w:rPr>
              <w:t>286</w:t>
            </w:r>
          </w:hyperlink>
        </w:p>
        <w:p>
          <w:pPr>
            <w:pStyle w:val="Contents6"/>
            <w:tabs>
              <w:tab w:val="clear" w:pos="7609"/>
              <w:tab w:val="right" w:pos="9026" w:leader="dot"/>
            </w:tabs>
            <w:rPr/>
          </w:pPr>
          <w:hyperlink w:anchor="__RefHeading___Toc763940_3244359995">
            <w:r>
              <w:rPr>
                <w:webHidden/>
                <w:rStyle w:val="IndexLink"/>
                <w:rtl w:val="true"/>
              </w:rPr>
              <w:t>إفادة ثانیة</w:t>
            </w:r>
            <w:r>
              <w:rPr>
                <w:rStyle w:val="IndexLink"/>
                <w:rtl w:val="true"/>
              </w:rPr>
              <w:t xml:space="preserve">: </w:t>
            </w:r>
            <w:r>
              <w:rPr>
                <w:rStyle w:val="IndexLink"/>
                <w:rtl w:val="true"/>
              </w:rPr>
              <w:t xml:space="preserve">حول وجوه تفسیر </w:t>
            </w:r>
            <w:r>
              <w:rPr>
                <w:rStyle w:val="IndexLink"/>
                <w:rtl w:val="true"/>
              </w:rPr>
              <w:t>«</w:t>
            </w:r>
            <w:r>
              <w:rPr>
                <w:rStyle w:val="IndexLink"/>
                <w:rtl w:val="true"/>
              </w:rPr>
              <w:t>لا ضرر و لا ضرار</w:t>
            </w:r>
            <w:r>
              <w:rPr>
                <w:rStyle w:val="IndexLink"/>
                <w:rtl w:val="true"/>
              </w:rPr>
              <w:t xml:space="preserve">» </w:t>
            </w:r>
            <w:r>
              <w:rPr>
                <w:rStyle w:val="IndexLink"/>
                <w:rtl w:val="true"/>
              </w:rPr>
              <w:t>کی لا یلزم التکرار فی الحدیث</w:t>
            </w:r>
            <w:r>
              <w:rPr>
                <w:rStyle w:val="IndexLink"/>
                <w:rtl w:val="true"/>
              </w:rPr>
              <w:tab/>
            </w:r>
            <w:r>
              <w:rPr>
                <w:rStyle w:val="IndexLink"/>
              </w:rPr>
              <w:t>287</w:t>
            </w:r>
          </w:hyperlink>
        </w:p>
        <w:p>
          <w:pPr>
            <w:pStyle w:val="Contents6"/>
            <w:tabs>
              <w:tab w:val="clear" w:pos="7609"/>
              <w:tab w:val="right" w:pos="9026" w:leader="dot"/>
            </w:tabs>
            <w:rPr/>
          </w:pPr>
          <w:hyperlink w:anchor="__RefHeading___Toc763942_3244359995">
            <w:r>
              <w:rPr>
                <w:webHidden/>
                <w:rStyle w:val="IndexLink"/>
                <w:rtl w:val="true"/>
              </w:rPr>
              <w:t>تأیید</w:t>
            </w:r>
            <w:r>
              <w:rPr>
                <w:rStyle w:val="IndexLink"/>
                <w:rtl w:val="true"/>
              </w:rPr>
              <w:t xml:space="preserve">: </w:t>
            </w:r>
            <w:r>
              <w:rPr>
                <w:rStyle w:val="IndexLink"/>
                <w:rtl w:val="true"/>
              </w:rPr>
              <w:t xml:space="preserve">لتقدیم </w:t>
            </w:r>
            <w:r>
              <w:rPr>
                <w:rStyle w:val="IndexLink"/>
                <w:rtl w:val="true"/>
              </w:rPr>
              <w:t>«</w:t>
            </w:r>
            <w:r>
              <w:rPr>
                <w:rStyle w:val="IndexLink"/>
                <w:rtl w:val="true"/>
              </w:rPr>
              <w:t>لا ضرر</w:t>
            </w:r>
            <w:r>
              <w:rPr>
                <w:rStyle w:val="IndexLink"/>
                <w:rtl w:val="true"/>
              </w:rPr>
              <w:t xml:space="preserve">» </w:t>
            </w:r>
            <w:r>
              <w:rPr>
                <w:rStyle w:val="IndexLink"/>
                <w:rtl w:val="true"/>
              </w:rPr>
              <w:t>علی الأدلة الأوّلیّة</w:t>
            </w:r>
            <w:r>
              <w:rPr>
                <w:rStyle w:val="IndexLink"/>
                <w:rtl w:val="true"/>
              </w:rPr>
              <w:tab/>
            </w:r>
            <w:r>
              <w:rPr>
                <w:rStyle w:val="IndexLink"/>
              </w:rPr>
              <w:t>294</w:t>
            </w:r>
          </w:hyperlink>
        </w:p>
        <w:p>
          <w:pPr>
            <w:pStyle w:val="Contents6"/>
            <w:tabs>
              <w:tab w:val="clear" w:pos="7609"/>
              <w:tab w:val="right" w:pos="9026" w:leader="dot"/>
            </w:tabs>
            <w:rPr/>
          </w:pPr>
          <w:hyperlink w:anchor="__RefHeading___Toc763944_3244359995">
            <w:r>
              <w:rPr>
                <w:webHidden/>
                <w:rStyle w:val="IndexLink"/>
                <w:rtl w:val="true"/>
              </w:rPr>
              <w:t>تأیید ثان</w:t>
            </w:r>
            <w:r>
              <w:rPr>
                <w:rStyle w:val="IndexLink"/>
                <w:rtl w:val="true"/>
              </w:rPr>
              <w:t>:</w:t>
              <w:tab/>
            </w:r>
            <w:r>
              <w:rPr>
                <w:rStyle w:val="IndexLink"/>
              </w:rPr>
              <w:t>296</w:t>
            </w:r>
          </w:hyperlink>
        </w:p>
        <w:p>
          <w:pPr>
            <w:pStyle w:val="Contents6"/>
            <w:tabs>
              <w:tab w:val="clear" w:pos="7609"/>
              <w:tab w:val="right" w:pos="9026" w:leader="dot"/>
            </w:tabs>
            <w:rPr/>
          </w:pPr>
          <w:hyperlink w:anchor="__RefHeading___Toc763946_3244359995">
            <w:r>
              <w:rPr>
                <w:webHidden/>
                <w:rStyle w:val="IndexLink"/>
                <w:rtl w:val="true"/>
              </w:rPr>
              <w:t xml:space="preserve">حول بیان النفی الادعائی فی </w:t>
            </w:r>
            <w:r>
              <w:rPr>
                <w:rStyle w:val="IndexLink"/>
                <w:rtl w:val="true"/>
              </w:rPr>
              <w:t>«</w:t>
            </w:r>
            <w:r>
              <w:rPr>
                <w:rStyle w:val="IndexLink"/>
                <w:rtl w:val="true"/>
              </w:rPr>
              <w:t>لا ضرر</w:t>
            </w:r>
            <w:r>
              <w:rPr>
                <w:rStyle w:val="IndexLink"/>
                <w:rtl w:val="true"/>
              </w:rPr>
              <w:t>»</w:t>
              <w:tab/>
            </w:r>
            <w:r>
              <w:rPr>
                <w:rStyle w:val="IndexLink"/>
              </w:rPr>
              <w:t>298</w:t>
            </w:r>
          </w:hyperlink>
        </w:p>
        <w:p>
          <w:pPr>
            <w:pStyle w:val="Contents6"/>
            <w:tabs>
              <w:tab w:val="clear" w:pos="7609"/>
              <w:tab w:val="right" w:pos="9026" w:leader="dot"/>
            </w:tabs>
            <w:rPr/>
          </w:pPr>
          <w:hyperlink w:anchor="__RefHeading___Toc763948_3244359995">
            <w:r>
              <w:rPr>
                <w:webHidden/>
                <w:rStyle w:val="IndexLink"/>
                <w:rtl w:val="true"/>
              </w:rPr>
              <w:t>بقی شی‌ء</w:t>
            </w:r>
            <w:r>
              <w:rPr>
                <w:rStyle w:val="IndexLink"/>
                <w:rtl w:val="true"/>
              </w:rPr>
              <w:t xml:space="preserve">: </w:t>
            </w:r>
            <w:r>
              <w:rPr>
                <w:rStyle w:val="IndexLink"/>
                <w:rtl w:val="true"/>
              </w:rPr>
              <w:t xml:space="preserve">فی سقوط </w:t>
            </w:r>
            <w:r>
              <w:rPr>
                <w:rStyle w:val="IndexLink"/>
                <w:rtl w:val="true"/>
              </w:rPr>
              <w:t>«</w:t>
            </w:r>
            <w:r>
              <w:rPr>
                <w:rStyle w:val="IndexLink"/>
                <w:rtl w:val="true"/>
              </w:rPr>
              <w:t>لا ضرر</w:t>
            </w:r>
            <w:r>
              <w:rPr>
                <w:rStyle w:val="IndexLink"/>
                <w:rtl w:val="true"/>
              </w:rPr>
              <w:t xml:space="preserve">» </w:t>
            </w:r>
            <w:r>
              <w:rPr>
                <w:rStyle w:val="IndexLink"/>
                <w:rtl w:val="true"/>
              </w:rPr>
              <w:t>عن الفائدة الخاصة به</w:t>
            </w:r>
            <w:r>
              <w:rPr>
                <w:rStyle w:val="IndexLink"/>
                <w:rtl w:val="true"/>
              </w:rPr>
              <w:tab/>
            </w:r>
            <w:r>
              <w:rPr>
                <w:rStyle w:val="IndexLink"/>
              </w:rPr>
              <w:t>299</w:t>
            </w:r>
          </w:hyperlink>
        </w:p>
        <w:p>
          <w:pPr>
            <w:pStyle w:val="Contents6"/>
            <w:tabs>
              <w:tab w:val="clear" w:pos="7609"/>
              <w:tab w:val="right" w:pos="9026" w:leader="dot"/>
            </w:tabs>
            <w:rPr/>
          </w:pPr>
          <w:hyperlink w:anchor="__RefHeading___Toc763950_3244359995">
            <w:r>
              <w:rPr>
                <w:webHidden/>
                <w:rStyle w:val="IndexLink"/>
                <w:rtl w:val="true"/>
              </w:rPr>
              <w:t>وهم و دفع</w:t>
            </w:r>
            <w:r>
              <w:rPr>
                <w:rStyle w:val="IndexLink"/>
                <w:rtl w:val="true"/>
              </w:rPr>
              <w:tab/>
            </w:r>
            <w:r>
              <w:rPr>
                <w:rStyle w:val="IndexLink"/>
              </w:rPr>
              <w:t>300</w:t>
            </w:r>
          </w:hyperlink>
        </w:p>
        <w:p>
          <w:pPr>
            <w:pStyle w:val="Contents6"/>
            <w:tabs>
              <w:tab w:val="clear" w:pos="7609"/>
              <w:tab w:val="right" w:pos="9026" w:leader="dot"/>
            </w:tabs>
            <w:rPr/>
          </w:pPr>
          <w:hyperlink w:anchor="__RefHeading___Toc763952_3244359995">
            <w:r>
              <w:rPr>
                <w:webHidden/>
                <w:rStyle w:val="IndexLink"/>
                <w:rtl w:val="true"/>
              </w:rPr>
              <w:t>تنبیهان</w:t>
            </w:r>
            <w:r>
              <w:rPr>
                <w:rStyle w:val="IndexLink"/>
                <w:rtl w:val="true"/>
              </w:rPr>
              <w:t>:</w:t>
              <w:tab/>
            </w:r>
            <w:r>
              <w:rPr>
                <w:rStyle w:val="IndexLink"/>
              </w:rPr>
              <w:t>300</w:t>
            </w:r>
          </w:hyperlink>
        </w:p>
        <w:p>
          <w:pPr>
            <w:pStyle w:val="Contents6"/>
            <w:tabs>
              <w:tab w:val="clear" w:pos="7609"/>
              <w:tab w:val="right" w:pos="9026" w:leader="dot"/>
            </w:tabs>
            <w:rPr/>
          </w:pPr>
          <w:hyperlink w:anchor="__RefHeading___Toc763954_3244359995">
            <w:r>
              <w:rPr>
                <w:webHidden/>
                <w:rStyle w:val="IndexLink"/>
                <w:rtl w:val="true"/>
              </w:rPr>
              <w:t>التنبیه الأوّل</w:t>
            </w:r>
            <w:r>
              <w:rPr>
                <w:rStyle w:val="IndexLink"/>
                <w:rtl w:val="true"/>
              </w:rPr>
              <w:t xml:space="preserve">: </w:t>
            </w:r>
            <w:r>
              <w:rPr>
                <w:rStyle w:val="IndexLink"/>
                <w:rtl w:val="true"/>
              </w:rPr>
              <w:t>حول نفی الضرر عن الأنصاری بإدخاله علی سمرة</w:t>
            </w:r>
            <w:r>
              <w:rPr>
                <w:rStyle w:val="IndexLink"/>
                <w:rtl w:val="true"/>
              </w:rPr>
              <w:tab/>
            </w:r>
            <w:r>
              <w:rPr>
                <w:rStyle w:val="IndexLink"/>
              </w:rPr>
              <w:t>300</w:t>
            </w:r>
          </w:hyperlink>
        </w:p>
        <w:p>
          <w:pPr>
            <w:pStyle w:val="Contents6"/>
            <w:tabs>
              <w:tab w:val="clear" w:pos="7609"/>
              <w:tab w:val="right" w:pos="9026" w:leader="dot"/>
            </w:tabs>
            <w:rPr/>
          </w:pPr>
          <w:hyperlink w:anchor="__RefHeading___Toc763956_3244359995">
            <w:r>
              <w:rPr>
                <w:webHidden/>
                <w:rStyle w:val="IndexLink"/>
                <w:rtl w:val="true"/>
              </w:rPr>
              <w:t>التنبیه الثانی</w:t>
            </w:r>
            <w:r>
              <w:rPr>
                <w:rStyle w:val="IndexLink"/>
                <w:rtl w:val="true"/>
              </w:rPr>
              <w:t xml:space="preserve">: </w:t>
            </w:r>
            <w:r>
              <w:rPr>
                <w:rStyle w:val="IndexLink"/>
                <w:rtl w:val="true"/>
              </w:rPr>
              <w:t xml:space="preserve">فی بیان النسبة بین </w:t>
            </w:r>
            <w:r>
              <w:rPr>
                <w:rStyle w:val="IndexLink"/>
                <w:rtl w:val="true"/>
              </w:rPr>
              <w:t>«</w:t>
            </w:r>
            <w:r>
              <w:rPr>
                <w:rStyle w:val="IndexLink"/>
                <w:rtl w:val="true"/>
              </w:rPr>
              <w:t>لا ضرر</w:t>
            </w:r>
            <w:r>
              <w:rPr>
                <w:rStyle w:val="IndexLink"/>
                <w:rtl w:val="true"/>
              </w:rPr>
              <w:t xml:space="preserve">» </w:t>
            </w:r>
            <w:r>
              <w:rPr>
                <w:rStyle w:val="IndexLink"/>
                <w:rtl w:val="true"/>
              </w:rPr>
              <w:t>و قاعدة السلطنة</w:t>
            </w:r>
            <w:r>
              <w:rPr>
                <w:rStyle w:val="IndexLink"/>
                <w:rtl w:val="true"/>
              </w:rPr>
              <w:tab/>
            </w:r>
            <w:r>
              <w:rPr>
                <w:rStyle w:val="IndexLink"/>
              </w:rPr>
              <w:t>303</w:t>
            </w:r>
          </w:hyperlink>
        </w:p>
        <w:p>
          <w:pPr>
            <w:pStyle w:val="Contents6"/>
            <w:tabs>
              <w:tab w:val="clear" w:pos="7609"/>
              <w:tab w:val="right" w:pos="9026" w:leader="dot"/>
            </w:tabs>
            <w:rPr/>
          </w:pPr>
          <w:hyperlink w:anchor="__RefHeading___Toc763958_3244359995">
            <w:r>
              <w:rPr>
                <w:webHidden/>
                <w:rStyle w:val="IndexLink"/>
                <w:rtl w:val="true"/>
              </w:rPr>
              <w:t>فروع</w:t>
            </w:r>
            <w:r>
              <w:rPr>
                <w:rStyle w:val="IndexLink"/>
                <w:rtl w:val="true"/>
              </w:rPr>
              <w:t xml:space="preserve">: </w:t>
            </w:r>
            <w:r>
              <w:rPr>
                <w:rStyle w:val="IndexLink"/>
                <w:rtl w:val="true"/>
              </w:rPr>
              <w:t>فی أحکام تزاحم الضررین أو الضرر مع الحرج</w:t>
            </w:r>
            <w:r>
              <w:rPr>
                <w:rStyle w:val="IndexLink"/>
                <w:rtl w:val="true"/>
              </w:rPr>
              <w:tab/>
            </w:r>
            <w:r>
              <w:rPr>
                <w:rStyle w:val="IndexLink"/>
              </w:rPr>
              <w:t>306</w:t>
            </w:r>
          </w:hyperlink>
        </w:p>
        <w:p>
          <w:pPr>
            <w:pStyle w:val="Contents6"/>
            <w:tabs>
              <w:tab w:val="clear" w:pos="7609"/>
              <w:tab w:val="right" w:pos="9026" w:leader="dot"/>
            </w:tabs>
            <w:rPr/>
          </w:pPr>
          <w:hyperlink w:anchor="__RefHeading___Toc763960_3244359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763962_3244359995">
            <w:r>
              <w:rPr>
                <w:webHidden/>
                <w:rStyle w:val="IndexLink"/>
                <w:rtl w:val="true"/>
              </w:rPr>
              <w:t>الفرع الأوّل</w:t>
            </w:r>
            <w:r>
              <w:rPr>
                <w:rStyle w:val="IndexLink"/>
                <w:rtl w:val="true"/>
              </w:rPr>
              <w:t xml:space="preserve">: </w:t>
            </w:r>
            <w:r>
              <w:rPr>
                <w:rStyle w:val="IndexLink"/>
                <w:rtl w:val="true"/>
              </w:rPr>
              <w:t>فی التزاحم بین إضرار الغیر و تحمّل الحرج</w:t>
            </w:r>
            <w:r>
              <w:rPr>
                <w:rStyle w:val="IndexLink"/>
                <w:rtl w:val="true"/>
              </w:rPr>
              <w:tab/>
            </w:r>
            <w:r>
              <w:rPr>
                <w:rStyle w:val="IndexLink"/>
              </w:rPr>
              <w:t>306</w:t>
            </w:r>
          </w:hyperlink>
        </w:p>
        <w:p>
          <w:pPr>
            <w:pStyle w:val="Contents6"/>
            <w:tabs>
              <w:tab w:val="clear" w:pos="7609"/>
              <w:tab w:val="right" w:pos="9026" w:leader="dot"/>
            </w:tabs>
            <w:rPr/>
          </w:pPr>
          <w:hyperlink w:anchor="__RefHeading___Toc763964_3244359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763966_3244359995">
            <w:r>
              <w:rPr>
                <w:webHidden/>
                <w:rStyle w:val="IndexLink"/>
                <w:rtl w:val="true"/>
              </w:rPr>
              <w:t>بقی شی‌ء</w:t>
            </w:r>
            <w:r>
              <w:rPr>
                <w:rStyle w:val="IndexLink"/>
                <w:rtl w:val="true"/>
              </w:rPr>
              <w:t xml:space="preserve">: </w:t>
            </w:r>
            <w:r>
              <w:rPr>
                <w:rStyle w:val="IndexLink"/>
                <w:rtl w:val="true"/>
              </w:rPr>
              <w:t>فی عدم مرجعیة قاعدة السلطنة فی المقام</w:t>
            </w:r>
            <w:r>
              <w:rPr>
                <w:rStyle w:val="IndexLink"/>
                <w:rtl w:val="true"/>
              </w:rPr>
              <w:tab/>
            </w:r>
            <w:r>
              <w:rPr>
                <w:rStyle w:val="IndexLink"/>
              </w:rPr>
              <w:t>309</w:t>
            </w:r>
          </w:hyperlink>
        </w:p>
        <w:p>
          <w:pPr>
            <w:pStyle w:val="Contents6"/>
            <w:tabs>
              <w:tab w:val="clear" w:pos="7609"/>
              <w:tab w:val="right" w:pos="9026" w:leader="dot"/>
            </w:tabs>
            <w:rPr/>
          </w:pPr>
          <w:hyperlink w:anchor="__RefHeading___Toc763968_3244359995">
            <w:r>
              <w:rPr>
                <w:webHidden/>
                <w:rStyle w:val="IndexLink"/>
                <w:rtl w:val="true"/>
              </w:rPr>
              <w:t>إفادة</w:t>
            </w:r>
            <w:r>
              <w:rPr>
                <w:rStyle w:val="IndexLink"/>
                <w:rtl w:val="true"/>
              </w:rPr>
              <w:t xml:space="preserve">: </w:t>
            </w:r>
            <w:r>
              <w:rPr>
                <w:rStyle w:val="IndexLink"/>
                <w:rtl w:val="true"/>
              </w:rPr>
              <w:t xml:space="preserve">فی بیان حکم تزاحم </w:t>
            </w:r>
            <w:r>
              <w:rPr>
                <w:rStyle w:val="IndexLink"/>
                <w:rtl w:val="true"/>
              </w:rPr>
              <w:t>«</w:t>
            </w:r>
            <w:r>
              <w:rPr>
                <w:rStyle w:val="IndexLink"/>
                <w:rtl w:val="true"/>
              </w:rPr>
              <w:t>لا ضرر</w:t>
            </w:r>
            <w:r>
              <w:rPr>
                <w:rStyle w:val="IndexLink"/>
                <w:rtl w:val="true"/>
              </w:rPr>
              <w:t xml:space="preserve">» </w:t>
            </w:r>
            <w:r>
              <w:rPr>
                <w:rStyle w:val="IndexLink"/>
                <w:rtl w:val="true"/>
              </w:rPr>
              <w:t>مع نفی الحرج</w:t>
            </w:r>
            <w:r>
              <w:rPr>
                <w:rStyle w:val="IndexLink"/>
                <w:rtl w:val="true"/>
              </w:rPr>
              <w:tab/>
            </w:r>
            <w:r>
              <w:rPr>
                <w:rStyle w:val="IndexLink"/>
              </w:rPr>
              <w:t>310</w:t>
            </w:r>
          </w:hyperlink>
        </w:p>
        <w:p>
          <w:pPr>
            <w:pStyle w:val="Contents6"/>
            <w:tabs>
              <w:tab w:val="clear" w:pos="7609"/>
              <w:tab w:val="right" w:pos="9026" w:leader="dot"/>
            </w:tabs>
            <w:rPr/>
          </w:pPr>
          <w:hyperlink w:anchor="__RefHeading___Toc763970_3244359995">
            <w:r>
              <w:rPr>
                <w:webHidden/>
                <w:rStyle w:val="IndexLink"/>
                <w:rtl w:val="true"/>
              </w:rPr>
              <w:t>الفرع الثانی</w:t>
            </w:r>
            <w:r>
              <w:rPr>
                <w:rStyle w:val="IndexLink"/>
                <w:rtl w:val="true"/>
              </w:rPr>
              <w:t xml:space="preserve">: </w:t>
            </w:r>
            <w:r>
              <w:rPr>
                <w:rStyle w:val="IndexLink"/>
                <w:rtl w:val="true"/>
              </w:rPr>
              <w:t>فی تزاحم الضررین</w:t>
            </w:r>
            <w:r>
              <w:rPr>
                <w:rStyle w:val="IndexLink"/>
                <w:rtl w:val="true"/>
              </w:rPr>
              <w:tab/>
            </w:r>
            <w:r>
              <w:rPr>
                <w:rStyle w:val="IndexLink"/>
              </w:rPr>
              <w:t>311</w:t>
            </w:r>
          </w:hyperlink>
        </w:p>
        <w:p>
          <w:pPr>
            <w:pStyle w:val="Contents6"/>
            <w:tabs>
              <w:tab w:val="clear" w:pos="7609"/>
              <w:tab w:val="right" w:pos="9026" w:leader="dot"/>
            </w:tabs>
            <w:rPr/>
          </w:pPr>
          <w:hyperlink w:anchor="__RefHeading___Toc763972_3244359995">
            <w:r>
              <w:rPr>
                <w:webHidden/>
                <w:rStyle w:val="IndexLink"/>
                <w:rtl w:val="true"/>
              </w:rPr>
              <w:t>الفرع الثالث</w:t>
            </w:r>
            <w:r>
              <w:rPr>
                <w:rStyle w:val="IndexLink"/>
                <w:rtl w:val="true"/>
              </w:rPr>
              <w:t xml:space="preserve">: </w:t>
            </w:r>
            <w:r>
              <w:rPr>
                <w:rStyle w:val="IndexLink"/>
                <w:rtl w:val="true"/>
              </w:rPr>
              <w:t>فی حکم تحمّل الضرر فی البیع و الهبة و نحوهما</w:t>
            </w:r>
            <w:r>
              <w:rPr>
                <w:rStyle w:val="IndexLink"/>
                <w:rtl w:val="true"/>
              </w:rPr>
              <w:tab/>
            </w:r>
            <w:r>
              <w:rPr>
                <w:rStyle w:val="IndexLink"/>
              </w:rPr>
              <w:t>313</w:t>
            </w:r>
          </w:hyperlink>
        </w:p>
        <w:p>
          <w:pPr>
            <w:pStyle w:val="Contents6"/>
            <w:tabs>
              <w:tab w:val="clear" w:pos="7609"/>
              <w:tab w:val="right" w:pos="9026" w:leader="dot"/>
            </w:tabs>
            <w:rPr/>
          </w:pPr>
          <w:hyperlink w:anchor="__RefHeading___Toc763974_3244359995">
            <w:r>
              <w:rPr>
                <w:webHidden/>
                <w:rStyle w:val="IndexLink"/>
                <w:rtl w:val="true"/>
              </w:rPr>
              <w:t>الفرع الرابع</w:t>
            </w:r>
            <w:r>
              <w:rPr>
                <w:rStyle w:val="IndexLink"/>
                <w:rtl w:val="true"/>
              </w:rPr>
              <w:t xml:space="preserve">: </w:t>
            </w:r>
            <w:r>
              <w:rPr>
                <w:rStyle w:val="IndexLink"/>
                <w:rtl w:val="true"/>
              </w:rPr>
              <w:t xml:space="preserve">حول حکومة </w:t>
            </w:r>
            <w:r>
              <w:rPr>
                <w:rStyle w:val="IndexLink"/>
                <w:rtl w:val="true"/>
              </w:rPr>
              <w:t>«</w:t>
            </w:r>
            <w:r>
              <w:rPr>
                <w:rStyle w:val="IndexLink"/>
                <w:rtl w:val="true"/>
              </w:rPr>
              <w:t>لا ضرر</w:t>
            </w:r>
            <w:r>
              <w:rPr>
                <w:rStyle w:val="IndexLink"/>
                <w:rtl w:val="true"/>
              </w:rPr>
              <w:t xml:space="preserve">» </w:t>
            </w:r>
            <w:r>
              <w:rPr>
                <w:rStyle w:val="IndexLink"/>
                <w:rtl w:val="true"/>
              </w:rPr>
              <w:t>علی الأحکام العدمیة</w:t>
            </w:r>
            <w:r>
              <w:rPr>
                <w:rStyle w:val="IndexLink"/>
                <w:rtl w:val="true"/>
              </w:rPr>
              <w:tab/>
            </w:r>
            <w:r>
              <w:rPr>
                <w:rStyle w:val="IndexLink"/>
              </w:rPr>
              <w:t>314</w:t>
            </w:r>
          </w:hyperlink>
        </w:p>
        <w:p>
          <w:pPr>
            <w:pStyle w:val="Contents6"/>
            <w:tabs>
              <w:tab w:val="clear" w:pos="7609"/>
              <w:tab w:val="right" w:pos="9026" w:leader="dot"/>
            </w:tabs>
            <w:rPr/>
          </w:pPr>
          <w:hyperlink w:anchor="__RefHeading___Toc763976_3244359995">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763978_3244359995">
            <w:r>
              <w:rPr>
                <w:webHidden/>
                <w:rStyle w:val="IndexLink"/>
                <w:rtl w:val="true"/>
              </w:rPr>
              <w:t>مسألة</w:t>
            </w:r>
            <w:r>
              <w:rPr>
                <w:rStyle w:val="IndexLink"/>
                <w:rtl w:val="true"/>
              </w:rPr>
              <w:t xml:space="preserve">: </w:t>
            </w:r>
            <w:r>
              <w:rPr>
                <w:rStyle w:val="IndexLink"/>
                <w:rtl w:val="true"/>
              </w:rPr>
              <w:t>حول بطلان الوضوء الضرری و نحوه</w:t>
            </w:r>
            <w:r>
              <w:rPr>
                <w:rStyle w:val="IndexLink"/>
                <w:rtl w:val="true"/>
              </w:rPr>
              <w:tab/>
            </w:r>
            <w:r>
              <w:rPr>
                <w:rStyle w:val="IndexLink"/>
              </w:rPr>
              <w:t>316</w:t>
            </w:r>
          </w:hyperlink>
        </w:p>
        <w:p>
          <w:pPr>
            <w:pStyle w:val="Contents6"/>
            <w:tabs>
              <w:tab w:val="clear" w:pos="7609"/>
              <w:tab w:val="right" w:pos="9026" w:leader="dot"/>
            </w:tabs>
            <w:rPr/>
          </w:pPr>
          <w:hyperlink w:anchor="__RefHeading___Toc763980_3244359995">
            <w:r>
              <w:rPr>
                <w:webHidden/>
                <w:rStyle w:val="IndexLink"/>
                <w:rtl w:val="true"/>
              </w:rPr>
              <w:t>إفاضة</w:t>
            </w:r>
            <w:r>
              <w:rPr>
                <w:rStyle w:val="IndexLink"/>
                <w:rtl w:val="true"/>
              </w:rPr>
              <w:t xml:space="preserve">: </w:t>
            </w:r>
            <w:r>
              <w:rPr>
                <w:rStyle w:val="IndexLink"/>
                <w:rtl w:val="true"/>
              </w:rPr>
              <w:t xml:space="preserve">فی بیان حال </w:t>
            </w:r>
            <w:r>
              <w:rPr>
                <w:rStyle w:val="IndexLink"/>
                <w:rtl w:val="true"/>
              </w:rPr>
              <w:t>«</w:t>
            </w:r>
            <w:r>
              <w:rPr>
                <w:rStyle w:val="IndexLink"/>
                <w:rtl w:val="true"/>
              </w:rPr>
              <w:t>لا ضرر</w:t>
            </w:r>
            <w:r>
              <w:rPr>
                <w:rStyle w:val="IndexLink"/>
                <w:rtl w:val="true"/>
              </w:rPr>
              <w:t xml:space="preserve">» </w:t>
            </w:r>
            <w:r>
              <w:rPr>
                <w:rStyle w:val="IndexLink"/>
                <w:rtl w:val="true"/>
              </w:rPr>
              <w:t>مع موارد تحمل الضرر الموجب للحرج و العجز</w:t>
            </w:r>
            <w:r>
              <w:rPr>
                <w:rStyle w:val="IndexLink"/>
                <w:rtl w:val="true"/>
              </w:rPr>
              <w:tab/>
            </w:r>
            <w:r>
              <w:rPr>
                <w:rStyle w:val="IndexLink"/>
              </w:rPr>
              <w:t>317</w:t>
            </w:r>
          </w:hyperlink>
        </w:p>
        <w:p>
          <w:pPr>
            <w:pStyle w:val="Contents2"/>
            <w:tabs>
              <w:tab w:val="clear" w:pos="8743"/>
              <w:tab w:val="right" w:pos="9026" w:leader="dot"/>
            </w:tabs>
            <w:rPr/>
          </w:pPr>
          <w:hyperlink w:anchor="__RefHeading___Toc763982_3244359995">
            <w:r>
              <w:rPr>
                <w:webHidden/>
                <w:rStyle w:val="IndexLink"/>
                <w:rtl w:val="true"/>
              </w:rPr>
              <w:t>المقصد الحادی عشر فی الاستصحاب</w:t>
            </w:r>
            <w:r>
              <w:rPr>
                <w:rStyle w:val="IndexLink"/>
                <w:rtl w:val="true"/>
              </w:rPr>
              <w:tab/>
            </w:r>
            <w:r>
              <w:rPr>
                <w:rStyle w:val="IndexLink"/>
              </w:rPr>
              <w:t>318</w:t>
            </w:r>
          </w:hyperlink>
        </w:p>
        <w:p>
          <w:pPr>
            <w:pStyle w:val="Contents3"/>
            <w:tabs>
              <w:tab w:val="clear" w:pos="8459"/>
              <w:tab w:val="right" w:pos="9026" w:leader="dot"/>
            </w:tabs>
            <w:rPr/>
          </w:pPr>
          <w:hyperlink w:anchor="__RefHeading___Toc763984_3244359995">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763986_3244359995">
            <w:r>
              <w:rPr>
                <w:webHidden/>
                <w:rStyle w:val="IndexLink"/>
                <w:rtl w:val="true"/>
              </w:rPr>
              <w:t>حول تعریف الاستصحاب</w:t>
            </w:r>
            <w:r>
              <w:rPr>
                <w:rStyle w:val="IndexLink"/>
                <w:rtl w:val="true"/>
              </w:rPr>
              <w:tab/>
            </w:r>
            <w:r>
              <w:rPr>
                <w:rStyle w:val="IndexLink"/>
              </w:rPr>
              <w:t>319</w:t>
            </w:r>
          </w:hyperlink>
        </w:p>
        <w:p>
          <w:pPr>
            <w:pStyle w:val="Contents3"/>
            <w:tabs>
              <w:tab w:val="clear" w:pos="8459"/>
              <w:tab w:val="right" w:pos="9026" w:leader="dot"/>
            </w:tabs>
            <w:rPr/>
          </w:pPr>
          <w:hyperlink w:anchor="__RefHeading___Toc763988_3244359995">
            <w:r>
              <w:rPr>
                <w:webHidden/>
                <w:rStyle w:val="IndexLink"/>
                <w:rtl w:val="true"/>
              </w:rPr>
              <w:t>بقی شی‌ء</w:t>
            </w:r>
            <w:r>
              <w:rPr>
                <w:rStyle w:val="IndexLink"/>
                <w:rtl w:val="true"/>
              </w:rPr>
              <w:t xml:space="preserve">: </w:t>
            </w:r>
            <w:r>
              <w:rPr>
                <w:rStyle w:val="IndexLink"/>
                <w:rtl w:val="true"/>
              </w:rPr>
              <w:t xml:space="preserve">حول إطلاق </w:t>
            </w:r>
            <w:r>
              <w:rPr>
                <w:rStyle w:val="IndexLink"/>
                <w:rtl w:val="true"/>
              </w:rPr>
              <w:t>«</w:t>
            </w:r>
            <w:r>
              <w:rPr>
                <w:rStyle w:val="IndexLink"/>
                <w:rtl w:val="true"/>
              </w:rPr>
              <w:t>الحجّة</w:t>
            </w:r>
            <w:r>
              <w:rPr>
                <w:rStyle w:val="IndexLink"/>
                <w:rtl w:val="true"/>
              </w:rPr>
              <w:t xml:space="preserve">» </w:t>
            </w:r>
            <w:r>
              <w:rPr>
                <w:rStyle w:val="IndexLink"/>
                <w:rtl w:val="true"/>
              </w:rPr>
              <w:t>علی الاستصحاب</w:t>
            </w:r>
            <w:r>
              <w:rPr>
                <w:rStyle w:val="IndexLink"/>
                <w:rtl w:val="true"/>
              </w:rPr>
              <w:tab/>
            </w:r>
            <w:r>
              <w:rPr>
                <w:rStyle w:val="IndexLink"/>
              </w:rPr>
              <w:t>320</w:t>
            </w:r>
          </w:hyperlink>
        </w:p>
        <w:p>
          <w:pPr>
            <w:pStyle w:val="Contents3"/>
            <w:tabs>
              <w:tab w:val="clear" w:pos="8459"/>
              <w:tab w:val="right" w:pos="9026" w:leader="dot"/>
            </w:tabs>
            <w:rPr/>
          </w:pPr>
          <w:hyperlink w:anchor="__RefHeading___Toc763990_3244359995">
            <w:r>
              <w:rPr>
                <w:webHidden/>
                <w:rStyle w:val="IndexLink"/>
                <w:rtl w:val="true"/>
              </w:rPr>
              <w:t>ذنابة</w:t>
            </w:r>
            <w:r>
              <w:rPr>
                <w:rStyle w:val="IndexLink"/>
                <w:rtl w:val="true"/>
              </w:rPr>
              <w:t xml:space="preserve">: </w:t>
            </w:r>
            <w:r>
              <w:rPr>
                <w:rStyle w:val="IndexLink"/>
                <w:rtl w:val="true"/>
              </w:rPr>
              <w:t>فی أنّ الاستصحاب من المسائل الاصولیة أو الفقهیة</w:t>
            </w:r>
            <w:r>
              <w:rPr>
                <w:rStyle w:val="IndexLink"/>
                <w:rtl w:val="true"/>
              </w:rPr>
              <w:tab/>
            </w:r>
            <w:r>
              <w:rPr>
                <w:rStyle w:val="IndexLink"/>
              </w:rPr>
              <w:t>321</w:t>
            </w:r>
          </w:hyperlink>
        </w:p>
        <w:p>
          <w:pPr>
            <w:pStyle w:val="Contents3"/>
            <w:tabs>
              <w:tab w:val="clear" w:pos="8459"/>
              <w:tab w:val="right" w:pos="9026" w:leader="dot"/>
            </w:tabs>
            <w:rPr/>
          </w:pPr>
          <w:hyperlink w:anchor="__RefHeading___Toc763992_3244359995">
            <w:r>
              <w:rPr>
                <w:webHidden/>
                <w:rStyle w:val="IndexLink"/>
                <w:rtl w:val="true"/>
              </w:rPr>
              <w:t>تنبیه</w:t>
            </w:r>
            <w:r>
              <w:rPr>
                <w:rStyle w:val="IndexLink"/>
                <w:rtl w:val="true"/>
              </w:rPr>
              <w:t xml:space="preserve">: </w:t>
            </w:r>
            <w:r>
              <w:rPr>
                <w:rStyle w:val="IndexLink"/>
                <w:rtl w:val="true"/>
              </w:rPr>
              <w:t>فی أنّ بحث استصحاب الأحکام العقلیة و نحوه هنا فی غیر محله</w:t>
            </w:r>
            <w:r>
              <w:rPr>
                <w:rStyle w:val="IndexLink"/>
                <w:rtl w:val="true"/>
              </w:rPr>
              <w:tab/>
            </w:r>
            <w:r>
              <w:rPr>
                <w:rStyle w:val="IndexLink"/>
              </w:rPr>
              <w:t>326</w:t>
            </w:r>
          </w:hyperlink>
        </w:p>
        <w:p>
          <w:pPr>
            <w:pStyle w:val="Contents3"/>
            <w:tabs>
              <w:tab w:val="clear" w:pos="8459"/>
              <w:tab w:val="right" w:pos="9026" w:leader="dot"/>
            </w:tabs>
            <w:rPr/>
          </w:pPr>
          <w:hyperlink w:anchor="__RefHeading___Toc763994_3244359995">
            <w:r>
              <w:rPr>
                <w:webHidden/>
                <w:rStyle w:val="IndexLink"/>
                <w:rtl w:val="true"/>
              </w:rPr>
              <w:t>الامور المستدل بها علی الاستصحاب</w:t>
            </w:r>
            <w:r>
              <w:rPr>
                <w:rStyle w:val="IndexLink"/>
                <w:rtl w:val="true"/>
              </w:rPr>
              <w:tab/>
            </w:r>
            <w:r>
              <w:rPr>
                <w:rStyle w:val="IndexLink"/>
              </w:rPr>
              <w:t>327</w:t>
            </w:r>
          </w:hyperlink>
        </w:p>
        <w:p>
          <w:pPr>
            <w:pStyle w:val="Contents4"/>
            <w:tabs>
              <w:tab w:val="clear" w:pos="8176"/>
              <w:tab w:val="right" w:pos="9026" w:leader="dot"/>
            </w:tabs>
            <w:rPr/>
          </w:pPr>
          <w:hyperlink w:anchor="__RefHeading___Toc763996_3244359995">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763998_3244359995">
            <w:r>
              <w:rPr>
                <w:webHidden/>
                <w:rStyle w:val="IndexLink"/>
                <w:rtl w:val="true"/>
              </w:rPr>
              <w:t>الأمر الأوّل</w:t>
            </w:r>
            <w:r>
              <w:rPr>
                <w:rStyle w:val="IndexLink"/>
                <w:rtl w:val="true"/>
              </w:rPr>
              <w:t xml:space="preserve">: </w:t>
            </w:r>
            <w:r>
              <w:rPr>
                <w:rStyle w:val="IndexLink"/>
                <w:rtl w:val="true"/>
              </w:rPr>
              <w:t>العقل، أو بناء العقلاء و ارتکازهم، أو الإجماع</w:t>
            </w:r>
            <w:r>
              <w:rPr>
                <w:rStyle w:val="IndexLink"/>
                <w:rtl w:val="true"/>
              </w:rPr>
              <w:tab/>
            </w:r>
            <w:r>
              <w:rPr>
                <w:rStyle w:val="IndexLink"/>
              </w:rPr>
              <w:t>327</w:t>
            </w:r>
          </w:hyperlink>
        </w:p>
        <w:p>
          <w:pPr>
            <w:pStyle w:val="Contents4"/>
            <w:tabs>
              <w:tab w:val="clear" w:pos="8176"/>
              <w:tab w:val="right" w:pos="9026" w:leader="dot"/>
            </w:tabs>
            <w:rPr/>
          </w:pPr>
          <w:hyperlink w:anchor="__RefHeading___Toc764000_3244359995">
            <w:r>
              <w:rPr>
                <w:webHidden/>
                <w:rStyle w:val="IndexLink"/>
                <w:rtl w:val="true"/>
              </w:rPr>
              <w:t>الأمر الثانی</w:t>
            </w:r>
            <w:r>
              <w:rPr>
                <w:rStyle w:val="IndexLink"/>
                <w:rtl w:val="true"/>
              </w:rPr>
              <w:t xml:space="preserve">: </w:t>
            </w:r>
            <w:r>
              <w:rPr>
                <w:rStyle w:val="IndexLink"/>
                <w:rtl w:val="true"/>
              </w:rPr>
              <w:t>مقدّمات الانسداد</w:t>
            </w:r>
            <w:r>
              <w:rPr>
                <w:rStyle w:val="IndexLink"/>
                <w:rtl w:val="true"/>
              </w:rPr>
              <w:tab/>
            </w:r>
            <w:r>
              <w:rPr>
                <w:rStyle w:val="IndexLink"/>
              </w:rPr>
              <w:t>328</w:t>
            </w:r>
          </w:hyperlink>
        </w:p>
        <w:p>
          <w:pPr>
            <w:pStyle w:val="Contents4"/>
            <w:tabs>
              <w:tab w:val="clear" w:pos="8176"/>
              <w:tab w:val="right" w:pos="9026" w:leader="dot"/>
            </w:tabs>
            <w:rPr/>
          </w:pPr>
          <w:hyperlink w:anchor="__RefHeading___Toc764002_3244359995">
            <w:r>
              <w:rPr>
                <w:webHidden/>
                <w:rStyle w:val="IndexLink"/>
                <w:rtl w:val="true"/>
              </w:rPr>
              <w:t>الأمر الثالث</w:t>
            </w:r>
            <w:r>
              <w:rPr>
                <w:rStyle w:val="IndexLink"/>
                <w:rtl w:val="true"/>
              </w:rPr>
              <w:t xml:space="preserve">: </w:t>
            </w:r>
            <w:r>
              <w:rPr>
                <w:rStyle w:val="IndexLink"/>
                <w:rtl w:val="true"/>
              </w:rPr>
              <w:t>الأخبار الخاصّة و الروایات</w:t>
            </w:r>
            <w:r>
              <w:rPr>
                <w:rStyle w:val="IndexLink"/>
                <w:rtl w:val="true"/>
              </w:rPr>
              <w:tab/>
            </w:r>
            <w:r>
              <w:rPr>
                <w:rStyle w:val="IndexLink"/>
              </w:rPr>
              <w:t>329</w:t>
            </w:r>
          </w:hyperlink>
        </w:p>
        <w:p>
          <w:pPr>
            <w:pStyle w:val="Contents5"/>
            <w:tabs>
              <w:tab w:val="clear" w:pos="7892"/>
              <w:tab w:val="right" w:pos="9026" w:leader="dot"/>
            </w:tabs>
            <w:rPr/>
          </w:pPr>
          <w:hyperlink w:anchor="__RefHeading___Toc764004_3244359995">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764006_3244359995">
            <w:r>
              <w:rPr>
                <w:webHidden/>
                <w:rStyle w:val="IndexLink"/>
                <w:rtl w:val="true"/>
              </w:rPr>
              <w:t>فمنها</w:t>
            </w:r>
            <w:r>
              <w:rPr>
                <w:rStyle w:val="IndexLink"/>
                <w:rtl w:val="true"/>
              </w:rPr>
              <w:t xml:space="preserve">: </w:t>
            </w:r>
            <w:r>
              <w:rPr>
                <w:rStyle w:val="IndexLink"/>
                <w:rtl w:val="true"/>
              </w:rPr>
              <w:t>المضمرة الاولی لزرارة</w:t>
            </w:r>
            <w:r>
              <w:rPr>
                <w:rStyle w:val="IndexLink"/>
                <w:rtl w:val="true"/>
              </w:rPr>
              <w:tab/>
            </w:r>
            <w:r>
              <w:rPr>
                <w:rStyle w:val="IndexLink"/>
              </w:rPr>
              <w:t>329</w:t>
            </w:r>
          </w:hyperlink>
        </w:p>
        <w:p>
          <w:pPr>
            <w:pStyle w:val="Contents6"/>
            <w:tabs>
              <w:tab w:val="clear" w:pos="7609"/>
              <w:tab w:val="right" w:pos="9026" w:leader="dot"/>
            </w:tabs>
            <w:rPr/>
          </w:pPr>
          <w:hyperlink w:anchor="__RefHeading___Toc764008_3244359995">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764010_3244359995">
            <w:r>
              <w:rPr>
                <w:webHidden/>
                <w:rStyle w:val="IndexLink"/>
                <w:rtl w:val="true"/>
              </w:rPr>
              <w:t>الجهة الاولی</w:t>
            </w:r>
            <w:r>
              <w:rPr>
                <w:rStyle w:val="IndexLink"/>
                <w:rtl w:val="true"/>
              </w:rPr>
              <w:t xml:space="preserve">: </w:t>
            </w:r>
            <w:r>
              <w:rPr>
                <w:rStyle w:val="IndexLink"/>
                <w:rtl w:val="true"/>
              </w:rPr>
              <w:t>فی حجّیتها لأجل الإضمار</w:t>
            </w:r>
            <w:r>
              <w:rPr>
                <w:rStyle w:val="IndexLink"/>
                <w:rtl w:val="true"/>
              </w:rPr>
              <w:tab/>
            </w:r>
            <w:r>
              <w:rPr>
                <w:rStyle w:val="IndexLink"/>
              </w:rPr>
              <w:t>330</w:t>
            </w:r>
          </w:hyperlink>
        </w:p>
        <w:p>
          <w:pPr>
            <w:pStyle w:val="Contents6"/>
            <w:tabs>
              <w:tab w:val="clear" w:pos="7609"/>
              <w:tab w:val="right" w:pos="9026" w:leader="dot"/>
            </w:tabs>
            <w:rPr/>
          </w:pPr>
          <w:hyperlink w:anchor="__RefHeading___Toc764012_3244359995">
            <w:r>
              <w:rPr>
                <w:webHidden/>
                <w:rStyle w:val="IndexLink"/>
                <w:rtl w:val="true"/>
              </w:rPr>
              <w:t>الجهة الثانیة</w:t>
            </w:r>
            <w:r>
              <w:rPr>
                <w:rStyle w:val="IndexLink"/>
                <w:rtl w:val="true"/>
              </w:rPr>
              <w:t xml:space="preserve">: </w:t>
            </w:r>
            <w:r>
              <w:rPr>
                <w:rStyle w:val="IndexLink"/>
                <w:rtl w:val="true"/>
              </w:rPr>
              <w:t>فی دلالتها علی حجّیة الاستصحاب فی الجملة</w:t>
            </w:r>
            <w:r>
              <w:rPr>
                <w:rStyle w:val="IndexLink"/>
                <w:rtl w:val="true"/>
              </w:rPr>
              <w:tab/>
            </w:r>
            <w:r>
              <w:rPr>
                <w:rStyle w:val="IndexLink"/>
              </w:rPr>
              <w:t>331</w:t>
            </w:r>
          </w:hyperlink>
        </w:p>
        <w:p>
          <w:pPr>
            <w:pStyle w:val="Contents6"/>
            <w:tabs>
              <w:tab w:val="clear" w:pos="7609"/>
              <w:tab w:val="right" w:pos="9026" w:leader="dot"/>
            </w:tabs>
            <w:rPr/>
          </w:pPr>
          <w:hyperlink w:anchor="__RefHeading___Toc764014_3244359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764016_3244359995">
            <w:r>
              <w:rPr>
                <w:webHidden/>
                <w:rStyle w:val="IndexLink"/>
                <w:rtl w:val="true"/>
              </w:rPr>
              <w:t>تذنیب</w:t>
            </w:r>
            <w:r>
              <w:rPr>
                <w:rStyle w:val="IndexLink"/>
                <w:rtl w:val="true"/>
              </w:rPr>
              <w:t xml:space="preserve">: </w:t>
            </w:r>
            <w:r>
              <w:rPr>
                <w:rStyle w:val="IndexLink"/>
                <w:rtl w:val="true"/>
              </w:rPr>
              <w:t>فی بیان إیرادین علی المضمرة مع دفعهما</w:t>
            </w:r>
            <w:r>
              <w:rPr>
                <w:rStyle w:val="IndexLink"/>
                <w:rtl w:val="true"/>
              </w:rPr>
              <w:tab/>
            </w:r>
            <w:r>
              <w:rPr>
                <w:rStyle w:val="IndexLink"/>
              </w:rPr>
              <w:t>335</w:t>
            </w:r>
          </w:hyperlink>
        </w:p>
        <w:p>
          <w:pPr>
            <w:pStyle w:val="Contents6"/>
            <w:tabs>
              <w:tab w:val="clear" w:pos="7609"/>
              <w:tab w:val="right" w:pos="9026" w:leader="dot"/>
            </w:tabs>
            <w:rPr/>
          </w:pPr>
          <w:hyperlink w:anchor="__RefHeading___Toc764018_3244359995">
            <w:r>
              <w:rPr>
                <w:webHidden/>
                <w:rStyle w:val="IndexLink"/>
                <w:rtl w:val="true"/>
              </w:rPr>
              <w:t>تذنیب آخر</w:t>
            </w:r>
            <w:r>
              <w:rPr>
                <w:rStyle w:val="IndexLink"/>
                <w:rtl w:val="true"/>
              </w:rPr>
              <w:t xml:space="preserve">: </w:t>
            </w:r>
            <w:r>
              <w:rPr>
                <w:rStyle w:val="IndexLink"/>
                <w:rtl w:val="true"/>
              </w:rPr>
              <w:t>فی القرائن الدالّة علی أماریة الاستصحاب و أنّ الیقین جزء الموضوع</w:t>
            </w:r>
            <w:r>
              <w:rPr>
                <w:rStyle w:val="IndexLink"/>
                <w:rtl w:val="true"/>
              </w:rPr>
              <w:tab/>
            </w:r>
            <w:r>
              <w:rPr>
                <w:rStyle w:val="IndexLink"/>
              </w:rPr>
              <w:t>336</w:t>
            </w:r>
          </w:hyperlink>
        </w:p>
        <w:p>
          <w:pPr>
            <w:pStyle w:val="Contents6"/>
            <w:tabs>
              <w:tab w:val="clear" w:pos="7609"/>
              <w:tab w:val="right" w:pos="9026" w:leader="dot"/>
            </w:tabs>
            <w:rPr/>
          </w:pPr>
          <w:hyperlink w:anchor="__RefHeading___Toc764020_3244359995">
            <w:r>
              <w:rPr>
                <w:webHidden/>
                <w:rStyle w:val="IndexLink"/>
                <w:rtl w:val="true"/>
              </w:rPr>
              <w:t>الجهة الثالثة</w:t>
            </w:r>
            <w:r>
              <w:rPr>
                <w:rStyle w:val="IndexLink"/>
                <w:rtl w:val="true"/>
              </w:rPr>
              <w:t xml:space="preserve">: </w:t>
            </w:r>
            <w:r>
              <w:rPr>
                <w:rStyle w:val="IndexLink"/>
                <w:rtl w:val="true"/>
              </w:rPr>
              <w:t>فی دلالة المضمرة علی حجّیة الاستصحاب مطلقا</w:t>
            </w:r>
            <w:r>
              <w:rPr>
                <w:rStyle w:val="IndexLink"/>
                <w:rtl w:val="true"/>
              </w:rPr>
              <w:tab/>
            </w:r>
            <w:r>
              <w:rPr>
                <w:rStyle w:val="IndexLink"/>
              </w:rPr>
              <w:t>339</w:t>
            </w:r>
          </w:hyperlink>
        </w:p>
        <w:p>
          <w:pPr>
            <w:pStyle w:val="Contents5"/>
            <w:tabs>
              <w:tab w:val="clear" w:pos="7892"/>
              <w:tab w:val="right" w:pos="9026" w:leader="dot"/>
            </w:tabs>
            <w:rPr/>
          </w:pPr>
          <w:hyperlink w:anchor="__RefHeading___Toc764022_3244359995">
            <w:r>
              <w:rPr>
                <w:webHidden/>
                <w:rStyle w:val="IndexLink"/>
                <w:rtl w:val="true"/>
              </w:rPr>
              <w:t>و منها</w:t>
            </w:r>
            <w:r>
              <w:rPr>
                <w:rStyle w:val="IndexLink"/>
                <w:rtl w:val="true"/>
              </w:rPr>
              <w:t xml:space="preserve">: </w:t>
            </w:r>
            <w:r>
              <w:rPr>
                <w:rStyle w:val="IndexLink"/>
                <w:rtl w:val="true"/>
              </w:rPr>
              <w:t>المضمرة الثانیة لزرارة</w:t>
            </w:r>
            <w:r>
              <w:rPr>
                <w:rStyle w:val="IndexLink"/>
                <w:rtl w:val="true"/>
              </w:rPr>
              <w:tab/>
            </w:r>
            <w:r>
              <w:rPr>
                <w:rStyle w:val="IndexLink"/>
              </w:rPr>
              <w:t>344</w:t>
            </w:r>
          </w:hyperlink>
        </w:p>
        <w:p>
          <w:pPr>
            <w:pStyle w:val="Contents6"/>
            <w:tabs>
              <w:tab w:val="clear" w:pos="7609"/>
              <w:tab w:val="right" w:pos="9026" w:leader="dot"/>
            </w:tabs>
            <w:rPr/>
          </w:pPr>
          <w:hyperlink w:anchor="__RefHeading___Toc764024_3244359995">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764026_3244359995">
            <w:r>
              <w:rPr>
                <w:webHidden/>
                <w:rStyle w:val="IndexLink"/>
                <w:rtl w:val="true"/>
              </w:rPr>
              <w:t>الجهة الاولی</w:t>
            </w:r>
            <w:r>
              <w:rPr>
                <w:rStyle w:val="IndexLink"/>
                <w:rtl w:val="true"/>
              </w:rPr>
              <w:t xml:space="preserve">: </w:t>
            </w:r>
            <w:r>
              <w:rPr>
                <w:rStyle w:val="IndexLink"/>
                <w:rtl w:val="true"/>
              </w:rPr>
              <w:t>فی حجّیتها</w:t>
            </w:r>
            <w:r>
              <w:rPr>
                <w:rStyle w:val="IndexLink"/>
                <w:rtl w:val="true"/>
              </w:rPr>
              <w:tab/>
            </w:r>
            <w:r>
              <w:rPr>
                <w:rStyle w:val="IndexLink"/>
              </w:rPr>
              <w:t>346</w:t>
            </w:r>
          </w:hyperlink>
        </w:p>
        <w:p>
          <w:pPr>
            <w:pStyle w:val="Contents6"/>
            <w:tabs>
              <w:tab w:val="clear" w:pos="7609"/>
              <w:tab w:val="right" w:pos="9026" w:leader="dot"/>
            </w:tabs>
            <w:rPr/>
          </w:pPr>
          <w:hyperlink w:anchor="__RefHeading___Toc764028_3244359995">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764030_3244359995">
            <w:r>
              <w:rPr>
                <w:webHidden/>
                <w:rStyle w:val="IndexLink"/>
                <w:rtl w:val="true"/>
              </w:rPr>
              <w:t>عرض لوجوه رفع المناقضة المتوهّمة فی المضمرة الثانیة</w:t>
            </w:r>
            <w:r>
              <w:rPr>
                <w:rStyle w:val="IndexLink"/>
                <w:rtl w:val="true"/>
              </w:rPr>
              <w:tab/>
            </w:r>
            <w:r>
              <w:rPr>
                <w:rStyle w:val="IndexLink"/>
              </w:rPr>
              <w:t>349</w:t>
            </w:r>
          </w:hyperlink>
        </w:p>
        <w:p>
          <w:pPr>
            <w:pStyle w:val="Contents6"/>
            <w:tabs>
              <w:tab w:val="clear" w:pos="7609"/>
              <w:tab w:val="right" w:pos="9026" w:leader="dot"/>
            </w:tabs>
            <w:rPr/>
          </w:pPr>
          <w:hyperlink w:anchor="__RefHeading___Toc764032_3244359995">
            <w:r>
              <w:rPr>
                <w:webHidden/>
                <w:rStyle w:val="IndexLink"/>
                <w:rtl w:val="true"/>
              </w:rPr>
              <w:t>تذنیب</w:t>
            </w:r>
            <w:r>
              <w:rPr>
                <w:rStyle w:val="IndexLink"/>
                <w:rtl w:val="true"/>
              </w:rPr>
              <w:t xml:space="preserve">: </w:t>
            </w:r>
            <w:r>
              <w:rPr>
                <w:rStyle w:val="IndexLink"/>
                <w:rtl w:val="true"/>
              </w:rPr>
              <w:t>حول ما إذا کان الشرط إحراز الطهارة الأعمّ</w:t>
            </w:r>
            <w:r>
              <w:rPr>
                <w:rStyle w:val="IndexLink"/>
                <w:rtl w:val="true"/>
              </w:rPr>
              <w:tab/>
            </w:r>
            <w:r>
              <w:rPr>
                <w:rStyle w:val="IndexLink"/>
              </w:rPr>
              <w:t>352</w:t>
            </w:r>
          </w:hyperlink>
        </w:p>
        <w:p>
          <w:pPr>
            <w:pStyle w:val="Contents6"/>
            <w:tabs>
              <w:tab w:val="clear" w:pos="7609"/>
              <w:tab w:val="right" w:pos="9026" w:leader="dot"/>
            </w:tabs>
            <w:rPr/>
          </w:pPr>
          <w:hyperlink w:anchor="__RefHeading___Toc764034_3244359995">
            <w:r>
              <w:rPr>
                <w:webHidden/>
                <w:rStyle w:val="IndexLink"/>
                <w:rtl w:val="true"/>
              </w:rPr>
              <w:t>تنبیه</w:t>
            </w:r>
            <w:r>
              <w:rPr>
                <w:rStyle w:val="IndexLink"/>
                <w:rtl w:val="true"/>
              </w:rPr>
              <w:t xml:space="preserve">: </w:t>
            </w:r>
            <w:r>
              <w:rPr>
                <w:rStyle w:val="IndexLink"/>
                <w:rtl w:val="true"/>
              </w:rPr>
              <w:t>فی أنّ إجمال المضمرة موجب لعدم تعارضها مع الأخبار الاخری</w:t>
            </w:r>
            <w:r>
              <w:rPr>
                <w:rStyle w:val="IndexLink"/>
                <w:rtl w:val="true"/>
              </w:rPr>
              <w:tab/>
            </w:r>
            <w:r>
              <w:rPr>
                <w:rStyle w:val="IndexLink"/>
              </w:rPr>
              <w:t>353</w:t>
            </w:r>
          </w:hyperlink>
        </w:p>
        <w:p>
          <w:pPr>
            <w:pStyle w:val="Contents6"/>
            <w:tabs>
              <w:tab w:val="clear" w:pos="7609"/>
              <w:tab w:val="right" w:pos="9026" w:leader="dot"/>
            </w:tabs>
            <w:rPr/>
          </w:pPr>
          <w:hyperlink w:anchor="__RefHeading___Toc764036_3244359995">
            <w:r>
              <w:rPr>
                <w:webHidden/>
                <w:rStyle w:val="IndexLink"/>
                <w:rtl w:val="true"/>
              </w:rPr>
              <w:t>الجهة الثانیة</w:t>
            </w:r>
            <w:r>
              <w:rPr>
                <w:rStyle w:val="IndexLink"/>
                <w:rtl w:val="true"/>
              </w:rPr>
              <w:t xml:space="preserve">: </w:t>
            </w:r>
            <w:r>
              <w:rPr>
                <w:rStyle w:val="IndexLink"/>
                <w:rtl w:val="true"/>
              </w:rPr>
              <w:t>فی وجه الاستدلال بها، و الفقرات الصالحة له</w:t>
            </w:r>
            <w:r>
              <w:rPr>
                <w:rStyle w:val="IndexLink"/>
                <w:rtl w:val="true"/>
              </w:rPr>
              <w:tab/>
            </w:r>
            <w:r>
              <w:rPr>
                <w:rStyle w:val="IndexLink"/>
              </w:rPr>
              <w:t>353</w:t>
            </w:r>
          </w:hyperlink>
        </w:p>
        <w:p>
          <w:pPr>
            <w:pStyle w:val="Contents6"/>
            <w:tabs>
              <w:tab w:val="clear" w:pos="7609"/>
              <w:tab w:val="right" w:pos="9026" w:leader="dot"/>
            </w:tabs>
            <w:rPr/>
          </w:pPr>
          <w:hyperlink w:anchor="__RefHeading___Toc764038_3244359995">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764040_3244359995">
            <w:r>
              <w:rPr>
                <w:webHidden/>
                <w:rStyle w:val="IndexLink"/>
                <w:rtl w:val="true"/>
              </w:rPr>
              <w:t>بقی شی‌ء</w:t>
            </w:r>
            <w:r>
              <w:rPr>
                <w:rStyle w:val="IndexLink"/>
                <w:rtl w:val="true"/>
              </w:rPr>
              <w:t xml:space="preserve">: </w:t>
            </w:r>
            <w:r>
              <w:rPr>
                <w:rStyle w:val="IndexLink"/>
                <w:rtl w:val="true"/>
              </w:rPr>
              <w:t>حول خروج مورد الروایة عن التعلیل المذکور فیها</w:t>
            </w:r>
            <w:r>
              <w:rPr>
                <w:rStyle w:val="IndexLink"/>
                <w:rtl w:val="true"/>
              </w:rPr>
              <w:tab/>
            </w:r>
            <w:r>
              <w:rPr>
                <w:rStyle w:val="IndexLink"/>
              </w:rPr>
              <w:t>356</w:t>
            </w:r>
          </w:hyperlink>
        </w:p>
        <w:p>
          <w:pPr>
            <w:pStyle w:val="Contents6"/>
            <w:tabs>
              <w:tab w:val="clear" w:pos="7609"/>
              <w:tab w:val="right" w:pos="9026" w:leader="dot"/>
            </w:tabs>
            <w:rPr/>
          </w:pPr>
          <w:hyperlink w:anchor="__RefHeading___Toc764042_3244359995">
            <w:r>
              <w:rPr>
                <w:webHidden/>
                <w:rStyle w:val="IndexLink"/>
                <w:rtl w:val="true"/>
              </w:rPr>
              <w:t>إعادة و إفادة</w:t>
            </w:r>
            <w:r>
              <w:rPr>
                <w:rStyle w:val="IndexLink"/>
                <w:rtl w:val="true"/>
              </w:rPr>
              <w:tab/>
            </w:r>
            <w:r>
              <w:rPr>
                <w:rStyle w:val="IndexLink"/>
              </w:rPr>
              <w:t>360</w:t>
            </w:r>
          </w:hyperlink>
        </w:p>
        <w:p>
          <w:pPr>
            <w:pStyle w:val="Contents6"/>
            <w:tabs>
              <w:tab w:val="clear" w:pos="7609"/>
              <w:tab w:val="right" w:pos="9026" w:leader="dot"/>
            </w:tabs>
            <w:rPr/>
          </w:pPr>
          <w:hyperlink w:anchor="__RefHeading___Toc764044_3244359995">
            <w:r>
              <w:rPr>
                <w:webHidden/>
                <w:rStyle w:val="IndexLink"/>
                <w:rtl w:val="true"/>
              </w:rPr>
              <w:t>تنبیه</w:t>
            </w:r>
            <w:r>
              <w:rPr>
                <w:rStyle w:val="IndexLink"/>
                <w:rtl w:val="true"/>
              </w:rPr>
              <w:t xml:space="preserve">: </w:t>
            </w:r>
            <w:r>
              <w:rPr>
                <w:rStyle w:val="IndexLink"/>
                <w:rtl w:val="true"/>
              </w:rPr>
              <w:t xml:space="preserve">حول النسخة الواردة فیها </w:t>
            </w:r>
            <w:r>
              <w:rPr>
                <w:rStyle w:val="IndexLink"/>
                <w:rtl w:val="true"/>
              </w:rPr>
              <w:t>«</w:t>
            </w:r>
            <w:r>
              <w:rPr>
                <w:rStyle w:val="IndexLink"/>
                <w:rtl w:val="true"/>
              </w:rPr>
              <w:t>لم ذاک؟</w:t>
            </w:r>
            <w:r>
              <w:rPr>
                <w:rStyle w:val="IndexLink"/>
                <w:rtl w:val="true"/>
              </w:rPr>
              <w:t>»</w:t>
              <w:tab/>
            </w:r>
            <w:r>
              <w:rPr>
                <w:rStyle w:val="IndexLink"/>
              </w:rPr>
              <w:t>365</w:t>
            </w:r>
          </w:hyperlink>
        </w:p>
        <w:p>
          <w:pPr>
            <w:pStyle w:val="Contents6"/>
            <w:tabs>
              <w:tab w:val="clear" w:pos="7609"/>
              <w:tab w:val="right" w:pos="9026" w:leader="dot"/>
            </w:tabs>
            <w:rPr/>
          </w:pPr>
          <w:hyperlink w:anchor="__RefHeading___Toc764046_3244359995">
            <w:r>
              <w:rPr>
                <w:webHidden/>
                <w:rStyle w:val="IndexLink"/>
                <w:rtl w:val="true"/>
              </w:rPr>
              <w:t>إیقاظ</w:t>
            </w:r>
            <w:r>
              <w:rPr>
                <w:rStyle w:val="IndexLink"/>
                <w:rtl w:val="true"/>
              </w:rPr>
              <w:t xml:space="preserve">: </w:t>
            </w:r>
            <w:r>
              <w:rPr>
                <w:rStyle w:val="IndexLink"/>
                <w:rtl w:val="true"/>
              </w:rPr>
              <w:t>حول دلالة الفقرة الثانیة علی عدم تنجیز العلم الإجمالی</w:t>
            </w:r>
            <w:r>
              <w:rPr>
                <w:rStyle w:val="IndexLink"/>
                <w:rtl w:val="true"/>
              </w:rPr>
              <w:tab/>
            </w:r>
            <w:r>
              <w:rPr>
                <w:rStyle w:val="IndexLink"/>
              </w:rPr>
              <w:t>367</w:t>
            </w:r>
          </w:hyperlink>
        </w:p>
        <w:p>
          <w:pPr>
            <w:pStyle w:val="Contents6"/>
            <w:tabs>
              <w:tab w:val="clear" w:pos="7609"/>
              <w:tab w:val="right" w:pos="9026" w:leader="dot"/>
            </w:tabs>
            <w:rPr/>
          </w:pPr>
          <w:hyperlink w:anchor="__RefHeading___Toc764048_3244359995">
            <w:r>
              <w:rPr>
                <w:webHidden/>
                <w:rStyle w:val="IndexLink"/>
                <w:rtl w:val="true"/>
              </w:rPr>
              <w:t>وهم و دفع</w:t>
            </w:r>
            <w:r>
              <w:rPr>
                <w:rStyle w:val="IndexLink"/>
                <w:rtl w:val="true"/>
              </w:rPr>
              <w:tab/>
            </w:r>
            <w:r>
              <w:rPr>
                <w:rStyle w:val="IndexLink"/>
              </w:rPr>
              <w:t>368</w:t>
            </w:r>
          </w:hyperlink>
        </w:p>
        <w:p>
          <w:pPr>
            <w:pStyle w:val="Contents6"/>
            <w:tabs>
              <w:tab w:val="clear" w:pos="7609"/>
              <w:tab w:val="right" w:pos="9026" w:leader="dot"/>
            </w:tabs>
            <w:rPr/>
          </w:pPr>
          <w:hyperlink w:anchor="__RefHeading___Toc764050_3244359995">
            <w:r>
              <w:rPr>
                <w:webHidden/>
                <w:rStyle w:val="IndexLink"/>
                <w:rtl w:val="true"/>
              </w:rPr>
              <w:t>إشکال بدیع</w:t>
            </w:r>
            <w:r>
              <w:rPr>
                <w:rStyle w:val="IndexLink"/>
                <w:rtl w:val="true"/>
              </w:rPr>
              <w:t xml:space="preserve">: </w:t>
            </w:r>
            <w:r>
              <w:rPr>
                <w:rStyle w:val="IndexLink"/>
                <w:rtl w:val="true"/>
              </w:rPr>
              <w:t>مفاده تعذیر الاستصحاب دون تنجیزه</w:t>
            </w:r>
            <w:r>
              <w:rPr>
                <w:rStyle w:val="IndexLink"/>
                <w:rtl w:val="true"/>
              </w:rPr>
              <w:tab/>
            </w:r>
            <w:r>
              <w:rPr>
                <w:rStyle w:val="IndexLink"/>
              </w:rPr>
              <w:t>369</w:t>
            </w:r>
          </w:hyperlink>
        </w:p>
        <w:p>
          <w:pPr>
            <w:pStyle w:val="Contents5"/>
            <w:tabs>
              <w:tab w:val="clear" w:pos="7892"/>
              <w:tab w:val="right" w:pos="9026" w:leader="dot"/>
            </w:tabs>
            <w:rPr/>
          </w:pPr>
          <w:hyperlink w:anchor="__RefHeading___Toc764052_3244359995">
            <w:r>
              <w:rPr>
                <w:webHidden/>
                <w:rStyle w:val="IndexLink"/>
                <w:rtl w:val="true"/>
              </w:rPr>
              <w:t>و منها</w:t>
            </w:r>
            <w:r>
              <w:rPr>
                <w:rStyle w:val="IndexLink"/>
                <w:rtl w:val="true"/>
              </w:rPr>
              <w:t xml:space="preserve">: </w:t>
            </w:r>
            <w:r>
              <w:rPr>
                <w:rStyle w:val="IndexLink"/>
                <w:rtl w:val="true"/>
              </w:rPr>
              <w:t>المعتبرة الثالثة لزرارة</w:t>
            </w:r>
            <w:r>
              <w:rPr>
                <w:rStyle w:val="IndexLink"/>
                <w:rtl w:val="true"/>
              </w:rPr>
              <w:tab/>
            </w:r>
            <w:r>
              <w:rPr>
                <w:rStyle w:val="IndexLink"/>
              </w:rPr>
              <w:t>372</w:t>
            </w:r>
          </w:hyperlink>
        </w:p>
        <w:p>
          <w:pPr>
            <w:pStyle w:val="Contents6"/>
            <w:tabs>
              <w:tab w:val="clear" w:pos="7609"/>
              <w:tab w:val="right" w:pos="9026" w:leader="dot"/>
            </w:tabs>
            <w:rPr/>
          </w:pPr>
          <w:hyperlink w:anchor="__RefHeading___Toc764054_3244359995">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764056_3244359995">
            <w:r>
              <w:rPr>
                <w:webHidden/>
                <w:rStyle w:val="IndexLink"/>
                <w:rtl w:val="true"/>
              </w:rPr>
              <w:t>المرحلة الاولی</w:t>
            </w:r>
            <w:r>
              <w:rPr>
                <w:rStyle w:val="IndexLink"/>
                <w:rtl w:val="true"/>
              </w:rPr>
              <w:t xml:space="preserve">: </w:t>
            </w:r>
            <w:r>
              <w:rPr>
                <w:rStyle w:val="IndexLink"/>
                <w:rtl w:val="true"/>
              </w:rPr>
              <w:t>حول مقتضی القاعدة فی مورد الشکّ فی الرکعات</w:t>
            </w:r>
            <w:r>
              <w:rPr>
                <w:rStyle w:val="IndexLink"/>
                <w:rtl w:val="true"/>
              </w:rPr>
              <w:tab/>
            </w:r>
            <w:r>
              <w:rPr>
                <w:rStyle w:val="IndexLink"/>
              </w:rPr>
              <w:t>373</w:t>
            </w:r>
          </w:hyperlink>
        </w:p>
        <w:p>
          <w:pPr>
            <w:pStyle w:val="Contents6"/>
            <w:tabs>
              <w:tab w:val="clear" w:pos="7609"/>
              <w:tab w:val="right" w:pos="9026" w:leader="dot"/>
            </w:tabs>
            <w:rPr/>
          </w:pPr>
          <w:hyperlink w:anchor="__RefHeading___Toc764058_3244359995">
            <w:r>
              <w:rPr>
                <w:webHidden/>
                <w:rStyle w:val="IndexLink"/>
                <w:rtl w:val="true"/>
              </w:rPr>
              <w:t>المرحلة الثانیة</w:t>
            </w:r>
            <w:r>
              <w:rPr>
                <w:rStyle w:val="IndexLink"/>
                <w:rtl w:val="true"/>
              </w:rPr>
              <w:t xml:space="preserve">: </w:t>
            </w:r>
            <w:r>
              <w:rPr>
                <w:rStyle w:val="IndexLink"/>
                <w:rtl w:val="true"/>
              </w:rPr>
              <w:t>فی فقه الروایة</w:t>
            </w:r>
            <w:r>
              <w:rPr>
                <w:rStyle w:val="IndexLink"/>
                <w:rtl w:val="true"/>
              </w:rPr>
              <w:tab/>
            </w:r>
            <w:r>
              <w:rPr>
                <w:rStyle w:val="IndexLink"/>
              </w:rPr>
              <w:t>373</w:t>
            </w:r>
          </w:hyperlink>
        </w:p>
        <w:p>
          <w:pPr>
            <w:pStyle w:val="Contents6"/>
            <w:tabs>
              <w:tab w:val="clear" w:pos="7609"/>
              <w:tab w:val="right" w:pos="9026" w:leader="dot"/>
            </w:tabs>
            <w:rPr/>
          </w:pPr>
          <w:hyperlink w:anchor="__RefHeading___Toc764060_3244359995">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764062_3244359995">
            <w:r>
              <w:rPr>
                <w:webHidden/>
                <w:rStyle w:val="IndexLink"/>
                <w:rtl w:val="true"/>
              </w:rPr>
              <w:t>تکملة</w:t>
            </w:r>
            <w:r>
              <w:rPr>
                <w:rStyle w:val="IndexLink"/>
                <w:rtl w:val="true"/>
              </w:rPr>
              <w:t xml:space="preserve">: </w:t>
            </w:r>
            <w:r>
              <w:rPr>
                <w:rStyle w:val="IndexLink"/>
                <w:rtl w:val="true"/>
              </w:rPr>
              <w:t>حول حجّیة هذه الروایة لو کانت تقیّة</w:t>
            </w:r>
            <w:r>
              <w:rPr>
                <w:rStyle w:val="IndexLink"/>
                <w:rtl w:val="true"/>
              </w:rPr>
              <w:tab/>
            </w:r>
            <w:r>
              <w:rPr>
                <w:rStyle w:val="IndexLink"/>
              </w:rPr>
              <w:t>376</w:t>
            </w:r>
          </w:hyperlink>
        </w:p>
        <w:p>
          <w:pPr>
            <w:pStyle w:val="Contents6"/>
            <w:tabs>
              <w:tab w:val="clear" w:pos="7609"/>
              <w:tab w:val="right" w:pos="9026" w:leader="dot"/>
            </w:tabs>
            <w:rPr/>
          </w:pPr>
          <w:hyperlink w:anchor="__RefHeading___Toc764064_3244359995">
            <w:r>
              <w:rPr>
                <w:webHidden/>
                <w:rStyle w:val="IndexLink"/>
                <w:rtl w:val="true"/>
              </w:rPr>
              <w:t>المرحلة الثالثة</w:t>
            </w:r>
            <w:r>
              <w:rPr>
                <w:rStyle w:val="IndexLink"/>
                <w:rtl w:val="true"/>
              </w:rPr>
              <w:t xml:space="preserve">: </w:t>
            </w:r>
            <w:r>
              <w:rPr>
                <w:rStyle w:val="IndexLink"/>
                <w:rtl w:val="true"/>
              </w:rPr>
              <w:t>فیما یرتبط بما نحن فیه و هو قوله علیه السّلام</w:t>
            </w:r>
            <w:r>
              <w:rPr>
                <w:rStyle w:val="IndexLink"/>
                <w:rtl w:val="true"/>
              </w:rPr>
              <w:t>: «</w:t>
            </w:r>
            <w:r>
              <w:rPr>
                <w:rStyle w:val="IndexLink"/>
                <w:rtl w:val="true"/>
              </w:rPr>
              <w:t xml:space="preserve">و لا ینقض الیقین بالشکّ </w:t>
            </w:r>
            <w:r>
              <w:rPr>
                <w:rStyle w:val="IndexLink"/>
                <w:rtl w:val="true"/>
              </w:rPr>
              <w:t>...»</w:t>
              <w:tab/>
            </w:r>
            <w:r>
              <w:rPr>
                <w:rStyle w:val="IndexLink"/>
              </w:rPr>
              <w:t>377</w:t>
            </w:r>
          </w:hyperlink>
        </w:p>
        <w:p>
          <w:pPr>
            <w:pStyle w:val="Contents6"/>
            <w:tabs>
              <w:tab w:val="clear" w:pos="7609"/>
              <w:tab w:val="right" w:pos="9026" w:leader="dot"/>
            </w:tabs>
            <w:rPr/>
          </w:pPr>
          <w:hyperlink w:anchor="__RefHeading___Toc764066_3244359995">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764068_3244359995">
            <w:r>
              <w:rPr>
                <w:webHidden/>
                <w:rStyle w:val="IndexLink"/>
                <w:rtl w:val="true"/>
              </w:rPr>
              <w:t>تکمیل</w:t>
            </w:r>
            <w:r>
              <w:rPr>
                <w:rStyle w:val="IndexLink"/>
                <w:rtl w:val="true"/>
              </w:rPr>
              <w:t xml:space="preserve">: </w:t>
            </w:r>
            <w:r>
              <w:rPr>
                <w:rStyle w:val="IndexLink"/>
                <w:rtl w:val="true"/>
              </w:rPr>
              <w:t>الاستدلال بالمعتبرة الثالثة لزرارة</w:t>
            </w:r>
            <w:r>
              <w:rPr>
                <w:rStyle w:val="IndexLink"/>
                <w:rtl w:val="true"/>
              </w:rPr>
              <w:tab/>
            </w:r>
            <w:r>
              <w:rPr>
                <w:rStyle w:val="IndexLink"/>
              </w:rPr>
              <w:t>380</w:t>
            </w:r>
          </w:hyperlink>
        </w:p>
        <w:p>
          <w:pPr>
            <w:pStyle w:val="Contents6"/>
            <w:tabs>
              <w:tab w:val="clear" w:pos="7609"/>
              <w:tab w:val="right" w:pos="9026" w:leader="dot"/>
            </w:tabs>
            <w:rPr/>
          </w:pPr>
          <w:hyperlink w:anchor="__RefHeading___Toc764070_3244359995">
            <w:r>
              <w:rPr>
                <w:webHidden/>
                <w:rStyle w:val="IndexLink"/>
                <w:rtl w:val="true"/>
              </w:rPr>
              <w:t>بقی شی‌ء</w:t>
            </w:r>
            <w:r>
              <w:rPr>
                <w:rStyle w:val="IndexLink"/>
                <w:rtl w:val="true"/>
              </w:rPr>
              <w:t xml:space="preserve">: </w:t>
            </w:r>
            <w:r>
              <w:rPr>
                <w:rStyle w:val="IndexLink"/>
                <w:rtl w:val="true"/>
              </w:rPr>
              <w:t xml:space="preserve">توهم عدم دلالة </w:t>
            </w:r>
            <w:r>
              <w:rPr>
                <w:rStyle w:val="IndexLink"/>
                <w:rtl w:val="true"/>
              </w:rPr>
              <w:t>«</w:t>
            </w:r>
            <w:r>
              <w:rPr>
                <w:rStyle w:val="IndexLink"/>
                <w:rtl w:val="true"/>
              </w:rPr>
              <w:t>و لا ینقض الیقین</w:t>
            </w:r>
            <w:r>
              <w:rPr>
                <w:rStyle w:val="IndexLink"/>
                <w:rtl w:val="true"/>
              </w:rPr>
              <w:t xml:space="preserve">» </w:t>
            </w:r>
            <w:r>
              <w:rPr>
                <w:rStyle w:val="IndexLink"/>
                <w:rtl w:val="true"/>
              </w:rPr>
              <w:t>علی المدّعی</w:t>
            </w:r>
            <w:r>
              <w:rPr>
                <w:rStyle w:val="IndexLink"/>
                <w:rtl w:val="true"/>
              </w:rPr>
              <w:tab/>
            </w:r>
            <w:r>
              <w:rPr>
                <w:rStyle w:val="IndexLink"/>
              </w:rPr>
              <w:t>383</w:t>
            </w:r>
          </w:hyperlink>
        </w:p>
        <w:p>
          <w:pPr>
            <w:pStyle w:val="Contents5"/>
            <w:tabs>
              <w:tab w:val="clear" w:pos="7892"/>
              <w:tab w:val="right" w:pos="9026" w:leader="dot"/>
            </w:tabs>
            <w:rPr/>
          </w:pPr>
          <w:hyperlink w:anchor="__RefHeading___Toc764072_3244359995">
            <w:r>
              <w:rPr>
                <w:webHidden/>
                <w:rStyle w:val="IndexLink"/>
                <w:rtl w:val="true"/>
              </w:rPr>
              <w:t>و منها</w:t>
            </w:r>
            <w:r>
              <w:rPr>
                <w:rStyle w:val="IndexLink"/>
                <w:rtl w:val="true"/>
              </w:rPr>
              <w:t xml:space="preserve">: </w:t>
            </w:r>
            <w:r>
              <w:rPr>
                <w:rStyle w:val="IndexLink"/>
                <w:rtl w:val="true"/>
              </w:rPr>
              <w:t>معتبر إسحاق بن عمّار</w:t>
            </w:r>
            <w:r>
              <w:rPr>
                <w:rStyle w:val="IndexLink"/>
                <w:rtl w:val="true"/>
              </w:rPr>
              <w:tab/>
            </w:r>
            <w:r>
              <w:rPr>
                <w:rStyle w:val="IndexLink"/>
              </w:rPr>
              <w:t>383</w:t>
            </w:r>
          </w:hyperlink>
        </w:p>
        <w:p>
          <w:pPr>
            <w:pStyle w:val="Contents5"/>
            <w:tabs>
              <w:tab w:val="clear" w:pos="7892"/>
              <w:tab w:val="right" w:pos="9026" w:leader="dot"/>
            </w:tabs>
            <w:rPr/>
          </w:pPr>
          <w:hyperlink w:anchor="__RefHeading___Toc764074_3244359995">
            <w:r>
              <w:rPr>
                <w:webHidden/>
                <w:rStyle w:val="IndexLink"/>
                <w:rtl w:val="true"/>
              </w:rPr>
              <w:t>و منها</w:t>
            </w:r>
            <w:r>
              <w:rPr>
                <w:rStyle w:val="IndexLink"/>
                <w:rtl w:val="true"/>
              </w:rPr>
              <w:t xml:space="preserve">: </w:t>
            </w:r>
            <w:r>
              <w:rPr>
                <w:rStyle w:val="IndexLink"/>
                <w:rtl w:val="true"/>
              </w:rPr>
              <w:t xml:space="preserve">روایة </w:t>
            </w:r>
            <w:r>
              <w:rPr>
                <w:rStyle w:val="IndexLink"/>
                <w:rtl w:val="true"/>
              </w:rPr>
              <w:t>«</w:t>
            </w:r>
            <w:r>
              <w:rPr>
                <w:rStyle w:val="IndexLink"/>
                <w:rtl w:val="true"/>
              </w:rPr>
              <w:t>الخصال</w:t>
            </w:r>
            <w:r>
              <w:rPr>
                <w:rStyle w:val="IndexLink"/>
                <w:rtl w:val="true"/>
              </w:rPr>
              <w:t>»</w:t>
              <w:tab/>
            </w:r>
            <w:r>
              <w:rPr>
                <w:rStyle w:val="IndexLink"/>
              </w:rPr>
              <w:t>386</w:t>
            </w:r>
          </w:hyperlink>
        </w:p>
        <w:p>
          <w:pPr>
            <w:pStyle w:val="Contents6"/>
            <w:tabs>
              <w:tab w:val="clear" w:pos="7609"/>
              <w:tab w:val="right" w:pos="9026" w:leader="dot"/>
            </w:tabs>
            <w:rPr/>
          </w:pPr>
          <w:hyperlink w:anchor="__RefHeading___Toc764076_3244359995">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764078_3244359995">
            <w:r>
              <w:rPr>
                <w:webHidden/>
                <w:rStyle w:val="IndexLink"/>
                <w:rtl w:val="true"/>
              </w:rPr>
              <w:t>بقی شی‌ء</w:t>
            </w:r>
            <w:r>
              <w:rPr>
                <w:rStyle w:val="IndexLink"/>
                <w:rtl w:val="true"/>
              </w:rPr>
              <w:t xml:space="preserve">: </w:t>
            </w:r>
            <w:r>
              <w:rPr>
                <w:rStyle w:val="IndexLink"/>
                <w:rtl w:val="true"/>
              </w:rPr>
              <w:t>حول شمول الروایة للزمان و الزمانی و اختصاصها بالاستصحاب و عدمه</w:t>
            </w:r>
            <w:r>
              <w:rPr>
                <w:rStyle w:val="IndexLink"/>
                <w:rtl w:val="true"/>
              </w:rPr>
              <w:tab/>
            </w:r>
            <w:r>
              <w:rPr>
                <w:rStyle w:val="IndexLink"/>
              </w:rPr>
              <w:t>389</w:t>
            </w:r>
          </w:hyperlink>
        </w:p>
        <w:p>
          <w:pPr>
            <w:pStyle w:val="Contents6"/>
            <w:tabs>
              <w:tab w:val="clear" w:pos="7609"/>
              <w:tab w:val="right" w:pos="9026" w:leader="dot"/>
            </w:tabs>
            <w:rPr/>
          </w:pPr>
          <w:hyperlink w:anchor="__RefHeading___Toc764080_3244359995">
            <w:r>
              <w:rPr>
                <w:webHidden/>
                <w:rStyle w:val="IndexLink"/>
                <w:rtl w:val="true"/>
              </w:rPr>
              <w:t>بقی شی‌ء</w:t>
            </w:r>
            <w:r>
              <w:rPr>
                <w:rStyle w:val="IndexLink"/>
                <w:rtl w:val="true"/>
              </w:rPr>
              <w:t xml:space="preserve">: </w:t>
            </w:r>
            <w:r>
              <w:rPr>
                <w:rStyle w:val="IndexLink"/>
                <w:rtl w:val="true"/>
              </w:rPr>
              <w:t>فی استفادة اختصاص الروایة بالاستصحاب</w:t>
            </w:r>
            <w:r>
              <w:rPr>
                <w:rStyle w:val="IndexLink"/>
                <w:rtl w:val="true"/>
              </w:rPr>
              <w:tab/>
            </w:r>
            <w:r>
              <w:rPr>
                <w:rStyle w:val="IndexLink"/>
              </w:rPr>
              <w:t>393</w:t>
            </w:r>
          </w:hyperlink>
        </w:p>
        <w:p>
          <w:pPr>
            <w:pStyle w:val="Contents5"/>
            <w:tabs>
              <w:tab w:val="clear" w:pos="7892"/>
              <w:tab w:val="right" w:pos="9026" w:leader="dot"/>
            </w:tabs>
            <w:rPr/>
          </w:pPr>
          <w:hyperlink w:anchor="__RefHeading___Toc764082_3244359995">
            <w:r>
              <w:rPr>
                <w:webHidden/>
                <w:rStyle w:val="IndexLink"/>
                <w:rtl w:val="true"/>
              </w:rPr>
              <w:t>و منها</w:t>
            </w:r>
            <w:r>
              <w:rPr>
                <w:rStyle w:val="IndexLink"/>
                <w:rtl w:val="true"/>
              </w:rPr>
              <w:t xml:space="preserve">: </w:t>
            </w:r>
            <w:r>
              <w:rPr>
                <w:rStyle w:val="IndexLink"/>
                <w:rtl w:val="true"/>
              </w:rPr>
              <w:t>مکاتبة علی بن محمّد القاسانی</w:t>
            </w:r>
            <w:r>
              <w:rPr>
                <w:rStyle w:val="IndexLink"/>
                <w:rtl w:val="true"/>
              </w:rPr>
              <w:tab/>
            </w:r>
            <w:r>
              <w:rPr>
                <w:rStyle w:val="IndexLink"/>
              </w:rPr>
              <w:t>394</w:t>
            </w:r>
          </w:hyperlink>
        </w:p>
        <w:p>
          <w:pPr>
            <w:pStyle w:val="Contents6"/>
            <w:tabs>
              <w:tab w:val="clear" w:pos="7609"/>
              <w:tab w:val="right" w:pos="9026" w:leader="dot"/>
            </w:tabs>
            <w:rPr/>
          </w:pPr>
          <w:hyperlink w:anchor="__RefHeading___Toc764084_3244359995">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764086_3244359995">
            <w:r>
              <w:rPr>
                <w:webHidden/>
                <w:rStyle w:val="IndexLink"/>
                <w:rtl w:val="true"/>
              </w:rPr>
              <w:t>تذنیب</w:t>
            </w:r>
            <w:r>
              <w:rPr>
                <w:rStyle w:val="IndexLink"/>
                <w:rtl w:val="true"/>
              </w:rPr>
              <w:t xml:space="preserve">: </w:t>
            </w:r>
            <w:r>
              <w:rPr>
                <w:rStyle w:val="IndexLink"/>
                <w:rtl w:val="true"/>
              </w:rPr>
              <w:t>فی بیان رفع الإجمال عن المکاتبة</w:t>
            </w:r>
            <w:r>
              <w:rPr>
                <w:rStyle w:val="IndexLink"/>
                <w:rtl w:val="true"/>
              </w:rPr>
              <w:tab/>
            </w:r>
            <w:r>
              <w:rPr>
                <w:rStyle w:val="IndexLink"/>
              </w:rPr>
              <w:t>397</w:t>
            </w:r>
          </w:hyperlink>
        </w:p>
        <w:p>
          <w:pPr>
            <w:pStyle w:val="Contents6"/>
            <w:tabs>
              <w:tab w:val="clear" w:pos="7609"/>
              <w:tab w:val="right" w:pos="9026" w:leader="dot"/>
            </w:tabs>
            <w:rPr/>
          </w:pPr>
          <w:hyperlink w:anchor="__RefHeading___Toc764088_3244359995">
            <w:r>
              <w:rPr>
                <w:webHidden/>
                <w:rStyle w:val="IndexLink"/>
                <w:rtl w:val="true"/>
              </w:rPr>
              <w:t>تذنیبان</w:t>
            </w:r>
            <w:r>
              <w:rPr>
                <w:rStyle w:val="IndexLink"/>
                <w:rtl w:val="true"/>
              </w:rPr>
              <w:tab/>
            </w:r>
            <w:r>
              <w:rPr>
                <w:rStyle w:val="IndexLink"/>
              </w:rPr>
              <w:t>399</w:t>
            </w:r>
          </w:hyperlink>
        </w:p>
        <w:p>
          <w:pPr>
            <w:pStyle w:val="Contents6"/>
            <w:tabs>
              <w:tab w:val="clear" w:pos="7609"/>
              <w:tab w:val="right" w:pos="9026" w:leader="dot"/>
            </w:tabs>
            <w:rPr/>
          </w:pPr>
          <w:hyperlink w:anchor="__RefHeading___Toc764090_3244359995">
            <w:r>
              <w:rPr>
                <w:webHidden/>
                <w:rStyle w:val="IndexLink"/>
                <w:rtl w:val="true"/>
              </w:rPr>
              <w:t>التذنیب الأوّل</w:t>
            </w:r>
            <w:r>
              <w:rPr>
                <w:rStyle w:val="IndexLink"/>
                <w:rtl w:val="true"/>
              </w:rPr>
              <w:t xml:space="preserve">: </w:t>
            </w:r>
            <w:r>
              <w:rPr>
                <w:rStyle w:val="IndexLink"/>
                <w:rtl w:val="true"/>
              </w:rPr>
              <w:t>فی جملة من الأخبار التی استدلّ بها جلّ الأعلام دون کلّهم</w:t>
            </w:r>
            <w:r>
              <w:rPr>
                <w:rStyle w:val="IndexLink"/>
                <w:rtl w:val="true"/>
              </w:rPr>
              <w:tab/>
            </w:r>
            <w:r>
              <w:rPr>
                <w:rStyle w:val="IndexLink"/>
              </w:rPr>
              <w:t>399</w:t>
            </w:r>
          </w:hyperlink>
        </w:p>
        <w:p>
          <w:pPr>
            <w:pStyle w:val="Contents6"/>
            <w:tabs>
              <w:tab w:val="clear" w:pos="7609"/>
              <w:tab w:val="right" w:pos="9026" w:leader="dot"/>
            </w:tabs>
            <w:rPr/>
          </w:pPr>
          <w:hyperlink w:anchor="__RefHeading___Toc764092_3244359995">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764094_3244359995">
            <w:r>
              <w:rPr>
                <w:webHidden/>
                <w:rStyle w:val="IndexLink"/>
                <w:rtl w:val="true"/>
              </w:rPr>
              <w:t>بقی شی‌ء</w:t>
            </w:r>
            <w:r>
              <w:rPr>
                <w:rStyle w:val="IndexLink"/>
                <w:rtl w:val="true"/>
              </w:rPr>
              <w:t xml:space="preserve">: </w:t>
            </w:r>
            <w:r>
              <w:rPr>
                <w:rStyle w:val="IndexLink"/>
                <w:rtl w:val="true"/>
              </w:rPr>
              <w:t>فی بیان ضعف التمسّک بالأخبار السابقة</w:t>
            </w:r>
            <w:r>
              <w:rPr>
                <w:rStyle w:val="IndexLink"/>
                <w:rtl w:val="true"/>
              </w:rPr>
              <w:tab/>
            </w:r>
            <w:r>
              <w:rPr>
                <w:rStyle w:val="IndexLink"/>
              </w:rPr>
              <w:t>406</w:t>
            </w:r>
          </w:hyperlink>
        </w:p>
        <w:p>
          <w:pPr>
            <w:pStyle w:val="Contents6"/>
            <w:tabs>
              <w:tab w:val="clear" w:pos="7609"/>
              <w:tab w:val="right" w:pos="9026" w:leader="dot"/>
            </w:tabs>
            <w:rPr/>
          </w:pPr>
          <w:hyperlink w:anchor="__RefHeading___Toc764096_3244359995">
            <w:r>
              <w:rPr>
                <w:webHidden/>
                <w:rStyle w:val="IndexLink"/>
                <w:rtl w:val="true"/>
              </w:rPr>
              <w:t>التذنیب الثانی</w:t>
            </w:r>
            <w:r>
              <w:rPr>
                <w:rStyle w:val="IndexLink"/>
                <w:rtl w:val="true"/>
              </w:rPr>
              <w:t xml:space="preserve">: </w:t>
            </w:r>
            <w:r>
              <w:rPr>
                <w:rStyle w:val="IndexLink"/>
                <w:rtl w:val="true"/>
              </w:rPr>
              <w:t>فی جملة من الأخبار التی لا یتمسّک بها إلّا الآحاد</w:t>
            </w:r>
            <w:r>
              <w:rPr>
                <w:rStyle w:val="IndexLink"/>
                <w:rtl w:val="true"/>
              </w:rPr>
              <w:tab/>
            </w:r>
            <w:r>
              <w:rPr>
                <w:rStyle w:val="IndexLink"/>
              </w:rPr>
              <w:t>407</w:t>
            </w:r>
          </w:hyperlink>
        </w:p>
        <w:p>
          <w:pPr>
            <w:pStyle w:val="Contents5"/>
            <w:tabs>
              <w:tab w:val="clear" w:pos="7892"/>
              <w:tab w:val="right" w:pos="9026" w:leader="dot"/>
            </w:tabs>
            <w:rPr/>
          </w:pPr>
          <w:hyperlink w:anchor="__RefHeading___Toc764098_3244359995">
            <w:r>
              <w:rPr>
                <w:webHidden/>
                <w:rStyle w:val="IndexLink"/>
                <w:rtl w:val="true"/>
              </w:rPr>
              <w:t>و منها</w:t>
            </w:r>
            <w:r>
              <w:rPr>
                <w:rStyle w:val="IndexLink"/>
                <w:rtl w:val="true"/>
              </w:rPr>
              <w:t xml:space="preserve">: </w:t>
            </w:r>
            <w:r>
              <w:rPr>
                <w:rStyle w:val="IndexLink"/>
                <w:rtl w:val="true"/>
              </w:rPr>
              <w:t>معتبرة عبد اللّه بن سنان</w:t>
            </w:r>
            <w:r>
              <w:rPr>
                <w:rStyle w:val="IndexLink"/>
                <w:rtl w:val="true"/>
              </w:rPr>
              <w:tab/>
            </w:r>
            <w:r>
              <w:rPr>
                <w:rStyle w:val="IndexLink"/>
              </w:rPr>
              <w:t>408</w:t>
            </w:r>
          </w:hyperlink>
        </w:p>
        <w:p>
          <w:pPr>
            <w:pStyle w:val="Contents5"/>
            <w:tabs>
              <w:tab w:val="clear" w:pos="7892"/>
              <w:tab w:val="right" w:pos="9026" w:leader="dot"/>
            </w:tabs>
            <w:rPr/>
          </w:pPr>
          <w:hyperlink w:anchor="__RefHeading___Toc764100_3244359995">
            <w:r>
              <w:rPr>
                <w:webHidden/>
                <w:rStyle w:val="IndexLink"/>
                <w:rtl w:val="true"/>
              </w:rPr>
              <w:t>و منها</w:t>
            </w:r>
            <w:r>
              <w:rPr>
                <w:rStyle w:val="IndexLink"/>
                <w:rtl w:val="true"/>
              </w:rPr>
              <w:t xml:space="preserve">: </w:t>
            </w:r>
            <w:r>
              <w:rPr>
                <w:rStyle w:val="IndexLink"/>
                <w:rtl w:val="true"/>
              </w:rPr>
              <w:t>الأخبار الاخر الکثیرة المنتشرة فی الأبواب المختلفة</w:t>
            </w:r>
            <w:r>
              <w:rPr>
                <w:rStyle w:val="IndexLink"/>
                <w:rtl w:val="true"/>
              </w:rPr>
              <w:tab/>
            </w:r>
            <w:r>
              <w:rPr>
                <w:rStyle w:val="IndexLink"/>
              </w:rPr>
              <w:t>409</w:t>
            </w:r>
          </w:hyperlink>
        </w:p>
        <w:p>
          <w:pPr>
            <w:pStyle w:val="Contents3"/>
            <w:tabs>
              <w:tab w:val="clear" w:pos="8459"/>
              <w:tab w:val="right" w:pos="9026" w:leader="dot"/>
            </w:tabs>
            <w:rPr/>
          </w:pPr>
          <w:hyperlink w:anchor="__RefHeading___Toc764102_3244359995">
            <w:r>
              <w:rPr>
                <w:webHidden/>
                <w:rStyle w:val="IndexLink"/>
                <w:rtl w:val="true"/>
              </w:rPr>
              <w:t>[</w:t>
            </w:r>
            <w:r>
              <w:rPr>
                <w:rStyle w:val="IndexLink"/>
                <w:rtl w:val="true"/>
              </w:rPr>
              <w:t>اشارة الی بعض امور قبل التنبیهات</w:t>
            </w:r>
            <w:r>
              <w:rPr>
                <w:rStyle w:val="IndexLink"/>
                <w:rtl w:val="true"/>
              </w:rPr>
              <w:tab/>
            </w:r>
            <w:r>
              <w:rPr>
                <w:rStyle w:val="IndexLink"/>
              </w:rPr>
              <w:t>410</w:t>
            </w:r>
          </w:hyperlink>
        </w:p>
        <w:p>
          <w:pPr>
            <w:pStyle w:val="Contents4"/>
            <w:tabs>
              <w:tab w:val="clear" w:pos="8176"/>
              <w:tab w:val="right" w:pos="9026" w:leader="dot"/>
            </w:tabs>
            <w:rPr/>
          </w:pPr>
          <w:hyperlink w:anchor="__RefHeading___Toc764104_3244359995">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764106_3244359995">
            <w:r>
              <w:rPr>
                <w:webHidden/>
                <w:rStyle w:val="IndexLink"/>
                <w:rtl w:val="true"/>
              </w:rPr>
              <w:t>الأمر الأوّل</w:t>
            </w:r>
            <w:r>
              <w:rPr>
                <w:rStyle w:val="IndexLink"/>
                <w:rtl w:val="true"/>
              </w:rPr>
              <w:t xml:space="preserve">: </w:t>
            </w:r>
            <w:r>
              <w:rPr>
                <w:rStyle w:val="IndexLink"/>
                <w:rtl w:val="true"/>
              </w:rPr>
              <w:t>فی تحکیم إطلاق أدلة الاستصحاب</w:t>
            </w:r>
            <w:r>
              <w:rPr>
                <w:rStyle w:val="IndexLink"/>
                <w:rtl w:val="true"/>
              </w:rPr>
              <w:tab/>
            </w:r>
            <w:r>
              <w:rPr>
                <w:rStyle w:val="IndexLink"/>
              </w:rPr>
              <w:t>410</w:t>
            </w:r>
          </w:hyperlink>
        </w:p>
        <w:p>
          <w:pPr>
            <w:pStyle w:val="Contents4"/>
            <w:tabs>
              <w:tab w:val="clear" w:pos="8176"/>
              <w:tab w:val="right" w:pos="9026" w:leader="dot"/>
            </w:tabs>
            <w:rPr/>
          </w:pPr>
          <w:hyperlink w:anchor="__RefHeading___Toc764108_3244359995">
            <w:r>
              <w:rPr>
                <w:webHidden/>
                <w:rStyle w:val="IndexLink"/>
                <w:rtl w:val="true"/>
              </w:rPr>
              <w:t>الأمر الثانی</w:t>
            </w:r>
            <w:r>
              <w:rPr>
                <w:rStyle w:val="IndexLink"/>
                <w:rtl w:val="true"/>
              </w:rPr>
              <w:t xml:space="preserve">: </w:t>
            </w:r>
            <w:r>
              <w:rPr>
                <w:rStyle w:val="IndexLink"/>
                <w:rtl w:val="true"/>
              </w:rPr>
              <w:t>فی بیان أرکان الاستصحاب</w:t>
            </w:r>
            <w:r>
              <w:rPr>
                <w:rStyle w:val="IndexLink"/>
                <w:rtl w:val="true"/>
              </w:rPr>
              <w:tab/>
            </w:r>
            <w:r>
              <w:rPr>
                <w:rStyle w:val="IndexLink"/>
              </w:rPr>
              <w:t>410</w:t>
            </w:r>
          </w:hyperlink>
        </w:p>
        <w:p>
          <w:pPr>
            <w:pStyle w:val="Contents5"/>
            <w:tabs>
              <w:tab w:val="clear" w:pos="7892"/>
              <w:tab w:val="right" w:pos="9026" w:leader="dot"/>
            </w:tabs>
            <w:rPr/>
          </w:pPr>
          <w:hyperlink w:anchor="__RefHeading___Toc764110_3244359995">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764112_3244359995">
            <w:r>
              <w:rPr>
                <w:webHidden/>
                <w:rStyle w:val="IndexLink"/>
                <w:rtl w:val="true"/>
              </w:rPr>
              <w:t>بقی شی‌ء</w:t>
            </w:r>
            <w:r>
              <w:rPr>
                <w:rStyle w:val="IndexLink"/>
                <w:rtl w:val="true"/>
              </w:rPr>
              <w:t xml:space="preserve">: </w:t>
            </w:r>
            <w:r>
              <w:rPr>
                <w:rStyle w:val="IndexLink"/>
                <w:rtl w:val="true"/>
              </w:rPr>
              <w:t>فی قاعدة المقتضی و المانع</w:t>
            </w:r>
            <w:r>
              <w:rPr>
                <w:rStyle w:val="IndexLink"/>
                <w:rtl w:val="true"/>
              </w:rPr>
              <w:tab/>
            </w:r>
            <w:r>
              <w:rPr>
                <w:rStyle w:val="IndexLink"/>
              </w:rPr>
              <w:t>412</w:t>
            </w:r>
          </w:hyperlink>
        </w:p>
        <w:p>
          <w:pPr>
            <w:pStyle w:val="Contents4"/>
            <w:tabs>
              <w:tab w:val="clear" w:pos="8176"/>
              <w:tab w:val="right" w:pos="9026" w:leader="dot"/>
            </w:tabs>
            <w:rPr/>
          </w:pPr>
          <w:hyperlink w:anchor="__RefHeading___Toc764114_3244359995">
            <w:r>
              <w:rPr>
                <w:webHidden/>
                <w:rStyle w:val="IndexLink"/>
                <w:rtl w:val="true"/>
              </w:rPr>
              <w:t>الأمر الثالث</w:t>
            </w:r>
            <w:r>
              <w:rPr>
                <w:rStyle w:val="IndexLink"/>
                <w:rtl w:val="true"/>
              </w:rPr>
              <w:t xml:space="preserve">: </w:t>
            </w:r>
            <w:r>
              <w:rPr>
                <w:rStyle w:val="IndexLink"/>
                <w:rtl w:val="true"/>
              </w:rPr>
              <w:t>فی بیان مناشئ الشکّ</w:t>
            </w:r>
            <w:r>
              <w:rPr>
                <w:rStyle w:val="IndexLink"/>
                <w:rtl w:val="true"/>
              </w:rPr>
              <w:tab/>
            </w:r>
            <w:r>
              <w:rPr>
                <w:rStyle w:val="IndexLink"/>
              </w:rPr>
              <w:t>413</w:t>
            </w:r>
          </w:hyperlink>
        </w:p>
        <w:p>
          <w:pPr>
            <w:pStyle w:val="Contents4"/>
            <w:tabs>
              <w:tab w:val="clear" w:pos="8176"/>
              <w:tab w:val="right" w:pos="9026" w:leader="dot"/>
            </w:tabs>
            <w:rPr/>
          </w:pPr>
          <w:hyperlink w:anchor="__RefHeading___Toc764116_3244359995">
            <w:r>
              <w:rPr>
                <w:webHidden/>
                <w:rStyle w:val="IndexLink"/>
                <w:rtl w:val="true"/>
              </w:rPr>
              <w:t>الأمر الرابع</w:t>
            </w:r>
            <w:r>
              <w:rPr>
                <w:rStyle w:val="IndexLink"/>
                <w:rtl w:val="true"/>
              </w:rPr>
              <w:t xml:space="preserve">: </w:t>
            </w:r>
            <w:r>
              <w:rPr>
                <w:rStyle w:val="IndexLink"/>
                <w:rtl w:val="true"/>
              </w:rPr>
              <w:t>فی أقسام الاستصحاب</w:t>
            </w:r>
            <w:r>
              <w:rPr>
                <w:rStyle w:val="IndexLink"/>
                <w:rtl w:val="true"/>
              </w:rPr>
              <w:tab/>
            </w:r>
            <w:r>
              <w:rPr>
                <w:rStyle w:val="IndexLink"/>
              </w:rPr>
              <w:t>414</w:t>
            </w:r>
          </w:hyperlink>
        </w:p>
        <w:p>
          <w:pPr>
            <w:pStyle w:val="Contents3"/>
            <w:tabs>
              <w:tab w:val="clear" w:pos="8459"/>
              <w:tab w:val="right" w:pos="9026" w:leader="dot"/>
            </w:tabs>
            <w:rPr/>
          </w:pPr>
          <w:hyperlink w:anchor="__RefHeading___Toc764118_3244359995">
            <w:r>
              <w:rPr>
                <w:webHidden/>
                <w:rStyle w:val="IndexLink"/>
                <w:rtl w:val="true"/>
              </w:rPr>
              <w:t>تنبیهات</w:t>
            </w:r>
            <w:r>
              <w:rPr>
                <w:rStyle w:val="IndexLink"/>
                <w:rtl w:val="true"/>
              </w:rPr>
              <w:tab/>
            </w:r>
            <w:r>
              <w:rPr>
                <w:rStyle w:val="IndexLink"/>
              </w:rPr>
              <w:t>416</w:t>
            </w:r>
          </w:hyperlink>
        </w:p>
        <w:p>
          <w:pPr>
            <w:pStyle w:val="Contents4"/>
            <w:tabs>
              <w:tab w:val="clear" w:pos="8176"/>
              <w:tab w:val="right" w:pos="9026" w:leader="dot"/>
            </w:tabs>
            <w:rPr/>
          </w:pPr>
          <w:hyperlink w:anchor="__RefHeading___Toc764120_3244359995">
            <w:r>
              <w:rPr>
                <w:webHidden/>
                <w:rStyle w:val="IndexLink"/>
                <w:rtl w:val="true"/>
              </w:rPr>
              <w:t>التنبیه الأوّل حول استصحاب الأحکام المستکشفة بالأحکام العقلیة</w:t>
            </w:r>
            <w:r>
              <w:rPr>
                <w:rStyle w:val="IndexLink"/>
                <w:rtl w:val="true"/>
              </w:rPr>
              <w:tab/>
            </w:r>
            <w:r>
              <w:rPr>
                <w:rStyle w:val="IndexLink"/>
              </w:rPr>
              <w:t>416</w:t>
            </w:r>
          </w:hyperlink>
        </w:p>
        <w:p>
          <w:pPr>
            <w:pStyle w:val="Contents4"/>
            <w:tabs>
              <w:tab w:val="clear" w:pos="8176"/>
              <w:tab w:val="right" w:pos="9026" w:leader="dot"/>
            </w:tabs>
            <w:rPr/>
          </w:pPr>
          <w:hyperlink w:anchor="__RefHeading___Toc764122_3244359995">
            <w:r>
              <w:rPr>
                <w:webHidden/>
                <w:rStyle w:val="IndexLink"/>
                <w:rtl w:val="true"/>
              </w:rPr>
              <w:t>التنبیه الثانی حول اختصاص حجّیة الاستصحاب بالشکّ فی الرافع</w:t>
            </w:r>
            <w:r>
              <w:rPr>
                <w:rStyle w:val="IndexLink"/>
                <w:rtl w:val="true"/>
              </w:rPr>
              <w:tab/>
            </w:r>
            <w:r>
              <w:rPr>
                <w:rStyle w:val="IndexLink"/>
              </w:rPr>
              <w:t>420</w:t>
            </w:r>
          </w:hyperlink>
        </w:p>
        <w:p>
          <w:pPr>
            <w:pStyle w:val="Contents5"/>
            <w:tabs>
              <w:tab w:val="clear" w:pos="7892"/>
              <w:tab w:val="right" w:pos="9026" w:leader="dot"/>
            </w:tabs>
            <w:rPr/>
          </w:pPr>
          <w:hyperlink w:anchor="__RefHeading___Toc764124_3244359995">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764126_3244359995">
            <w:r>
              <w:rPr>
                <w:webHidden/>
                <w:rStyle w:val="IndexLink"/>
                <w:rtl w:val="true"/>
              </w:rPr>
              <w:t>التمسّک بالارتکاز العقلائیّ علی التفصیل المزبور</w:t>
            </w:r>
            <w:r>
              <w:rPr>
                <w:rStyle w:val="IndexLink"/>
                <w:rtl w:val="true"/>
              </w:rPr>
              <w:tab/>
            </w:r>
            <w:r>
              <w:rPr>
                <w:rStyle w:val="IndexLink"/>
              </w:rPr>
              <w:t>425</w:t>
            </w:r>
          </w:hyperlink>
        </w:p>
        <w:p>
          <w:pPr>
            <w:pStyle w:val="Contents5"/>
            <w:tabs>
              <w:tab w:val="clear" w:pos="7892"/>
              <w:tab w:val="right" w:pos="9026" w:leader="dot"/>
            </w:tabs>
            <w:rPr/>
          </w:pPr>
          <w:hyperlink w:anchor="__RefHeading___Toc764128_3244359995">
            <w:r>
              <w:rPr>
                <w:webHidden/>
                <w:rStyle w:val="IndexLink"/>
                <w:rtl w:val="true"/>
              </w:rPr>
              <w:t>تذنیب</w:t>
            </w:r>
            <w:r>
              <w:rPr>
                <w:rStyle w:val="IndexLink"/>
                <w:rtl w:val="true"/>
              </w:rPr>
              <w:t xml:space="preserve">: </w:t>
            </w:r>
            <w:r>
              <w:rPr>
                <w:rStyle w:val="IndexLink"/>
                <w:rtl w:val="true"/>
              </w:rPr>
              <w:t>حکم الشکّ فی حجّیة الاستصحاب فی الشکّ فی المقتضی</w:t>
            </w:r>
            <w:r>
              <w:rPr>
                <w:rStyle w:val="IndexLink"/>
                <w:rtl w:val="true"/>
              </w:rPr>
              <w:tab/>
            </w:r>
            <w:r>
              <w:rPr>
                <w:rStyle w:val="IndexLink"/>
              </w:rPr>
              <w:t>426</w:t>
            </w:r>
          </w:hyperlink>
        </w:p>
        <w:p>
          <w:pPr>
            <w:pStyle w:val="Contents5"/>
            <w:tabs>
              <w:tab w:val="clear" w:pos="7892"/>
              <w:tab w:val="right" w:pos="9026" w:leader="dot"/>
            </w:tabs>
            <w:rPr/>
          </w:pPr>
          <w:hyperlink w:anchor="__RefHeading___Toc764130_3244359995">
            <w:r>
              <w:rPr>
                <w:webHidden/>
                <w:rStyle w:val="IndexLink"/>
                <w:rtl w:val="true"/>
              </w:rPr>
              <w:t>ذنابة</w:t>
            </w:r>
            <w:r>
              <w:rPr>
                <w:rStyle w:val="IndexLink"/>
                <w:rtl w:val="true"/>
              </w:rPr>
              <w:t xml:space="preserve">: </w:t>
            </w:r>
            <w:r>
              <w:rPr>
                <w:rStyle w:val="IndexLink"/>
                <w:rtl w:val="true"/>
              </w:rPr>
              <w:t>حول تصویر الشکّ فی الرافع و المقتضی فی الشبهات الموضوعیة</w:t>
            </w:r>
            <w:r>
              <w:rPr>
                <w:rStyle w:val="IndexLink"/>
                <w:rtl w:val="true"/>
              </w:rPr>
              <w:tab/>
            </w:r>
            <w:r>
              <w:rPr>
                <w:rStyle w:val="IndexLink"/>
              </w:rPr>
              <w:t>427</w:t>
            </w:r>
          </w:hyperlink>
        </w:p>
        <w:p>
          <w:pPr>
            <w:pStyle w:val="Contents5"/>
            <w:tabs>
              <w:tab w:val="clear" w:pos="7892"/>
              <w:tab w:val="right" w:pos="9026" w:leader="dot"/>
            </w:tabs>
            <w:rPr/>
          </w:pPr>
          <w:hyperlink w:anchor="__RefHeading___Toc764132_3244359995">
            <w:r>
              <w:rPr>
                <w:webHidden/>
                <w:rStyle w:val="IndexLink"/>
                <w:rtl w:val="true"/>
              </w:rPr>
              <w:t>خاتمة</w:t>
            </w:r>
            <w:r>
              <w:rPr>
                <w:rStyle w:val="IndexLink"/>
                <w:rtl w:val="true"/>
              </w:rPr>
              <w:t xml:space="preserve">: </w:t>
            </w:r>
            <w:r>
              <w:rPr>
                <w:rStyle w:val="IndexLink"/>
                <w:rtl w:val="true"/>
              </w:rPr>
              <w:t>فی اختیار العموم حتّی مع اختصاص الحجّیة بالرافع</w:t>
            </w:r>
            <w:r>
              <w:rPr>
                <w:rStyle w:val="IndexLink"/>
                <w:rtl w:val="true"/>
              </w:rPr>
              <w:tab/>
            </w:r>
            <w:r>
              <w:rPr>
                <w:rStyle w:val="IndexLink"/>
              </w:rPr>
              <w:t>427</w:t>
            </w:r>
          </w:hyperlink>
        </w:p>
        <w:p>
          <w:pPr>
            <w:pStyle w:val="Contents4"/>
            <w:tabs>
              <w:tab w:val="clear" w:pos="8176"/>
              <w:tab w:val="right" w:pos="9026" w:leader="dot"/>
            </w:tabs>
            <w:rPr/>
          </w:pPr>
          <w:hyperlink w:anchor="__RefHeading___Toc764134_3244359995">
            <w:r>
              <w:rPr>
                <w:webHidden/>
                <w:rStyle w:val="IndexLink"/>
                <w:rtl w:val="true"/>
              </w:rPr>
              <w:t>التنبیه الثالث حول التفصیل بین وجود الرافع و رافعیّة الموجود</w:t>
            </w:r>
            <w:r>
              <w:rPr>
                <w:rStyle w:val="IndexLink"/>
                <w:rtl w:val="true"/>
              </w:rPr>
              <w:tab/>
            </w:r>
            <w:r>
              <w:rPr>
                <w:rStyle w:val="IndexLink"/>
              </w:rPr>
              <w:t>428</w:t>
            </w:r>
          </w:hyperlink>
        </w:p>
        <w:p>
          <w:pPr>
            <w:pStyle w:val="Contents4"/>
            <w:tabs>
              <w:tab w:val="clear" w:pos="8176"/>
              <w:tab w:val="right" w:pos="9026" w:leader="dot"/>
            </w:tabs>
            <w:rPr/>
          </w:pPr>
          <w:hyperlink w:anchor="__RefHeading___Toc764136_3244359995">
            <w:r>
              <w:rPr>
                <w:webHidden/>
                <w:rStyle w:val="IndexLink"/>
                <w:rtl w:val="true"/>
              </w:rPr>
              <w:t>التنبیه الرابع حول التفصیل بین الأحکام التکلیفیّة و الوضعیّة</w:t>
            </w:r>
            <w:r>
              <w:rPr>
                <w:rStyle w:val="IndexLink"/>
                <w:rtl w:val="true"/>
              </w:rPr>
              <w:tab/>
            </w:r>
            <w:r>
              <w:rPr>
                <w:rStyle w:val="IndexLink"/>
              </w:rPr>
              <w:t>429</w:t>
            </w:r>
          </w:hyperlink>
        </w:p>
        <w:p>
          <w:pPr>
            <w:pStyle w:val="Contents5"/>
            <w:tabs>
              <w:tab w:val="clear" w:pos="7892"/>
              <w:tab w:val="right" w:pos="9026" w:leader="dot"/>
            </w:tabs>
            <w:rPr/>
          </w:pPr>
          <w:hyperlink w:anchor="__RefHeading___Toc764138_3244359995">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764140_3244359995">
            <w:r>
              <w:rPr>
                <w:webHidden/>
                <w:rStyle w:val="IndexLink"/>
                <w:rtl w:val="true"/>
              </w:rPr>
              <w:t>تذنیب</w:t>
            </w:r>
            <w:r>
              <w:rPr>
                <w:rStyle w:val="IndexLink"/>
                <w:rtl w:val="true"/>
              </w:rPr>
              <w:t xml:space="preserve">: </w:t>
            </w:r>
            <w:r>
              <w:rPr>
                <w:rStyle w:val="IndexLink"/>
                <w:rtl w:val="true"/>
              </w:rPr>
              <w:t>حول الأحکام الوضعیّة و بیان ماهیّتها</w:t>
            </w:r>
            <w:r>
              <w:rPr>
                <w:rStyle w:val="IndexLink"/>
                <w:rtl w:val="true"/>
              </w:rPr>
              <w:tab/>
            </w:r>
            <w:r>
              <w:rPr>
                <w:rStyle w:val="IndexLink"/>
              </w:rPr>
              <w:t>430</w:t>
            </w:r>
          </w:hyperlink>
        </w:p>
        <w:p>
          <w:pPr>
            <w:pStyle w:val="Contents5"/>
            <w:tabs>
              <w:tab w:val="clear" w:pos="7892"/>
              <w:tab w:val="right" w:pos="9026" w:leader="dot"/>
            </w:tabs>
            <w:rPr/>
          </w:pPr>
          <w:hyperlink w:anchor="__RefHeading___Toc764142_3244359995">
            <w:r>
              <w:rPr>
                <w:webHidden/>
                <w:rStyle w:val="IndexLink"/>
                <w:rtl w:val="true"/>
              </w:rPr>
              <w:t>[</w:t>
            </w:r>
            <w:r>
              <w:rPr>
                <w:rStyle w:val="IndexLink"/>
                <w:rtl w:val="true"/>
              </w:rPr>
              <w:t>الإشارة إلی بعض المسائل فی طیّ امور</w:t>
            </w:r>
            <w:r>
              <w:rPr>
                <w:rStyle w:val="IndexLink"/>
                <w:rtl w:val="true"/>
              </w:rPr>
              <w:t>]</w:t>
              <w:tab/>
            </w:r>
            <w:r>
              <w:rPr>
                <w:rStyle w:val="IndexLink"/>
              </w:rPr>
              <w:t>431</w:t>
            </w:r>
          </w:hyperlink>
        </w:p>
        <w:p>
          <w:pPr>
            <w:pStyle w:val="Contents6"/>
            <w:tabs>
              <w:tab w:val="clear" w:pos="7609"/>
              <w:tab w:val="right" w:pos="9026" w:leader="dot"/>
            </w:tabs>
            <w:rPr/>
          </w:pPr>
          <w:hyperlink w:anchor="__RefHeading___Toc764144_3244359995">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764146_3244359995">
            <w:r>
              <w:rPr>
                <w:webHidden/>
                <w:rStyle w:val="IndexLink"/>
                <w:rtl w:val="true"/>
              </w:rPr>
              <w:t>الأمر الأوّل</w:t>
            </w:r>
            <w:r>
              <w:rPr>
                <w:rStyle w:val="IndexLink"/>
                <w:rtl w:val="true"/>
              </w:rPr>
              <w:t xml:space="preserve">: </w:t>
            </w:r>
            <w:r>
              <w:rPr>
                <w:rStyle w:val="IndexLink"/>
                <w:rtl w:val="true"/>
              </w:rPr>
              <w:t>فی بیان معانی بعض الألفاظ المرتبطة بالمقام</w:t>
            </w:r>
            <w:r>
              <w:rPr>
                <w:rStyle w:val="IndexLink"/>
                <w:rtl w:val="true"/>
              </w:rPr>
              <w:tab/>
            </w:r>
            <w:r>
              <w:rPr>
                <w:rStyle w:val="IndexLink"/>
              </w:rPr>
              <w:t>431</w:t>
            </w:r>
          </w:hyperlink>
        </w:p>
        <w:p>
          <w:pPr>
            <w:pStyle w:val="Contents6"/>
            <w:tabs>
              <w:tab w:val="clear" w:pos="7609"/>
              <w:tab w:val="right" w:pos="9026" w:leader="dot"/>
            </w:tabs>
            <w:rPr/>
          </w:pPr>
          <w:hyperlink w:anchor="__RefHeading___Toc764148_3244359995">
            <w:r>
              <w:rPr>
                <w:webHidden/>
                <w:rStyle w:val="IndexLink"/>
                <w:rtl w:val="true"/>
              </w:rPr>
              <w:t>الأمر الثانی</w:t>
            </w:r>
            <w:r>
              <w:rPr>
                <w:rStyle w:val="IndexLink"/>
                <w:rtl w:val="true"/>
              </w:rPr>
              <w:t xml:space="preserve">: </w:t>
            </w:r>
            <w:r>
              <w:rPr>
                <w:rStyle w:val="IndexLink"/>
                <w:rtl w:val="true"/>
              </w:rPr>
              <w:t>حول تقسیم الجعل إلی البسیط و المرکّب</w:t>
            </w:r>
            <w:r>
              <w:rPr>
                <w:rStyle w:val="IndexLink"/>
                <w:rtl w:val="true"/>
              </w:rPr>
              <w:tab/>
            </w:r>
            <w:r>
              <w:rPr>
                <w:rStyle w:val="IndexLink"/>
              </w:rPr>
              <w:t>434</w:t>
            </w:r>
          </w:hyperlink>
        </w:p>
        <w:p>
          <w:pPr>
            <w:pStyle w:val="Contents6"/>
            <w:tabs>
              <w:tab w:val="clear" w:pos="7609"/>
              <w:tab w:val="right" w:pos="9026" w:leader="dot"/>
            </w:tabs>
            <w:rPr/>
          </w:pPr>
          <w:hyperlink w:anchor="__RefHeading___Toc764150_3244359995">
            <w:r>
              <w:rPr>
                <w:webHidden/>
                <w:rStyle w:val="IndexLink"/>
                <w:rtl w:val="true"/>
              </w:rPr>
              <w:t>الأمر الثالث</w:t>
            </w:r>
            <w:r>
              <w:rPr>
                <w:rStyle w:val="IndexLink"/>
                <w:rtl w:val="true"/>
              </w:rPr>
              <w:t xml:space="preserve">: </w:t>
            </w:r>
            <w:r>
              <w:rPr>
                <w:rStyle w:val="IndexLink"/>
                <w:rtl w:val="true"/>
              </w:rPr>
              <w:t>فی توقف الاعتبارات علی الاحتیاج العقلائی</w:t>
            </w:r>
            <w:r>
              <w:rPr>
                <w:rStyle w:val="IndexLink"/>
                <w:rtl w:val="true"/>
              </w:rPr>
              <w:tab/>
            </w:r>
            <w:r>
              <w:rPr>
                <w:rStyle w:val="IndexLink"/>
              </w:rPr>
              <w:t>434</w:t>
            </w:r>
          </w:hyperlink>
        </w:p>
        <w:p>
          <w:pPr>
            <w:pStyle w:val="Contents6"/>
            <w:tabs>
              <w:tab w:val="clear" w:pos="7609"/>
              <w:tab w:val="right" w:pos="9026" w:leader="dot"/>
            </w:tabs>
            <w:rPr/>
          </w:pPr>
          <w:hyperlink w:anchor="__RefHeading___Toc764152_3244359995">
            <w:r>
              <w:rPr>
                <w:webHidden/>
                <w:rStyle w:val="IndexLink"/>
                <w:rtl w:val="true"/>
              </w:rPr>
              <w:t>الأمر الرابع</w:t>
            </w:r>
            <w:r>
              <w:rPr>
                <w:rStyle w:val="IndexLink"/>
                <w:rtl w:val="true"/>
              </w:rPr>
              <w:t xml:space="preserve">: </w:t>
            </w:r>
            <w:r>
              <w:rPr>
                <w:rStyle w:val="IndexLink"/>
                <w:rtl w:val="true"/>
              </w:rPr>
              <w:t>فی بیان حقیقة الأحکام الوضعیّة</w:t>
            </w:r>
            <w:r>
              <w:rPr>
                <w:rStyle w:val="IndexLink"/>
                <w:rtl w:val="true"/>
              </w:rPr>
              <w:tab/>
            </w:r>
            <w:r>
              <w:rPr>
                <w:rStyle w:val="IndexLink"/>
              </w:rPr>
              <w:t>435</w:t>
            </w:r>
          </w:hyperlink>
        </w:p>
        <w:p>
          <w:pPr>
            <w:pStyle w:val="Contents6"/>
            <w:tabs>
              <w:tab w:val="clear" w:pos="7609"/>
              <w:tab w:val="right" w:pos="9026" w:leader="dot"/>
            </w:tabs>
            <w:rPr/>
          </w:pPr>
          <w:hyperlink w:anchor="__RefHeading___Toc764154_3244359995">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764156_3244359995">
            <w:r>
              <w:rPr>
                <w:webHidden/>
                <w:rStyle w:val="IndexLink"/>
                <w:rtl w:val="true"/>
              </w:rPr>
              <w:t>تنبیه</w:t>
            </w:r>
            <w:r>
              <w:rPr>
                <w:rStyle w:val="IndexLink"/>
                <w:rtl w:val="true"/>
              </w:rPr>
              <w:t xml:space="preserve">: </w:t>
            </w:r>
            <w:r>
              <w:rPr>
                <w:rStyle w:val="IndexLink"/>
                <w:rtl w:val="true"/>
              </w:rPr>
              <w:t>فی بیان أقسام الاعتباریات</w:t>
            </w:r>
            <w:r>
              <w:rPr>
                <w:rStyle w:val="IndexLink"/>
                <w:rtl w:val="true"/>
              </w:rPr>
              <w:tab/>
            </w:r>
            <w:r>
              <w:rPr>
                <w:rStyle w:val="IndexLink"/>
              </w:rPr>
              <w:t>438</w:t>
            </w:r>
          </w:hyperlink>
        </w:p>
        <w:p>
          <w:pPr>
            <w:pStyle w:val="Contents6"/>
            <w:tabs>
              <w:tab w:val="clear" w:pos="7609"/>
              <w:tab w:val="right" w:pos="9026" w:leader="dot"/>
            </w:tabs>
            <w:rPr/>
          </w:pPr>
          <w:hyperlink w:anchor="__RefHeading___Toc764158_3244359995">
            <w:r>
              <w:rPr>
                <w:webHidden/>
                <w:rStyle w:val="IndexLink"/>
                <w:rtl w:val="true"/>
              </w:rPr>
              <w:t>بقی شی‌ء</w:t>
            </w:r>
            <w:r>
              <w:rPr>
                <w:rStyle w:val="IndexLink"/>
                <w:rtl w:val="true"/>
              </w:rPr>
              <w:t xml:space="preserve">: </w:t>
            </w:r>
            <w:r>
              <w:rPr>
                <w:rStyle w:val="IndexLink"/>
                <w:rtl w:val="true"/>
              </w:rPr>
              <w:t>فی أنّ مسببات العقود هی لوازم ذات السبب و الماهیة</w:t>
            </w:r>
            <w:r>
              <w:rPr>
                <w:rStyle w:val="IndexLink"/>
                <w:rtl w:val="true"/>
              </w:rPr>
              <w:tab/>
            </w:r>
            <w:r>
              <w:rPr>
                <w:rStyle w:val="IndexLink"/>
              </w:rPr>
              <w:t>438</w:t>
            </w:r>
          </w:hyperlink>
        </w:p>
        <w:p>
          <w:pPr>
            <w:pStyle w:val="Contents4"/>
            <w:tabs>
              <w:tab w:val="clear" w:pos="8176"/>
              <w:tab w:val="right" w:pos="9026" w:leader="dot"/>
            </w:tabs>
            <w:rPr/>
          </w:pPr>
          <w:hyperlink w:anchor="__RefHeading___Toc764160_3244359995">
            <w:r>
              <w:rPr>
                <w:webHidden/>
                <w:rStyle w:val="IndexLink"/>
                <w:rtl w:val="true"/>
              </w:rPr>
              <w:t>التنبیه الخامس حول التفصیل بین استصحاب الأحکام و الموضوعات</w:t>
            </w:r>
            <w:r>
              <w:rPr>
                <w:rStyle w:val="IndexLink"/>
                <w:rtl w:val="true"/>
              </w:rPr>
              <w:tab/>
            </w:r>
            <w:r>
              <w:rPr>
                <w:rStyle w:val="IndexLink"/>
              </w:rPr>
              <w:t>441</w:t>
            </w:r>
          </w:hyperlink>
        </w:p>
        <w:p>
          <w:pPr>
            <w:pStyle w:val="Contents4"/>
            <w:tabs>
              <w:tab w:val="clear" w:pos="8176"/>
              <w:tab w:val="right" w:pos="9026" w:leader="dot"/>
            </w:tabs>
            <w:rPr/>
          </w:pPr>
          <w:hyperlink w:anchor="__RefHeading___Toc764162_3244359995">
            <w:r>
              <w:rPr>
                <w:webHidden/>
                <w:rStyle w:val="IndexLink"/>
                <w:rtl w:val="true"/>
              </w:rPr>
              <w:t>التنبیه السادس حول اعتبار فعلیّة الشکّ و الیقین</w:t>
            </w:r>
            <w:r>
              <w:rPr>
                <w:rStyle w:val="IndexLink"/>
                <w:rtl w:val="true"/>
              </w:rPr>
              <w:tab/>
            </w:r>
            <w:r>
              <w:rPr>
                <w:rStyle w:val="IndexLink"/>
              </w:rPr>
              <w:t>444</w:t>
            </w:r>
          </w:hyperlink>
        </w:p>
        <w:p>
          <w:pPr>
            <w:pStyle w:val="Contents5"/>
            <w:tabs>
              <w:tab w:val="clear" w:pos="7892"/>
              <w:tab w:val="right" w:pos="9026" w:leader="dot"/>
            </w:tabs>
            <w:rPr/>
          </w:pPr>
          <w:hyperlink w:anchor="__RefHeading___Toc764164_3244359995">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764166_3244359995">
            <w:r>
              <w:rPr>
                <w:webHidden/>
                <w:rStyle w:val="IndexLink"/>
                <w:rtl w:val="true"/>
              </w:rPr>
              <w:t>تذنیب</w:t>
            </w:r>
            <w:r>
              <w:rPr>
                <w:rStyle w:val="IndexLink"/>
                <w:rtl w:val="true"/>
              </w:rPr>
              <w:t xml:space="preserve">: </w:t>
            </w:r>
            <w:r>
              <w:rPr>
                <w:rStyle w:val="IndexLink"/>
                <w:rtl w:val="true"/>
              </w:rPr>
              <w:t>فی حکم الشکّ حدوثا و بقاء</w:t>
            </w:r>
            <w:r>
              <w:rPr>
                <w:rStyle w:val="IndexLink"/>
                <w:rtl w:val="true"/>
              </w:rPr>
              <w:tab/>
            </w:r>
            <w:r>
              <w:rPr>
                <w:rStyle w:val="IndexLink"/>
              </w:rPr>
              <w:t>450</w:t>
            </w:r>
          </w:hyperlink>
        </w:p>
        <w:p>
          <w:pPr>
            <w:pStyle w:val="Contents4"/>
            <w:tabs>
              <w:tab w:val="clear" w:pos="8176"/>
              <w:tab w:val="right" w:pos="9026" w:leader="dot"/>
            </w:tabs>
            <w:rPr/>
          </w:pPr>
          <w:hyperlink w:anchor="__RefHeading___Toc764168_3244359995">
            <w:r>
              <w:rPr>
                <w:webHidden/>
                <w:rStyle w:val="IndexLink"/>
                <w:rtl w:val="true"/>
              </w:rPr>
              <w:t>التنبیه السابع حول جریان الاستصحاب فی مؤدی الاصول و الأمارات</w:t>
            </w:r>
            <w:r>
              <w:rPr>
                <w:rStyle w:val="IndexLink"/>
                <w:rtl w:val="true"/>
              </w:rPr>
              <w:tab/>
            </w:r>
            <w:r>
              <w:rPr>
                <w:rStyle w:val="IndexLink"/>
              </w:rPr>
              <w:t>452</w:t>
            </w:r>
          </w:hyperlink>
        </w:p>
        <w:p>
          <w:pPr>
            <w:pStyle w:val="Contents5"/>
            <w:tabs>
              <w:tab w:val="clear" w:pos="7892"/>
              <w:tab w:val="right" w:pos="9026" w:leader="dot"/>
            </w:tabs>
            <w:rPr/>
          </w:pPr>
          <w:hyperlink w:anchor="__RefHeading___Toc764170_3244359995">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764172_3244359995">
            <w:r>
              <w:rPr>
                <w:webHidden/>
                <w:rStyle w:val="IndexLink"/>
                <w:rtl w:val="true"/>
              </w:rPr>
              <w:t>إیقاظ</w:t>
            </w:r>
            <w:r>
              <w:rPr>
                <w:rStyle w:val="IndexLink"/>
                <w:rtl w:val="true"/>
              </w:rPr>
              <w:t xml:space="preserve">: </w:t>
            </w:r>
            <w:r>
              <w:rPr>
                <w:rStyle w:val="IndexLink"/>
                <w:rtl w:val="true"/>
              </w:rPr>
              <w:t>مشکلة جریان الاستصحاب فی مؤدّی الاصول و الأمارات و حلّها</w:t>
            </w:r>
            <w:r>
              <w:rPr>
                <w:rStyle w:val="IndexLink"/>
                <w:rtl w:val="true"/>
              </w:rPr>
              <w:tab/>
            </w:r>
            <w:r>
              <w:rPr>
                <w:rStyle w:val="IndexLink"/>
              </w:rPr>
              <w:t>455</w:t>
            </w:r>
          </w:hyperlink>
        </w:p>
        <w:p>
          <w:pPr>
            <w:pStyle w:val="Contents5"/>
            <w:tabs>
              <w:tab w:val="clear" w:pos="7892"/>
              <w:tab w:val="right" w:pos="9026" w:leader="dot"/>
            </w:tabs>
            <w:rPr/>
          </w:pPr>
          <w:hyperlink w:anchor="__RefHeading___Toc764174_3244359995">
            <w:r>
              <w:rPr>
                <w:webHidden/>
                <w:rStyle w:val="IndexLink"/>
                <w:rtl w:val="true"/>
              </w:rPr>
              <w:t>فذلکة البحث</w:t>
            </w:r>
            <w:r>
              <w:rPr>
                <w:rStyle w:val="IndexLink"/>
                <w:rtl w:val="true"/>
              </w:rPr>
              <w:tab/>
            </w:r>
            <w:r>
              <w:rPr>
                <w:rStyle w:val="IndexLink"/>
              </w:rPr>
              <w:t>458</w:t>
            </w:r>
          </w:hyperlink>
        </w:p>
        <w:p>
          <w:pPr>
            <w:pStyle w:val="Contents4"/>
            <w:tabs>
              <w:tab w:val="clear" w:pos="8176"/>
              <w:tab w:val="right" w:pos="9026" w:leader="dot"/>
            </w:tabs>
            <w:rPr/>
          </w:pPr>
          <w:hyperlink w:anchor="__RefHeading___Toc764176_3244359995">
            <w:r>
              <w:rPr>
                <w:webHidden/>
                <w:rStyle w:val="IndexLink"/>
                <w:rtl w:val="true"/>
              </w:rPr>
              <w:t>التنبیه الثامن فی استصحاب الکلّی</w:t>
            </w:r>
            <w:r>
              <w:rPr>
                <w:rStyle w:val="IndexLink"/>
                <w:rtl w:val="true"/>
              </w:rPr>
              <w:tab/>
            </w:r>
            <w:r>
              <w:rPr>
                <w:rStyle w:val="IndexLink"/>
              </w:rPr>
              <w:t>459</w:t>
            </w:r>
          </w:hyperlink>
        </w:p>
        <w:p>
          <w:pPr>
            <w:pStyle w:val="Contents5"/>
            <w:tabs>
              <w:tab w:val="clear" w:pos="7892"/>
              <w:tab w:val="right" w:pos="9026" w:leader="dot"/>
            </w:tabs>
            <w:rPr/>
          </w:pPr>
          <w:hyperlink w:anchor="__RefHeading___Toc764178_3244359995">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764180_3244359995">
            <w:r>
              <w:rPr>
                <w:webHidden/>
                <w:rStyle w:val="IndexLink"/>
                <w:rtl w:val="true"/>
              </w:rPr>
              <w:t>القسم الأوّل</w:t>
            </w:r>
            <w:r>
              <w:rPr>
                <w:rStyle w:val="IndexLink"/>
                <w:rtl w:val="true"/>
              </w:rPr>
              <w:t xml:space="preserve">: </w:t>
            </w:r>
            <w:r>
              <w:rPr>
                <w:rStyle w:val="IndexLink"/>
                <w:rtl w:val="true"/>
              </w:rPr>
              <w:t>من استصحاب الکلّی</w:t>
            </w:r>
            <w:r>
              <w:rPr>
                <w:rStyle w:val="IndexLink"/>
                <w:rtl w:val="true"/>
              </w:rPr>
              <w:tab/>
            </w:r>
            <w:r>
              <w:rPr>
                <w:rStyle w:val="IndexLink"/>
              </w:rPr>
              <w:t>460</w:t>
            </w:r>
          </w:hyperlink>
        </w:p>
        <w:p>
          <w:pPr>
            <w:pStyle w:val="Contents6"/>
            <w:tabs>
              <w:tab w:val="clear" w:pos="7609"/>
              <w:tab w:val="right" w:pos="9026" w:leader="dot"/>
            </w:tabs>
            <w:rPr/>
          </w:pPr>
          <w:hyperlink w:anchor="__RefHeading___Toc764182_3244359995">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764184_3244359995">
            <w:r>
              <w:rPr>
                <w:webHidden/>
                <w:rStyle w:val="IndexLink"/>
                <w:rtl w:val="true"/>
              </w:rPr>
              <w:t>بقی شی‌ء</w:t>
            </w:r>
            <w:r>
              <w:rPr>
                <w:rStyle w:val="IndexLink"/>
                <w:rtl w:val="true"/>
              </w:rPr>
              <w:t xml:space="preserve">: </w:t>
            </w:r>
            <w:r>
              <w:rPr>
                <w:rStyle w:val="IndexLink"/>
                <w:rtl w:val="true"/>
              </w:rPr>
              <w:t>حول استصحاب الفرد و کفایته عن الکلّی</w:t>
            </w:r>
            <w:r>
              <w:rPr>
                <w:rStyle w:val="IndexLink"/>
                <w:rtl w:val="true"/>
              </w:rPr>
              <w:tab/>
            </w:r>
            <w:r>
              <w:rPr>
                <w:rStyle w:val="IndexLink"/>
              </w:rPr>
              <w:t>461</w:t>
            </w:r>
          </w:hyperlink>
        </w:p>
        <w:p>
          <w:pPr>
            <w:pStyle w:val="Contents6"/>
            <w:tabs>
              <w:tab w:val="clear" w:pos="7609"/>
              <w:tab w:val="right" w:pos="9026" w:leader="dot"/>
            </w:tabs>
            <w:rPr/>
          </w:pPr>
          <w:hyperlink w:anchor="__RefHeading___Toc764186_3244359995">
            <w:r>
              <w:rPr>
                <w:webHidden/>
                <w:rStyle w:val="IndexLink"/>
                <w:rtl w:val="true"/>
              </w:rPr>
              <w:t>تتمیم</w:t>
            </w:r>
            <w:r>
              <w:rPr>
                <w:rStyle w:val="IndexLink"/>
                <w:rtl w:val="true"/>
              </w:rPr>
              <w:t>:</w:t>
              <w:tab/>
            </w:r>
            <w:r>
              <w:rPr>
                <w:rStyle w:val="IndexLink"/>
              </w:rPr>
              <w:t>463</w:t>
            </w:r>
          </w:hyperlink>
        </w:p>
        <w:p>
          <w:pPr>
            <w:pStyle w:val="Contents6"/>
            <w:tabs>
              <w:tab w:val="clear" w:pos="7609"/>
              <w:tab w:val="right" w:pos="9026" w:leader="dot"/>
            </w:tabs>
            <w:rPr/>
          </w:pPr>
          <w:hyperlink w:anchor="__RefHeading___Toc764188_3244359995">
            <w:r>
              <w:rPr>
                <w:webHidden/>
                <w:rStyle w:val="IndexLink"/>
                <w:rtl w:val="true"/>
              </w:rPr>
              <w:t>تتمّة</w:t>
            </w:r>
            <w:r>
              <w:rPr>
                <w:rStyle w:val="IndexLink"/>
                <w:rtl w:val="true"/>
              </w:rPr>
              <w:t>:</w:t>
              <w:tab/>
            </w:r>
            <w:r>
              <w:rPr>
                <w:rStyle w:val="IndexLink"/>
              </w:rPr>
              <w:t>465</w:t>
            </w:r>
          </w:hyperlink>
        </w:p>
        <w:p>
          <w:pPr>
            <w:pStyle w:val="Contents5"/>
            <w:tabs>
              <w:tab w:val="clear" w:pos="7892"/>
              <w:tab w:val="right" w:pos="9026" w:leader="dot"/>
            </w:tabs>
            <w:rPr/>
          </w:pPr>
          <w:hyperlink w:anchor="__RefHeading___Toc764190_3244359995">
            <w:r>
              <w:rPr>
                <w:webHidden/>
                <w:rStyle w:val="IndexLink"/>
                <w:rtl w:val="true"/>
              </w:rPr>
              <w:t>القسم الثانی</w:t>
            </w:r>
            <w:r>
              <w:rPr>
                <w:rStyle w:val="IndexLink"/>
                <w:rtl w:val="true"/>
              </w:rPr>
              <w:t xml:space="preserve">: </w:t>
            </w:r>
            <w:r>
              <w:rPr>
                <w:rStyle w:val="IndexLink"/>
                <w:rtl w:val="true"/>
              </w:rPr>
              <w:t>من استصحاب الکلّی</w:t>
            </w:r>
            <w:r>
              <w:rPr>
                <w:rStyle w:val="IndexLink"/>
                <w:rtl w:val="true"/>
              </w:rPr>
              <w:tab/>
            </w:r>
            <w:r>
              <w:rPr>
                <w:rStyle w:val="IndexLink"/>
              </w:rPr>
              <w:t>466</w:t>
            </w:r>
          </w:hyperlink>
        </w:p>
        <w:p>
          <w:pPr>
            <w:pStyle w:val="Contents6"/>
            <w:tabs>
              <w:tab w:val="clear" w:pos="7609"/>
              <w:tab w:val="right" w:pos="9026" w:leader="dot"/>
            </w:tabs>
            <w:rPr/>
          </w:pPr>
          <w:hyperlink w:anchor="__RefHeading___Toc764192_3244359995">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764194_3244359995">
            <w:r>
              <w:rPr>
                <w:webHidden/>
                <w:rStyle w:val="IndexLink"/>
                <w:rtl w:val="true"/>
              </w:rPr>
              <w:t>اعتراضات و أجوبة</w:t>
            </w:r>
            <w:r>
              <w:rPr>
                <w:rStyle w:val="IndexLink"/>
                <w:rtl w:val="true"/>
              </w:rPr>
              <w:t>:</w:t>
              <w:tab/>
            </w:r>
            <w:r>
              <w:rPr>
                <w:rStyle w:val="IndexLink"/>
              </w:rPr>
              <w:t>468</w:t>
            </w:r>
          </w:hyperlink>
        </w:p>
        <w:p>
          <w:pPr>
            <w:pStyle w:val="Contents6"/>
            <w:tabs>
              <w:tab w:val="clear" w:pos="7609"/>
              <w:tab w:val="right" w:pos="9026" w:leader="dot"/>
            </w:tabs>
            <w:rPr/>
          </w:pPr>
          <w:hyperlink w:anchor="__RefHeading___Toc764196_3244359995">
            <w:r>
              <w:rPr>
                <w:webHidden/>
                <w:rStyle w:val="IndexLink"/>
                <w:rtl w:val="true"/>
              </w:rPr>
              <w:t>الشبهة الاولی</w:t>
            </w:r>
            <w:r>
              <w:rPr>
                <w:rStyle w:val="IndexLink"/>
                <w:rtl w:val="true"/>
              </w:rPr>
              <w:t>:</w:t>
              <w:tab/>
            </w:r>
            <w:r>
              <w:rPr>
                <w:rStyle w:val="IndexLink"/>
              </w:rPr>
              <w:t>468</w:t>
            </w:r>
          </w:hyperlink>
        </w:p>
        <w:p>
          <w:pPr>
            <w:pStyle w:val="Contents6"/>
            <w:tabs>
              <w:tab w:val="clear" w:pos="7609"/>
              <w:tab w:val="right" w:pos="9026" w:leader="dot"/>
            </w:tabs>
            <w:rPr/>
          </w:pPr>
          <w:hyperlink w:anchor="__RefHeading___Toc764198_3244359995">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764200_3244359995">
            <w:r>
              <w:rPr>
                <w:webHidden/>
                <w:rStyle w:val="IndexLink"/>
                <w:rtl w:val="true"/>
              </w:rPr>
              <w:t>بقی بحث</w:t>
            </w:r>
            <w:r>
              <w:rPr>
                <w:rStyle w:val="IndexLink"/>
                <w:rtl w:val="true"/>
              </w:rPr>
              <w:t>:</w:t>
              <w:tab/>
            </w:r>
            <w:r>
              <w:rPr>
                <w:rStyle w:val="IndexLink"/>
              </w:rPr>
              <w:t>469</w:t>
            </w:r>
          </w:hyperlink>
        </w:p>
        <w:p>
          <w:pPr>
            <w:pStyle w:val="Contents6"/>
            <w:tabs>
              <w:tab w:val="clear" w:pos="7609"/>
              <w:tab w:val="right" w:pos="9026" w:leader="dot"/>
            </w:tabs>
            <w:rPr/>
          </w:pPr>
          <w:hyperlink w:anchor="__RefHeading___Toc764202_3244359995">
            <w:r>
              <w:rPr>
                <w:webHidden/>
                <w:rStyle w:val="IndexLink"/>
                <w:rtl w:val="true"/>
              </w:rPr>
              <w:t>الشبهة الثانیة</w:t>
            </w:r>
            <w:r>
              <w:rPr>
                <w:rStyle w:val="IndexLink"/>
                <w:rtl w:val="true"/>
              </w:rPr>
              <w:t>:</w:t>
              <w:tab/>
            </w:r>
            <w:r>
              <w:rPr>
                <w:rStyle w:val="IndexLink"/>
              </w:rPr>
              <w:t>470</w:t>
            </w:r>
          </w:hyperlink>
        </w:p>
        <w:p>
          <w:pPr>
            <w:pStyle w:val="Contents6"/>
            <w:tabs>
              <w:tab w:val="clear" w:pos="7609"/>
              <w:tab w:val="right" w:pos="9026" w:leader="dot"/>
            </w:tabs>
            <w:rPr/>
          </w:pPr>
          <w:hyperlink w:anchor="__RefHeading___Toc764204_3244359995">
            <w:r>
              <w:rPr>
                <w:webHidden/>
                <w:rStyle w:val="IndexLink"/>
                <w:rtl w:val="true"/>
              </w:rPr>
              <w:t>الشبهة الثالثة</w:t>
            </w:r>
            <w:r>
              <w:rPr>
                <w:rStyle w:val="IndexLink"/>
                <w:rtl w:val="true"/>
              </w:rPr>
              <w:t>:</w:t>
              <w:tab/>
            </w:r>
            <w:r>
              <w:rPr>
                <w:rStyle w:val="IndexLink"/>
              </w:rPr>
              <w:t>472</w:t>
            </w:r>
          </w:hyperlink>
        </w:p>
        <w:p>
          <w:pPr>
            <w:pStyle w:val="Contents6"/>
            <w:tabs>
              <w:tab w:val="clear" w:pos="7609"/>
              <w:tab w:val="right" w:pos="9026" w:leader="dot"/>
            </w:tabs>
            <w:rPr/>
          </w:pPr>
          <w:hyperlink w:anchor="__RefHeading___Toc764206_3244359995">
            <w:r>
              <w:rPr>
                <w:webHidden/>
                <w:rStyle w:val="IndexLink"/>
                <w:rtl w:val="true"/>
              </w:rPr>
              <w:t>الشبهة الرابعة</w:t>
            </w:r>
            <w:r>
              <w:rPr>
                <w:rStyle w:val="IndexLink"/>
                <w:rtl w:val="true"/>
              </w:rPr>
              <w:t>:</w:t>
              <w:tab/>
            </w:r>
            <w:r>
              <w:rPr>
                <w:rStyle w:val="IndexLink"/>
              </w:rPr>
              <w:t>474</w:t>
            </w:r>
          </w:hyperlink>
        </w:p>
        <w:p>
          <w:pPr>
            <w:pStyle w:val="Contents6"/>
            <w:tabs>
              <w:tab w:val="clear" w:pos="7609"/>
              <w:tab w:val="right" w:pos="9026" w:leader="dot"/>
            </w:tabs>
            <w:rPr/>
          </w:pPr>
          <w:hyperlink w:anchor="__RefHeading___Toc764208_3244359995">
            <w:r>
              <w:rPr>
                <w:webHidden/>
                <w:rStyle w:val="IndexLink"/>
                <w:rtl w:val="true"/>
              </w:rPr>
              <w:t>الشبهة الخامسة</w:t>
            </w:r>
            <w:r>
              <w:rPr>
                <w:rStyle w:val="IndexLink"/>
                <w:rtl w:val="true"/>
              </w:rPr>
              <w:t>:</w:t>
              <w:tab/>
            </w:r>
            <w:r>
              <w:rPr>
                <w:rStyle w:val="IndexLink"/>
              </w:rPr>
              <w:t>475</w:t>
            </w:r>
          </w:hyperlink>
        </w:p>
        <w:p>
          <w:pPr>
            <w:pStyle w:val="Contents6"/>
            <w:tabs>
              <w:tab w:val="clear" w:pos="7609"/>
              <w:tab w:val="right" w:pos="9026" w:leader="dot"/>
            </w:tabs>
            <w:rPr/>
          </w:pPr>
          <w:hyperlink w:anchor="__RefHeading___Toc764210_3244359995">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764212_3244359995">
            <w:r>
              <w:rPr>
                <w:webHidden/>
                <w:rStyle w:val="IndexLink"/>
                <w:rtl w:val="true"/>
              </w:rPr>
              <w:t>بقی شی‌ء</w:t>
            </w:r>
            <w:r>
              <w:rPr>
                <w:rStyle w:val="IndexLink"/>
                <w:rtl w:val="true"/>
              </w:rPr>
              <w:t xml:space="preserve">: </w:t>
            </w:r>
            <w:r>
              <w:rPr>
                <w:rStyle w:val="IndexLink"/>
                <w:rtl w:val="true"/>
              </w:rPr>
              <w:t>فی الشبهة العبائیّة و حلها</w:t>
            </w:r>
            <w:r>
              <w:rPr>
                <w:rStyle w:val="IndexLink"/>
                <w:rtl w:val="true"/>
              </w:rPr>
              <w:tab/>
            </w:r>
            <w:r>
              <w:rPr>
                <w:rStyle w:val="IndexLink"/>
              </w:rPr>
              <w:t>477</w:t>
            </w:r>
          </w:hyperlink>
        </w:p>
        <w:p>
          <w:pPr>
            <w:pStyle w:val="Contents6"/>
            <w:tabs>
              <w:tab w:val="clear" w:pos="7609"/>
              <w:tab w:val="right" w:pos="9026" w:leader="dot"/>
            </w:tabs>
            <w:rPr/>
          </w:pPr>
          <w:hyperlink w:anchor="__RefHeading___Toc764214_3244359995">
            <w:r>
              <w:rPr>
                <w:webHidden/>
                <w:rStyle w:val="IndexLink"/>
                <w:rtl w:val="true"/>
              </w:rPr>
              <w:t>بقیت نکتة</w:t>
            </w:r>
            <w:r>
              <w:rPr>
                <w:rStyle w:val="IndexLink"/>
                <w:rtl w:val="true"/>
              </w:rPr>
              <w:t xml:space="preserve">: </w:t>
            </w:r>
            <w:r>
              <w:rPr>
                <w:rStyle w:val="IndexLink"/>
                <w:rtl w:val="true"/>
              </w:rPr>
              <w:t>فی منع إطلاق جریان القسم الثانی</w:t>
            </w:r>
            <w:r>
              <w:rPr>
                <w:rStyle w:val="IndexLink"/>
                <w:rtl w:val="true"/>
              </w:rPr>
              <w:tab/>
            </w:r>
            <w:r>
              <w:rPr>
                <w:rStyle w:val="IndexLink"/>
              </w:rPr>
              <w:t>479</w:t>
            </w:r>
          </w:hyperlink>
        </w:p>
        <w:p>
          <w:pPr>
            <w:pStyle w:val="Contents6"/>
            <w:tabs>
              <w:tab w:val="clear" w:pos="7609"/>
              <w:tab w:val="right" w:pos="9026" w:leader="dot"/>
            </w:tabs>
            <w:rPr/>
          </w:pPr>
          <w:hyperlink w:anchor="__RefHeading___Toc764216_3244359995">
            <w:r>
              <w:rPr>
                <w:webHidden/>
                <w:rStyle w:val="IndexLink"/>
                <w:rtl w:val="true"/>
              </w:rPr>
              <w:t>جولة حول الأمثلة کی لا یقع الطلبة فی الاشتباه</w:t>
            </w:r>
            <w:r>
              <w:rPr>
                <w:rStyle w:val="IndexLink"/>
                <w:rtl w:val="true"/>
              </w:rPr>
              <w:tab/>
            </w:r>
            <w:r>
              <w:rPr>
                <w:rStyle w:val="IndexLink"/>
              </w:rPr>
              <w:t>481</w:t>
            </w:r>
          </w:hyperlink>
        </w:p>
        <w:p>
          <w:pPr>
            <w:pStyle w:val="Contents5"/>
            <w:tabs>
              <w:tab w:val="clear" w:pos="7892"/>
              <w:tab w:val="right" w:pos="9026" w:leader="dot"/>
            </w:tabs>
            <w:rPr/>
          </w:pPr>
          <w:hyperlink w:anchor="__RefHeading___Toc764218_3244359995">
            <w:r>
              <w:rPr>
                <w:webHidden/>
                <w:rStyle w:val="IndexLink"/>
                <w:rtl w:val="true"/>
              </w:rPr>
              <w:t>القسم الثالث</w:t>
            </w:r>
            <w:r>
              <w:rPr>
                <w:rStyle w:val="IndexLink"/>
                <w:rtl w:val="true"/>
              </w:rPr>
              <w:t xml:space="preserve">: </w:t>
            </w:r>
            <w:r>
              <w:rPr>
                <w:rStyle w:val="IndexLink"/>
                <w:rtl w:val="true"/>
              </w:rPr>
              <w:t>من استصحاب الکلّی</w:t>
            </w:r>
            <w:r>
              <w:rPr>
                <w:rStyle w:val="IndexLink"/>
                <w:rtl w:val="true"/>
              </w:rPr>
              <w:tab/>
            </w:r>
            <w:r>
              <w:rPr>
                <w:rStyle w:val="IndexLink"/>
              </w:rPr>
              <w:t>484</w:t>
            </w:r>
          </w:hyperlink>
        </w:p>
        <w:p>
          <w:pPr>
            <w:pStyle w:val="Contents6"/>
            <w:tabs>
              <w:tab w:val="clear" w:pos="7609"/>
              <w:tab w:val="right" w:pos="9026" w:leader="dot"/>
            </w:tabs>
            <w:rPr/>
          </w:pPr>
          <w:hyperlink w:anchor="__RefHeading___Toc764220_3244359995">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764222_3244359995">
            <w:r>
              <w:rPr>
                <w:webHidden/>
                <w:rStyle w:val="IndexLink"/>
                <w:rtl w:val="true"/>
              </w:rPr>
              <w:t>تذنیب</w:t>
            </w:r>
            <w:r>
              <w:rPr>
                <w:rStyle w:val="IndexLink"/>
                <w:rtl w:val="true"/>
              </w:rPr>
              <w:t xml:space="preserve">: </w:t>
            </w:r>
            <w:r>
              <w:rPr>
                <w:rStyle w:val="IndexLink"/>
                <w:rtl w:val="true"/>
              </w:rPr>
              <w:t>فیه تأیید لمسلکنا</w:t>
            </w:r>
            <w:r>
              <w:rPr>
                <w:rStyle w:val="IndexLink"/>
                <w:rtl w:val="true"/>
              </w:rPr>
              <w:tab/>
            </w:r>
            <w:r>
              <w:rPr>
                <w:rStyle w:val="IndexLink"/>
              </w:rPr>
              <w:t>487</w:t>
            </w:r>
          </w:hyperlink>
        </w:p>
        <w:p>
          <w:pPr>
            <w:pStyle w:val="Contents6"/>
            <w:tabs>
              <w:tab w:val="clear" w:pos="7609"/>
              <w:tab w:val="right" w:pos="9026" w:leader="dot"/>
            </w:tabs>
            <w:rPr/>
          </w:pPr>
          <w:hyperlink w:anchor="__RefHeading___Toc764224_3244359995">
            <w:r>
              <w:rPr>
                <w:webHidden/>
                <w:rStyle w:val="IndexLink"/>
                <w:rtl w:val="true"/>
              </w:rPr>
              <w:t>بقی شی‌ء</w:t>
            </w:r>
            <w:r>
              <w:rPr>
                <w:rStyle w:val="IndexLink"/>
                <w:rtl w:val="true"/>
              </w:rPr>
              <w:t xml:space="preserve">: </w:t>
            </w:r>
            <w:r>
              <w:rPr>
                <w:rStyle w:val="IndexLink"/>
                <w:rtl w:val="true"/>
              </w:rPr>
              <w:t>حول الفرض الثانی من القسم الثالث</w:t>
            </w:r>
            <w:r>
              <w:rPr>
                <w:rStyle w:val="IndexLink"/>
                <w:rtl w:val="true"/>
              </w:rPr>
              <w:tab/>
            </w:r>
            <w:r>
              <w:rPr>
                <w:rStyle w:val="IndexLink"/>
              </w:rPr>
              <w:t>488</w:t>
            </w:r>
          </w:hyperlink>
        </w:p>
        <w:p>
          <w:pPr>
            <w:pStyle w:val="Contents6"/>
            <w:tabs>
              <w:tab w:val="clear" w:pos="7609"/>
              <w:tab w:val="right" w:pos="9026" w:leader="dot"/>
            </w:tabs>
            <w:rPr/>
          </w:pPr>
          <w:hyperlink w:anchor="__RefHeading___Toc764226_3244359995">
            <w:r>
              <w:rPr>
                <w:webHidden/>
                <w:rStyle w:val="IndexLink"/>
                <w:rtl w:val="true"/>
              </w:rPr>
              <w:t>إفادة</w:t>
            </w:r>
            <w:r>
              <w:rPr>
                <w:rStyle w:val="IndexLink"/>
                <w:rtl w:val="true"/>
              </w:rPr>
              <w:t xml:space="preserve">: </w:t>
            </w:r>
            <w:r>
              <w:rPr>
                <w:rStyle w:val="IndexLink"/>
                <w:rtl w:val="true"/>
              </w:rPr>
              <w:t>حول الفرض الثالث من القسم الأخیر</w:t>
            </w:r>
            <w:r>
              <w:rPr>
                <w:rStyle w:val="IndexLink"/>
                <w:rtl w:val="true"/>
              </w:rPr>
              <w:tab/>
            </w:r>
            <w:r>
              <w:rPr>
                <w:rStyle w:val="IndexLink"/>
              </w:rPr>
              <w:t>489</w:t>
            </w:r>
          </w:hyperlink>
        </w:p>
        <w:p>
          <w:pPr>
            <w:pStyle w:val="Contents6"/>
            <w:tabs>
              <w:tab w:val="clear" w:pos="7609"/>
              <w:tab w:val="right" w:pos="9026" w:leader="dot"/>
            </w:tabs>
            <w:rPr/>
          </w:pPr>
          <w:hyperlink w:anchor="__RefHeading___Toc764228_3244359995">
            <w:r>
              <w:rPr>
                <w:webHidden/>
                <w:rStyle w:val="IndexLink"/>
                <w:rtl w:val="true"/>
              </w:rPr>
              <w:t>تذنیب</w:t>
            </w:r>
            <w:r>
              <w:rPr>
                <w:rStyle w:val="IndexLink"/>
                <w:rtl w:val="true"/>
              </w:rPr>
              <w:t xml:space="preserve">: </w:t>
            </w:r>
            <w:r>
              <w:rPr>
                <w:rStyle w:val="IndexLink"/>
                <w:rtl w:val="true"/>
              </w:rPr>
              <w:t>فی استصحاب عدم التذکیة</w:t>
            </w:r>
            <w:r>
              <w:rPr>
                <w:rStyle w:val="IndexLink"/>
                <w:rtl w:val="true"/>
              </w:rPr>
              <w:tab/>
            </w:r>
            <w:r>
              <w:rPr>
                <w:rStyle w:val="IndexLink"/>
              </w:rPr>
              <w:t>491</w:t>
            </w:r>
          </w:hyperlink>
        </w:p>
        <w:p>
          <w:pPr>
            <w:pStyle w:val="Contents6"/>
            <w:tabs>
              <w:tab w:val="clear" w:pos="7609"/>
              <w:tab w:val="right" w:pos="9026" w:leader="dot"/>
            </w:tabs>
            <w:rPr/>
          </w:pPr>
          <w:hyperlink w:anchor="__RefHeading___Toc764230_3244359995">
            <w:r>
              <w:rPr>
                <w:webHidden/>
                <w:rStyle w:val="IndexLink"/>
                <w:rtl w:val="true"/>
              </w:rPr>
              <w:t>الأمر الثالث</w:t>
            </w:r>
            <w:r>
              <w:rPr>
                <w:rStyle w:val="IndexLink"/>
                <w:rtl w:val="true"/>
              </w:rPr>
              <w:t>:</w:t>
              <w:tab/>
            </w:r>
            <w:r>
              <w:rPr>
                <w:rStyle w:val="IndexLink"/>
              </w:rPr>
              <w:t>494</w:t>
            </w:r>
          </w:hyperlink>
        </w:p>
        <w:p>
          <w:pPr>
            <w:pStyle w:val="Contents6"/>
            <w:tabs>
              <w:tab w:val="clear" w:pos="7609"/>
              <w:tab w:val="right" w:pos="9026" w:leader="dot"/>
            </w:tabs>
            <w:rPr/>
          </w:pPr>
          <w:hyperlink w:anchor="__RefHeading___Toc764232_3244359995">
            <w:r>
              <w:rPr>
                <w:webHidden/>
                <w:rStyle w:val="IndexLink"/>
                <w:rtl w:val="true"/>
              </w:rPr>
              <w:t>بقی أمر رابع</w:t>
            </w:r>
            <w:r>
              <w:rPr>
                <w:rStyle w:val="IndexLink"/>
                <w:rtl w:val="true"/>
              </w:rPr>
              <w:t xml:space="preserve">: </w:t>
            </w:r>
            <w:r>
              <w:rPr>
                <w:rStyle w:val="IndexLink"/>
                <w:rtl w:val="true"/>
              </w:rPr>
              <w:t>فی بیان أنحاء الشبهة فی المقام</w:t>
            </w:r>
            <w:r>
              <w:rPr>
                <w:rStyle w:val="IndexLink"/>
                <w:rtl w:val="true"/>
              </w:rPr>
              <w:tab/>
            </w:r>
            <w:r>
              <w:rPr>
                <w:rStyle w:val="IndexLink"/>
              </w:rPr>
              <w:t>495</w:t>
            </w:r>
          </w:hyperlink>
        </w:p>
        <w:p>
          <w:pPr>
            <w:pStyle w:val="Contents6"/>
            <w:tabs>
              <w:tab w:val="clear" w:pos="7609"/>
              <w:tab w:val="right" w:pos="9026" w:leader="dot"/>
            </w:tabs>
            <w:rPr/>
          </w:pPr>
          <w:hyperlink w:anchor="__RefHeading___Toc764234_3244359995">
            <w:r>
              <w:rPr>
                <w:webHidden/>
                <w:rStyle w:val="IndexLink"/>
                <w:rtl w:val="true"/>
              </w:rPr>
              <w:t>و إلیک خامس الامور</w:t>
            </w:r>
            <w:r>
              <w:rPr>
                <w:rStyle w:val="IndexLink"/>
                <w:rtl w:val="true"/>
              </w:rPr>
              <w:t xml:space="preserve">: </w:t>
            </w:r>
            <w:r>
              <w:rPr>
                <w:rStyle w:val="IndexLink"/>
                <w:rtl w:val="true"/>
              </w:rPr>
              <w:t>و هو حول موضوع المحلّل و المحرّم و الطاهر و النجس</w:t>
            </w:r>
            <w:r>
              <w:rPr>
                <w:rStyle w:val="IndexLink"/>
                <w:rtl w:val="true"/>
              </w:rPr>
              <w:tab/>
            </w:r>
            <w:r>
              <w:rPr>
                <w:rStyle w:val="IndexLink"/>
              </w:rPr>
              <w:t>496</w:t>
            </w:r>
          </w:hyperlink>
        </w:p>
        <w:p>
          <w:pPr>
            <w:pStyle w:val="Contents6"/>
            <w:tabs>
              <w:tab w:val="clear" w:pos="7609"/>
              <w:tab w:val="right" w:pos="9026" w:leader="dot"/>
            </w:tabs>
            <w:rPr/>
          </w:pPr>
          <w:hyperlink w:anchor="__RefHeading___Toc764236_3244359995">
            <w:r>
              <w:rPr>
                <w:webHidden/>
                <w:rStyle w:val="IndexLink"/>
                <w:rtl w:val="true"/>
              </w:rPr>
              <w:t>تتمّة</w:t>
            </w:r>
            <w:r>
              <w:rPr>
                <w:rStyle w:val="IndexLink"/>
                <w:rtl w:val="true"/>
              </w:rPr>
              <w:t xml:space="preserve">: </w:t>
            </w:r>
            <w:r>
              <w:rPr>
                <w:rStyle w:val="IndexLink"/>
                <w:rtl w:val="true"/>
              </w:rPr>
              <w:t>فی تحدید ما یدلّ علی التذکیة و القابلیة</w:t>
            </w:r>
            <w:r>
              <w:rPr>
                <w:rStyle w:val="IndexLink"/>
                <w:rtl w:val="true"/>
              </w:rPr>
              <w:tab/>
            </w:r>
            <w:r>
              <w:rPr>
                <w:rStyle w:val="IndexLink"/>
              </w:rPr>
              <w:t>497</w:t>
            </w:r>
          </w:hyperlink>
        </w:p>
        <w:p>
          <w:pPr>
            <w:pStyle w:val="Contents6"/>
            <w:tabs>
              <w:tab w:val="clear" w:pos="7609"/>
              <w:tab w:val="right" w:pos="9026" w:leader="dot"/>
            </w:tabs>
            <w:rPr/>
          </w:pPr>
          <w:hyperlink w:anchor="__RefHeading___Toc764238_3244359995">
            <w:r>
              <w:rPr>
                <w:webHidden/>
                <w:rStyle w:val="IndexLink"/>
                <w:rtl w:val="true"/>
              </w:rPr>
              <w:t>الأمر السادس</w:t>
            </w:r>
            <w:r>
              <w:rPr>
                <w:rStyle w:val="IndexLink"/>
                <w:rtl w:val="true"/>
              </w:rPr>
              <w:t>:</w:t>
              <w:tab/>
            </w:r>
            <w:r>
              <w:rPr>
                <w:rStyle w:val="IndexLink"/>
              </w:rPr>
              <w:t>498</w:t>
            </w:r>
          </w:hyperlink>
        </w:p>
        <w:p>
          <w:pPr>
            <w:pStyle w:val="Contents6"/>
            <w:tabs>
              <w:tab w:val="clear" w:pos="7609"/>
              <w:tab w:val="right" w:pos="9026" w:leader="dot"/>
            </w:tabs>
            <w:rPr/>
          </w:pPr>
          <w:hyperlink w:anchor="__RefHeading___Toc764240_3244359995">
            <w:r>
              <w:rPr>
                <w:webHidden/>
                <w:rStyle w:val="IndexLink"/>
                <w:rtl w:val="true"/>
              </w:rPr>
              <w:t>حکم الشبهة الحکمیة للتذکیة</w:t>
            </w:r>
            <w:r>
              <w:rPr>
                <w:rStyle w:val="IndexLink"/>
                <w:rtl w:val="true"/>
              </w:rPr>
              <w:tab/>
            </w:r>
            <w:r>
              <w:rPr>
                <w:rStyle w:val="IndexLink"/>
              </w:rPr>
              <w:t>498</w:t>
            </w:r>
          </w:hyperlink>
        </w:p>
        <w:p>
          <w:pPr>
            <w:pStyle w:val="Contents6"/>
            <w:tabs>
              <w:tab w:val="clear" w:pos="7609"/>
              <w:tab w:val="right" w:pos="9026" w:leader="dot"/>
            </w:tabs>
            <w:rPr/>
          </w:pPr>
          <w:hyperlink w:anchor="__RefHeading___Toc764242_3244359995">
            <w:r>
              <w:rPr>
                <w:webHidden/>
                <w:rStyle w:val="IndexLink"/>
                <w:rtl w:val="true"/>
              </w:rPr>
              <w:t>حکم الشبهة الموضوعیّة</w:t>
            </w:r>
            <w:r>
              <w:rPr>
                <w:rStyle w:val="IndexLink"/>
                <w:rtl w:val="true"/>
              </w:rPr>
              <w:tab/>
            </w:r>
            <w:r>
              <w:rPr>
                <w:rStyle w:val="IndexLink"/>
              </w:rPr>
              <w:t>499</w:t>
            </w:r>
          </w:hyperlink>
        </w:p>
        <w:p>
          <w:pPr>
            <w:pStyle w:val="Contents6"/>
            <w:tabs>
              <w:tab w:val="clear" w:pos="7609"/>
              <w:tab w:val="right" w:pos="9026" w:leader="dot"/>
            </w:tabs>
            <w:rPr/>
          </w:pPr>
          <w:hyperlink w:anchor="__RefHeading___Toc764244_3244359995">
            <w:r>
              <w:rPr>
                <w:webHidden/>
                <w:rStyle w:val="IndexLink"/>
                <w:rtl w:val="true"/>
              </w:rPr>
              <w:t>و هم و دفع</w:t>
            </w:r>
            <w:r>
              <w:rPr>
                <w:rStyle w:val="IndexLink"/>
                <w:rtl w:val="true"/>
              </w:rPr>
              <w:tab/>
            </w:r>
            <w:r>
              <w:rPr>
                <w:rStyle w:val="IndexLink"/>
              </w:rPr>
              <w:t>503</w:t>
            </w:r>
          </w:hyperlink>
        </w:p>
        <w:p>
          <w:pPr>
            <w:pStyle w:val="Contents6"/>
            <w:tabs>
              <w:tab w:val="clear" w:pos="7609"/>
              <w:tab w:val="right" w:pos="9026" w:leader="dot"/>
            </w:tabs>
            <w:rPr/>
          </w:pPr>
          <w:hyperlink w:anchor="__RefHeading___Toc764246_3244359995">
            <w:r>
              <w:rPr>
                <w:webHidden/>
                <w:rStyle w:val="IndexLink"/>
                <w:rtl w:val="true"/>
              </w:rPr>
              <w:t>تذنیب</w:t>
            </w:r>
            <w:r>
              <w:rPr>
                <w:rStyle w:val="IndexLink"/>
                <w:rtl w:val="true"/>
              </w:rPr>
              <w:t xml:space="preserve">: </w:t>
            </w:r>
            <w:r>
              <w:rPr>
                <w:rStyle w:val="IndexLink"/>
                <w:rtl w:val="true"/>
              </w:rPr>
              <w:t>فی تعنون العامّ أو المطلق بضدّ الخاصّ</w:t>
            </w:r>
            <w:r>
              <w:rPr>
                <w:rStyle w:val="IndexLink"/>
                <w:rtl w:val="true"/>
              </w:rPr>
              <w:tab/>
            </w:r>
            <w:r>
              <w:rPr>
                <w:rStyle w:val="IndexLink"/>
              </w:rPr>
              <w:t>506</w:t>
            </w:r>
          </w:hyperlink>
        </w:p>
        <w:p>
          <w:pPr>
            <w:pStyle w:val="Contents6"/>
            <w:tabs>
              <w:tab w:val="clear" w:pos="7609"/>
              <w:tab w:val="right" w:pos="9026" w:leader="dot"/>
            </w:tabs>
            <w:rPr/>
          </w:pPr>
          <w:hyperlink w:anchor="__RefHeading___Toc764248_3244359995">
            <w:r>
              <w:rPr>
                <w:webHidden/>
                <w:rStyle w:val="IndexLink"/>
                <w:rtl w:val="true"/>
              </w:rPr>
              <w:t>فذلکة</w:t>
            </w:r>
            <w:r>
              <w:rPr>
                <w:rStyle w:val="IndexLink"/>
                <w:rtl w:val="true"/>
              </w:rPr>
              <w:tab/>
            </w:r>
            <w:r>
              <w:rPr>
                <w:rStyle w:val="IndexLink"/>
              </w:rPr>
              <w:t>506</w:t>
            </w:r>
          </w:hyperlink>
        </w:p>
        <w:p>
          <w:pPr>
            <w:pStyle w:val="Contents5"/>
            <w:tabs>
              <w:tab w:val="clear" w:pos="7892"/>
              <w:tab w:val="right" w:pos="9026" w:leader="dot"/>
            </w:tabs>
            <w:rPr/>
          </w:pPr>
          <w:hyperlink w:anchor="__RefHeading___Toc764250_3244359995">
            <w:r>
              <w:rPr>
                <w:webHidden/>
                <w:rStyle w:val="IndexLink"/>
                <w:rtl w:val="true"/>
              </w:rPr>
              <w:t>القسم الرابع</w:t>
            </w:r>
            <w:r>
              <w:rPr>
                <w:rStyle w:val="IndexLink"/>
                <w:rtl w:val="true"/>
              </w:rPr>
              <w:t xml:space="preserve">: </w:t>
            </w:r>
            <w:r>
              <w:rPr>
                <w:rStyle w:val="IndexLink"/>
                <w:rtl w:val="true"/>
              </w:rPr>
              <w:t>من استصحاب الکلّی</w:t>
            </w:r>
            <w:r>
              <w:rPr>
                <w:rStyle w:val="IndexLink"/>
                <w:rtl w:val="true"/>
              </w:rPr>
              <w:tab/>
            </w:r>
            <w:r>
              <w:rPr>
                <w:rStyle w:val="IndexLink"/>
              </w:rPr>
              <w:t>507</w:t>
            </w:r>
          </w:hyperlink>
        </w:p>
        <w:p>
          <w:pPr>
            <w:pStyle w:val="Contents5"/>
            <w:tabs>
              <w:tab w:val="clear" w:pos="7892"/>
              <w:tab w:val="right" w:pos="9026" w:leader="dot"/>
            </w:tabs>
            <w:rPr/>
          </w:pPr>
          <w:hyperlink w:anchor="__RefHeading___Toc764252_3244359995">
            <w:r>
              <w:rPr>
                <w:webHidden/>
                <w:rStyle w:val="IndexLink"/>
                <w:rtl w:val="true"/>
              </w:rPr>
              <w:t>القسم الخامس</w:t>
            </w:r>
            <w:r>
              <w:rPr>
                <w:rStyle w:val="IndexLink"/>
                <w:rtl w:val="true"/>
              </w:rPr>
              <w:t xml:space="preserve">: </w:t>
            </w:r>
            <w:r>
              <w:rPr>
                <w:rStyle w:val="IndexLink"/>
                <w:rtl w:val="true"/>
              </w:rPr>
              <w:t>من استصحاب الکلّی</w:t>
            </w:r>
            <w:r>
              <w:rPr>
                <w:rStyle w:val="IndexLink"/>
                <w:rtl w:val="true"/>
              </w:rPr>
              <w:tab/>
            </w:r>
            <w:r>
              <w:rPr>
                <w:rStyle w:val="IndexLink"/>
              </w:rPr>
              <w:t>509</w:t>
            </w:r>
          </w:hyperlink>
        </w:p>
        <w:p>
          <w:pPr>
            <w:pStyle w:val="Contents6"/>
            <w:tabs>
              <w:tab w:val="clear" w:pos="7609"/>
              <w:tab w:val="right" w:pos="9026" w:leader="dot"/>
            </w:tabs>
            <w:rPr/>
          </w:pPr>
          <w:hyperlink w:anchor="__RefHeading___Toc764254_3244359995">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764256_3244359995">
            <w:r>
              <w:rPr>
                <w:webHidden/>
                <w:rStyle w:val="IndexLink"/>
                <w:rtl w:val="true"/>
              </w:rPr>
              <w:t>تذنیب</w:t>
            </w:r>
            <w:r>
              <w:rPr>
                <w:rStyle w:val="IndexLink"/>
                <w:rtl w:val="true"/>
              </w:rPr>
              <w:t xml:space="preserve">: </w:t>
            </w:r>
            <w:r>
              <w:rPr>
                <w:rStyle w:val="IndexLink"/>
                <w:rtl w:val="true"/>
              </w:rPr>
              <w:t>حول استصحاب الفرد المردّد</w:t>
            </w:r>
            <w:r>
              <w:rPr>
                <w:rStyle w:val="IndexLink"/>
                <w:rtl w:val="true"/>
              </w:rPr>
              <w:tab/>
            </w:r>
            <w:r>
              <w:rPr>
                <w:rStyle w:val="IndexLink"/>
              </w:rPr>
              <w:t>510</w:t>
            </w:r>
          </w:hyperlink>
        </w:p>
        <w:p>
          <w:pPr>
            <w:pStyle w:val="Contents6"/>
            <w:tabs>
              <w:tab w:val="clear" w:pos="7609"/>
              <w:tab w:val="right" w:pos="9026" w:leader="dot"/>
            </w:tabs>
            <w:rPr/>
          </w:pPr>
          <w:hyperlink w:anchor="__RefHeading___Toc764258_3244359995">
            <w:r>
              <w:rPr>
                <w:webHidden/>
                <w:rStyle w:val="IndexLink"/>
                <w:rtl w:val="true"/>
              </w:rPr>
              <w:t>فرع</w:t>
            </w:r>
            <w:r>
              <w:rPr>
                <w:rStyle w:val="IndexLink"/>
                <w:rtl w:val="true"/>
              </w:rPr>
              <w:tab/>
            </w:r>
            <w:r>
              <w:rPr>
                <w:rStyle w:val="IndexLink"/>
              </w:rPr>
              <w:t>511</w:t>
            </w:r>
          </w:hyperlink>
        </w:p>
        <w:p>
          <w:pPr>
            <w:pStyle w:val="Contents4"/>
            <w:tabs>
              <w:tab w:val="clear" w:pos="8176"/>
              <w:tab w:val="right" w:pos="9026" w:leader="dot"/>
            </w:tabs>
            <w:rPr/>
          </w:pPr>
          <w:hyperlink w:anchor="__RefHeading___Toc764260_3244359995">
            <w:r>
              <w:rPr>
                <w:webHidden/>
                <w:rStyle w:val="IndexLink"/>
                <w:rtl w:val="true"/>
              </w:rPr>
              <w:t>التنبیه التاسع فی استصحاب المتصرّمات</w:t>
            </w:r>
            <w:r>
              <w:rPr>
                <w:rStyle w:val="IndexLink"/>
                <w:rtl w:val="true"/>
              </w:rPr>
              <w:tab/>
            </w:r>
            <w:r>
              <w:rPr>
                <w:rStyle w:val="IndexLink"/>
              </w:rPr>
              <w:t>513</w:t>
            </w:r>
          </w:hyperlink>
        </w:p>
        <w:p>
          <w:pPr>
            <w:pStyle w:val="Contents5"/>
            <w:tabs>
              <w:tab w:val="clear" w:pos="7892"/>
              <w:tab w:val="right" w:pos="9026" w:leader="dot"/>
            </w:tabs>
            <w:rPr/>
          </w:pPr>
          <w:hyperlink w:anchor="__RefHeading___Toc764262_3244359995">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764264_3244359995">
            <w:r>
              <w:rPr>
                <w:webHidden/>
                <w:rStyle w:val="IndexLink"/>
                <w:rtl w:val="true"/>
              </w:rPr>
              <w:t>الجهة الاولی</w:t>
            </w:r>
            <w:r>
              <w:rPr>
                <w:rStyle w:val="IndexLink"/>
                <w:rtl w:val="true"/>
              </w:rPr>
              <w:t xml:space="preserve">: </w:t>
            </w:r>
            <w:r>
              <w:rPr>
                <w:rStyle w:val="IndexLink"/>
                <w:rtl w:val="true"/>
              </w:rPr>
              <w:t>فی بیان جهات البحث و أنحاء الشکوک</w:t>
            </w:r>
            <w:r>
              <w:rPr>
                <w:rStyle w:val="IndexLink"/>
                <w:rtl w:val="true"/>
              </w:rPr>
              <w:tab/>
            </w:r>
            <w:r>
              <w:rPr>
                <w:rStyle w:val="IndexLink"/>
              </w:rPr>
              <w:t>513</w:t>
            </w:r>
          </w:hyperlink>
        </w:p>
        <w:p>
          <w:pPr>
            <w:pStyle w:val="Contents5"/>
            <w:tabs>
              <w:tab w:val="clear" w:pos="7892"/>
              <w:tab w:val="right" w:pos="9026" w:leader="dot"/>
            </w:tabs>
            <w:rPr/>
          </w:pPr>
          <w:hyperlink w:anchor="__RefHeading___Toc764266_3244359995">
            <w:r>
              <w:rPr>
                <w:webHidden/>
                <w:rStyle w:val="IndexLink"/>
                <w:rtl w:val="true"/>
              </w:rPr>
              <w:t>الجهة الثانیة</w:t>
            </w:r>
            <w:r>
              <w:rPr>
                <w:rStyle w:val="IndexLink"/>
                <w:rtl w:val="true"/>
              </w:rPr>
              <w:t xml:space="preserve">: </w:t>
            </w:r>
            <w:r>
              <w:rPr>
                <w:rStyle w:val="IndexLink"/>
                <w:rtl w:val="true"/>
              </w:rPr>
              <w:t>فی مشاکل استصحاب نفس الزمان و الوقت</w:t>
            </w:r>
            <w:r>
              <w:rPr>
                <w:rStyle w:val="IndexLink"/>
                <w:rtl w:val="true"/>
              </w:rPr>
              <w:tab/>
            </w:r>
            <w:r>
              <w:rPr>
                <w:rStyle w:val="IndexLink"/>
              </w:rPr>
              <w:t>515</w:t>
            </w:r>
          </w:hyperlink>
        </w:p>
        <w:p>
          <w:pPr>
            <w:pStyle w:val="Contents6"/>
            <w:tabs>
              <w:tab w:val="clear" w:pos="7609"/>
              <w:tab w:val="right" w:pos="9026" w:leader="dot"/>
            </w:tabs>
            <w:rPr/>
          </w:pPr>
          <w:hyperlink w:anchor="__RefHeading___Toc764268_3244359995">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764270_3244359995">
            <w:r>
              <w:rPr>
                <w:webHidden/>
                <w:rStyle w:val="IndexLink"/>
                <w:rtl w:val="true"/>
              </w:rPr>
              <w:t>توضیح و تحقیق</w:t>
            </w:r>
            <w:r>
              <w:rPr>
                <w:rStyle w:val="IndexLink"/>
                <w:rtl w:val="true"/>
              </w:rPr>
              <w:t xml:space="preserve">: </w:t>
            </w:r>
            <w:r>
              <w:rPr>
                <w:rStyle w:val="IndexLink"/>
                <w:rtl w:val="true"/>
              </w:rPr>
              <w:t>فی حلّ مشکلة استصحاب الزمان</w:t>
            </w:r>
            <w:r>
              <w:rPr>
                <w:rStyle w:val="IndexLink"/>
                <w:rtl w:val="true"/>
              </w:rPr>
              <w:tab/>
            </w:r>
            <w:r>
              <w:rPr>
                <w:rStyle w:val="IndexLink"/>
              </w:rPr>
              <w:t>517</w:t>
            </w:r>
          </w:hyperlink>
        </w:p>
        <w:p>
          <w:pPr>
            <w:pStyle w:val="Contents6"/>
            <w:tabs>
              <w:tab w:val="clear" w:pos="7609"/>
              <w:tab w:val="right" w:pos="9026" w:leader="dot"/>
            </w:tabs>
            <w:rPr/>
          </w:pPr>
          <w:hyperlink w:anchor="__RefHeading___Toc764272_3244359995">
            <w:r>
              <w:rPr>
                <w:webHidden/>
                <w:rStyle w:val="IndexLink"/>
                <w:rtl w:val="true"/>
              </w:rPr>
              <w:t>بقی شی‌ء</w:t>
            </w:r>
            <w:r>
              <w:rPr>
                <w:rStyle w:val="IndexLink"/>
                <w:rtl w:val="true"/>
              </w:rPr>
              <w:t xml:space="preserve">: </w:t>
            </w:r>
            <w:r>
              <w:rPr>
                <w:rStyle w:val="IndexLink"/>
                <w:rtl w:val="true"/>
              </w:rPr>
              <w:t>فی إبداع استصحاب یسمّی بالمنعکس</w:t>
            </w:r>
            <w:r>
              <w:rPr>
                <w:rStyle w:val="IndexLink"/>
                <w:rtl w:val="true"/>
              </w:rPr>
              <w:tab/>
            </w:r>
            <w:r>
              <w:rPr>
                <w:rStyle w:val="IndexLink"/>
              </w:rPr>
              <w:t>519</w:t>
            </w:r>
          </w:hyperlink>
        </w:p>
        <w:p>
          <w:pPr>
            <w:pStyle w:val="Contents6"/>
            <w:tabs>
              <w:tab w:val="clear" w:pos="7609"/>
              <w:tab w:val="right" w:pos="9026" w:leader="dot"/>
            </w:tabs>
            <w:rPr/>
          </w:pPr>
          <w:hyperlink w:anchor="__RefHeading___Toc764274_3244359995">
            <w:r>
              <w:rPr>
                <w:webHidden/>
                <w:rStyle w:val="IndexLink"/>
                <w:rtl w:val="true"/>
              </w:rPr>
              <w:t>بقی شی‌ء</w:t>
            </w:r>
            <w:r>
              <w:rPr>
                <w:rStyle w:val="IndexLink"/>
                <w:rtl w:val="true"/>
              </w:rPr>
              <w:t xml:space="preserve">: </w:t>
            </w:r>
            <w:r>
              <w:rPr>
                <w:rStyle w:val="IndexLink"/>
                <w:rtl w:val="true"/>
              </w:rPr>
              <w:t>حول تخصیص البحث بالامور المتصرّمة بما هی متصرّمة</w:t>
            </w:r>
            <w:r>
              <w:rPr>
                <w:rStyle w:val="IndexLink"/>
                <w:rtl w:val="true"/>
              </w:rPr>
              <w:tab/>
            </w:r>
            <w:r>
              <w:rPr>
                <w:rStyle w:val="IndexLink"/>
              </w:rPr>
              <w:t>521</w:t>
            </w:r>
          </w:hyperlink>
        </w:p>
        <w:p>
          <w:pPr>
            <w:pStyle w:val="Contents6"/>
            <w:tabs>
              <w:tab w:val="clear" w:pos="7609"/>
              <w:tab w:val="right" w:pos="9026" w:leader="dot"/>
            </w:tabs>
            <w:rPr/>
          </w:pPr>
          <w:hyperlink w:anchor="__RefHeading___Toc764276_3244359995">
            <w:r>
              <w:rPr>
                <w:webHidden/>
                <w:rStyle w:val="IndexLink"/>
                <w:rtl w:val="true"/>
              </w:rPr>
              <w:t>فذلکة البحث</w:t>
            </w:r>
            <w:r>
              <w:rPr>
                <w:rStyle w:val="IndexLink"/>
                <w:rtl w:val="true"/>
              </w:rPr>
              <w:tab/>
            </w:r>
            <w:r>
              <w:rPr>
                <w:rStyle w:val="IndexLink"/>
              </w:rPr>
              <w:t>522</w:t>
            </w:r>
          </w:hyperlink>
        </w:p>
        <w:p>
          <w:pPr>
            <w:pStyle w:val="Contents5"/>
            <w:tabs>
              <w:tab w:val="clear" w:pos="7892"/>
              <w:tab w:val="right" w:pos="9026" w:leader="dot"/>
            </w:tabs>
            <w:rPr/>
          </w:pPr>
          <w:hyperlink w:anchor="__RefHeading___Toc764278_3244359995">
            <w:r>
              <w:rPr>
                <w:webHidden/>
                <w:rStyle w:val="IndexLink"/>
                <w:rtl w:val="true"/>
              </w:rPr>
              <w:t>الجهة الثالثة</w:t>
            </w:r>
            <w:r>
              <w:rPr>
                <w:rStyle w:val="IndexLink"/>
                <w:rtl w:val="true"/>
              </w:rPr>
              <w:t xml:space="preserve">: </w:t>
            </w:r>
            <w:r>
              <w:rPr>
                <w:rStyle w:val="IndexLink"/>
                <w:rtl w:val="true"/>
              </w:rPr>
              <w:t>فی المتصرّمات المنطبقة علی الزمان</w:t>
            </w:r>
            <w:r>
              <w:rPr>
                <w:rStyle w:val="IndexLink"/>
                <w:rtl w:val="true"/>
              </w:rPr>
              <w:tab/>
            </w:r>
            <w:r>
              <w:rPr>
                <w:rStyle w:val="IndexLink"/>
              </w:rPr>
              <w:t>522</w:t>
            </w:r>
          </w:hyperlink>
        </w:p>
        <w:p>
          <w:pPr>
            <w:pStyle w:val="Contents6"/>
            <w:tabs>
              <w:tab w:val="clear" w:pos="7609"/>
              <w:tab w:val="right" w:pos="9026" w:leader="dot"/>
            </w:tabs>
            <w:rPr/>
          </w:pPr>
          <w:hyperlink w:anchor="__RefHeading___Toc764280_3244359995">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764282_3244359995">
            <w:r>
              <w:rPr>
                <w:webHidden/>
                <w:rStyle w:val="IndexLink"/>
                <w:rtl w:val="true"/>
              </w:rPr>
              <w:t>بقی شی‌ء</w:t>
            </w:r>
            <w:r>
              <w:rPr>
                <w:rStyle w:val="IndexLink"/>
                <w:rtl w:val="true"/>
              </w:rPr>
              <w:t xml:space="preserve">: </w:t>
            </w:r>
            <w:r>
              <w:rPr>
                <w:rStyle w:val="IndexLink"/>
                <w:rtl w:val="true"/>
              </w:rPr>
              <w:t>فی بیان أقسام المتصرّمات</w:t>
            </w:r>
            <w:r>
              <w:rPr>
                <w:rStyle w:val="IndexLink"/>
                <w:rtl w:val="true"/>
              </w:rPr>
              <w:tab/>
            </w:r>
            <w:r>
              <w:rPr>
                <w:rStyle w:val="IndexLink"/>
              </w:rPr>
              <w:t>523</w:t>
            </w:r>
          </w:hyperlink>
        </w:p>
        <w:p>
          <w:pPr>
            <w:pStyle w:val="Contents6"/>
            <w:tabs>
              <w:tab w:val="clear" w:pos="7609"/>
              <w:tab w:val="right" w:pos="9026" w:leader="dot"/>
            </w:tabs>
            <w:rPr/>
          </w:pPr>
          <w:hyperlink w:anchor="__RefHeading___Toc764284_3244359995">
            <w:r>
              <w:rPr>
                <w:webHidden/>
                <w:rStyle w:val="IndexLink"/>
                <w:rtl w:val="true"/>
              </w:rPr>
              <w:t>بقی شی‌ء</w:t>
            </w:r>
            <w:r>
              <w:rPr>
                <w:rStyle w:val="IndexLink"/>
                <w:rtl w:val="true"/>
              </w:rPr>
              <w:t xml:space="preserve">: </w:t>
            </w:r>
            <w:r>
              <w:rPr>
                <w:rStyle w:val="IndexLink"/>
                <w:rtl w:val="true"/>
              </w:rPr>
              <w:t>فی استصحاب عدم الزمان</w:t>
            </w:r>
            <w:r>
              <w:rPr>
                <w:rStyle w:val="IndexLink"/>
                <w:rtl w:val="true"/>
              </w:rPr>
              <w:tab/>
            </w:r>
            <w:r>
              <w:rPr>
                <w:rStyle w:val="IndexLink"/>
              </w:rPr>
              <w:t>524</w:t>
            </w:r>
          </w:hyperlink>
        </w:p>
        <w:p>
          <w:pPr>
            <w:pStyle w:val="Contents5"/>
            <w:tabs>
              <w:tab w:val="clear" w:pos="7892"/>
              <w:tab w:val="right" w:pos="9026" w:leader="dot"/>
            </w:tabs>
            <w:rPr/>
          </w:pPr>
          <w:hyperlink w:anchor="__RefHeading___Toc764286_3244359995">
            <w:r>
              <w:rPr>
                <w:webHidden/>
                <w:rStyle w:val="IndexLink"/>
                <w:rtl w:val="true"/>
              </w:rPr>
              <w:t>الجهة الرابعة</w:t>
            </w:r>
            <w:r>
              <w:rPr>
                <w:rStyle w:val="IndexLink"/>
                <w:rtl w:val="true"/>
              </w:rPr>
              <w:t xml:space="preserve">: </w:t>
            </w:r>
            <w:r>
              <w:rPr>
                <w:rStyle w:val="IndexLink"/>
                <w:rtl w:val="true"/>
              </w:rPr>
              <w:t>فی بیان شبهة مثبتیة الأصل الجاری فی المتصرّمات</w:t>
            </w:r>
            <w:r>
              <w:rPr>
                <w:rStyle w:val="IndexLink"/>
                <w:rtl w:val="true"/>
              </w:rPr>
              <w:tab/>
            </w:r>
            <w:r>
              <w:rPr>
                <w:rStyle w:val="IndexLink"/>
              </w:rPr>
              <w:t>525</w:t>
            </w:r>
          </w:hyperlink>
        </w:p>
        <w:p>
          <w:pPr>
            <w:pStyle w:val="Contents5"/>
            <w:tabs>
              <w:tab w:val="clear" w:pos="7892"/>
              <w:tab w:val="right" w:pos="9026" w:leader="dot"/>
            </w:tabs>
            <w:rPr/>
          </w:pPr>
          <w:hyperlink w:anchor="__RefHeading___Toc764288_3244359995">
            <w:r>
              <w:rPr>
                <w:webHidden/>
                <w:rStyle w:val="IndexLink"/>
                <w:rtl w:val="true"/>
              </w:rPr>
              <w:t>الجهة الخامسة</w:t>
            </w:r>
            <w:r>
              <w:rPr>
                <w:rStyle w:val="IndexLink"/>
                <w:rtl w:val="true"/>
              </w:rPr>
              <w:t xml:space="preserve">: </w:t>
            </w:r>
            <w:r>
              <w:rPr>
                <w:rStyle w:val="IndexLink"/>
                <w:rtl w:val="true"/>
              </w:rPr>
              <w:t>فی بیان معارضة الأصل الجاری فی المتصرّمات بغیره</w:t>
            </w:r>
            <w:r>
              <w:rPr>
                <w:rStyle w:val="IndexLink"/>
                <w:rtl w:val="true"/>
              </w:rPr>
              <w:tab/>
            </w:r>
            <w:r>
              <w:rPr>
                <w:rStyle w:val="IndexLink"/>
              </w:rPr>
              <w:t>530</w:t>
            </w:r>
          </w:hyperlink>
        </w:p>
        <w:p>
          <w:pPr>
            <w:pStyle w:val="Contents6"/>
            <w:tabs>
              <w:tab w:val="clear" w:pos="7609"/>
              <w:tab w:val="right" w:pos="9026" w:leader="dot"/>
            </w:tabs>
            <w:rPr/>
          </w:pPr>
          <w:hyperlink w:anchor="__RefHeading___Toc764290_3244359995">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764292_3244359995">
            <w:r>
              <w:rPr>
                <w:webHidden/>
                <w:rStyle w:val="IndexLink"/>
                <w:rtl w:val="true"/>
              </w:rPr>
              <w:t>جولة</w:t>
            </w:r>
            <w:r>
              <w:rPr>
                <w:rStyle w:val="IndexLink"/>
                <w:rtl w:val="true"/>
              </w:rPr>
              <w:t xml:space="preserve">: </w:t>
            </w:r>
            <w:r>
              <w:rPr>
                <w:rStyle w:val="IndexLink"/>
                <w:rtl w:val="true"/>
              </w:rPr>
              <w:t>حول أجوبة الأعلام عن شبهة المحقق النراقی</w:t>
            </w:r>
            <w:r>
              <w:rPr>
                <w:rStyle w:val="IndexLink"/>
                <w:rtl w:val="true"/>
              </w:rPr>
              <w:tab/>
            </w:r>
            <w:r>
              <w:rPr>
                <w:rStyle w:val="IndexLink"/>
              </w:rPr>
              <w:t>534</w:t>
            </w:r>
          </w:hyperlink>
        </w:p>
        <w:p>
          <w:pPr>
            <w:pStyle w:val="Contents6"/>
            <w:tabs>
              <w:tab w:val="clear" w:pos="7609"/>
              <w:tab w:val="right" w:pos="9026" w:leader="dot"/>
            </w:tabs>
            <w:rPr/>
          </w:pPr>
          <w:hyperlink w:anchor="__RefHeading___Toc764294_3244359995">
            <w:r>
              <w:rPr>
                <w:webHidden/>
                <w:rStyle w:val="IndexLink"/>
                <w:rtl w:val="true"/>
              </w:rPr>
              <w:t>التحقیق فی الجواب عن شبهة المحقق النراقی</w:t>
            </w:r>
            <w:r>
              <w:rPr>
                <w:rStyle w:val="IndexLink"/>
                <w:rtl w:val="true"/>
              </w:rPr>
              <w:tab/>
            </w:r>
            <w:r>
              <w:rPr>
                <w:rStyle w:val="IndexLink"/>
              </w:rPr>
              <w:t>538</w:t>
            </w:r>
          </w:hyperlink>
        </w:p>
        <w:p>
          <w:pPr>
            <w:pStyle w:val="Contents6"/>
            <w:tabs>
              <w:tab w:val="clear" w:pos="7609"/>
              <w:tab w:val="right" w:pos="9026" w:leader="dot"/>
            </w:tabs>
            <w:rPr/>
          </w:pPr>
          <w:hyperlink w:anchor="__RefHeading___Toc764296_3244359995">
            <w:r>
              <w:rPr>
                <w:webHidden/>
                <w:rStyle w:val="IndexLink"/>
                <w:rtl w:val="true"/>
              </w:rPr>
              <w:t>تذنیب</w:t>
            </w:r>
            <w:r>
              <w:rPr>
                <w:rStyle w:val="IndexLink"/>
                <w:rtl w:val="true"/>
              </w:rPr>
              <w:t xml:space="preserve">: </w:t>
            </w:r>
            <w:r>
              <w:rPr>
                <w:rStyle w:val="IndexLink"/>
                <w:rtl w:val="true"/>
              </w:rPr>
              <w:t>حول استصحاب أحکام الشرائع السابقة</w:t>
            </w:r>
            <w:r>
              <w:rPr>
                <w:rStyle w:val="IndexLink"/>
                <w:rtl w:val="true"/>
              </w:rPr>
              <w:tab/>
            </w:r>
            <w:r>
              <w:rPr>
                <w:rStyle w:val="IndexLink"/>
              </w:rPr>
              <w:t>542</w:t>
            </w:r>
          </w:hyperlink>
        </w:p>
        <w:p>
          <w:pPr>
            <w:pStyle w:val="Contents4"/>
            <w:tabs>
              <w:tab w:val="clear" w:pos="8176"/>
              <w:tab w:val="right" w:pos="9026" w:leader="dot"/>
            </w:tabs>
            <w:rPr/>
          </w:pPr>
          <w:hyperlink w:anchor="__RefHeading___Toc764298_3244359995">
            <w:r>
              <w:rPr>
                <w:webHidden/>
                <w:rStyle w:val="IndexLink"/>
                <w:rtl w:val="true"/>
              </w:rPr>
              <w:t>التنبیه العاشر فی الاستصحاب التعلیقیّ</w:t>
            </w:r>
            <w:r>
              <w:rPr>
                <w:rStyle w:val="IndexLink"/>
                <w:rtl w:val="true"/>
              </w:rPr>
              <w:tab/>
            </w:r>
            <w:r>
              <w:rPr>
                <w:rStyle w:val="IndexLink"/>
              </w:rPr>
              <w:t>545</w:t>
            </w:r>
          </w:hyperlink>
        </w:p>
        <w:p>
          <w:pPr>
            <w:pStyle w:val="Contents5"/>
            <w:tabs>
              <w:tab w:val="clear" w:pos="7892"/>
              <w:tab w:val="right" w:pos="9026" w:leader="dot"/>
            </w:tabs>
            <w:rPr/>
          </w:pPr>
          <w:hyperlink w:anchor="__RefHeading___Toc764300_3244359995">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764302_3244359995">
            <w:r>
              <w:rPr>
                <w:webHidden/>
                <w:rStyle w:val="IndexLink"/>
                <w:rtl w:val="true"/>
              </w:rPr>
              <w:t>الأمر الأوّل</w:t>
            </w:r>
            <w:r>
              <w:rPr>
                <w:rStyle w:val="IndexLink"/>
                <w:rtl w:val="true"/>
              </w:rPr>
              <w:t xml:space="preserve">: </w:t>
            </w:r>
            <w:r>
              <w:rPr>
                <w:rStyle w:val="IndexLink"/>
                <w:rtl w:val="true"/>
              </w:rPr>
              <w:t>تحریر محطّ النزاع</w:t>
            </w:r>
            <w:r>
              <w:rPr>
                <w:rStyle w:val="IndexLink"/>
                <w:rtl w:val="true"/>
              </w:rPr>
              <w:tab/>
            </w:r>
            <w:r>
              <w:rPr>
                <w:rStyle w:val="IndexLink"/>
              </w:rPr>
              <w:t>545</w:t>
            </w:r>
          </w:hyperlink>
        </w:p>
        <w:p>
          <w:pPr>
            <w:pStyle w:val="Contents5"/>
            <w:tabs>
              <w:tab w:val="clear" w:pos="7892"/>
              <w:tab w:val="right" w:pos="9026" w:leader="dot"/>
            </w:tabs>
            <w:rPr/>
          </w:pPr>
          <w:hyperlink w:anchor="__RefHeading___Toc764304_3244359995">
            <w:r>
              <w:rPr>
                <w:webHidden/>
                <w:rStyle w:val="IndexLink"/>
                <w:rtl w:val="true"/>
              </w:rPr>
              <w:t>الأمر الثانی</w:t>
            </w:r>
            <w:r>
              <w:rPr>
                <w:rStyle w:val="IndexLink"/>
                <w:rtl w:val="true"/>
              </w:rPr>
              <w:t xml:space="preserve">: </w:t>
            </w:r>
            <w:r>
              <w:rPr>
                <w:rStyle w:val="IndexLink"/>
                <w:rtl w:val="true"/>
              </w:rPr>
              <w:t>فی جریان الاستصحاب حتّی مع إنکار المشروط</w:t>
            </w:r>
            <w:r>
              <w:rPr>
                <w:rStyle w:val="IndexLink"/>
                <w:rtl w:val="true"/>
              </w:rPr>
              <w:tab/>
            </w:r>
            <w:r>
              <w:rPr>
                <w:rStyle w:val="IndexLink"/>
              </w:rPr>
              <w:t>546</w:t>
            </w:r>
          </w:hyperlink>
        </w:p>
        <w:p>
          <w:pPr>
            <w:pStyle w:val="Contents5"/>
            <w:tabs>
              <w:tab w:val="clear" w:pos="7892"/>
              <w:tab w:val="right" w:pos="9026" w:leader="dot"/>
            </w:tabs>
            <w:rPr/>
          </w:pPr>
          <w:hyperlink w:anchor="__RefHeading___Toc764306_3244359995">
            <w:r>
              <w:rPr>
                <w:webHidden/>
                <w:rStyle w:val="IndexLink"/>
                <w:rtl w:val="true"/>
              </w:rPr>
              <w:t>الأمر الثالث</w:t>
            </w:r>
            <w:r>
              <w:rPr>
                <w:rStyle w:val="IndexLink"/>
                <w:rtl w:val="true"/>
              </w:rPr>
              <w:t xml:space="preserve">: </w:t>
            </w:r>
            <w:r>
              <w:rPr>
                <w:rStyle w:val="IndexLink"/>
                <w:rtl w:val="true"/>
              </w:rPr>
              <w:t>فی بیان صور الوجوبات المشروطة</w:t>
            </w:r>
            <w:r>
              <w:rPr>
                <w:rStyle w:val="IndexLink"/>
                <w:rtl w:val="true"/>
              </w:rPr>
              <w:tab/>
            </w:r>
            <w:r>
              <w:rPr>
                <w:rStyle w:val="IndexLink"/>
              </w:rPr>
              <w:t>546</w:t>
            </w:r>
          </w:hyperlink>
        </w:p>
        <w:p>
          <w:pPr>
            <w:pStyle w:val="Contents6"/>
            <w:tabs>
              <w:tab w:val="clear" w:pos="7609"/>
              <w:tab w:val="right" w:pos="9026" w:leader="dot"/>
            </w:tabs>
            <w:rPr/>
          </w:pPr>
          <w:hyperlink w:anchor="__RefHeading___Toc764308_3244359995">
            <w:r>
              <w:rPr>
                <w:webHidden/>
                <w:rStyle w:val="IndexLink"/>
                <w:rtl w:val="true"/>
              </w:rPr>
              <w:t>اشارة</w:t>
            </w:r>
            <w:r>
              <w:rPr>
                <w:rStyle w:val="IndexLink"/>
                <w:rtl w:val="true"/>
              </w:rPr>
              <w:tab/>
            </w:r>
            <w:r>
              <w:rPr>
                <w:rStyle w:val="IndexLink"/>
              </w:rPr>
              <w:t>546</w:t>
            </w:r>
          </w:hyperlink>
        </w:p>
        <w:p>
          <w:pPr>
            <w:pStyle w:val="Contents6"/>
            <w:tabs>
              <w:tab w:val="clear" w:pos="7609"/>
              <w:tab w:val="right" w:pos="9026" w:leader="dot"/>
            </w:tabs>
            <w:rPr/>
          </w:pPr>
          <w:hyperlink w:anchor="__RefHeading___Toc764310_3244359995">
            <w:r>
              <w:rPr>
                <w:webHidden/>
                <w:rStyle w:val="IndexLink"/>
                <w:rtl w:val="true"/>
              </w:rPr>
              <w:t>بقی شی‌ء</w:t>
            </w:r>
            <w:r>
              <w:rPr>
                <w:rStyle w:val="IndexLink"/>
                <w:rtl w:val="true"/>
              </w:rPr>
              <w:t xml:space="preserve">: </w:t>
            </w:r>
            <w:r>
              <w:rPr>
                <w:rStyle w:val="IndexLink"/>
                <w:rtl w:val="true"/>
              </w:rPr>
              <w:t>فی عدم جریان الاستصحاب مطلقا فی الشبهات المفهومیّة الموضوعیّة</w:t>
            </w:r>
            <w:r>
              <w:rPr>
                <w:rStyle w:val="IndexLink"/>
                <w:rtl w:val="true"/>
              </w:rPr>
              <w:tab/>
            </w:r>
            <w:r>
              <w:rPr>
                <w:rStyle w:val="IndexLink"/>
              </w:rPr>
              <w:t>547</w:t>
            </w:r>
          </w:hyperlink>
        </w:p>
        <w:p>
          <w:pPr>
            <w:pStyle w:val="Contents5"/>
            <w:tabs>
              <w:tab w:val="clear" w:pos="7892"/>
              <w:tab w:val="right" w:pos="9026" w:leader="dot"/>
            </w:tabs>
            <w:rPr/>
          </w:pPr>
          <w:hyperlink w:anchor="__RefHeading___Toc764312_3244359995">
            <w:r>
              <w:rPr>
                <w:webHidden/>
                <w:rStyle w:val="IndexLink"/>
                <w:rtl w:val="true"/>
              </w:rPr>
              <w:t>الأمر الرابع</w:t>
            </w:r>
            <w:r>
              <w:rPr>
                <w:rStyle w:val="IndexLink"/>
                <w:rtl w:val="true"/>
              </w:rPr>
              <w:t xml:space="preserve">: </w:t>
            </w:r>
            <w:r>
              <w:rPr>
                <w:rStyle w:val="IndexLink"/>
                <w:rtl w:val="true"/>
              </w:rPr>
              <w:t>فی بیان منشأ الشکّ فی المقام</w:t>
            </w:r>
            <w:r>
              <w:rPr>
                <w:rStyle w:val="IndexLink"/>
                <w:rtl w:val="true"/>
              </w:rPr>
              <w:tab/>
            </w:r>
            <w:r>
              <w:rPr>
                <w:rStyle w:val="IndexLink"/>
              </w:rPr>
              <w:t>548</w:t>
            </w:r>
          </w:hyperlink>
        </w:p>
        <w:p>
          <w:pPr>
            <w:pStyle w:val="Contents5"/>
            <w:tabs>
              <w:tab w:val="clear" w:pos="7892"/>
              <w:tab w:val="right" w:pos="9026" w:leader="dot"/>
            </w:tabs>
            <w:rPr/>
          </w:pPr>
          <w:hyperlink w:anchor="__RefHeading___Toc764314_3244359995">
            <w:r>
              <w:rPr>
                <w:webHidden/>
                <w:rStyle w:val="IndexLink"/>
                <w:rtl w:val="true"/>
              </w:rPr>
              <w:t>الأمر الخامس</w:t>
            </w:r>
            <w:r>
              <w:rPr>
                <w:rStyle w:val="IndexLink"/>
                <w:rtl w:val="true"/>
              </w:rPr>
              <w:t xml:space="preserve">: </w:t>
            </w:r>
            <w:r>
              <w:rPr>
                <w:rStyle w:val="IndexLink"/>
                <w:rtl w:val="true"/>
              </w:rPr>
              <w:t>فی بیان أنحاء التعلیقات</w:t>
            </w:r>
            <w:r>
              <w:rPr>
                <w:rStyle w:val="IndexLink"/>
                <w:rtl w:val="true"/>
              </w:rPr>
              <w:tab/>
            </w:r>
            <w:r>
              <w:rPr>
                <w:rStyle w:val="IndexLink"/>
              </w:rPr>
              <w:t>550</w:t>
            </w:r>
          </w:hyperlink>
        </w:p>
        <w:p>
          <w:pPr>
            <w:pStyle w:val="Contents5"/>
            <w:tabs>
              <w:tab w:val="clear" w:pos="7892"/>
              <w:tab w:val="right" w:pos="9026" w:leader="dot"/>
            </w:tabs>
            <w:rPr/>
          </w:pPr>
          <w:hyperlink w:anchor="__RefHeading___Toc764316_3244359995">
            <w:r>
              <w:rPr>
                <w:webHidden/>
                <w:rStyle w:val="IndexLink"/>
                <w:rtl w:val="true"/>
              </w:rPr>
              <w:t>الأمر السادس</w:t>
            </w:r>
            <w:r>
              <w:rPr>
                <w:rStyle w:val="IndexLink"/>
                <w:rtl w:val="true"/>
              </w:rPr>
              <w:t xml:space="preserve">: </w:t>
            </w:r>
            <w:r>
              <w:rPr>
                <w:rStyle w:val="IndexLink"/>
                <w:rtl w:val="true"/>
              </w:rPr>
              <w:t>فی جریان النزاع حتّی مع عدم تحقّق الشرط</w:t>
            </w:r>
            <w:r>
              <w:rPr>
                <w:rStyle w:val="IndexLink"/>
                <w:rtl w:val="true"/>
              </w:rPr>
              <w:tab/>
            </w:r>
            <w:r>
              <w:rPr>
                <w:rStyle w:val="IndexLink"/>
              </w:rPr>
              <w:t>552</w:t>
            </w:r>
          </w:hyperlink>
        </w:p>
        <w:p>
          <w:pPr>
            <w:pStyle w:val="Contents5"/>
            <w:tabs>
              <w:tab w:val="clear" w:pos="7892"/>
              <w:tab w:val="right" w:pos="9026" w:leader="dot"/>
            </w:tabs>
            <w:rPr/>
          </w:pPr>
          <w:hyperlink w:anchor="__RefHeading___Toc764318_3244359995">
            <w:r>
              <w:rPr>
                <w:webHidden/>
                <w:rStyle w:val="IndexLink"/>
                <w:rtl w:val="true"/>
              </w:rPr>
              <w:t>الأمر السابع</w:t>
            </w:r>
            <w:r>
              <w:rPr>
                <w:rStyle w:val="IndexLink"/>
                <w:rtl w:val="true"/>
              </w:rPr>
              <w:t xml:space="preserve">: </w:t>
            </w:r>
            <w:r>
              <w:rPr>
                <w:rStyle w:val="IndexLink"/>
                <w:rtl w:val="true"/>
              </w:rPr>
              <w:t>فی أنّ الفعلی لا یصیر مشروطا و بالعکس</w:t>
            </w:r>
            <w:r>
              <w:rPr>
                <w:rStyle w:val="IndexLink"/>
                <w:rtl w:val="true"/>
              </w:rPr>
              <w:tab/>
            </w:r>
            <w:r>
              <w:rPr>
                <w:rStyle w:val="IndexLink"/>
              </w:rPr>
              <w:t>552</w:t>
            </w:r>
          </w:hyperlink>
        </w:p>
        <w:p>
          <w:pPr>
            <w:pStyle w:val="Contents6"/>
            <w:tabs>
              <w:tab w:val="clear" w:pos="7609"/>
              <w:tab w:val="right" w:pos="9026" w:leader="dot"/>
            </w:tabs>
            <w:rPr/>
          </w:pPr>
          <w:hyperlink w:anchor="__RefHeading___Toc764320_3244359995">
            <w:r>
              <w:rPr>
                <w:webHidden/>
                <w:rStyle w:val="IndexLink"/>
                <w:rtl w:val="true"/>
              </w:rPr>
              <w:t>اشارة</w:t>
            </w:r>
            <w:r>
              <w:rPr>
                <w:rStyle w:val="IndexLink"/>
                <w:rtl w:val="true"/>
              </w:rPr>
              <w:tab/>
            </w:r>
            <w:r>
              <w:rPr>
                <w:rStyle w:val="IndexLink"/>
              </w:rPr>
              <w:t>552</w:t>
            </w:r>
          </w:hyperlink>
        </w:p>
        <w:p>
          <w:pPr>
            <w:pStyle w:val="Contents6"/>
            <w:tabs>
              <w:tab w:val="clear" w:pos="7609"/>
              <w:tab w:val="right" w:pos="9026" w:leader="dot"/>
            </w:tabs>
            <w:rPr/>
          </w:pPr>
          <w:hyperlink w:anchor="__RefHeading___Toc764322_3244359995">
            <w:r>
              <w:rPr>
                <w:webHidden/>
                <w:rStyle w:val="IndexLink"/>
                <w:rtl w:val="true"/>
              </w:rPr>
              <w:t>مشاکل الاستصحاب التعلیقی</w:t>
            </w:r>
            <w:r>
              <w:rPr>
                <w:rStyle w:val="IndexLink"/>
                <w:rtl w:val="true"/>
              </w:rPr>
              <w:tab/>
            </w:r>
            <w:r>
              <w:rPr>
                <w:rStyle w:val="IndexLink"/>
              </w:rPr>
              <w:t>553</w:t>
            </w:r>
          </w:hyperlink>
        </w:p>
        <w:p>
          <w:pPr>
            <w:pStyle w:val="Contents6"/>
            <w:tabs>
              <w:tab w:val="clear" w:pos="7609"/>
              <w:tab w:val="right" w:pos="9026" w:leader="dot"/>
            </w:tabs>
            <w:rPr/>
          </w:pPr>
          <w:hyperlink w:anchor="__RefHeading___Toc764324_3244359995">
            <w:r>
              <w:rPr>
                <w:webHidden/>
                <w:rStyle w:val="IndexLink"/>
                <w:rtl w:val="true"/>
              </w:rPr>
              <w:t>تذنیب</w:t>
            </w:r>
            <w:r>
              <w:rPr>
                <w:rStyle w:val="IndexLink"/>
                <w:rtl w:val="true"/>
              </w:rPr>
              <w:t xml:space="preserve">: </w:t>
            </w:r>
            <w:r>
              <w:rPr>
                <w:rStyle w:val="IndexLink"/>
                <w:rtl w:val="true"/>
              </w:rPr>
              <w:t>حول التفصیل بین التعلیق الشرعیّ و غیره</w:t>
            </w:r>
            <w:r>
              <w:rPr>
                <w:rStyle w:val="IndexLink"/>
                <w:rtl w:val="true"/>
              </w:rPr>
              <w:tab/>
            </w:r>
            <w:r>
              <w:rPr>
                <w:rStyle w:val="IndexLink"/>
              </w:rPr>
              <w:t>556</w:t>
            </w:r>
          </w:hyperlink>
        </w:p>
        <w:p>
          <w:pPr>
            <w:pStyle w:val="Contents6"/>
            <w:tabs>
              <w:tab w:val="clear" w:pos="7609"/>
              <w:tab w:val="right" w:pos="9026" w:leader="dot"/>
            </w:tabs>
            <w:rPr/>
          </w:pPr>
          <w:hyperlink w:anchor="__RefHeading___Toc764326_3244359995">
            <w:r>
              <w:rPr>
                <w:webHidden/>
                <w:rStyle w:val="IndexLink"/>
                <w:rtl w:val="true"/>
              </w:rPr>
              <w:t>تذنیب آخر</w:t>
            </w:r>
            <w:r>
              <w:rPr>
                <w:rStyle w:val="IndexLink"/>
                <w:rtl w:val="true"/>
              </w:rPr>
              <w:t xml:space="preserve">: </w:t>
            </w:r>
            <w:r>
              <w:rPr>
                <w:rStyle w:val="IndexLink"/>
                <w:rtl w:val="true"/>
              </w:rPr>
              <w:t>معارضة التعلیقیّ دائما باستصحاب تنجیزیّ أو تعلیقیّ</w:t>
            </w:r>
            <w:r>
              <w:rPr>
                <w:rStyle w:val="IndexLink"/>
                <w:rtl w:val="true"/>
              </w:rPr>
              <w:tab/>
            </w:r>
            <w:r>
              <w:rPr>
                <w:rStyle w:val="IndexLink"/>
              </w:rPr>
              <w:t>559</w:t>
            </w:r>
          </w:hyperlink>
        </w:p>
        <w:p>
          <w:pPr>
            <w:pStyle w:val="Contents2"/>
            <w:tabs>
              <w:tab w:val="clear" w:pos="8743"/>
              <w:tab w:val="right" w:pos="9026" w:leader="dot"/>
            </w:tabs>
            <w:rPr/>
          </w:pPr>
          <w:hyperlink w:anchor="__RefHeading___Toc764328_3244359995">
            <w:r>
              <w:rPr>
                <w:webHidden/>
                <w:rStyle w:val="IndexLink"/>
                <w:rtl w:val="true"/>
              </w:rPr>
              <w:t>مصادر التحقیق</w:t>
            </w:r>
            <w:r>
              <w:rPr>
                <w:rStyle w:val="IndexLink"/>
                <w:rtl w:val="true"/>
              </w:rPr>
              <w:tab/>
            </w:r>
            <w:r>
              <w:rPr>
                <w:rStyle w:val="IndexLink"/>
              </w:rPr>
              <w:t>561</w:t>
            </w:r>
          </w:hyperlink>
        </w:p>
        <w:p>
          <w:pPr>
            <w:pStyle w:val="Contents2"/>
            <w:tabs>
              <w:tab w:val="clear" w:pos="8743"/>
              <w:tab w:val="right" w:pos="9026" w:leader="dot"/>
            </w:tabs>
            <w:rPr/>
          </w:pPr>
          <w:hyperlink w:anchor="__RefHeading___Toc764330_3244359995">
            <w:r>
              <w:rPr>
                <w:webHidden/>
                <w:rStyle w:val="IndexLink"/>
                <w:rtl w:val="true"/>
              </w:rPr>
              <w:t>فهرس المحتویات</w:t>
            </w:r>
            <w:r>
              <w:rPr>
                <w:rStyle w:val="IndexLink"/>
                <w:rtl w:val="true"/>
              </w:rPr>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77_117671"/>
      <w:bookmarkStart w:id="1" w:name="pg13177_117671"/>
      <w:bookmarkEnd w:id="1"/>
    </w:p>
    <w:p>
      <w:pPr>
        <w:pStyle w:val="Heading2"/>
        <w:numPr>
          <w:ilvl w:val="1"/>
          <w:numId w:val="1"/>
        </w:numPr>
        <w:rPr/>
      </w:pPr>
      <w:bookmarkStart w:id="2" w:name="pg13177_117671"/>
      <w:bookmarkStart w:id="3" w:name="__RefHeading___Toc763552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3554_3244359995"/>
      <w:bookmarkStart w:id="6" w:name="_Toc2"/>
      <w:bookmarkEnd w:id="5"/>
      <w:r>
        <w:rPr>
          <w:rtl w:val="true"/>
        </w:rPr>
        <w:t>اشارة</w:t>
      </w:r>
      <w:bookmarkStart w:id="7" w:name="pg13177_117672"/>
      <w:bookmarkEnd w:id="6"/>
    </w:p>
    <w:p>
      <w:pPr>
        <w:pStyle w:val="Heading2"/>
        <w:numPr>
          <w:ilvl w:val="1"/>
          <w:numId w:val="1"/>
        </w:numPr>
        <w:rPr/>
      </w:pPr>
      <w:bookmarkStart w:id="8" w:name="__RefHeading___Toc763556_3244359995"/>
      <w:bookmarkStart w:id="9" w:name="_Toc3"/>
      <w:bookmarkEnd w:id="7"/>
      <w:bookmarkEnd w:id="8"/>
      <w:r>
        <w:rPr>
          <w:rtl w:val="true"/>
        </w:rPr>
        <w:t>[</w:t>
      </w:r>
      <w:r>
        <w:rPr>
          <w:rtl w:val="true"/>
        </w:rPr>
        <w:t>تتمة المقصد العاشر</w:t>
      </w:r>
      <w:r>
        <w:rPr>
          <w:rtl w:val="true"/>
        </w:rPr>
        <w:t>]</w:t>
      </w:r>
      <w:bookmarkEnd w:id="9"/>
    </w:p>
    <w:p>
      <w:pPr>
        <w:pStyle w:val="Heading3"/>
        <w:numPr>
          <w:ilvl w:val="2"/>
          <w:numId w:val="1"/>
        </w:numPr>
        <w:rPr/>
      </w:pPr>
      <w:bookmarkStart w:id="10" w:name="__RefHeading___Toc763558_3244359995"/>
      <w:bookmarkStart w:id="11" w:name="_Toc4"/>
      <w:bookmarkEnd w:id="10"/>
      <w:r>
        <w:rPr>
          <w:rtl w:val="true"/>
        </w:rPr>
        <w:t>[</w:t>
      </w:r>
      <w:r>
        <w:rPr>
          <w:rtl w:val="true"/>
        </w:rPr>
        <w:t>تتمة الجهة الثالثة</w:t>
      </w:r>
      <w:r>
        <w:rPr>
          <w:rtl w:val="true"/>
        </w:rPr>
        <w:t>]</w:t>
      </w:r>
      <w:bookmarkEnd w:id="11"/>
    </w:p>
    <w:p>
      <w:pPr>
        <w:pStyle w:val="Heading4"/>
        <w:numPr>
          <w:ilvl w:val="3"/>
          <w:numId w:val="1"/>
        </w:numPr>
        <w:rPr/>
      </w:pPr>
      <w:bookmarkStart w:id="12" w:name="__RefHeading___Toc763560_3244359995"/>
      <w:bookmarkStart w:id="13" w:name="_Toc5"/>
      <w:bookmarkEnd w:id="12"/>
      <w:r>
        <w:rPr>
          <w:rtl w:val="true"/>
        </w:rPr>
        <w:t>المسألة الثالثة فی الأقلّ و الأکثر</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63562_3244359995"/>
      <w:bookmarkStart w:id="15" w:name="_Toc6"/>
      <w:bookmarkEnd w:id="14"/>
      <w:r>
        <w:rPr>
          <w:rtl w:val="true"/>
        </w:rPr>
        <w:t>اشارة</w:t>
      </w:r>
      <w:bookmarkStart w:id="16" w:name="pg13177_117673"/>
      <w:bookmarkEnd w:id="15"/>
    </w:p>
    <w:p>
      <w:pPr>
        <w:pStyle w:val="Heading5"/>
        <w:numPr>
          <w:ilvl w:val="4"/>
          <w:numId w:val="1"/>
        </w:numPr>
        <w:rPr/>
      </w:pPr>
      <w:bookmarkStart w:id="17" w:name="__RefHeading___Toc763564_3244359995"/>
      <w:bookmarkStart w:id="18" w:name="_Toc7"/>
      <w:bookmarkEnd w:id="16"/>
      <w:bookmarkEnd w:id="17"/>
      <w:r>
        <w:rPr>
          <w:rtl w:val="true"/>
        </w:rPr>
        <w:t>مقدّمة</w:t>
      </w:r>
      <w:bookmarkEnd w:id="18"/>
    </w:p>
    <w:p>
      <w:pPr>
        <w:pStyle w:val="Heading6"/>
        <w:numPr>
          <w:ilvl w:val="5"/>
          <w:numId w:val="1"/>
        </w:numPr>
        <w:rPr/>
      </w:pPr>
      <w:bookmarkStart w:id="19" w:name="__RefHeading___Toc763566_3244359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قد عرفت فی بحث الشکّ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مجری البراءة</w:t>
      </w:r>
      <w:r>
        <w:rPr>
          <w:rStyle w:val="FootnoteAnchor"/>
          <w:rtl w:val="true"/>
        </w:rPr>
        <w:footnoteReference w:id="2"/>
      </w:r>
      <w:r>
        <w:rPr>
          <w:rFonts w:ascii="IRNazanin" w:hAnsi="IRNazanin" w:eastAsia="IRNazanin"/>
          <w:color w:val="111111"/>
          <w:sz w:val="28"/>
          <w:sz w:val="28"/>
          <w:szCs w:val="28"/>
          <w:rtl w:val="true"/>
          <w:lang w:bidi="fa-IR"/>
        </w:rPr>
        <w:t>، و فی مباحث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تقتضی الاحتیاط فی موارد الشکّ فی المکلّف به </w:t>
      </w:r>
      <w:r>
        <w:rPr>
          <w:rStyle w:val="FootnoteAnchor"/>
          <w:rtl w:val="true"/>
        </w:rPr>
        <w:footnoteReference w:id="3"/>
      </w:r>
      <w:r>
        <w:rPr>
          <w:rFonts w:ascii="IRNazanin" w:hAnsi="IRNazanin" w:eastAsia="IRNazanin"/>
          <w:color w:val="111111"/>
          <w:sz w:val="28"/>
          <w:sz w:val="28"/>
          <w:szCs w:val="28"/>
          <w:rtl w:val="true"/>
          <w:lang w:bidi="fa-IR"/>
        </w:rPr>
        <w:t>، و إنّما الکلام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الأقلّ و الأکثر دون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الشکّ فیه من الشکّ فی التکلیف، لا المکلّف به کما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 بحث کبرویّ؛ لتمامیة الکبری فی البابین السابقین، و إنّما هو حول صغری المسألة، و لذلک یتصدّی القائلون بالبراءة إلی إرجاع الشکّ هنا إلی التکلیف، و الاحتیاطیّون إلی العکس؛ بمعنی أنّه لا تجری البراءة؛ لتنجّز التکلیف و إن لم یکن أحیانا من الشکّ فی المکلّف به، فما فی کلام العلّامة الأراکیّ من کون المسألة دائما من الشکّ فی المکلّف به </w:t>
      </w:r>
      <w:r>
        <w:rPr>
          <w:rStyle w:val="FootnoteAnchor"/>
          <w:rtl w:val="true"/>
        </w:rPr>
        <w:footnoteReference w:id="5"/>
      </w:r>
      <w:r>
        <w:rPr>
          <w:rFonts w:ascii="Amiri" w:hAnsi="Amiri" w:eastAsia="Amiri" w:cs="Amiri"/>
          <w:color w:val="111111"/>
          <w:sz w:val="28"/>
          <w:sz w:val="28"/>
          <w:szCs w:val="28"/>
          <w:rtl w:val="true"/>
          <w:lang w:bidi="ar-SA"/>
        </w:rPr>
        <w:t>، فی غیر محلّه، فلیتدبّر</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التحقیق فی بحوث الأقلّ و الأکثر تقدیم بعض امور وجیزة</w:t>
      </w:r>
      <w:r>
        <w:rPr>
          <w:rFonts w:eastAsia="IRNazanin" w:cs="IRNazanin"/>
          <w:color w:val="111111"/>
          <w:sz w:val="28"/>
          <w:szCs w:val="28"/>
          <w:rtl w:val="true"/>
          <w:lang w:bidi="fa-IR"/>
        </w:rPr>
        <w:t>:</w:t>
      </w:r>
      <w:bookmarkStart w:id="21" w:name="pg13177_117674"/>
    </w:p>
    <w:p>
      <w:pPr>
        <w:pStyle w:val="Heading6"/>
        <w:numPr>
          <w:ilvl w:val="5"/>
          <w:numId w:val="1"/>
        </w:numPr>
        <w:rPr/>
      </w:pPr>
      <w:bookmarkStart w:id="22" w:name="__RefHeading___Toc763568_3244359995"/>
      <w:bookmarkStart w:id="23" w:name="_Toc9"/>
      <w:bookmarkEnd w:id="21"/>
      <w:bookmarkEnd w:id="22"/>
      <w:r>
        <w:rPr>
          <w:rtl w:val="true"/>
        </w:rPr>
        <w:t>أحدها</w:t>
      </w:r>
      <w:r>
        <w:rPr>
          <w:rtl w:val="true"/>
        </w:rPr>
        <w:t xml:space="preserve">: </w:t>
      </w:r>
      <w:r>
        <w:rPr>
          <w:rtl w:val="true"/>
        </w:rPr>
        <w:t>فی الفرق بین هذه المسألة و مسائل الأسباب و المحصّلات</w:t>
      </w:r>
      <w:bookmarkEnd w:id="23"/>
    </w:p>
    <w:p>
      <w:pPr>
        <w:pStyle w:val="BookText"/>
        <w:rPr/>
      </w:pPr>
      <w:r>
        <w:rPr>
          <w:rFonts w:ascii="IRNazanin" w:hAnsi="IRNazanin" w:eastAsia="IRNazanin"/>
          <w:color w:val="111111"/>
          <w:sz w:val="28"/>
          <w:sz w:val="28"/>
          <w:szCs w:val="28"/>
          <w:rtl w:val="true"/>
          <w:lang w:bidi="fa-IR"/>
        </w:rPr>
        <w:t>أنّ الجهة المبحوث عنها فی الأقلّ و الأکثر، غیر الجهة المبحوث عنها فی مسائل الأسباب و المحصّلات، و لیست هی من موارد الأقلّ و الأکثر الاستقلالیّین، أو الارتباطیّین؛ لإمکان کون المأمور به هناک أمرا بسیطا، و المحصّل أیضا بسیطا، و جهالة المکلّف لا توجب کون الواقع من الأقلّ و الأکثر، بخلاف ما نحن فیه و ما هو باب المرکّبات و المقیّدات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المقیّدات أیضا بحث آخر و مسألة أخری ملاکا و اعتبارا و قولا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تصویر المراتب فی البسائط الاعتباریّة، و تصویر الأشدّ و الأضعف و أفعل التفضیل فی مطلق الاعتباریّات، فهو و إن کان ممکنا، إلّا أنّ متعلّق الأوامر و النواهی غیر ممکن أن یکون کذلک، إلّا برجوعه إلی الأقلّ و الأکثر بمعناه الرائج فی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تجوز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کلّها تکون کذلک، کما علیه بعض الأساطین رحمه اللّه و المسألة تطلب من محالّ اخر</w:t>
      </w:r>
      <w:r>
        <w:rPr>
          <w:rStyle w:val="FootnoteAnchor"/>
          <w:rtl w:val="true"/>
        </w:rPr>
        <w:footnoteReference w:id="6"/>
      </w:r>
      <w:r>
        <w:rPr>
          <w:rFonts w:ascii="Amiri" w:hAnsi="Amiri" w:eastAsia="Amiri" w:cs="Amiri"/>
          <w:color w:val="111111"/>
          <w:sz w:val="28"/>
          <w:sz w:val="28"/>
          <w:szCs w:val="28"/>
          <w:rtl w:val="true"/>
          <w:lang w:bidi="ar-SA"/>
        </w:rPr>
        <w:t>لقلّة ثمراتها هنا</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763570_3244359995"/>
      <w:bookmarkStart w:id="25" w:name="_Toc10"/>
      <w:bookmarkEnd w:id="24"/>
      <w:r>
        <w:rPr>
          <w:rtl w:val="true"/>
        </w:rPr>
        <w:t>ثانیها</w:t>
      </w:r>
      <w:r>
        <w:rPr>
          <w:rtl w:val="true"/>
        </w:rPr>
        <w:t xml:space="preserve">: </w:t>
      </w:r>
      <w:r>
        <w:rPr>
          <w:rtl w:val="true"/>
        </w:rPr>
        <w:t xml:space="preserve">فی المراد من </w:t>
      </w:r>
      <w:r>
        <w:rPr>
          <w:rtl w:val="true"/>
        </w:rPr>
        <w:t>«</w:t>
      </w:r>
      <w:r>
        <w:rPr>
          <w:rtl w:val="true"/>
        </w:rPr>
        <w:t>الأقلّ</w:t>
      </w:r>
      <w:r>
        <w:rPr>
          <w:rtl w:val="true"/>
        </w:rPr>
        <w:t>»</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غیر القابل لأن یتحقّق و یمتثل به الأمر أو النهی بدون الأکثر؛ سواء کان أقل طبیعیّا، أو اعتباریّا، فما قد یتخیّل من أنّ الأقلّ، البشرط کذا، و اللابشرط کذا</w:t>
      </w:r>
      <w:r>
        <w:rPr>
          <w:rStyle w:val="FootnoteAnchor"/>
          <w:rtl w:val="true"/>
        </w:rPr>
        <w:footnoteReference w:id="7"/>
      </w:r>
      <w:r>
        <w:rPr>
          <w:rFonts w:ascii="IRNazanin" w:hAnsi="IRNazanin" w:eastAsia="IRNazanin"/>
          <w:color w:val="111111"/>
          <w:sz w:val="28"/>
          <w:sz w:val="28"/>
          <w:szCs w:val="28"/>
          <w:rtl w:val="true"/>
          <w:lang w:bidi="fa-IR"/>
        </w:rPr>
        <w:t>، مجرّد توهّم کما هو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توهّم ذلک فی باب التخییر</w:t>
      </w:r>
      <w:bookmarkStart w:id="26" w:name="pg13177_117675"/>
    </w:p>
    <w:p>
      <w:pPr>
        <w:pStyle w:val="BookText"/>
        <w:rPr/>
      </w:pPr>
      <w:bookmarkEnd w:id="26"/>
      <w:r>
        <w:rPr>
          <w:rFonts w:ascii="IRNazanin" w:hAnsi="IRNazanin" w:eastAsia="IRNazanin"/>
          <w:color w:val="111111"/>
          <w:sz w:val="28"/>
          <w:sz w:val="28"/>
          <w:szCs w:val="28"/>
          <w:rtl w:val="true"/>
          <w:lang w:bidi="fa-IR"/>
        </w:rPr>
        <w:t xml:space="preserve">بین الأقلّ و الأکثر فی قبال من أدعی امتناعه </w:t>
      </w:r>
      <w:r>
        <w:rPr>
          <w:rStyle w:val="FootnoteAnchor"/>
          <w:rtl w:val="true"/>
        </w:rPr>
        <w:footnoteReference w:id="8"/>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انطباق عنوان الأقلّ و الأکثر علی المشروط و المطلق بالنسبة إلی المقیّد، بضرب من المسامحة، و لذلک لیس الخلاف فی مسألة الشکّ فی المطلق و المقیّد، علی نعت الخلاف فی الأقلّ و الأکثر الطبیعیّین الاعتباریّین، کالصلاة و أمثالها</w:t>
      </w:r>
      <w:r>
        <w:rPr>
          <w:rFonts w:eastAsia="IRNazanin" w:cs="IRNazanin"/>
          <w:color w:val="111111"/>
          <w:sz w:val="28"/>
          <w:szCs w:val="28"/>
          <w:rtl w:val="true"/>
          <w:lang w:bidi="fa-IR"/>
        </w:rPr>
        <w:t>.</w:t>
      </w:r>
    </w:p>
    <w:p>
      <w:pPr>
        <w:pStyle w:val="Heading6"/>
        <w:numPr>
          <w:ilvl w:val="5"/>
          <w:numId w:val="1"/>
        </w:numPr>
        <w:rPr/>
      </w:pPr>
      <w:bookmarkStart w:id="27" w:name="__RefHeading___Toc763572_3244359995"/>
      <w:bookmarkStart w:id="28" w:name="_Toc11"/>
      <w:bookmarkEnd w:id="27"/>
      <w:r>
        <w:rPr>
          <w:rtl w:val="true"/>
        </w:rPr>
        <w:t>ثالثها</w:t>
      </w:r>
      <w:r>
        <w:rPr>
          <w:rtl w:val="true"/>
        </w:rPr>
        <w:t xml:space="preserve">: </w:t>
      </w:r>
      <w:r>
        <w:rPr>
          <w:rtl w:val="true"/>
        </w:rPr>
        <w:t>فی أنحاء الأقلّ و الأکثر</w:t>
      </w:r>
      <w:bookmarkEnd w:id="28"/>
    </w:p>
    <w:p>
      <w:pPr>
        <w:pStyle w:val="BookText"/>
        <w:rPr/>
      </w:pPr>
      <w:r>
        <w:rPr>
          <w:rFonts w:ascii="IRNazanin" w:hAnsi="IRNazanin" w:eastAsia="IRNazanin"/>
          <w:color w:val="111111"/>
          <w:sz w:val="28"/>
          <w:sz w:val="28"/>
          <w:szCs w:val="28"/>
          <w:rtl w:val="true"/>
          <w:lang w:bidi="fa-IR"/>
        </w:rPr>
        <w:t xml:space="preserve">یتصوّر الأقلّ و الأکثر فی متعلّق الحکم، و متعلّق المتعلّق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یکونان مستقلّین، أو 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الشبهة الوجوبیّة، أو التحریمیّة علی أقسام مناشئها، مع خصوصیّة فی صورة کون المنشأ تعارض النصوص،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الأقلّ و الأکثر بمعناهما الشامل للمطلق و المقیّد، أعمّ من أن یکون المرکّب ذا أجزاء تحلیلیّة، أو خارجیّة؛ فإنّ الصلاة بالقیاس إلی السورة مرکّب ذو أجزاء خارجیّة، و بالقیاس إلی الطهور و الاستقبال ذو أجزاء تحلیلیّة عقلیّة، کالإیمان بالقیاس إلی الرقبة، سواء کان منشأ هذه الأجزاء امورا مباینة الوجود، کالمثال الأوّل، أو متّحد الوجود، کالمثال الثانی، و کالموالاة و الترتیب فی مثل الصلاة أیضا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الامور، فالکلام یتمّ فی طیّ بحوث هی الأهمّ</w:t>
      </w:r>
      <w:r>
        <w:rPr>
          <w:rFonts w:eastAsia="IRNazanin" w:cs="IRNazanin"/>
          <w:color w:val="111111"/>
          <w:sz w:val="28"/>
          <w:szCs w:val="28"/>
          <w:rtl w:val="true"/>
          <w:lang w:bidi="fa-IR"/>
        </w:rPr>
        <w:t>:</w:t>
      </w:r>
      <w:bookmarkStart w:id="29" w:name="pg13177_117677"/>
    </w:p>
    <w:p>
      <w:pPr>
        <w:pStyle w:val="Heading5"/>
        <w:numPr>
          <w:ilvl w:val="4"/>
          <w:numId w:val="1"/>
        </w:numPr>
        <w:rPr/>
      </w:pPr>
      <w:bookmarkStart w:id="30" w:name="__RefHeading___Toc763574_3244359995"/>
      <w:bookmarkStart w:id="31" w:name="_Toc12"/>
      <w:bookmarkEnd w:id="29"/>
      <w:bookmarkEnd w:id="30"/>
      <w:r>
        <w:rPr>
          <w:rtl w:val="true"/>
        </w:rPr>
        <w:t>البحث الأوّل</w:t>
      </w:r>
      <w:r>
        <w:rPr>
          <w:rtl w:val="true"/>
        </w:rPr>
        <w:t xml:space="preserve">: </w:t>
      </w:r>
      <w:r>
        <w:rPr>
          <w:rtl w:val="true"/>
        </w:rPr>
        <w:t>فی الشبهة التحریمیّة من الأقلّ و الأکثر</w:t>
      </w:r>
      <w:bookmarkEnd w:id="31"/>
    </w:p>
    <w:p>
      <w:pPr>
        <w:pStyle w:val="Heading6"/>
        <w:numPr>
          <w:ilvl w:val="5"/>
          <w:numId w:val="1"/>
        </w:numPr>
        <w:rPr/>
      </w:pPr>
      <w:bookmarkStart w:id="32" w:name="__RefHeading___Toc763576_3244359995"/>
      <w:bookmarkStart w:id="33" w:name="_Toc13"/>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و فیها تجری البراءة فی صورة دوران الأمر بین المطلق و المقیّد، فإنّ المعلوم حرمته هو المقیّد، و المطلق مشکوک تجری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لتخیّل الاحتیاط المحتمل فی الصورة الثانیة، فإنّ الغناء المردّد مفهومه بین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تبلغ الأقوال فیها إلی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المجمل المعلوم حرمة الأکثر؛ أی الجامع للقیود المحتملة، و لیس نسبة الفاقد إلی الجامع، کنسبة الأقلّ فی الشبهة الوجوبیّة من المرکّبات الخارجیّة إلی الأکثر، حتّی یحتمل تمامیّة الحجّة بالنسبة إلیه؛ و تعلّق النهی الضمنیّ به مثلا</w:t>
      </w:r>
      <w:r>
        <w:rPr>
          <w:rFonts w:eastAsia="IRNazanin" w:cs="IRNazanin"/>
          <w:color w:val="111111"/>
          <w:sz w:val="28"/>
          <w:szCs w:val="28"/>
          <w:rtl w:val="true"/>
          <w:lang w:bidi="fa-IR"/>
        </w:rPr>
        <w:t>.</w:t>
      </w:r>
    </w:p>
    <w:p>
      <w:pPr>
        <w:pStyle w:val="Heading6"/>
        <w:numPr>
          <w:ilvl w:val="5"/>
          <w:numId w:val="1"/>
        </w:numPr>
        <w:rPr/>
      </w:pPr>
      <w:bookmarkStart w:id="34" w:name="__RefHeading___Toc763578_3244359995"/>
      <w:bookmarkStart w:id="35" w:name="_Toc14"/>
      <w:bookmarkEnd w:id="34"/>
      <w:r>
        <w:rPr>
          <w:rtl w:val="true"/>
        </w:rPr>
        <w:t>بقی شی‌ء</w:t>
      </w:r>
      <w:r>
        <w:rPr>
          <w:rtl w:val="true"/>
        </w:rPr>
        <w:t xml:space="preserve">: </w:t>
      </w:r>
      <w:r>
        <w:rPr>
          <w:rtl w:val="true"/>
        </w:rPr>
        <w:t>فی بیان المثال لهذه الشبهة</w:t>
      </w:r>
      <w:bookmarkEnd w:id="3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أمثلة الأقلّ و الأکثر من الشبهة التحریمیّة؛ هو تردّد حرمة حلق اللحیة بین کونها متعلّقة بالمجموع، أو بکلّ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هذا هو المثال لها؛ لکونه من المرکّب ذی الأجزاء، کالمرکّبات الاخر، و یکون مصبّ الأقلّ و الأکثر متعلّق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القول بالبراءة فی 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تمامیّة البیان بالنسبة إلی الأقلّ؛ لکونه إمّا واجبا نفسیّا، أو ضمنیّا، فیکون الأکثر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الاشتغال فی المثال؛ ضرورة أنّ حلق بعض اللحیة إمّا محرّم فی نفسه، أو محرّم بتحریم ضمنیّ، فهو القدر المتیقّن، و تجری البراءة بالنسبة إلی الزائد، و عندئذ یلزم کون الأقلّ فی الشبهة التحریمیّة محرّما، و هو نفس طبیعیّ الحلق، فی قبال الأکثر و هو حلق مجموع اللحیة، خلافا لما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الأکثر فی الشبهة التحریمیّة قطعیّ، و الأقلّ مجری البراءة، عکس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الوجوب الضمنیّ من الأکاذیب و الممتنعات و إن کان یقول به الاستاذ العلّامة البروجردیّ قدّس سرّه </w:t>
      </w:r>
      <w:r>
        <w:rPr>
          <w:rStyle w:val="FootnoteAnchor"/>
          <w:rtl w:val="true"/>
        </w:rPr>
        <w:footnoteReference w:id="9"/>
      </w:r>
      <w:r>
        <w:rPr>
          <w:rFonts w:ascii="IRNazanin" w:hAnsi="IRNazanin" w:eastAsia="IRNazanin"/>
          <w:color w:val="111111"/>
          <w:sz w:val="28"/>
          <w:sz w:val="28"/>
          <w:szCs w:val="28"/>
          <w:rtl w:val="true"/>
          <w:lang w:bidi="fa-IR"/>
        </w:rPr>
        <w:t>فالحرمة الضمنیّة مثله، و تصیر النتیجة فی صورة دوران الأمر بین العموم الاستغراقیّ و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البراءة فی الشبهة التحریمیّة، و قد مرّ حکم الشبهة الوجوبیّة من هذه المسألة فی موضع من الکتاب </w:t>
      </w:r>
      <w:r>
        <w:rPr>
          <w:rStyle w:val="FootnoteAnchor"/>
          <w:rtl w:val="true"/>
        </w:rPr>
        <w:footnoteReference w:id="10"/>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البراءة فهو واضح؛ ضرورة أنّ المجموع هو الأبعاض فی لحاظ الاجتماع، فلو تردّد الأمر بین الأمرین المذکورین، یکون المصداق المقطوع به هو حلق المجموع، بخلاف حلق البعض، و لا حجّة تامّة علیه کما تری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یأتی فی الشبهة الوجوبیّة من تقریب البراءة من ناحیة وجوب المقدّمة، یأتی هنا من ناحیة حرمة المقدّمة، و ما یتوجّه إلیه هناک یتوجّه إلیه هنا، فلیتدبّر</w:t>
      </w:r>
      <w:r>
        <w:rPr>
          <w:rFonts w:eastAsia="IRNazanin" w:cs="IRNazanin"/>
          <w:color w:val="111111"/>
          <w:sz w:val="28"/>
          <w:szCs w:val="28"/>
          <w:rtl w:val="true"/>
          <w:lang w:bidi="fa-IR"/>
        </w:rPr>
        <w:t>.</w:t>
      </w:r>
      <w:bookmarkStart w:id="36" w:name="pg13177_117679"/>
    </w:p>
    <w:p>
      <w:pPr>
        <w:pStyle w:val="Heading5"/>
        <w:numPr>
          <w:ilvl w:val="4"/>
          <w:numId w:val="1"/>
        </w:numPr>
        <w:rPr/>
      </w:pPr>
      <w:bookmarkStart w:id="37" w:name="__RefHeading___Toc763580_3244359995"/>
      <w:bookmarkStart w:id="38" w:name="_Toc15"/>
      <w:bookmarkEnd w:id="36"/>
      <w:bookmarkEnd w:id="37"/>
      <w:r>
        <w:rPr>
          <w:rtl w:val="true"/>
        </w:rPr>
        <w:t>البحث الثانی فی موارد الدوران بین المطلق و المقیّد</w:t>
      </w:r>
      <w:bookmarkEnd w:id="38"/>
    </w:p>
    <w:p>
      <w:pPr>
        <w:pStyle w:val="Heading6"/>
        <w:numPr>
          <w:ilvl w:val="5"/>
          <w:numId w:val="1"/>
        </w:numPr>
        <w:rPr/>
      </w:pPr>
      <w:bookmarkStart w:id="39" w:name="__RefHeading___Toc763582_3244359995"/>
      <w:bookmarkStart w:id="40" w:name="_Toc16"/>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البحث الثانی فی موارد الدوران بین المطلق و المقیّد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إذا شکّ فی أنّ الواجب هل هو الطبیعیّ، أو هو مع الخصوصیّة؟ تکون البراءة محکّمة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الأمثلة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الطبیعیّ و الحصّة، أم کان شبیها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البراءة؛ لحکم العرف بالتباین، و المتّبع فی تشخیص ذلک هو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ذهاب بعضهم إلی الاشتغال </w:t>
      </w:r>
      <w:r>
        <w:rPr>
          <w:rStyle w:val="FootnoteAnchor"/>
          <w:rtl w:val="true"/>
        </w:rPr>
        <w:footnoteReference w:id="12"/>
      </w:r>
      <w:r>
        <w:rPr>
          <w:rFonts w:ascii="IRNazanin" w:hAnsi="IRNazanin" w:eastAsia="IRNazanin"/>
          <w:color w:val="111111"/>
          <w:sz w:val="28"/>
          <w:sz w:val="28"/>
          <w:szCs w:val="28"/>
          <w:rtl w:val="true"/>
          <w:lang w:bidi="fa-IR"/>
        </w:rPr>
        <w:t>نظرا إلی حکم العرف بأنّ الإنسان و الحیوان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لو صحّ فی موقف، و لکنّه لیس سندا للاستنتاج الکلّی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تردّد بین وجوب إکرام الإنسان أو زید فی نذر و شبهه، أو تردّد فی تعیّن الأخذ بفتوی من قلّده، أو جواز الأخذ بفتوی کلّ أحد، فربّما یشکل؛ لأنّه من ناحیة أنّ زیدا هو الإنسان و الخصوصیّة، مجری البراءة، و هکذا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أنّ تحلیل زید إلی الإنسان و الخصوصیّة، تحلیل غیر عرفیّ، و أنّ فی موارد الشکّ فی جواز الأخذ بالفتوی یتعیّن المقیّد؛ لرجوعه إلی القطع بعدم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المسألة تندرج فی مسألة دوران الأمر بین التعیین و التخییر فی لحاظ، و قد مرّ تفصیله </w:t>
      </w:r>
      <w:r>
        <w:rPr>
          <w:rStyle w:val="FootnoteAnchor"/>
          <w:rtl w:val="true"/>
        </w:rPr>
        <w:footnoteReference w:id="13"/>
      </w:r>
      <w:r>
        <w:rPr>
          <w:rFonts w:ascii="IRNazanin" w:hAnsi="IRNazanin" w:eastAsia="IRNazanin"/>
          <w:color w:val="111111"/>
          <w:sz w:val="28"/>
          <w:sz w:val="28"/>
          <w:szCs w:val="28"/>
          <w:rtl w:val="true"/>
          <w:lang w:bidi="fa-IR"/>
        </w:rPr>
        <w:t>، فمن شاء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المثال الأوّل، فیتوجّه إلی تقریب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وجوب إکرام زید و إنسان؛ نظرا إلی أنّه فی مرحلة الامتثال، لو کان الاکتفاء بإکرام زید کافیا؛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القدر المتیقّن، فلازمه فهم العقلاء و العرف الطبیعیّ و الخصوصیّة المتّحدة معه، و تصیر النتیجة عندئذ هی البراءة فی مقام التعلّق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العرف سند فی تشخیص المفاهیم، و لا سندیّة له فی مرحلة الامتثال </w:t>
      </w:r>
      <w:r>
        <w:rPr>
          <w:rStyle w:val="FootnoteAnchor"/>
          <w:rtl w:val="true"/>
        </w:rPr>
        <w:footnoteReference w:id="14"/>
      </w:r>
      <w:r>
        <w:rPr>
          <w:rFonts w:ascii="IRNazanin" w:hAnsi="IRNazanin" w:eastAsia="IRNazanin"/>
          <w:color w:val="111111"/>
          <w:sz w:val="28"/>
          <w:sz w:val="28"/>
          <w:szCs w:val="28"/>
          <w:rtl w:val="true"/>
          <w:lang w:bidi="fa-IR"/>
        </w:rPr>
        <w:t>، غیر مسموعة فی مثل المقام المتوقّف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التطبیق شأن العقل، کما علیه العلّامة الخراسانیّ فی مورد من بحوثه </w:t>
      </w:r>
      <w:r>
        <w:rPr>
          <w:rStyle w:val="FootnoteAnchor"/>
          <w:rtl w:val="true"/>
        </w:rPr>
        <w:footnoteReference w:id="15"/>
      </w:r>
      <w:r>
        <w:rPr>
          <w:rFonts w:ascii="IRNazanin" w:hAnsi="IRNazanin" w:eastAsia="IRNazanin"/>
          <w:color w:val="111111"/>
          <w:sz w:val="28"/>
          <w:sz w:val="28"/>
          <w:szCs w:val="28"/>
          <w:rtl w:val="true"/>
          <w:lang w:bidi="fa-IR"/>
        </w:rPr>
        <w:t xml:space="preserve">، و تبعه العلّامة النائینیّ رحمه اللّه </w:t>
      </w:r>
      <w:r>
        <w:rPr>
          <w:rStyle w:val="FootnoteAnchor"/>
          <w:rtl w:val="true"/>
        </w:rPr>
        <w:footnoteReference w:id="16"/>
      </w:r>
      <w:r>
        <w:rPr>
          <w:rFonts w:ascii="IRNazanin" w:hAnsi="IRNazanin" w:eastAsia="IRNazanin"/>
          <w:color w:val="111111"/>
          <w:sz w:val="28"/>
          <w:sz w:val="28"/>
          <w:szCs w:val="28"/>
          <w:rtl w:val="true"/>
          <w:lang w:bidi="fa-IR"/>
        </w:rPr>
        <w:t>فی غیر محلّه، کما تحرّر بتفصیل فی مقامه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وجه للاشتغال من غیر أن یتوجّه إلیه الإشکال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المتّبع عند العقلاء هو المحدود المنشأ، دون التحلیلات العقلیّة، و إذا وجب إکرام زید أو الإنسان أو إکرام إنسان أو الحیوان، لا یکون الإنشاء إلّا متعلّقا بعنوان واحد عرفیّ بسیط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إرجاعه إلی أنّ الواجب هو الجنس و الخصوصیّة الفصلیّة أو الخصوصیّة الفردیّة، بل و الخصوصیّة العرضیّة، أیضا غیر جائز؛ لأنّ الوجوب الثابت</w:t>
      </w:r>
      <w:bookmarkStart w:id="41" w:name="pg13177_117681"/>
    </w:p>
    <w:p>
      <w:pPr>
        <w:pStyle w:val="BookText"/>
        <w:rPr/>
      </w:pPr>
      <w:bookmarkEnd w:id="41"/>
      <w:r>
        <w:rPr>
          <w:rFonts w:ascii="IRNazanin" w:hAnsi="IRNazanin" w:eastAsia="IRNazanin"/>
          <w:color w:val="111111"/>
          <w:sz w:val="28"/>
          <w:sz w:val="28"/>
          <w:szCs w:val="28"/>
          <w:rtl w:val="true"/>
          <w:lang w:bidi="fa-IR"/>
        </w:rPr>
        <w:t>شرعا غیر متعلّق به، و عندئذ لا بدّ من الاحتیاط فی مثل هذه الموارد التی یتردّد الأمر بین العنوانین البسیطین عرفا، و إلّا فلو شکّ فی أنّ الواجب هو الحیوان الناطق أم الحیوان، أو الإنسان أو الإنسان العالم، أو الإنسان الموجود فی ضمن زید أو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محطّ الإنشاء هو العنوان المذکور، أم المقیّد بقید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مجال لتوهّم الاشتغال</w:t>
      </w:r>
      <w:r>
        <w:rPr>
          <w:rFonts w:eastAsia="IRNazanin" w:cs="IRNazanin"/>
          <w:color w:val="111111"/>
          <w:sz w:val="28"/>
          <w:szCs w:val="28"/>
          <w:rtl w:val="true"/>
          <w:lang w:bidi="fa-IR"/>
        </w:rPr>
        <w:t>.</w:t>
      </w:r>
    </w:p>
    <w:p>
      <w:pPr>
        <w:pStyle w:val="Heading6"/>
        <w:numPr>
          <w:ilvl w:val="5"/>
          <w:numId w:val="1"/>
        </w:numPr>
        <w:rPr/>
      </w:pPr>
      <w:bookmarkStart w:id="42" w:name="__RefHeading___Toc763584_3244359995"/>
      <w:bookmarkStart w:id="43" w:name="_Toc17"/>
      <w:bookmarkEnd w:id="42"/>
      <w:r>
        <w:rPr>
          <w:rtl w:val="true"/>
        </w:rPr>
        <w:t>بقی تنبیه</w:t>
      </w:r>
      <w:r>
        <w:rPr>
          <w:rtl w:val="true"/>
        </w:rPr>
        <w:t xml:space="preserve">: </w:t>
      </w:r>
      <w:r>
        <w:rPr>
          <w:rtl w:val="true"/>
        </w:rPr>
        <w:t>فیما یتوجّه إلی المحققین الآخند و النائینی و العراقی رحمهم اللّه</w:t>
      </w:r>
      <w:bookmarkEnd w:id="43"/>
    </w:p>
    <w:p>
      <w:pPr>
        <w:pStyle w:val="BookText"/>
        <w:rPr/>
      </w:pPr>
      <w:r>
        <w:rPr>
          <w:rFonts w:ascii="IRNazanin" w:hAnsi="IRNazanin" w:eastAsia="IRNazanin"/>
          <w:color w:val="111111"/>
          <w:sz w:val="28"/>
          <w:sz w:val="28"/>
          <w:szCs w:val="28"/>
          <w:rtl w:val="true"/>
          <w:lang w:bidi="fa-IR"/>
        </w:rPr>
        <w:t xml:space="preserve">لا یکاد ینقضی تعجّبی من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و العلّامة الأراکیّ رحمه اللّه </w:t>
      </w:r>
      <w:r>
        <w:rPr>
          <w:rStyle w:val="FootnoteAnchor"/>
          <w:rtl w:val="true"/>
        </w:rPr>
        <w:footnoteReference w:id="18"/>
      </w:r>
      <w:r>
        <w:rPr>
          <w:rFonts w:ascii="IRNazanin" w:hAnsi="IRNazanin" w:eastAsia="IRNazanin"/>
          <w:color w:val="111111"/>
          <w:sz w:val="28"/>
          <w:sz w:val="28"/>
          <w:szCs w:val="28"/>
          <w:rtl w:val="true"/>
          <w:lang w:bidi="fa-IR"/>
        </w:rPr>
        <w:t xml:space="preserve">و من دونهما فی المقام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مقصودهم من البحث فی هذه المسألة ما یجول حول هذه الأمثلة، فی غیر محلّه؛ لتصریحه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الصلاة المشروطة غیر الصلاة بلا شرط فی الخارج، فکیف یکون المباین سببا لسقوط الأمر عن المباین </w:t>
      </w:r>
      <w:r>
        <w:rPr>
          <w:rStyle w:val="FootnoteAnchor"/>
          <w:rtl w:val="true"/>
        </w:rPr>
        <w:footnoteReference w:id="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حسب الموازین العقلیّة، مع أنّ القدر الثابت حسب العلم هو الأمر المتعلّق بطبیعیّ الصلاة، فلا یکون المباین سببا للسقوط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الشکّ فی حصول الامتثال دائما فی مطلق الموارد، مسبّب عن الشکّ فی حدود المجعول، فإذا ثبت أنّ الحجّة لا تقوم إلّا علی ذات المشروط، فکلّ فرد تحقّق لیس مباینا لما ثبتت الحجّة علیه، فاغتنم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تقریرات العلّامة الأراکیّ أیضا یرجع إلیه </w:t>
      </w:r>
      <w:r>
        <w:rPr>
          <w:rStyle w:val="FootnoteAnchor"/>
          <w:rtl w:val="true"/>
        </w:rPr>
        <w:footnoteReference w:id="21"/>
      </w:r>
      <w:r>
        <w:rPr>
          <w:rFonts w:ascii="IRNazanin" w:hAnsi="IRNazanin" w:eastAsia="IRNazanin"/>
          <w:color w:val="111111"/>
          <w:sz w:val="28"/>
          <w:sz w:val="28"/>
          <w:szCs w:val="28"/>
          <w:rtl w:val="true"/>
          <w:lang w:bidi="fa-IR"/>
        </w:rPr>
        <w:t>، و تصیر النتیجة علی هذا</w:t>
      </w:r>
      <w:bookmarkStart w:id="44" w:name="pg13177_117682"/>
    </w:p>
    <w:p>
      <w:pPr>
        <w:pStyle w:val="BookText"/>
        <w:rPr/>
      </w:pPr>
      <w:bookmarkEnd w:id="44"/>
      <w:r>
        <w:rPr>
          <w:rFonts w:ascii="IRNazanin" w:hAnsi="IRNazanin" w:eastAsia="IRNazanin"/>
          <w:color w:val="111111"/>
          <w:sz w:val="28"/>
          <w:sz w:val="28"/>
          <w:szCs w:val="28"/>
          <w:rtl w:val="true"/>
          <w:lang w:bidi="fa-IR"/>
        </w:rPr>
        <w:t>محکّمیة البراءات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العقلائیّة، و الشرعیّة بالضرورة القطعیّة، إلّا فی موارد خاصّة علی 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فی کلام العلّامة النائینیّ رحمه اللّه من التزامه بالاشتغال فی مورد دوران الأمر بین الجنس و غیره؛ نظرا إلی أنّ الجنس لمکان عدم تحصّله لا بدّ و أن یکون فی طیّ فصل، فتندرج المسألة فی دوران الأمر بین التعیین و التخییر</w:t>
      </w:r>
      <w:r>
        <w:rPr>
          <w:rStyle w:val="FootnoteAnchor"/>
          <w:rtl w:val="true"/>
        </w:rPr>
        <w:footnoteReference w:id="22"/>
      </w:r>
      <w:r>
        <w:rPr>
          <w:rFonts w:ascii="IRNazanin" w:hAnsi="IRNazanin" w:eastAsia="IRNazanin"/>
          <w:color w:val="111111"/>
          <w:sz w:val="28"/>
          <w:sz w:val="28"/>
          <w:szCs w:val="28"/>
          <w:rtl w:val="true"/>
          <w:lang w:bidi="fa-IR"/>
        </w:rPr>
        <w:t xml:space="preserve">، فأطال الکلام حوله هو و تلمیذه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تحقّق أمر المسألة منّا سابقا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إلی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النوع أیضا لا تحصّل له إلّا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الفصول أنحاء الوجودات علی وجه حرّرناه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فالخلط بین ما لا یکونون أهله، و بین الامور العرفیّة و الشرعیّة، بعید عن الصواب، و المرجع عندئذ هو العرف، و ملاحظة مصبّ الأمر و النهی، و کفایة بلوغ المولی إلی مأموله فی مورد الأمر بالجنس، أو الاعتباریّ، أو بشی‌ء انتزاعیّ، فإنّه أیضا جائز، مع أنّ الخارج ظرف نفسها، لا وجودها، فإذا جاز مثله فی الأخیرین بالضرورة، فکیف بالجنس الذی هو یعتبر عن المادّة اللابشرط الخارجیّة حسبما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w:t>
      </w:r>
      <w:r>
        <w:rPr>
          <w:rFonts w:eastAsia="IRNazanin" w:cs="IRNazanin"/>
          <w:color w:val="111111"/>
          <w:sz w:val="28"/>
          <w:szCs w:val="28"/>
          <w:rtl w:val="true"/>
          <w:lang w:bidi="fa-IR"/>
        </w:rPr>
        <w:t>.</w:t>
      </w:r>
    </w:p>
    <w:p>
      <w:pPr>
        <w:pStyle w:val="Heading6"/>
        <w:numPr>
          <w:ilvl w:val="5"/>
          <w:numId w:val="1"/>
        </w:numPr>
        <w:rPr/>
      </w:pPr>
      <w:bookmarkStart w:id="45" w:name="__RefHeading___Toc763586_3244359995"/>
      <w:bookmarkStart w:id="46" w:name="_Toc18"/>
      <w:bookmarkEnd w:id="45"/>
      <w:r>
        <w:rPr>
          <w:rtl w:val="true"/>
        </w:rPr>
        <w:t>إعادة و تحصیل</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فی موارد الدوران بین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النزاع هو الشکّ فی أنّ محطّ الأمر هو المطلق، أو المقیّد؛ من غیر رجوعه إلی الدوران بین التعیین و التخییر؛ فإنّ فی المسألة الثانیة یکون الدوران حول التخییر الشرعیّ، و فیما نحن</w:t>
      </w:r>
    </w:p>
    <w:p>
      <w:pPr>
        <w:pStyle w:val="BookText"/>
        <w:rPr/>
      </w:pPr>
      <w:r>
        <w:rPr>
          <w:rFonts w:ascii="IRNazanin" w:hAnsi="IRNazanin" w:eastAsia="IRNazanin"/>
          <w:color w:val="111111"/>
          <w:sz w:val="28"/>
          <w:sz w:val="28"/>
          <w:szCs w:val="28"/>
          <w:rtl w:val="true"/>
          <w:lang w:bidi="fa-IR"/>
        </w:rPr>
        <w:t>فیه یکون حول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 التخییر الشرعیّ إلی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إلی المجلّد الأوّل، و تحرر تحقیقه </w:t>
      </w:r>
      <w:r>
        <w:rPr>
          <w:rStyle w:val="FootnoteAnchor"/>
          <w:rtl w:val="true"/>
        </w:rPr>
        <w:footnoteReference w:id="26"/>
      </w:r>
      <w:r>
        <w:rPr>
          <w:rFonts w:ascii="IRNazanin" w:hAnsi="IRNazanin" w:eastAsia="IRNazanin"/>
          <w:color w:val="111111"/>
          <w:sz w:val="28"/>
          <w:sz w:val="28"/>
          <w:szCs w:val="28"/>
          <w:rtl w:val="true"/>
          <w:lang w:bidi="fa-IR"/>
        </w:rPr>
        <w:t>و أنّه لا یرجع إیجابات التخییر الشرعیّة إلی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یکون الحکم هی البراءة؛ سواء کان المطلق و المقیّد من قبیل الجنس و النوع، أو النوع و الحصّة، أو الموضوع و العرض اللازم، کالهاشمیّة و القرشیّة، أو غیر اللازم؛ لأنّ مناط البراءة و الاشتغال ملاحظة مصبّ الأمر، و سقوط الأمر و الامتثال تابع لکیفیّة الأمر الثابت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المطلق و المقیّد العنوانیّین، تکون البراءة الشرعیّة و العقلیّة واضحة، و أمّا فی موارد المطلق و المقیّد الخارجیّین، فربّما تختلف الأمثلة، کمثال التردّد بین زید و الحیوان، أو زید و الإنسان؛ لمکان ما عرفت من ثبوت الإنشاء و تعلّقه بالنسبة إلی أحدهما، و عدم رجوع المنشأ إلی شی‌ء و زیادة مشکوکة عرفا، ففی کلّ مورد کان الأمر کذلک لا بدّ من الاحتیاط، لا بتکرار العمل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الاکتفاء بعتق زید فی مورد الدوران بین کونه واجب العتق أو الإنسان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مثال النوع و الحصّة، کالبقرة أو البقرة الحجازیّة فی الکفّارات، أو مثال الجنس و النوع، کالحیوان أو البقرة، فلا یبعد کون محطّ الإنسان بحسب تحلیل عرفیّ أیضا نفس الطبیعة، و المشکوک فیه هی خصوصیّة البقریّة، فتأمّل جیّدا</w:t>
      </w:r>
      <w:r>
        <w:rPr>
          <w:rFonts w:eastAsia="IRNazanin" w:cs="IRNazanin"/>
          <w:color w:val="111111"/>
          <w:sz w:val="28"/>
          <w:szCs w:val="28"/>
          <w:rtl w:val="true"/>
          <w:lang w:bidi="fa-IR"/>
        </w:rPr>
        <w:t>.</w:t>
      </w:r>
      <w:bookmarkStart w:id="47" w:name="pg13177_117685"/>
    </w:p>
    <w:p>
      <w:pPr>
        <w:pStyle w:val="Heading5"/>
        <w:numPr>
          <w:ilvl w:val="4"/>
          <w:numId w:val="1"/>
        </w:numPr>
        <w:rPr/>
      </w:pPr>
      <w:bookmarkStart w:id="48" w:name="__RefHeading___Toc763588_3244359995"/>
      <w:bookmarkStart w:id="49" w:name="_Toc19"/>
      <w:bookmarkEnd w:id="47"/>
      <w:bookmarkEnd w:id="48"/>
      <w:r>
        <w:rPr>
          <w:rtl w:val="true"/>
        </w:rPr>
        <w:t>البحث الثالث فی الأقلّ و الأکثر الاستقلالیّین</w:t>
      </w:r>
      <w:bookmarkEnd w:id="49"/>
    </w:p>
    <w:p>
      <w:pPr>
        <w:pStyle w:val="BookText"/>
        <w:rPr/>
      </w:pPr>
      <w:r>
        <w:rPr>
          <w:rFonts w:ascii="IRNazanin" w:hAnsi="IRNazanin" w:eastAsia="IRNazanin"/>
          <w:color w:val="111111"/>
          <w:sz w:val="28"/>
          <w:sz w:val="28"/>
          <w:szCs w:val="28"/>
          <w:rtl w:val="true"/>
          <w:lang w:bidi="fa-IR"/>
        </w:rPr>
        <w:t xml:space="preserve">و هما غیر الارتباطیّین؛ ضرورة أنّ الاستقلالیّ مخصوص بتکالیف متعدّدة، و ملاکات عدیدة، و إطاعات و عقابات؛ حسبما هو المشهور عنهم </w:t>
      </w:r>
      <w:r>
        <w:rPr>
          <w:rStyle w:val="FootnoteAnchor"/>
          <w:rtl w:val="true"/>
        </w:rPr>
        <w:footnoteReference w:id="27"/>
      </w:r>
      <w:r>
        <w:rPr>
          <w:rFonts w:ascii="IRNazanin" w:hAnsi="IRNazanin" w:eastAsia="IRNazanin"/>
          <w:color w:val="111111"/>
          <w:sz w:val="28"/>
          <w:sz w:val="28"/>
          <w:szCs w:val="28"/>
          <w:rtl w:val="true"/>
          <w:lang w:bidi="fa-IR"/>
        </w:rPr>
        <w:t>، بخلاف الارتباطیّ، و إن الحکم عند الکلّ فیه البراءة؛ لکونه لیس من الأقلّ و الأکثر، لأنّ الأقلّ معلوم التکلیف ذاتا، و الأکثر مشکوک، فعدّه منه بضرب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الاستقلالیّ فی الواجبات، کالدین و الصلوات القضائیّة و الصیام و أمثال ذلک، أو فی المحرّمات، کخطوات المجاز بالمسجدین، فإنّ الأقلّ محرّم علی حدة، و هکذا الأکثر، و کساعات المکث فی المسجد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النظرین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النظر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المدیون إذا کان دینه ألف دینار، و کان التکلیف کثیرا، فهل تلک الکثرة تکون إلی حدّ خاصّ، أم هی غیر متناهیة؟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یستوحش أذهان المسلمین من عقابات کثیرة بالنسبة إلی دین الدینار الواحد؛ حسب أجزائه المتعارفة کالفلس، فضلا عن الأعشار</w:t>
      </w:r>
    </w:p>
    <w:p>
      <w:pPr>
        <w:pStyle w:val="BookText"/>
        <w:rPr/>
      </w:pPr>
      <w:r>
        <w:rPr>
          <w:rFonts w:ascii="IRNazanin" w:hAnsi="IRNazanin" w:eastAsia="IRNazanin"/>
          <w:color w:val="111111"/>
          <w:sz w:val="28"/>
          <w:sz w:val="28"/>
          <w:szCs w:val="28"/>
          <w:rtl w:val="true"/>
          <w:lang w:bidi="fa-IR"/>
        </w:rPr>
        <w:t>و المشاعات الأعدادیّة، کالثلث 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اشتهر من التکالیف الکثیرة و الملاکات و الإطاعات و العقاب </w:t>
      </w:r>
      <w:r>
        <w:rPr>
          <w:rStyle w:val="FootnoteAnchor"/>
          <w:rtl w:val="true"/>
        </w:rPr>
        <w:footnoteReference w:id="28"/>
      </w:r>
      <w:r>
        <w:rPr>
          <w:rFonts w:ascii="IRNazanin" w:hAnsi="IRNazanin" w:eastAsia="IRNazanin"/>
          <w:color w:val="111111"/>
          <w:sz w:val="28"/>
          <w:sz w:val="28"/>
          <w:szCs w:val="28"/>
          <w:rtl w:val="true"/>
          <w:lang w:bidi="fa-IR"/>
        </w:rPr>
        <w:t xml:space="preserve">، غیر صحیح قطعا، بل هناک عنوان واحد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أداء الدین، من غیر سرایة الأمر منه إلی الدراهم و الدنانیر، فلو غصب دینارا و أتلفه، فعلیه ردّ دینار، فلو ردّ بعضه لم یؤدّ دینه، و لا یمتثل إلّا بعد أداء مجموع الدین، و إذا أدّی بعضه دون بعض یستحقّ علی ترک الواجب الواحد؛ و هو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أداء بعض الدین صحیح، و لکنّه لیس عملا بالوظیفة الشرعیّة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تخفیف العذاب أجنبیّ عن حدیث الامتثال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غصب دینارا آخر من ذلک المغصوب منه، تشتغل ذمّته بدینارین، و یجب علیه أداء الدین، و لا یتوجّه إلیه الأمر الجدید، و إنّما التوسعة فیما یدان به، و أمّا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متّسع، و إنّما یبقی الأمر إلی أن تفرغ الذمّة من الدینارین المعتبرین دینا، و لا یعقل تعدّد الأمر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فی باب قضاء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فاتته صلاة أو صلوات کثیرة، لا فارق بینهما إلّا بأنّ الأوّل یسقط أمر القضاء المتوجّه إلیه بأداء صلاة، و الآخر بأداء صلوات، و إلّا فلا تتوجّه إلیه الأوامر الکثیرة، و إلّا یلزم أن ینوی خصوصیّة یوم الفوت؛ لامتناع الأوامر الکثیرة إلّا باعتبار قید فی المأمور به، فلیتأمّل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إمکان حلّ الجهة الأخیرة کما أوضحناه فی محلّه </w:t>
      </w:r>
      <w:r>
        <w:rPr>
          <w:rStyle w:val="FootnoteAnchor"/>
          <w:rtl w:val="true"/>
        </w:rPr>
        <w:footnoteReference w:id="29"/>
      </w:r>
      <w:r>
        <w:rPr>
          <w:rFonts w:ascii="IRNazanin" w:hAnsi="IRNazanin" w:eastAsia="IRNazanin"/>
          <w:color w:val="111111"/>
          <w:sz w:val="28"/>
          <w:sz w:val="28"/>
          <w:szCs w:val="28"/>
          <w:rtl w:val="true"/>
          <w:lang w:bidi="fa-IR"/>
        </w:rPr>
        <w:t>، لا تکون الأدلّة إلّا متکفّلة لإیجاب قضاء الفائت، فلو أزاد الفائت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ازداد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یتکثّر الأمر، و إنّما تشتغل الذمّة بما لا یخلص منه إلّا بإتیان مجموع الفوائت فما</w:t>
      </w:r>
    </w:p>
    <w:p>
      <w:pPr>
        <w:pStyle w:val="BookText"/>
        <w:rPr/>
      </w:pPr>
      <w:r>
        <w:rPr>
          <w:rFonts w:ascii="IRNazanin" w:hAnsi="IRNazanin" w:eastAsia="IRNazanin"/>
          <w:color w:val="111111"/>
          <w:sz w:val="28"/>
          <w:sz w:val="28"/>
          <w:szCs w:val="28"/>
          <w:rtl w:val="true"/>
          <w:lang w:bidi="fa-IR"/>
        </w:rPr>
        <w:t xml:space="preserve">هو مصبّ الأمر ذاتا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کذلک فی الاستئجار علی الکثیر من التوصّلیات و التعبّدیات، فإنّ ما یجب علی الأجیر شی‌ء واحد، و الأمر تعلّق به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عندی فی باب قضاء الفوائت بلا إشکال، و لازمه قصد القضاء عند أداء الفوائت، کما علیه الجلّ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بعض الصور تکفی النیّة الموجودة؛ لعدم انطباق المنویّ إلّا علی ما هو المأمور به أداء کان، أو قضاء، کما فی موارد تخیّل بقاء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الاستیحاش فی المثال الأوّل، لا یتوجّه إلی المثال الثانی کما هو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للمسألة الثانیة موقف آخر فی الفقه؛ بل الاولی، و إنّما النظر الإشارة إلی ما ظنّه القوم هنا،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المناقشة فی النظر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مقتضی الشکّ فی الزائد هی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یناقش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ما أسّسناه تشبه المسألة بباب المحصّلات </w:t>
      </w:r>
      <w:r>
        <w:rPr>
          <w:rStyle w:val="FootnoteAnchor"/>
          <w:rtl w:val="true"/>
        </w:rPr>
        <w:footnoteReference w:id="31"/>
      </w:r>
      <w:r>
        <w:rPr>
          <w:rFonts w:ascii="IRNazanin" w:hAnsi="IRNazanin" w:eastAsia="IRNazanin"/>
          <w:color w:val="111111"/>
          <w:sz w:val="28"/>
          <w:sz w:val="28"/>
          <w:szCs w:val="28"/>
          <w:rtl w:val="true"/>
          <w:lang w:bidi="fa-IR"/>
        </w:rPr>
        <w:t>، و المرجع هناک الاشتغال فی المحصّلات العرفیّة و العقلیّة؛ فإنّ الدین یعتبر علی المدیون باعتبار أمر آخر، فیکون انتزاعیّا عن منشأ، و لیس الواجب ردّ الدینارین؛ لما لا دلیل علیه، بل الموجود فی الأدلّة ردّ الدین و أدائه، و هکذا فی القضاء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ذهب المشهور فی الأقلّ و الأکثر الاستقلالیّین فی الصلوات إلی وجوب الأکثر</w:t>
      </w:r>
      <w:r>
        <w:rPr>
          <w:rStyle w:val="FootnoteAnchor"/>
          <w:rtl w:val="true"/>
        </w:rPr>
        <w:footnoteReference w:id="32"/>
      </w:r>
      <w:r>
        <w:rPr>
          <w:rFonts w:ascii="IRNazanin" w:hAnsi="IRNazanin" w:eastAsia="IRNazanin"/>
          <w:color w:val="111111"/>
          <w:sz w:val="28"/>
          <w:sz w:val="28"/>
          <w:szCs w:val="28"/>
          <w:rtl w:val="true"/>
          <w:lang w:bidi="fa-IR"/>
        </w:rPr>
        <w:t>، و هذا یشهد علی أنّ التخلّف عن المشهور فی الشریعة مشکل؛ لاستنادهم إلی ما یخفی علی المدقّقین و المحقّقین، فضلا عن الفضلاء المعاصرین،</w:t>
      </w:r>
    </w:p>
    <w:p>
      <w:pPr>
        <w:pStyle w:val="BookText"/>
        <w:rPr/>
      </w:pPr>
      <w:r>
        <w:rPr>
          <w:rFonts w:ascii="IRNazanin" w:hAnsi="IRNazanin" w:eastAsia="IRNazanin"/>
          <w:color w:val="111111"/>
          <w:sz w:val="28"/>
          <w:sz w:val="28"/>
          <w:szCs w:val="28"/>
          <w:rtl w:val="true"/>
          <w:lang w:bidi="fa-IR"/>
        </w:rPr>
        <w:t>و قد تشبّثوا لحلّ هذه المشکلة بوجوه ردیئة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الواجب فی مثل الدین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 مع الدینارین، و لذلک یعتبرون وجوب أداء الدین مریدین به ردّ التالف، فالبراءة فی ظرف محکّمة؛ و هو ظرف الشکّ فی وجوب الأکثر، و أمّا إذا أدّی الأقلّ فیبقی استصحاب بقاء الدین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یوجد شکّه بعد أداء الأقلّ، ففی رتبة البراءة لیس شکّ استصحابیّ، و فی رتبة الاستصحاب لا یمکن تقدّمها علیه و رفع شکّه؛ لعدم لسان للبراءة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استصحاب اشتغال الذمّة، وجوب ردّ مقدار یطمئنّ بالأداء، کی ینقض الیقین بالیقین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مصداق للبراءة ثانیا بعد أداء الأقلّ، کی یکون الاستصحاب حاکما علیه، فی غیر محلّه؛ لأنّه قد مرّ انحلال الأدلّة و القواعد حسب وجود الشکّ و موضوعاتها عند الحاجة إلیها، و الأمر هنا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لغویّة؛ لأنّها فی الإطلاق دون الذات، و الممنوع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لیس إلّا العنوان التالف و هو الدینار، فیشکل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یمنع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یستصحب اشتغال الذمّة بالفلوس، فلا تذهل</w:t>
      </w:r>
      <w:r>
        <w:rPr>
          <w:rFonts w:eastAsia="IRNazanin" w:cs="IRNazanin"/>
          <w:color w:val="111111"/>
          <w:sz w:val="28"/>
          <w:szCs w:val="28"/>
          <w:rtl w:val="true"/>
          <w:lang w:bidi="fa-IR"/>
        </w:rPr>
        <w:t>.</w:t>
      </w:r>
      <w:bookmarkStart w:id="50" w:name="pg13177_117689"/>
    </w:p>
    <w:p>
      <w:pPr>
        <w:pStyle w:val="Heading5"/>
        <w:numPr>
          <w:ilvl w:val="4"/>
          <w:numId w:val="1"/>
        </w:numPr>
        <w:rPr/>
      </w:pPr>
      <w:bookmarkStart w:id="51" w:name="__RefHeading___Toc763590_3244359995"/>
      <w:bookmarkStart w:id="52" w:name="_Toc20"/>
      <w:bookmarkEnd w:id="50"/>
      <w:bookmarkEnd w:id="51"/>
      <w:r>
        <w:rPr>
          <w:rtl w:val="true"/>
        </w:rPr>
        <w:t>البحث الرابع فی الأقلّ و الأکثر الارتباطیّین من المرکّبات الخارجیّة</w:t>
      </w:r>
      <w:bookmarkEnd w:id="52"/>
    </w:p>
    <w:p>
      <w:pPr>
        <w:pStyle w:val="Heading6"/>
        <w:numPr>
          <w:ilvl w:val="5"/>
          <w:numId w:val="1"/>
        </w:numPr>
        <w:rPr/>
      </w:pPr>
      <w:bookmarkStart w:id="53" w:name="__RefHeading___Toc763592_3244359995"/>
      <w:bookmarkStart w:id="54" w:name="_Toc21"/>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أی التی تکون ذوات الأجزاء العینیّة، کالحجّ، و الصلوات، و الاعتکاف،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اختلفت الأقوال و الآراء براءة و اشتغالا إلی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العقلیّة دون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 کما یأتی وجهه </w:t>
      </w:r>
      <w:r>
        <w:rPr>
          <w:rStyle w:val="FootnoteAnchor"/>
          <w:rtl w:val="true"/>
        </w:rPr>
        <w:footnoteReference w:id="34"/>
      </w:r>
      <w:r>
        <w:rPr>
          <w:rFonts w:ascii="IRNazanin" w:hAnsi="IRNazanin" w:eastAsia="IRNazanin"/>
          <w:color w:val="111111"/>
          <w:sz w:val="28"/>
          <w:sz w:val="28"/>
          <w:szCs w:val="28"/>
          <w:rtl w:val="true"/>
          <w:lang w:bidi="fa-IR"/>
        </w:rPr>
        <w:t xml:space="preserve">، و مضی فی موضع من الکتاب بعض البحث حوله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بالبراءة العقلیّة لا یحتاج إلی تمهید المقدّمات العدیدة، و طیّ المراحل الستّ و الخمس، کما تری فی کتب الأصحاب رحمهم اللّه </w:t>
      </w:r>
      <w:r>
        <w:rPr>
          <w:rStyle w:val="FootnoteAnchor"/>
          <w:rtl w:val="true"/>
        </w:rPr>
        <w:footnoteReference w:id="36"/>
      </w:r>
      <w:r>
        <w:rPr>
          <w:rFonts w:ascii="IRNazanin" w:hAnsi="IRNazanin" w:eastAsia="IRNazanin"/>
          <w:color w:val="111111"/>
          <w:sz w:val="28"/>
          <w:sz w:val="28"/>
          <w:szCs w:val="28"/>
          <w:rtl w:val="true"/>
          <w:lang w:bidi="fa-IR"/>
        </w:rPr>
        <w:t>ضرورة أنّه إذا لم یثبت الاشتغال، و لم تتمّ الحجّة علیه، یکفی هو للبراءة؛ لأنّ عدم تمامیّة الاشتغال</w:t>
      </w:r>
      <w:bookmarkStart w:id="55" w:name="pg13177_117690"/>
    </w:p>
    <w:p>
      <w:pPr>
        <w:pStyle w:val="BookText"/>
        <w:rPr/>
      </w:pPr>
      <w:bookmarkEnd w:id="55"/>
      <w:r>
        <w:rPr>
          <w:rFonts w:ascii="IRNazanin" w:hAnsi="IRNazanin" w:eastAsia="IRNazanin"/>
          <w:color w:val="111111"/>
          <w:sz w:val="28"/>
          <w:sz w:val="28"/>
          <w:szCs w:val="28"/>
          <w:rtl w:val="true"/>
          <w:lang w:bidi="fa-IR"/>
        </w:rPr>
        <w:t>یلازم عدم تمامیّة البیان، فتجری طبعا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کفایة الاحتمال للاشتغال و لزوم الاحتیاط و لو کان صحیحا، إلّا أنّه دائم الوجود مع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خال من المناقشة؛ لکفایة الاحتمال المنجّز بیانا، فکیف تجری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کفایته للخروج عن جزافیّة العقاب، فمع احتمال العقاب لا یتنجّز الواقع بلا حجّة کما تحرّر،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فی الأقلّ و الأکثر یکون الحکم منجّزا، أم لا، لاختلاف الوجوه الناهضة، یتمّ القول بالبراءة فی هذه المسألة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فی المسألة هو الفحص عمّا یمکن أن یعدّ وجها للاحتیاط، ثمّ إرداف المسألة بما هو التحقیق فی بساط المرکّبات الاختراعیّة التألیفیّة؛ کی یتّضح مغزی المرام فی المقام</w:t>
      </w:r>
      <w:r>
        <w:rPr>
          <w:rFonts w:eastAsia="IRNazanin" w:cs="IRNazanin"/>
          <w:color w:val="111111"/>
          <w:sz w:val="28"/>
          <w:szCs w:val="28"/>
          <w:rtl w:val="true"/>
          <w:lang w:bidi="fa-IR"/>
        </w:rPr>
        <w:t>.</w:t>
      </w:r>
    </w:p>
    <w:p>
      <w:pPr>
        <w:pStyle w:val="Heading6"/>
        <w:numPr>
          <w:ilvl w:val="5"/>
          <w:numId w:val="1"/>
        </w:numPr>
        <w:rPr/>
      </w:pPr>
      <w:bookmarkStart w:id="56" w:name="__RefHeading___Toc763594_3244359995"/>
      <w:bookmarkStart w:id="57" w:name="_Toc22"/>
      <w:bookmarkEnd w:id="56"/>
      <w:r>
        <w:rPr>
          <w:rtl w:val="true"/>
        </w:rPr>
        <w:t>الوجوه المستند إلیها لتقریب الاشتغال</w:t>
      </w:r>
      <w:bookmarkEnd w:id="5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یصیر وجها للاشتغال وجوه، نشیر إلیها مع رعایة الإیجاز و الاختصار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العلّامة المحشّی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جمیع الأحیان یرجع الشکّ فی الأقلّ و الأکثر إلی المتباینین </w:t>
      </w:r>
      <w:r>
        <w:rPr>
          <w:rStyle w:val="FootnoteAnchor"/>
          <w:rtl w:val="true"/>
        </w:rPr>
        <w:footnoteReference w:id="37"/>
      </w:r>
      <w:r>
        <w:rPr>
          <w:rFonts w:ascii="IRNazanin" w:hAnsi="IRNazanin" w:eastAsia="IRNazanin"/>
          <w:color w:val="111111"/>
          <w:sz w:val="28"/>
          <w:sz w:val="28"/>
          <w:szCs w:val="28"/>
          <w:rtl w:val="true"/>
          <w:lang w:bidi="fa-IR"/>
        </w:rPr>
        <w:t>، و النتیجة هی الاحتیاط؛ و ذلک لأنّ ما هو المقسم لتقسیم الماهیّات، هی الماهیّة اللابشرط المقسمیّ، و هی لا تعقل أن تکون متعلّق الأمر أو النهی، بل هی مجرّد تحلیل عقلیّ و تجرید نفسیّ، و ما هو مصبّ الأمر هو اللابشرط القسمیّ، أو بشرط لا، أو بشرط شی‌ء، و کلّها متباینات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تقضی بأنّ المخترع إمّا یعتبر الاستعاذة، أو لا یعتبر، و هذا</w:t>
      </w:r>
    </w:p>
    <w:p>
      <w:pPr>
        <w:pStyle w:val="BookText"/>
        <w:rPr/>
      </w:pPr>
      <w:r>
        <w:rPr>
          <w:rFonts w:ascii="IRNazanin" w:hAnsi="IRNazanin" w:eastAsia="IRNazanin"/>
          <w:color w:val="111111"/>
          <w:sz w:val="28"/>
          <w:sz w:val="28"/>
          <w:szCs w:val="28"/>
          <w:rtl w:val="true"/>
          <w:lang w:bidi="fa-IR"/>
        </w:rPr>
        <w:t>معنی ملاحظة اختراعه بشرط شی‌ء أو لا بشرط، و علی کلّ لا تجری البراءة</w:t>
      </w:r>
      <w:r>
        <w:rPr>
          <w:rStyle w:val="FootnoteAnchor"/>
          <w:rtl w:val="true"/>
        </w:rPr>
        <w:footnoteReference w:id="38"/>
      </w:r>
      <w:r>
        <w:rPr>
          <w:rFonts w:ascii="IRNazanin" w:hAnsi="IRNazanin" w:eastAsia="IRNazanin"/>
          <w:color w:val="111111"/>
          <w:sz w:val="28"/>
          <w:sz w:val="28"/>
          <w:szCs w:val="28"/>
          <w:rtl w:val="true"/>
          <w:lang w:bidi="fa-IR"/>
        </w:rPr>
        <w:t>، انتهی بإضافة منّا کی یصبح التقریب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اللابشرطیّة لو کانت شیئا فی تقسیم الماهیّات، یلزم کونها بشرط شی‌ء، فتتداخل الأقسام، فالفرق بین اللابشرط المقسمیّ و القسمیّ لیس إلّا مجرّد اعتبار، و ما هو الخارجیّ عند المحقّقین و متعلّق الأمر؛ هو نفس الطبیعة خالیة عن أیّ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المنظور فی اللابشرط القسمیّ هی اللابشرطیّة الواقعیّة، فهو قسم فی مرحلة التقسیم، و عین المقسم فی مرحلة الواقع و الخارج، و تفصیل المسألة یطلب من الکتب العقلیّة</w:t>
      </w:r>
      <w:r>
        <w:rPr>
          <w:rStyle w:val="FootnoteAnchor"/>
          <w:rtl w:val="true"/>
        </w:rPr>
        <w:footnoteReference w:id="39"/>
      </w:r>
      <w:r>
        <w:rPr>
          <w:rFonts w:ascii="IRNazanin" w:hAnsi="IRNazanin" w:eastAsia="IRNazanin"/>
          <w:color w:val="111111"/>
          <w:sz w:val="28"/>
          <w:sz w:val="28"/>
          <w:szCs w:val="28"/>
          <w:rtl w:val="true"/>
          <w:lang w:bidi="fa-IR"/>
        </w:rPr>
        <w:t>، لا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مصبّ الأمر و لو کان اللابشرط القسمیّ، إلّا أنّ ما هو الواقع هو المقسمیّ؛ فإنّ الصورة الاولی هی اللابشرط الواقعیّ القسمیّ باعتبار و المقسمیّ، و الوجود هو أیضا لا بشرط مقسمیّ، و تسمّی باعتبارین، و ما هو الواقع هو المقسمیّ، إلّا أنّ ضرورة التقسیم دعت إلی هذا الاعتبار،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یرجع إلی الأوّل </w:t>
      </w:r>
      <w:r>
        <w:rPr>
          <w:rStyle w:val="FootnoteAnchor"/>
          <w:rtl w:val="true"/>
        </w:rPr>
        <w:footnoteReference w:id="40"/>
      </w:r>
      <w:r>
        <w:rPr>
          <w:rFonts w:ascii="IRNazanin" w:hAnsi="IRNazanin" w:eastAsia="IRNazanin"/>
          <w:color w:val="111111"/>
          <w:sz w:val="28"/>
          <w:sz w:val="28"/>
          <w:szCs w:val="28"/>
          <w:rtl w:val="true"/>
          <w:lang w:bidi="fa-IR"/>
        </w:rPr>
        <w:t>، کما أنّ حدیث لزوم الاحتیاط بالتکرار أیضا، یتوجّه إلی المحقّق المحشّی قدّس سرّه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الأقلّ ممّا لا یکون علیه العقاب بما هو ترک الأقلّ؛ لکونه مردّدا بین النفسیّ الأصلیّ المترتّب علی ترکه العقاب، و ما لا یترتّب علی ترکه العقاب، فلا بدّ من ضمّ الأکثر، و هذا یشهد علی عدم انحلال العلم بوجوب</w:t>
      </w:r>
    </w:p>
    <w:p>
      <w:pPr>
        <w:pStyle w:val="BookText"/>
        <w:rPr/>
      </w:pPr>
      <w:r>
        <w:rPr>
          <w:rFonts w:ascii="IRNazanin" w:hAnsi="IRNazanin" w:eastAsia="IRNazanin"/>
          <w:color w:val="111111"/>
          <w:sz w:val="28"/>
          <w:sz w:val="28"/>
          <w:szCs w:val="28"/>
          <w:rtl w:val="true"/>
          <w:lang w:bidi="fa-IR"/>
        </w:rPr>
        <w:t xml:space="preserve">الأقلّ أو الأکثر بمثله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غایة الوهن؛ فإنّ بترک الأقلّ یترک الکلّ؛ سواء کان الأقلّ، أو الأکثر، فکیف لا یستحقّ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المحشّی رحمه اللّه السابق، و قد تصدّی أیضا لإثبات کون الأقلّ و الأکثر طبیعتین وجودیّتین غیر مندرجة إحداهما فی الاخری، فعندئذ لا ینحلّ العلم الإجمالیّ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لزوم تکرار الصلاة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علی تقدیر کونه مصبّ الحکم لیس مندرجا، و أمّا علی تقدیر کون الأکثر مصبّ الحکم، فهو فإن فی الأکثر بالضرورة، و عندئذ له أن یقول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التفصیلیّ بالوجوب للأقلّ الأعمّ من النفسیّ و التبعیّ، لا یکفی لحلّ العلم الإجمالیّ، و سیظهر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الکلام المتین فی جملة ما نسب إلیه رحمه 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 منّی </w:t>
      </w:r>
      <w:r>
        <w:rPr>
          <w:rStyle w:val="FootnoteAnchor"/>
          <w:rtl w:val="true"/>
        </w:rPr>
        <w:footnoteReference w:id="43"/>
      </w:r>
      <w:r>
        <w:rPr>
          <w:rFonts w:ascii="IRNazanin" w:hAnsi="IRNazanin" w:eastAsia="IRNazanin"/>
          <w:color w:val="111111"/>
          <w:sz w:val="28"/>
          <w:sz w:val="28"/>
          <w:szCs w:val="28"/>
          <w:rtl w:val="true"/>
          <w:lang w:bidi="fa-IR"/>
        </w:rPr>
        <w:t xml:space="preserve">، 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فلضعفه الواضح لا نطیل الکلام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مقتضی العلم الإجمالیّ، انکشاف ما لا یرضی الشرع بترکه، و استکشاف المحبوب الإلزامیّ للمولی، و لا شبهة فی أنّ العقل حاکم بلزوم القیام طبق المحبوب الإلزامیّ، و الانزجار عن المبغوض، و إن لم یقم علیه أمر لفظیّ أو نهی بالضرورة، و علی هذا لا بدّ من الإتیان بالأکثر؛ کی یتبیّن له العمل بالوظیفة المستکشفة بالأمر المردّد متعلّقه، و لا حاجة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الواجبات الشرعیّة ألطاف فی الواجبات العقلیّة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لا إلی مسائل المصالح</w:t>
      </w:r>
    </w:p>
    <w:p>
      <w:pPr>
        <w:pStyle w:val="BookText"/>
        <w:rPr/>
      </w:pPr>
      <w:r>
        <w:rPr>
          <w:rFonts w:ascii="IRNazanin" w:hAnsi="IRNazanin" w:eastAsia="IRNazanin"/>
          <w:color w:val="111111"/>
          <w:sz w:val="28"/>
          <w:sz w:val="28"/>
          <w:szCs w:val="28"/>
          <w:rtl w:val="true"/>
          <w:lang w:bidi="fa-IR"/>
        </w:rPr>
        <w:t>و المفاسد،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الاستکشاف غیر ممکن؛ لاحتمال کون المحبوب شیئا آخر، فی غیر محلّه؛ لأنّه مضافا إلی المناقشة الصغرویّة؛ لإمکان قطع المکلّف بعدم مدخلیّة شی‌ء آخر فی محبوبیّة المرکّب، أنّ الظواهر العقلائیّة تشهد علی ذلک، و لأجله قام دأب الفقهاء علی إسناد محبوبیّة المکلّف به إلی المولی، و إفتائهم علی طبق الأمر، مع أنّ الإفتاء إخبار عن الواقع؛ لقیام الطریق العقلائیّ علیه،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تقریبنا حول هذا الوجه أحسن و أدقّ و أخلی من الإشکالات من التقریبین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فیهما من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یتوجّه إلیه، و ربّما ینفعک لحلّ التقریبین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الشرع فی توجیه التکالیف، کما یلاحظ جانب المحبوب الإلزامیّ و المبغوض، یلاحظ جانب التسهیل علی العباد، و یقتضی هذا اللحاظ إمّا التوسعة بذکر الأدلّة الدالّة علیها، أو التوسعة بسکوته عمّا لا یسکت عنه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إذا علمنا المحبوب الإلزامیّ علی کلّ تقدیر، فالواجب هو الاحتیاط، من غیر أن تصرف الأوامر من المتعلّقات إلی ما هو المحبوب الذی هو وراؤها، و من غیر کونه فی مرحلة الإنشاء قیدا أو شرطا و مصبّا له، کی یتوجّه إلیه ما یتوجّه إلی التقریبین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علمنا فی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المحبوب الإلزامیّ المراعی فی جانبه التسهیل أحیانا، ففی صورة انتراکه بترک الأکثر لا عقوبة و لا مؤاخذة؛ لما لا حجّة علی المحبوب الإلزامیّ المطلق، فما هو المحبوب الإلزامیّ المنجّز غیر مستکشف؛ ضرورة أنّه إن کان قائما بالأقلّ ففیه رعایة المحبوب الإلزامیّ و رعایة التسهیل، فاجتمعتا فیه، فلا بدّ من الإتیان به، و إن کان قائما بالأکثر فلم تجتمع الجهتان، فلا وجه لإیجابه بعد الجهل بالتعلّق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و أن ندری بأنّه لاحظ التسهیل بالسکوت عن الأکثر، و لو احتملنا أنّه لم یلاحظ؛ لأهمّیة الجهات الذاتیّة من العرضیّة، إلّا أنّ الدلیل علی الأکثر لم یبلغ إلینا، غیر کاف علی تقریبنا، و یتوجّه إلی ما أورد علی التقریبین؛ و ذلک لأنّ فی صورة احتمال وجود رعایة التسهیل و التوسعة بعدم إیجاب الأکثر، لا طریق إلی المحبوب الإلزامیّ علی کلّ تقدیر بالضرورة، و تصیر النتیجة أنّ الشرع قد انصرف عن محبوبه الإلزامیّ و الجهات الذاتیّة؛ نظرا إلی تلک الجهات العرضیّة الراجعة إلی أمور أهمّ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ارتضاه العلّامة النائینیّ رحمه اللّه </w:t>
      </w:r>
      <w:r>
        <w:rPr>
          <w:rStyle w:val="FootnoteAnchor"/>
          <w:rtl w:val="true"/>
        </w:rPr>
        <w:footnoteReference w:id="45"/>
      </w:r>
      <w:r>
        <w:rPr>
          <w:rFonts w:ascii="IRNazanin" w:hAnsi="IRNazanin" w:eastAsia="IRNazanin"/>
          <w:color w:val="111111"/>
          <w:sz w:val="28"/>
          <w:sz w:val="28"/>
          <w:szCs w:val="28"/>
          <w:rtl w:val="true"/>
          <w:lang w:bidi="fa-IR"/>
        </w:rPr>
        <w:t>و هو ببیان تلخیصیّ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 الیقینیّ یقتضی البراءة الیقینیّة، و فیما نحن فیه الاشتغال الیقینیّ بالأقلّ ثابت؛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نفسیّ علی کلّ تقدیر، أو قلنا بدورانه بین النفسیّة، و بین الضمنیّة و الغیریّة و التبعیّة و العقلیّة، و الجزء الزائد المشکوک فیه محکوم بالبراءة فی حدّ ذاته، و أمّا بالنظر إلی أنّه لا یحصل العلم بالفراغ إلّا بإتیانه، فیجب تحصیله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مجری البراءة العقلیّة، معناه أنّ العقاب علی ترک الأقلّ لأجل ترک الجزء الارتباطیّ غیر صحیح، فلازمه أنّ العقل لا یری وجها لإیجاب الأکثر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یندفع بما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الأمر و إن کان کذلک إذا نظرنا إلی الأقلّ المعلوم و الأکثر المشکوک فیه، و لکن قضیّة النظر الثانی هی وجوب الأکثر وجوبا مترشّحا من معلومیّة الأقلّ بالتفصیل، و مشکوکیّة الفراغ منه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الأقلّ واجب</w:t>
      </w:r>
    </w:p>
    <w:p>
      <w:pPr>
        <w:pStyle w:val="BookText"/>
        <w:rPr/>
      </w:pPr>
      <w:r>
        <w:rPr>
          <w:rFonts w:ascii="IRNazanin" w:hAnsi="IRNazanin" w:eastAsia="IRNazanin"/>
          <w:color w:val="111111"/>
          <w:sz w:val="28"/>
          <w:sz w:val="28"/>
          <w:szCs w:val="28"/>
          <w:rtl w:val="true"/>
          <w:lang w:bidi="fa-IR"/>
        </w:rPr>
        <w:t>نفسیّ علی کلّ تقدیر، فلا بدّ من العلم بالفراغ، و هو لا یحصل إلّا بالزائد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ملوّن بلون آخر غیر النفسیّة، فالعلم الإجمالیّ لا ینحلّ، فیلزم الأکثر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للقاعدة المشار إلیها فی مورد الشکّ فی الفراغ المسبّب عن الشکّ فی الاشتغال؛ ضرورة أنّه بعد درک العقل فی الرتبة السابقة عدم الاشتغال، فالشکّ الناشئ عنه لیس مجری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فی کلام العلّامة الأراکیّ رحمه اللّه </w:t>
      </w:r>
      <w:r>
        <w:rPr>
          <w:rStyle w:val="FootnoteAnchor"/>
          <w:rtl w:val="true"/>
        </w:rPr>
        <w:footnoteReference w:id="47"/>
      </w:r>
      <w:r>
        <w:rPr>
          <w:rFonts w:ascii="IRNazanin" w:hAnsi="IRNazanin" w:eastAsia="IRNazanin"/>
          <w:color w:val="111111"/>
          <w:sz w:val="28"/>
          <w:sz w:val="28"/>
          <w:szCs w:val="28"/>
          <w:rtl w:val="true"/>
          <w:lang w:bidi="fa-IR"/>
        </w:rPr>
        <w:t>إلّا أنّه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کذلک بالنسبة إلی البراءة الشرعیّة دون العقلیّة؛ ضرورة أنّ شأن العقل درک عدم الاستحقاق من ناحیة ترک الأکثر، و یدرک الاستحقاق عند ترک الأقلّ، فإذا کان یدرک عدم تحقّق الأقلّ إلّا بالأکثر فی صورة وجوب الأکثر، فیدرک لزوم الأکثر، فالفرار من المعلوم بالتفصیل غیر معقول إلّا بامتثال ما هو المعلوم بالتفصیل، و هو الأقلّ المأتیّ به فی ضمن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بین درک لزوم الأکثر؛ کی ینافی درکه البراءة منه، و بین درکه لزوم الأقلّ منضمّا مع الأکثر؛ کی یعلم بسقوط الأمر المعلوم المتوجّه إلی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یظهر مواضع الخلل فی کلمات القوم حول المناقشة فی هذا التقریب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الأصل فی الخدشة؛ أنّ قاعدة الاشتغال الیقینیّ مصبّها الامور المضمونة علی الإنسان، و المعتبرة فی الذمّة کالدیون، فإنّه باعتبار ثبوتها فی الذمّة یحتاج إلی العلم بالسقوط، و أمّا باب التکالیف التی لا تتجاوز عن البعث و الزجر و حدود الحجّة القائمة علیهما، فهو خارج عنها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إنّه کثیرا ما یقع الخلط؛ و یقولون بالاشتغال فی مواضع البراءة غفلة عن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هنا تابع الحجّة القطعیّة، و لا شغل إلّا درک العقل بعد تمامیّة الحجّة لزوم القیام بالوظیفة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قائمة علی الأقلّ فقط، و لا حجّة بالنسبة إلی الأکثر، کما هو صریح کلامه رحمه اللّه </w:t>
      </w:r>
      <w:r>
        <w:rPr>
          <w:rStyle w:val="FootnoteAnchor"/>
          <w:rtl w:val="true"/>
        </w:rPr>
        <w:footnoteReference w:id="49"/>
      </w:r>
      <w:r>
        <w:rPr>
          <w:rFonts w:ascii="IRNazanin" w:hAnsi="IRNazanin" w:eastAsia="IRNazanin"/>
          <w:color w:val="111111"/>
          <w:sz w:val="28"/>
          <w:sz w:val="28"/>
          <w:szCs w:val="28"/>
          <w:rtl w:val="true"/>
          <w:lang w:bidi="fa-IR"/>
        </w:rPr>
        <w:t>، فعندئذ إذا قام بوظیفته المعلومة بالتفصیل و هو الأقلّ، فقد أتی بما علیه الحجّة، و ترک ما لا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إسراء اقتضاء ممّا قام علیه الحجّة إلی ما لم یقم علیه الحجّة، منوط بحدیث اشتغال الذمّة بالأقلّ، و الشکّ فی السقوط، و هذا من الأکاذیب القطعیّة فی بحوث البراءة و الاشتغال، و إن کانت صحیحة فی الجملة بدلیل ثان شرعیّ؛ لآثار اخر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التکالیف امور اعتباریّة فی الذمّة</w:t>
      </w:r>
      <w:r>
        <w:rPr>
          <w:rStyle w:val="FootnoteAnchor"/>
          <w:rtl w:val="true"/>
        </w:rPr>
        <w:footnoteReference w:id="50"/>
      </w:r>
      <w:r>
        <w:rPr>
          <w:rFonts w:ascii="IRNazanin" w:hAnsi="IRNazanin" w:eastAsia="IRNazanin"/>
          <w:color w:val="111111"/>
          <w:sz w:val="28"/>
          <w:sz w:val="28"/>
          <w:szCs w:val="28"/>
          <w:rtl w:val="true"/>
          <w:lang w:bidi="fa-IR"/>
        </w:rPr>
        <w:t>، فلا بدّ إذا توجّه إلی لازمه أن یقول بالاشتغال، و لو لم یقل فهو لقصور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کون الأقلّ واجبا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النفسیّ، أو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تنجّز الأکثر؛ ضرورة أنّه لا یعقل التفکیک بین فرض فعلیّة التکلیف فی ناحیة الأقلّ، و عدم تنجّز الأکثر؛ لاستلزام تلک الفعلیة تنجّزه، فالقول بانحلال العلم الإجمالیّ یستلزم الخلف؛ لأنّ المفروض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العلم الإجمالیّ موجبا للانحلال فیما نحن فیه، مع أنّ لازم الانحلال عدم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معنی انحلاله هو العلم التفصیلیّ بالأقلّ، و هو لا یعقل إلّا مع کون الأکثر طرف العلم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یکون العلم منجّزا بالنسبة إلی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الأقلّ؛ فهو لکونه إمّا واجبا فی نفسه، أو لکونه واجبا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الأکثر؛ فلأنّ تنجّز الأقلّ بذلک العلم التفصیلیّ یستتبع تنجّز الأکثر، و لو صحّ جریان البراءة العقلیّة بالنسبة إلی الأکثر، لصحّ بالنسبة إلی الأقلّ، فیلزم جواز المخالفة القطعیّة، فیعلم عدم جوازها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البراءة العقلیّة عن الأکثر تجری؛ لأنّ العلم التفصیلیّ بوجوب الأقلّ فرع فعلیّة التکلیف فی ناحیة الأکثر، دون تنجّزه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إذا کان یری و یدرک ذلک التفرّع، فیری و یدرک تمامیّة الحجّة بالنسبة إلی الأکثر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الشرع ربّما یفکّک بین الأمرین، کما فی الصلاتین المترتّبتین المعلوم بطلان إحداهما، و کان الترتیب شرطا واقعیّا، فإنّه یعلم تفصیلا ببطلان الثانیة، و لا یعقل صحّة الاولی واقعا؛ للزوم الشکّ فی بطلان الثانیة، و لکن تجری قاعدة التجاوز بالنسبة إلی الاولی حسب الظاهر؛ لإمکان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القاعدة کان الأمر الأوّل أیضا منجّزا؛ لأنّ العلم التفصیلیّ ببطلان الثانیة محقّق علی تقدیر بطلان الاولی، فکیف تجری البراءة العقلیّة بالنسبة إلی الاولی؟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المهمّ حلّ هذه المشکلة علی القول بوجوب المقدّمة وجوبا من غیر سنخ وجوب ذی المقدّمة، و إلّا فهو تصدیق علی المبنی، و لذا نجد أنّ کثیرا من الأعلام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مذعنون بالمشکلة علی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قدّس سرّه أیضا عدل عن هذا؛ لما قال فی محلّه بعدم وجوب المقدّمات الداخلیّة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کما تأتی علی القول بالوجوب الغیریّ للأجزاء، تأتی علی القول بالوجوب الضمنیّ؛ و ذلک لأنّ الوجوب الضمنیّ إمّا لا أصل له، کما إذا ارید منه الوجوب النفسیّ المنبسط علی الأجزاء، و المقسّط حسب القطعات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هو سنخ آخر یحصل من اعتبار الانضمام و التقیّد بالمعنی الحرفیّ بین الأجزاء، فیکون العلم الإجمالیّ غیر منحلّ به؛ للاختلاف السنخیّ بینه و بین المعلوم بالإجمال، و سیمرّ علیک إن شاء اللّه زیادة توضیح حول الوجوب الضمنیّ الواضح فساده، بل لا یتصوّر له معنی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أطراف العلم الإجمالیّ إذا لم یکن منحلّا، یکون ارتکاب أحد الأطراف غیر مستتبع للقطع باستحقاق العقاب، و إنّما یدرک العقل ذلک عند الإصابة، بخلاف ما إذا أدرک الاستحقاق قطعیّا فی صورة ترک بعض الأطراف دون بعض، فإنّه یشهد علی عدم وجود العلم الإجمالیّ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الأقلّ یوجب القطع بالعقاب؛ أی باستحقاقه، دون الأکثر، فتکون المسألة خارجة عن موازین العلم الإجمالیّ، فمن أتی بالصلاة و ترک الجزء یشکّ فی الاستحقاق، و یکون العقاب علیه بلا بیان؛ لأنّ العلم الإجمالیّ غیر موجود علی النحو المتعارف فی موارده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ترک الأقلّ لا یستوجب العقوبة إلّا لأجل تنجّز</w:t>
      </w:r>
    </w:p>
    <w:p>
      <w:pPr>
        <w:pStyle w:val="BookText"/>
        <w:rPr/>
      </w:pP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غیر سدید؛ فإنّ المرکّب ینعدم بانعدام جزء ما، و لا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الترک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لأجل ترک المرکّب من ناحیة الأجزاء المعلومة، دون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حدیث انحلال العلم الإجمالیّ، و حدیث تنجیزه، و ما نحن فیه لا یکون العلم منحلّا، و لکنّه لا یصلح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الانحلال هنا إمّا وجدانا، أو تعبّدا و حکما، و کلاهما مفقودان فی محلّه، إلّا أنّه لا حاجة إلیه، کما هو کثیر الدور فی موارد العلم الإجمالیّ اللاحق بالنسبة إلی أحد الأطراف المسبوق بالمنجّز، کما إذا علم إجمالا بحرمة الإناء الشرقیّ؛ لکونه مال الغیر، أو حرمة الغربیّ؛ لکونه متنجّسا، فإنّه لمکان منجّزیة الاحتمال فی ناحیة الإناء الشرقیّ، لا یورث التنجّز عندهم بالنسبة إلی الغربیّ، و هکذا فی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الانحلال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و لو کان العلم الإجمالیّ المردّد بین الأقلّ و الأکثر، غیر منحلّ بالتفصیلیّ و الشکّ البدویّ؛ لمکان اختلاف وجوب الکلّ و الأجزاء الداخلیّة، و لکنّه لا یورث الاشتغال،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التقرّب بالأقلّ غیر ممکن، فلا تجری البراءة بالنسبة إلی الأکثر فی المرکّبات العبادیّة، بل الأقلّ مردّد بین کونه واجبا و محرّما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تشریعیّة، و احتمال وجود الأمر النفسیّ یکفی لحصول القربة المعتبرة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الشهرة هو الاحتیاط؛ لأنّ الامتثال عند المشهور هو الانبعاث عن الأمر، و هذا لا یمکن إلّا بعد إحرازه وجدانا أو تعبّدا</w:t>
      </w:r>
      <w:r>
        <w:rPr>
          <w:rStyle w:val="FootnoteAnchor"/>
          <w:rtl w:val="true"/>
        </w:rPr>
        <w:footnoteReference w:id="5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الأخبار فی کتاب الصوم ورد فی ذیل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نفعل إلّا ما أمرنا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فلا بدّ من وجود الأمر، و هو لا یحرز فی الأقلّ، بخلاف الأکثر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الاحتیاط بالتکرار فی موارد الجهالة المطلقة، لا یقتضی جوازه هنا، و لذلک استشکل حتی مع التمکّن من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و إن کانت جاریة بالنسبة إلی الأکثر فی حدّ ذاته، إلّا أنّ بعد الإتیان بالأقلّ هناک شکّ استصحابیّ یقتضی بقاء الوجوب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وجوب کلّی متعلّق بالأقلّ،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للشکّ فی بقائه؛ لکونه إمّا من استصحاب الفرد المردّد، أو من استصحاب الکلّی الانتزاعیّ غیر المجعول، فلا یجری الأوّل؛ لجهة اختلال رکنه، و لا الثانی؛ لعدم تعلّق الجعل به و لو کان حقیقة الاستصحاب هو التعبّد بإیجاد المماثل، نظیر الاستصحاب الحکمیّ فی موارد المتباینین من الشبهة الوجوبیّة، فإنّه إذا أتی بالظهر یشکّ فی بقاء الحکم، فإنّه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الشخصیّ؛ فلضرورة أنّه دائر بین مقطوع الارتفاع، و هو الظهر، و مقطوع البقاء و هو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الکلّی؛ فلأنّ الوجوب المنتزع من وجوب الظهر و الجمعة، لیس ذا أثر إلّا بفصله، و إبقاء الجامع فی الشبهة الحکمیّة غیر الشبهة الموضوعیّة، فإنّ الکلّ و إن کان من القسم الثانی، إلّا أنّ الأوّل غیر مجعول بذاته و غیر مثمر، و الثانی یعتبر موضوعا للحکم، فإذا کان لدلیله الإطلاق فلا بأس به عرفا، بل و عقلا، و تفصیله فی تنبیهات الاستصحاب إن شاء اللّه تعالی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نحن فیه، فیستصحب الحکم النفسیّ الثابت للأجزاء المعلومة</w:t>
      </w:r>
    </w:p>
    <w:p>
      <w:pPr>
        <w:pStyle w:val="BookText"/>
        <w:rPr/>
      </w:pPr>
      <w:r>
        <w:rPr>
          <w:rFonts w:ascii="IRNazanin" w:hAnsi="IRNazanin" w:eastAsia="IRNazanin"/>
          <w:color w:val="111111"/>
          <w:sz w:val="28"/>
          <w:sz w:val="28"/>
          <w:szCs w:val="28"/>
          <w:rtl w:val="true"/>
          <w:lang w:bidi="fa-IR"/>
        </w:rPr>
        <w:t>بالتفصیل؛ لاحتمال بقائه حسب الارتباطیّة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حکومة البراءة العقلیّة علی مثل هذا الاستصحاب، ناشئ عن قلّة دراسة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بالوجوب النفسیّ للأجزاء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القول بالوجوب الغیریّ فقد عرفت وجه جریانه، و وجه اندفاعه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 إنّ نفس التعبّد بحکم الجامع الانتزاعیّ له الأثر، و هو الإتیان بالأکثر، و لا یعتبر فی المستصحب أزید من جواز التعبّد و معقولیّته، و ما هو غیر قابل للجعل هو الجامع الانتزاعیّ، و أمّا التعبّد به لأثر فلا بأس به؛ ضرورة تنجّز النفسیّ لو کان بمثل هذا الاستصحاب، و عندئذ لا تصل النوبة إلی البراءة العقلیّة؛ لوروده علیها، و لا الشرعیّة؛ للحکومة، فإنّه فعلا شاکّ فی أنّه بعد الإتیان بالأقلّ یبقی الوجوب،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هذا الاستصحاب الاستقبالیّ الذی هو جار عندهم فی مثل بقاء الوقت و الشهر؛ للأثر المترتّب علیه، و لا سیّما بناء علی کون الاستصحاب بحکم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الاستصحاب الموضوعیّ باستصحاب عدم إتیان ما هو الواجب المردّد بین الأقلّ و الأکثر</w:t>
      </w:r>
      <w:r>
        <w:rPr>
          <w:rStyle w:val="FootnoteAnchor"/>
          <w:rtl w:val="true"/>
        </w:rPr>
        <w:footnoteReference w:id="63"/>
      </w:r>
      <w:r>
        <w:rPr>
          <w:rFonts w:ascii="IRNazanin" w:hAnsi="IRNazanin" w:eastAsia="IRNazanin"/>
          <w:color w:val="111111"/>
          <w:sz w:val="28"/>
          <w:sz w:val="28"/>
          <w:szCs w:val="28"/>
          <w:rtl w:val="true"/>
          <w:lang w:bidi="fa-IR"/>
        </w:rPr>
        <w:t>، فهو ممنوع؛ لأنّ نفس العدم المضاف المذکور لیس موضوع الأثر، و المضاف إلیه إذا کان له الأثر، فاستصحاب عدمه لإخراجه عن ذاک الأثر جائز، إلّا أنّه هنا هو أیضا بلا أثر؛ لأنّ إتیان الواجب أثره عقلیّ، و هو سقوط الأمر، لا شرعیّ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الشخصیّ و هو الوجوب النفسیّ جار، و الشکّ فی بقائه لأجل ترک الجزء الدخیل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استصحاب الکلّی الانتزاعیّ، أیضا یوجب تنجّز الوجوب النفسیّ لو کان باقیا ببقاء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الأصل المثبت؛ لأنّ التنجّز من آثار الاستصحاب، لا المستصحب، و من الآثار الثابتة للأعمّ من الحکم الواقعیّ 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مقتضی منجّزیة الاستصحاب،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فالإطاعة و التنجّز و آثار نفس الحکم الجنسیّ و طبیعیّ الحکم، مترتّبة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یکون المجعول فی الوجوب النفسیّ أو الغیریّ إلّا الطبیعیّ، إلّا أنّه بالقیاس إلی الجهات الخارجیّة یعتبر أنّه نفسیّ، أو غیریّ، لا أنّ الجاعل یجعل الوجوب النفسی أو الغیریّ ملاحظا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بقاء طبیعیّ الوجوب أو التعبّد بالمماثل، یوجب موضوعا لدرک العقل المتحرّک إلی الأثر الأعمّ، و هو الإتیان بالأقلّ و الأکثر، و حیث یکفی الإتیان بالأکثر عن الأقلّ اللابشرط، لا یلزم التکرار،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معارض باستصحاب عدم لحاظ الأکثر، أو عدم إرادة الأکثر، أو عدم جعل الأکثر، أو عدم وجوب الأکثر عدما أزلیّا، أو عدما قبل التکلیف، أو عدما قبل الوقت، و الکلّ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الشبهة القاسانیّة النراقیّة المندفعة بما تحرّر منّا فی محلّه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عدم جریان هذه الاستصحابات کلّها؛ لاختلال 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العلم بالحالة السابقة، و التفصیل فی الاستصحاب، فلا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الوجوب مسبّب عن الشکّ فی جزئیّة الجزء الزائد، و عن وجوب الزائد، و عن استحقاق العقاب علی ترک الأقلّ بترک الأکثر، و عندئذ لا تصل النوبة إلیه بعد جریان البراءة فی المرتبة السابقة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آنفا أنّ الاصول العقلیّة، لا تتمکّن من الحکومة علی الاصول</w:t>
      </w:r>
    </w:p>
    <w:p>
      <w:pPr>
        <w:pStyle w:val="BookText"/>
        <w:rPr/>
      </w:pPr>
      <w:r>
        <w:rPr>
          <w:rFonts w:ascii="IRNazanin" w:hAnsi="IRNazanin" w:eastAsia="IRNazanin"/>
          <w:color w:val="111111"/>
          <w:sz w:val="28"/>
          <w:sz w:val="28"/>
          <w:szCs w:val="28"/>
          <w:rtl w:val="true"/>
          <w:lang w:bidi="fa-IR"/>
        </w:rPr>
        <w:t>الشرعیّة، بل الاصول الشرعیّة واردة علیها، کما هو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البراءة الشرعیّة فهی فی الرتبة السابقة تجری؛ بمعنی ملاحظة وجوب الجزء بما هو هو، و أمّا بعد جریان الاستصحاب فلا محلّ لها، و لا یعقل أن یکون مفاد البراءة الشرعیّة رفع الشکّ تعبّدا؛ لعدم کونها أصلا ناظرا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البراءة الشرعیّة انتفاء التکلیف واقعا، کما کان هو مختارنا فی السابق، أو کان رفع الحکم ادعاء برفع جمیع آثاره، کما هو مذهب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یمکن دعوی عدم جریانه، و لکنّها أیضا غیر مسموعة؛ لأنّ فی رتبة جریان البراءة لا استصحاب؛ لأنّ رکنه بعد فرض إتیان الأقلّ، و فی فرض إتیان الأقلّ لا تقاوم الاستصحاب؛ لأنّه ینجّز مورد الشکّ الذی هو موضوع البراءة، و سیأتی مزید بیان إن شاء اللّه تعالی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تقدیر جریان البراءة الشرعیّة، کما یأتی من ذی قبل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الوجوه المذکورة غیر ناهضة للاشتغال إلّا الوجه الأخیر، من غیر حاجة إلی البحث عن موازین المرکّبات و الأجزاء، و کیفیّة الاختراعیّات الشرعیّة، و الغور فیها، فإنّه و إن کان مفیدا أحیانا تشحیذا للأذهان، إلّا أنّ فیما هو البحث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الفحص عن دلیل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نافع؛ لأنّه إذا لم یکن دلیله تامّا فالبراءة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أنّه لا حاجة فی تضعیف أدلّة الاشتغال إلی إطالة الکلام حول وضع المرکّبات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کلام القوم لا یخلو من الزلّات الکثیرة، و أحسن من ورد فی هذا</w:t>
      </w:r>
      <w:bookmarkStart w:id="58" w:name="pg13177_117704"/>
    </w:p>
    <w:p>
      <w:pPr>
        <w:pStyle w:val="BookText"/>
        <w:rPr/>
      </w:pPr>
      <w:bookmarkEnd w:id="58"/>
      <w:r>
        <w:rPr>
          <w:rFonts w:ascii="IRNazanin" w:hAnsi="IRNazanin" w:eastAsia="IRNazanin"/>
          <w:color w:val="111111"/>
          <w:sz w:val="28"/>
          <w:sz w:val="28"/>
          <w:szCs w:val="28"/>
          <w:rtl w:val="true"/>
          <w:lang w:bidi="fa-IR"/>
        </w:rPr>
        <w:t>المیدان والدی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مع ذلک لم یؤدّ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المسألة</w:t>
      </w:r>
      <w:r>
        <w:rPr>
          <w:rStyle w:val="FootnoteAnchor"/>
          <w:rtl w:val="true"/>
        </w:rPr>
        <w:footnoteReference w:id="68"/>
      </w:r>
      <w:r>
        <w:rPr>
          <w:rFonts w:ascii="IRNazanin" w:hAnsi="IRNazanin" w:eastAsia="IRNazanin"/>
          <w:color w:val="111111"/>
          <w:sz w:val="28"/>
          <w:sz w:val="28"/>
          <w:szCs w:val="28"/>
          <w:rtl w:val="true"/>
          <w:lang w:bidi="fa-IR"/>
        </w:rPr>
        <w:t>، نشیر فی طیّ تذییل موجز إلی الحقّ فی المرکّبات، و حدیث کیفیّة تعلّق الأمر بها، و حدیث نسبة الأجزاء إلی الأمر</w:t>
      </w:r>
      <w:r>
        <w:rPr>
          <w:rFonts w:eastAsia="IRNazanin" w:cs="IRNazanin"/>
          <w:color w:val="111111"/>
          <w:sz w:val="28"/>
          <w:szCs w:val="28"/>
          <w:rtl w:val="true"/>
          <w:lang w:bidi="fa-IR"/>
        </w:rPr>
        <w:t>.</w:t>
      </w:r>
    </w:p>
    <w:p>
      <w:pPr>
        <w:pStyle w:val="Heading6"/>
        <w:numPr>
          <w:ilvl w:val="5"/>
          <w:numId w:val="1"/>
        </w:numPr>
        <w:rPr/>
      </w:pPr>
      <w:bookmarkStart w:id="59" w:name="__RefHeading___Toc763596_3244359995"/>
      <w:bookmarkStart w:id="60" w:name="_Toc23"/>
      <w:bookmarkEnd w:id="59"/>
      <w:r>
        <w:rPr>
          <w:rtl w:val="true"/>
        </w:rPr>
        <w:t>تذییل و تکمیل</w:t>
      </w:r>
      <w:r>
        <w:rPr>
          <w:rtl w:val="true"/>
        </w:rPr>
        <w:t xml:space="preserve">: </w:t>
      </w:r>
      <w:r>
        <w:rPr>
          <w:rtl w:val="true"/>
        </w:rPr>
        <w:t>لإثبات الاشتغال فی الارتباطیّ من المرکبات الخارجیة</w:t>
      </w:r>
      <w:bookmarkEnd w:id="60"/>
    </w:p>
    <w:p>
      <w:pPr>
        <w:pStyle w:val="BookText"/>
        <w:rPr/>
      </w:pPr>
      <w:r>
        <w:rPr>
          <w:rFonts w:ascii="IRNazanin" w:hAnsi="IRNazanin" w:eastAsia="IRNazanin"/>
          <w:color w:val="111111"/>
          <w:sz w:val="28"/>
          <w:sz w:val="28"/>
          <w:szCs w:val="28"/>
          <w:rtl w:val="true"/>
          <w:lang w:bidi="fa-IR"/>
        </w:rPr>
        <w:t>لا شبهة و لا غبار فی أنّ الکثیر بما هو کثیر، و الکثرة بما هی کثرة، لا یمکن أن تصیر مصبّا للأمر الوحدانیّ، و لا یعقل أن یتعلّق الأمر الوحدانیّ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قوام تشخّصه بالمتعلّق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بالکثیر غیر المندمجة أجزاؤه، و أن یکون قوامه الکثرة غیر الفانیة فی المعنی الفردانیّ الوحدانیّ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 الآمر لا یتمکّن حین توجیه الأمر إلی المتعلّق الوحدانیّ، من أن یلاحظ الأجزاء بحیال ذلک العنوان الواحد، بل الأجزاء فی هذه المرحلة مغفول عنها، أو مورد التغافل، فلا یری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المعنی الوحدانیّ فی النظرة الاخری، ینحلّ إلی الکثیر؛ لکونه مجمل ذلک الکثیر، و مندمج تلک الکثرة، فالأجزاء لا صولة لها و لا سورة لها و لا لحاظ یتعلّق بها حینما یلاحظ اللاحظ أنّ الأمر الوحدانیّ یدعو إلی ذلک العنوان الفردانیّ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فالأجزاء بما هی أجزاء، لیست متعلّق الأمر أصلا، و لا یعقل أن یدعو الأمر المتعلّق بالمعنی الوحدانیّ إلی الأجزاء و لو بعین الدعوة إلی الکلّ؛ لأنّ ذلک الحین حین الغفلة و التغافل، فکیف یدعو أمر الغافل عن الأجزاء إلیها بأیّ وجه کان؟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المتعلّق بالعمرة أو الحجّ أو الصلاة أو الاعتکاف، لا یدعو و لا یتعلّق</w:t>
      </w:r>
    </w:p>
    <w:p>
      <w:pPr>
        <w:pStyle w:val="BookText"/>
        <w:rPr/>
      </w:pPr>
      <w:r>
        <w:rPr>
          <w:rFonts w:ascii="IRNazanin" w:hAnsi="IRNazanin" w:eastAsia="IRNazanin"/>
          <w:color w:val="111111"/>
          <w:sz w:val="28"/>
          <w:sz w:val="28"/>
          <w:szCs w:val="28"/>
          <w:rtl w:val="true"/>
          <w:lang w:bidi="fa-IR"/>
        </w:rPr>
        <w:t>إلّا بعنوان واحد بسیط فی الاعتبار، من غیر کونه محصّلا و منتزعا، بل هو ینحل إلیها واقعا، إلّا أنّ الانحلال إلیها فی النظرة الثانیة المستقلّة إلی الطبیعة، فیقال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أوّلها التکبیر، و آخرها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فی موقف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Style w:val="FootnoteAnchor"/>
          <w:rtl w:val="true"/>
        </w:rPr>
        <w:footnoteReference w:id="69"/>
      </w:r>
      <w:r>
        <w:rPr>
          <w:rFonts w:ascii="IRNazanin" w:hAnsi="IRNazanin" w:eastAsia="IRNazanin"/>
          <w:color w:val="111111"/>
          <w:sz w:val="28"/>
          <w:sz w:val="28"/>
          <w:szCs w:val="28"/>
          <w:rtl w:val="true"/>
          <w:lang w:bidi="fa-IR"/>
        </w:rPr>
        <w:t>فلا تکبیرة، و لا رکوع، و لا سلام، و لا دعوة إلیها، بل الدعوة ممحّضة إلی الصلاة، و هی حقیقة إلهیّة وحدانیّة؛ لأنّ ما تعلّق به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و البعث المتقوّم تشخّصه به، و الإرادة و العلم واحد أیضا، و هما أیضا یتشخّصان بذلک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أن یتشخّص الواحد بالکثیر بما 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 الواحد إلی الکثیر غیر کون المشخّص کثیرا فی ظرف مشخّصیته، و غیر کون المتعلّق کثیرا فی ظرف تعلّق الأمر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فحدیث الأقلّ و الأکثر، و أنّ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الأمر و الإرادة، و الأکثر و هی عشرة أجزاء</w:t>
      </w:r>
      <w:r>
        <w:rPr>
          <w:rStyle w:val="FootnoteAnchor"/>
          <w:rtl w:val="true"/>
        </w:rPr>
        <w:footnoteReference w:id="70"/>
      </w:r>
      <w:r>
        <w:rPr>
          <w:rFonts w:ascii="IRNazanin" w:hAnsi="IRNazanin" w:eastAsia="IRNazanin"/>
          <w:color w:val="111111"/>
          <w:sz w:val="28"/>
          <w:sz w:val="28"/>
          <w:szCs w:val="28"/>
          <w:rtl w:val="true"/>
          <w:lang w:bidi="fa-IR"/>
        </w:rPr>
        <w:t>، من الأباطیل و الأکاذیب، و لیس هناک فی مرحلة تعلّق الأمر أقلّ و لا أکثر، و لا القلیل و لا الکثیر؛ لأنّها من مقولة الکم المنفصل، و الصلاة فی مرتبة تعلّق الأمر خارجة عن مقولة الکم المنفصل، و داخلة فی مقولة الجوهر الاعتباریّ؛ أی هی اعتبار مقولة الجوهر؛ لتعلّق الغرض بها، و هو الحکم و الأمر و تعدّ موضوعا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قیام العرض بالعرض و لو فرض جوازه، کقیام الخطّ بالسطح، و هو بالجسم التعلیمیّ، علی إشکال فیه محرّر فی محلّه </w:t>
      </w:r>
      <w:r>
        <w:rPr>
          <w:rStyle w:val="FootnoteAnchor"/>
          <w:rtl w:val="true"/>
        </w:rPr>
        <w:footnoteReference w:id="71"/>
      </w:r>
      <w:r>
        <w:rPr>
          <w:rFonts w:ascii="IRNazanin" w:hAnsi="IRNazanin" w:eastAsia="IRNazanin"/>
          <w:color w:val="111111"/>
          <w:sz w:val="28"/>
          <w:sz w:val="28"/>
          <w:szCs w:val="28"/>
          <w:rtl w:val="true"/>
          <w:lang w:bidi="fa-IR"/>
        </w:rPr>
        <w:t>، و أعمّیة الموضوع من الجوهر و لو کانت اصطلاحیّة، إلّا أنّ الأقرب فی مثل الصلاة الخارجة عن المقولات، هو کونها</w:t>
      </w:r>
    </w:p>
    <w:p>
      <w:pPr>
        <w:pStyle w:val="BookText"/>
        <w:rPr/>
      </w:pPr>
      <w:r>
        <w:rPr>
          <w:rFonts w:ascii="IRNazanin" w:hAnsi="IRNazanin" w:eastAsia="IRNazanin"/>
          <w:color w:val="111111"/>
          <w:sz w:val="28"/>
          <w:sz w:val="28"/>
          <w:szCs w:val="28"/>
          <w:rtl w:val="true"/>
          <w:lang w:bidi="fa-IR"/>
        </w:rPr>
        <w:t>اعتبار الجوهر، و أنّها تشبه المرکّبات التألیفیّة، بل الحقیقیّة الطبیعیّة؛ للذهول عن الأجزاء الذی هو بمنزلة کسر سورة الأجزاء فی المرکّب الطبیعیّ، فاغتنم، و کن شاکرا لأنعمه تعالی،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لیس المأمور به إلّا عنوان العمرة و الصلاة، و لا یتعلّق الأمر إلّا به، و فی موارد الشکّ یرجع شکّ المکلّف إلی أنّه ینحلّ إلی تسعة أجزاء، أو عشرة، من غیر کون التسعة أو العشرة متعلّق الأمر،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التسعة معلومة الأمر، و هو النفسیّ الاستقلالیّ، أو الضمنیّ الذی هو انحلال الاستقلالیّ و تقسیطه </w:t>
      </w:r>
      <w:r>
        <w:rPr>
          <w:rStyle w:val="FootnoteAnchor"/>
          <w:rtl w:val="true"/>
        </w:rPr>
        <w:footnoteReference w:id="72"/>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معلومة الأمر إمّا هو نفسیّ، أو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مقطوع عدم تعلّق الأمر بها، و عدم معقولیّة تعلّق البعث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یعقل کون الأمر بالصلاة مثلا، داعیا إلی التسعة أو العشرة، کما تری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فما سلکه القوم صدرا و ذیلا غفلة و ذهول، و لا ینقضی تعجّبی من قولهم بالأمر الضمنیّ السخیف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ابتلیت بالحلیفین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الضمنیّ، و النفسیّ بالنسبة إلی الأجزاء، بخلاف الأمر الغیریّ،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ثبوتا، و لکنّه ممنوع إثباتا، فلیراجع محلّه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انحلال المرکّب إلی الأجزاء علی 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عرفیّ، و هو إلی الأجزاء الدخیلة فی الماهیّة و الاسم المرکّب، و انحلال تعبّدی و بنائیّ، و هو إلی الأجزاء الأعمّ من کونها مقوّمة للاسم، و ما لیس بمقوّم، و لکنّه اعتبر بالقیاس إلی سقوط الغرض، أو سقوط الأمر، أو حصول الغایة، أو ترتّب الأثر الخاصّ،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تنحلّ إلی عدّة أجزاء، هی مقوّمة لتلک الهیئة التی تقوم بها، و تکون تلک الأجزاء مقوّمة لها، و إلی بعض الأجزاء مثل الاستعاذة أو السورة، أو غیرهما ممّا لا مدخلیّة لها فی صدق الاسم، فلو کان مورد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 یدعو إلّا إلی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لم یکن للأمر و دلیله إطلاق کما هو المفروض، و شکّ فی وجوب شی‌ء هو دخیل عرفا فی صدق الماهیّة، فلا وجه لإجراء البراءات الثلاث، کما إذا شکّ فی وجوب معظم الأجزاء و کثیر منها؛ بحیث لیست بقیّة الأجزاء من الصلاة عرفا، فإنّه واضح وجوب الاحتیاط بالنسبة إلی المقدار الصادق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البعض، أو إذا کان الشکّ من الأوّل فی بعض الأجزاء غیر الدخیلة، فلا بدّ من الاحتیاط حسب الاستصحاب المذکور، دون الوجوه العقلیّة المتمسّک بها، فالبراءة العقلیّة و الشرعیّة غیر جاریة؛ لجریان الأصل الشرعیّ الحاکم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وارد علی البراءة العقلیّة، و حاکم علی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وروده علی البراءة العقلیّة؛ فلأنّ البراءة العقلیّة أصل حیث لا مقتضی للاشتغال، و أمّا إذا کان هناک مقتض للاشتغال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بقاء وجوب الصلاة المعلوم یقینا، و المشکوک بقاء، المقتضی لإتیان الجزء المشکوک عقلا، و للتنجیز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بیانا و دلیلا و حجّة عقلیّة علی لزوم الجزء؛ لأنّ ذات الجزء غیر داخلة فی محطّ العلم السابق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لازم وجوب الصلاة بقاء لازما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العقل یدرک أنّه لا یمکن نقض یقینه السابق إلّا بالیقین، و هو لا یحصل إلّا بإتیان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الأکثر؛ للخلاص عن محطّ الواجب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من الأصل المثبت کما هو الواضح؛</w:t>
      </w:r>
    </w:p>
    <w:p>
      <w:pPr>
        <w:pStyle w:val="BookText"/>
        <w:rPr/>
      </w:pPr>
      <w:r>
        <w:rPr>
          <w:rFonts w:ascii="IRNazanin" w:hAnsi="IRNazanin" w:eastAsia="IRNazanin"/>
          <w:color w:val="111111"/>
          <w:sz w:val="28"/>
          <w:sz w:val="28"/>
          <w:szCs w:val="28"/>
          <w:rtl w:val="true"/>
          <w:lang w:bidi="fa-IR"/>
        </w:rPr>
        <w:t>فإنّا لسنا بصدد إثبات وجوب الجزء شرعا، بل نفس بقاء الوجوب علی الصلاة تعبّدا بأصل محرز، یکون بیانا عقلا علی الجزء، فلا تجری البراءة العقلیّة بالضرورة، و یکون مقتضی الأصل الشرعیّ واردا و بیانا واقعیّا للأصل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حکومته علی البراءة الشرعیّة؛ فلأنّ مجرّد کون الشکّ فی بقاء وجوب الصلاة، ناشئا عن الشکّ فی وجوب الأکثر لا یکفی؛ لتقدّم الأصل الجاری فی السبب علی الأصل الجاری فی المسبّب، کما هو کذلک إذا کان المسبّب مجری الأمارة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إذا کان الأصل الجاری فی المسبّب محرزا؛ و ذلک لأنّ حقیقة إحراز وجوب الصلاة تعبّدا و حقیقة و تنجّز الحکم السابق فی ظرف الشکّ، هو تنجّز الحکم المشکوک فیه، و هو حکم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لازم الحکم إذا کان حکما یترتّب علی المستصحب، لا یعدّ من الأصل المثبت، فإذا کان لازم الاستصحاب فی مورد حجّة فهو مقدّم علی البراءة بعین ما یقدّم نفس الملزوم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الأدلّة النقلیّة و البراءة الشرعیّة، هو الشکّ الذی لا تقم علیه الحجّة الأعمّ من العقلیّة و الشرعیة، کما أقرّه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 إلّا فالاستصحاب وارد علی البراءة الشرعیّة أیضا؛ لأنّ غایتها هی الحجّة، و الاستصحاب حجّة فی الملزوم و اللازم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قلنا بأنّ مفاد البراءة الشرعیّة تقیید الأدلّة الواقعیّة و بحکم الاستثناء و حتی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کما هو الأظهر من غیر لزوم الدور</w:t>
      </w:r>
    </w:p>
    <w:p>
      <w:pPr>
        <w:pStyle w:val="BookText"/>
        <w:rPr/>
      </w:pPr>
      <w:r>
        <w:rPr>
          <w:rFonts w:ascii="IRNazanin" w:hAnsi="IRNazanin" w:eastAsia="IRNazanin"/>
          <w:color w:val="111111"/>
          <w:sz w:val="28"/>
          <w:sz w:val="28"/>
          <w:szCs w:val="28"/>
          <w:rtl w:val="true"/>
          <w:lang w:bidi="fa-IR"/>
        </w:rPr>
        <w:t>و غیره، لا مجری لها بعد جریان الاستصحاب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الوقت أنّه أتی بصلاة الظهر و العصر،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 العصر، و هو وارد علی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شبهة فی جریان الاستصحاب المذکور، و یکون مصبّ الاستصحاب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کانت واجبة و مأمورا بها و مبعوثا إلیها، و الآن کما کانت، و کذلک الأمر هنا، فالمناقشة فی الاستصحاب و مجراه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محکومیّته بأصل البراءة العقلیّة أو الشرعیّة، أیضا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بعض الصور یجب الاحتیاط عقلا؛ و هو ما إذا کان مورد الأمر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وجوب مقدار من الأجزاء؛ بحیث یلزم الشکّ فی صدق العنوان المذکور، أو یعلم انتفاء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الصور یجب الاحتیاط شرعا؛ و هو فی مورد لم یکن الجزء بفقده مضرّا بالاسم و العنوان، فإنّه یجری حینئذ استصحاب الوجوب و الأمر، و هو متّبع إلی أن یأتی بکلّ ما یکون محتمل الدخالة فی سقوطه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الشرعیّة و لو کانتا فی حدّ ذاتهما جاریتین، إلّا أنّهما محکومتا الأصل الشرعیّ ورودا أو حکومة، و تحصّل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تجری البراءة من غیر أن یتقوّم اندراج المسألة فی المتباینین، کما أشرنا إلیه فی أوّل البحث </w:t>
      </w:r>
      <w:r>
        <w:rPr>
          <w:rStyle w:val="FootnoteAnchor"/>
          <w:rtl w:val="true"/>
        </w:rPr>
        <w:footnoteReference w:id="77"/>
      </w:r>
      <w:r>
        <w:rPr>
          <w:rFonts w:ascii="IRNazanin" w:hAnsi="IRNazanin" w:eastAsia="IRNazanin"/>
          <w:color w:val="111111"/>
          <w:sz w:val="28"/>
          <w:sz w:val="28"/>
          <w:szCs w:val="28"/>
          <w:rtl w:val="true"/>
          <w:lang w:bidi="fa-IR"/>
        </w:rPr>
        <w:t xml:space="preserve">، خلافا 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و الأراکیّ </w:t>
      </w:r>
      <w:r>
        <w:rPr>
          <w:rStyle w:val="FootnoteAnchor"/>
          <w:rtl w:val="true"/>
        </w:rPr>
        <w:footnoteReference w:id="79"/>
      </w:r>
      <w:r>
        <w:rPr>
          <w:rFonts w:ascii="IRNazanin" w:hAnsi="IRNazanin" w:eastAsia="IRNazanin"/>
          <w:color w:val="111111"/>
          <w:sz w:val="28"/>
          <w:sz w:val="28"/>
          <w:szCs w:val="28"/>
          <w:rtl w:val="true"/>
          <w:lang w:bidi="fa-IR"/>
        </w:rPr>
        <w:t xml:space="preserve">و غیرهما رحمهم اللّه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61" w:name="pg13177_117710"/>
    </w:p>
    <w:p>
      <w:pPr>
        <w:pStyle w:val="Heading6"/>
        <w:numPr>
          <w:ilvl w:val="5"/>
          <w:numId w:val="1"/>
        </w:numPr>
        <w:rPr/>
      </w:pPr>
      <w:bookmarkStart w:id="62" w:name="__RefHeading___Toc763598_3244359995"/>
      <w:bookmarkStart w:id="63" w:name="_Toc24"/>
      <w:bookmarkEnd w:id="61"/>
      <w:bookmarkEnd w:id="62"/>
      <w:r>
        <w:rPr>
          <w:rtl w:val="true"/>
        </w:rPr>
        <w:t>تنبیه</w:t>
      </w:r>
      <w:r>
        <w:rPr>
          <w:rtl w:val="true"/>
        </w:rPr>
        <w:t xml:space="preserve">: </w:t>
      </w:r>
      <w:r>
        <w:rPr>
          <w:rtl w:val="true"/>
        </w:rPr>
        <w:t>فی قصور البراءة العقلائیّة فی المقام</w:t>
      </w:r>
      <w:bookmarkEnd w:id="63"/>
    </w:p>
    <w:p>
      <w:pPr>
        <w:pStyle w:val="BookText"/>
        <w:rPr/>
      </w:pPr>
      <w:r>
        <w:rPr>
          <w:rFonts w:ascii="IRNazanin" w:hAnsi="IRNazanin" w:eastAsia="IRNazanin"/>
          <w:color w:val="111111"/>
          <w:sz w:val="28"/>
          <w:sz w:val="28"/>
          <w:szCs w:val="28"/>
          <w:rtl w:val="true"/>
          <w:lang w:bidi="fa-IR"/>
        </w:rPr>
        <w:t>ممّا لا ینبغی أن یختفی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أقسام البراءة هی البراءة العقلائیّة، و قد عرفت فی محلّه أنّها غیر البراءتین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الشرعیّة نزاعا و قولا و ملاکا، و حدیث قبح العقاب بلا بیان براءة عقلائیّة، لا عقلیّة</w:t>
      </w:r>
      <w:r>
        <w:rPr>
          <w:rStyle w:val="FootnoteAnchor"/>
          <w:rtl w:val="true"/>
        </w:rPr>
        <w:footnoteReference w:id="81"/>
      </w:r>
      <w:r>
        <w:rPr>
          <w:rFonts w:ascii="IRNazanin" w:hAnsi="IRNazanin" w:eastAsia="IRNazanin"/>
          <w:color w:val="111111"/>
          <w:sz w:val="28"/>
          <w:sz w:val="28"/>
          <w:szCs w:val="28"/>
          <w:rtl w:val="true"/>
          <w:lang w:bidi="fa-IR"/>
        </w:rPr>
        <w:t>، و عندئذ إذا کان المکلّف یحتمل دخالة شی‌ء فی المرکّب المبتلی به فی طول عمره و طیلة حیاته، کالصلاة و نحوها فی کلّ یوم مرّة، و یری أنّه بترک الجزء یحتمل ترک المأمور فی تلک المدّة، و أنّه قد أتی بعمل لغو، فهل لا یعدّ ذلک من السفاهة، و هل یعدّ العقاب علیه عقابا جزافیّا؟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التقریب أیضا یؤیّد ما سلکناه، فلیتدبّر</w:t>
      </w:r>
      <w:r>
        <w:rPr>
          <w:rFonts w:eastAsia="IRNazanin" w:cs="IRNazanin"/>
          <w:color w:val="111111"/>
          <w:sz w:val="28"/>
          <w:szCs w:val="28"/>
          <w:rtl w:val="true"/>
          <w:lang w:bidi="fa-IR"/>
        </w:rPr>
        <w:t>.</w:t>
      </w:r>
    </w:p>
    <w:p>
      <w:pPr>
        <w:pStyle w:val="Heading6"/>
        <w:numPr>
          <w:ilvl w:val="5"/>
          <w:numId w:val="1"/>
        </w:numPr>
        <w:rPr/>
      </w:pPr>
      <w:bookmarkStart w:id="64" w:name="__RefHeading___Toc763600_3244359995"/>
      <w:bookmarkStart w:id="65" w:name="_Toc25"/>
      <w:bookmarkEnd w:id="64"/>
      <w:r>
        <w:rPr>
          <w:rtl w:val="true"/>
        </w:rPr>
        <w:t>تنبیهات</w:t>
      </w:r>
      <w:bookmarkEnd w:id="65"/>
    </w:p>
    <w:p>
      <w:pPr>
        <w:pStyle w:val="Heading6"/>
        <w:numPr>
          <w:ilvl w:val="5"/>
          <w:numId w:val="1"/>
        </w:numPr>
        <w:rPr/>
      </w:pPr>
      <w:bookmarkStart w:id="66" w:name="__RefHeading___Toc763602_3244359995"/>
      <w:bookmarkStart w:id="67" w:name="_Toc26"/>
      <w:bookmarkEnd w:id="66"/>
      <w:r>
        <w:rPr>
          <w:rtl w:val="true"/>
        </w:rPr>
        <w:t>التنبیه الأوّل</w:t>
      </w:r>
      <w:r>
        <w:rPr>
          <w:rtl w:val="true"/>
        </w:rPr>
        <w:t xml:space="preserve">: </w:t>
      </w:r>
      <w:r>
        <w:rPr>
          <w:rtl w:val="true"/>
        </w:rPr>
        <w:t>فیما لو تردّد الأمر بین الارتباطی و الاستقلالی</w:t>
      </w:r>
      <w:bookmarkEnd w:id="67"/>
    </w:p>
    <w:p>
      <w:pPr>
        <w:pStyle w:val="BookText"/>
        <w:rPr/>
      </w:pPr>
      <w:r>
        <w:rPr>
          <w:rFonts w:ascii="IRNazanin" w:hAnsi="IRNazanin" w:eastAsia="IRNazanin"/>
          <w:color w:val="111111"/>
          <w:sz w:val="28"/>
          <w:sz w:val="28"/>
          <w:szCs w:val="28"/>
          <w:rtl w:val="true"/>
          <w:lang w:bidi="fa-IR"/>
        </w:rPr>
        <w:t>إذا قلنا بالاشتغال فی قسمی الأقلّ و الأکثر الاستقلالیّین و الارتباطیّین، أو قلنا بالبراءة فیهما، فلا بحث فی موارد الشکّ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بالبراءة فی الأوّل، و الاشتغال فی الثانی، و تردّد أمر مورد فی أنّه من الأوّل أو الثانی، فهل تجری البراءة، أو الاشتغال، أو تختلف مبانی الاشتغال فی الارتباطیّ؟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أنّ طواف النساء واجب عقیب أعمال العمرة أو الحجّ، و شکّ فی أنّه واجب استقلالیّ غیر دخیل فی صحّة الحجّ و العمرة، أو ارتباطیّ</w:t>
      </w:r>
    </w:p>
    <w:p>
      <w:pPr>
        <w:pStyle w:val="BookText"/>
        <w:rPr/>
      </w:pPr>
      <w:r>
        <w:rPr>
          <w:rFonts w:ascii="IRNazanin" w:hAnsi="IRNazanin" w:eastAsia="IRNazanin"/>
          <w:color w:val="111111"/>
          <w:sz w:val="28"/>
          <w:sz w:val="28"/>
          <w:szCs w:val="28"/>
          <w:rtl w:val="true"/>
          <w:lang w:bidi="fa-IR"/>
        </w:rPr>
        <w:t>دخیل فیها، کما هو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شکّ فی أنّ القنوت واجب فی الصلاة، أم لا، و علی تقدیر وجوبه هل هو دخیل فی صحّتها، أم هو واجب فی واجب؟</w:t>
      </w:r>
    </w:p>
    <w:p>
      <w:pPr>
        <w:pStyle w:val="BookText"/>
        <w:rPr/>
      </w:pPr>
      <w:r>
        <w:rPr>
          <w:rFonts w:ascii="IRNazanin" w:hAnsi="IRNazanin" w:eastAsia="IRNazanin"/>
          <w:color w:val="111111"/>
          <w:sz w:val="28"/>
          <w:sz w:val="28"/>
          <w:szCs w:val="28"/>
          <w:rtl w:val="true"/>
          <w:lang w:bidi="fa-IR"/>
        </w:rPr>
        <w:t>أو شکّ فی أنّ ذکر سجود السهو واجب، أم لا، و علی تقدیر وجوبه هل هو من الجزء الدخیل فی الصحّة، أم لا؟</w:t>
      </w:r>
    </w:p>
    <w:p>
      <w:pPr>
        <w:pStyle w:val="BookText"/>
        <w:rPr/>
      </w:pPr>
      <w:r>
        <w:rPr>
          <w:rFonts w:ascii="IRNazanin" w:hAnsi="IRNazanin" w:eastAsia="IRNazanin"/>
          <w:color w:val="111111"/>
          <w:sz w:val="28"/>
          <w:sz w:val="28"/>
          <w:szCs w:val="28"/>
          <w:rtl w:val="true"/>
          <w:lang w:bidi="fa-IR"/>
        </w:rPr>
        <w:t>و هکذا فی الشهادة الثالثة، أنّها هل هی مستحبّ نفسیّ، أو جزء ارتباطیّ؟</w:t>
      </w:r>
    </w:p>
    <w:p>
      <w:pPr>
        <w:pStyle w:val="BookText"/>
        <w:rPr/>
      </w:pPr>
      <w:r>
        <w:rPr>
          <w:rFonts w:ascii="IRNazanin" w:hAnsi="IRNazanin" w:eastAsia="IRNazanin"/>
          <w:color w:val="111111"/>
          <w:sz w:val="28"/>
          <w:sz w:val="28"/>
          <w:szCs w:val="28"/>
          <w:rtl w:val="true"/>
          <w:lang w:bidi="fa-IR"/>
        </w:rPr>
        <w:t xml:space="preserve">فإن قلنا فی وجه الاشتغال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فلا یکون هو وجها تامّا فیما نحن فیه؛ لعدم العلم بوجوب الأقلّ الأعمّ من النفسیّ و الغیریّ،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من الانحلال عدم الانحلال؛ ضرورة أنّه یشکّ فی أصل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ارتباطیّا، فلا یعلم بوجوب الأکثر، و تصیر النتیجة هی البراءة؛ لعدم تمامیّة ذلک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تجری البراءة اللفظیّة فی الجزء المستحبّی الدخیل فی سقوط الأمر المستحبّی، کما مرّ فی بحث البراءة</w:t>
      </w:r>
      <w:r>
        <w:rPr>
          <w:rStyle w:val="FootnoteAnchor"/>
          <w:rtl w:val="true"/>
        </w:rPr>
        <w:footnoteReference w:id="83"/>
      </w:r>
      <w:r>
        <w:rPr>
          <w:rFonts w:ascii="IRNazanin" w:hAnsi="IRNazanin" w:eastAsia="IRNazanin"/>
          <w:color w:val="111111"/>
          <w:sz w:val="28"/>
          <w:sz w:val="28"/>
          <w:szCs w:val="28"/>
          <w:rtl w:val="true"/>
          <w:lang w:bidi="fa-IR"/>
        </w:rPr>
        <w:t>، و یوجب النتیجة العملیّة هنا، یکون المعمول هی البراءة العقلیّة و الشرعیّة فی تلک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تقریب الشیخ رحمه اللّه من اتباع المصالح و المفاسد</w:t>
      </w:r>
      <w:r>
        <w:rPr>
          <w:rStyle w:val="FootnoteAnchor"/>
          <w:rtl w:val="true"/>
        </w:rPr>
        <w:footnoteReference w:id="84"/>
      </w:r>
      <w:r>
        <w:rPr>
          <w:rFonts w:ascii="IRNazanin" w:hAnsi="IRNazanin" w:eastAsia="IRNazanin"/>
          <w:color w:val="111111"/>
          <w:sz w:val="28"/>
          <w:sz w:val="28"/>
          <w:szCs w:val="28"/>
          <w:rtl w:val="true"/>
          <w:lang w:bidi="fa-IR"/>
        </w:rPr>
        <w:t xml:space="preserve">، أو علی تقریبنا من اتباع المحبوبیّة الإلزامیّة، أو علی تقریب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رحمه اللّه أو علی القول الأخیر و الوجه الوجیه، فالقاعدة تقتضی الاشتغال کما هو الواضح، و یکون المستصحب هو الأمر فی المثال الأخیر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تقاریب صاحب الحاشیة قدّس سرّه </w:t>
      </w:r>
      <w:r>
        <w:rPr>
          <w:rStyle w:val="FootnoteAnchor"/>
          <w:rtl w:val="true"/>
        </w:rPr>
        <w:footnoteReference w:id="86"/>
      </w:r>
      <w:r>
        <w:rPr>
          <w:rFonts w:ascii="IRNazanin" w:hAnsi="IRNazanin" w:eastAsia="IRNazanin"/>
          <w:color w:val="111111"/>
          <w:sz w:val="28"/>
          <w:sz w:val="28"/>
          <w:szCs w:val="28"/>
          <w:rtl w:val="true"/>
          <w:lang w:bidi="fa-IR"/>
        </w:rPr>
        <w:t>تجری البراءة؛ لأنّ النتیجة تابعة</w:t>
      </w:r>
      <w:bookmarkStart w:id="68" w:name="pg13177_117712"/>
    </w:p>
    <w:p>
      <w:pPr>
        <w:pStyle w:val="BookText"/>
        <w:rPr/>
      </w:pPr>
      <w:bookmarkEnd w:id="68"/>
      <w:r>
        <w:rPr>
          <w:rFonts w:ascii="IRNazanin" w:hAnsi="IRNazanin" w:eastAsia="IRNazanin"/>
          <w:color w:val="111111"/>
          <w:sz w:val="28"/>
          <w:sz w:val="28"/>
          <w:szCs w:val="28"/>
          <w:rtl w:val="true"/>
          <w:lang w:bidi="fa-IR"/>
        </w:rPr>
        <w:t>لأخسّ المقدمتین، ضرورة أنّه رحمه اللّه کان یهمّ بأن یدرج الأقلّ و الأکثر فی المتباینین کی یثبت به الاشتغال، فإذا شکّ فی الاندراج لا یثبت الاشتغال، فلا تتمّ الحجّة، فلا تذهل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لا محصول له فی بابی الاشتغال و البراءة؛ لأنّه علی کلّ تقدیر یعدّ من الأقلّ و الأکثر، و من یقول بالاشتغال فیه یقول به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یختلف من جهة أجنبیّة، و یعدّ من أقسام أخر من الأقلّ و الأکثر؛ لاحتمال تحقّق الأقلّ و الجزء المشکوک فیه مستقلّا، کما فی طواف النساء، فاغتنم</w:t>
      </w:r>
      <w:r>
        <w:rPr>
          <w:rFonts w:eastAsia="IRNazanin" w:cs="IRNazanin"/>
          <w:color w:val="111111"/>
          <w:sz w:val="28"/>
          <w:szCs w:val="28"/>
          <w:rtl w:val="true"/>
          <w:lang w:bidi="fa-IR"/>
        </w:rPr>
        <w:t>.</w:t>
      </w:r>
    </w:p>
    <w:p>
      <w:pPr>
        <w:pStyle w:val="Heading6"/>
        <w:numPr>
          <w:ilvl w:val="5"/>
          <w:numId w:val="1"/>
        </w:numPr>
        <w:rPr/>
      </w:pPr>
      <w:bookmarkStart w:id="69" w:name="__RefHeading___Toc763604_3244359995"/>
      <w:bookmarkStart w:id="70" w:name="_Toc27"/>
      <w:bookmarkEnd w:id="69"/>
      <w:r>
        <w:rPr>
          <w:rtl w:val="true"/>
        </w:rPr>
        <w:t>التنبیه الثانی</w:t>
      </w:r>
      <w:r>
        <w:rPr>
          <w:rtl w:val="true"/>
        </w:rPr>
        <w:t xml:space="preserve">: </w:t>
      </w:r>
      <w:r>
        <w:rPr>
          <w:rtl w:val="true"/>
        </w:rPr>
        <w:t>حول منع جریان البراءة الشرعیّة عن الأکثر</w:t>
      </w:r>
      <w:bookmarkEnd w:id="70"/>
    </w:p>
    <w:p>
      <w:pPr>
        <w:pStyle w:val="BookText"/>
        <w:rPr/>
      </w:pPr>
      <w:r>
        <w:rPr>
          <w:rFonts w:ascii="IRNazanin" w:hAnsi="IRNazanin" w:eastAsia="IRNazanin"/>
          <w:color w:val="111111"/>
          <w:sz w:val="28"/>
          <w:sz w:val="28"/>
          <w:szCs w:val="28"/>
          <w:rtl w:val="true"/>
          <w:lang w:bidi="fa-IR"/>
        </w:rPr>
        <w:t>اختلفوا فی جریان البراءة الشرعیّة مع قطع النظر عن کونها محکومة بالأصل الآخر و عدمه،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إجراء البراءة الشرعیّة عن الأکثر، لا یثبت به أنّ الأقلّ هو المأمور به کی یسقط به أمره، إلّا علی القول بالأصل المثبت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رفع المشکوک الجزئیّة إلّا برفع التکلیف عن الکلّ؛ لأنّ الجزئیّة و أشباهها لا تنالها ید الجعل الاستقلالیّ، فإذا کان الرفع المذکور منوطا برفع التکلیف عن الکلّ، فلا بدّ من دعوی رجوع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بالأقلّ، و هو غیر ثابت إلّا بدلیل حدیث الرفع المقصور بنفس الجزء، فیکون لازمه وجوب الکلّ، و هذا هو أهون الاصول المثبتة، فجریان البراءة العقلیّة و عدمه غیر دخیل فی الشرعیّة؛ و أنّ الثانیة علی کلّ تقدیر غیر جاریة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الملازمة بین البراءتین مطلقا أو من جهة خاصّة، فیأتی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الآتی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مسألتنا هذه مسألة التمسّک بالوجدان و الأصل، فإنّه بلا شبهة یکون الأقلّ واجبا، و الأکثر مشکوکا، فلو لوحظ عدم 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إتیان الأقلّ وجدانا، یثبت سقوط الأمر قهرا، و هذا من المثبت؛ فإنّ ضمّ الوجدان إلی الأصل مطلقا غیر صحیح حتّی فی الموضوعات المرکّبة، فضلا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سقوط الأمر بالأقلّ المعلوم قطعا، و فی حصول الامتثال اللازم بحکم العقل بعد العلم التفصیلیّ بوجوب الأقلّ، لا بدّ من إثبات الإطلاق للأمر بالأقلّ علی وجه یقطع بالامتثال، و هذا ممّا لا یمکن إثباته لا بالوجدان، کما هو الواضح، و لا بالأصل و هی البراءة؛ لأنّها لیست ذات بیان و لسان إلّا رفع القید و الجزء بما هو هو، و هو لا یثبت کون الباقی له الإطلاق؛ بمعنی أنّه فی صورة الإتیان به، یسقط الأمر المتعلّق به علی کلّ تقدیر؛ بحسب الظاهر و فی رتبة الامتثال؛ لسکوت البراءة عن ذلک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بالأخیرة کیف یحکم بانحلال العلم الإجمالیّ لو قلنا بانحلاله بالبراءة الشرعیّة، کما فی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جریان البراءة الشرعیّة، دون العقلیّة</w:t>
      </w:r>
      <w:r>
        <w:rPr>
          <w:rStyle w:val="FootnoteAnchor"/>
          <w:rtl w:val="true"/>
        </w:rPr>
        <w:footnoteReference w:id="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کیف یجوز إثبات الأمر بالأقلّ بغیر الأصل المثبت بعد کون المسألة ارتباطیّة؟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الجزء و القید غیر ممکن إلّا برفع ما به تشخّص الأمر بالکلّ، و هو الموضوع التامّ، ثمّ بعد ذلک جعل الأمر ثانیا متعلّقا بالأقلّ و بالموضوع المنحلّ إلیه المتشخّص به، و هذا کلّه بحکم العقل، و من لوازم رفع المشکوک، فإنکار البراءة</w:t>
      </w:r>
    </w:p>
    <w:p>
      <w:pPr>
        <w:pStyle w:val="BookText"/>
        <w:rPr/>
      </w:pPr>
      <w:r>
        <w:rPr>
          <w:rFonts w:ascii="IRNazanin" w:hAnsi="IRNazanin" w:eastAsia="IRNazanin"/>
          <w:color w:val="111111"/>
          <w:sz w:val="28"/>
          <w:sz w:val="28"/>
          <w:szCs w:val="28"/>
          <w:rtl w:val="true"/>
          <w:lang w:bidi="fa-IR"/>
        </w:rPr>
        <w:t xml:space="preserve">الشرعیّة ممّا لا بدّ منه، کما هو صریح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w:t>
      </w:r>
      <w:r>
        <w:rPr>
          <w:rStyle w:val="FootnoteAnchor"/>
          <w:rtl w:val="true"/>
        </w:rPr>
        <w:footnoteReference w:id="90"/>
      </w:r>
      <w:r>
        <w:rPr>
          <w:rFonts w:ascii="IRNazanin" w:hAnsi="IRNazanin" w:eastAsia="IRNazanin"/>
          <w:color w:val="111111"/>
          <w:sz w:val="28"/>
          <w:sz w:val="28"/>
          <w:szCs w:val="28"/>
          <w:rtl w:val="true"/>
          <w:lang w:bidi="fa-IR"/>
        </w:rPr>
        <w:t>، و إن کان فی تعلیله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کون الإطلاق و التقیید متقابلین بالعدم و الملکة، لا التضادّ</w:t>
      </w:r>
      <w:r>
        <w:rPr>
          <w:rStyle w:val="FootnoteAnchor"/>
          <w:rtl w:val="true"/>
        </w:rPr>
        <w:footnoteReference w:id="91"/>
      </w:r>
      <w:r>
        <w:rPr>
          <w:rFonts w:ascii="IRNazanin" w:hAnsi="IRNazanin" w:eastAsia="IRNazanin"/>
          <w:color w:val="111111"/>
          <w:sz w:val="28"/>
          <w:sz w:val="28"/>
          <w:szCs w:val="28"/>
          <w:rtl w:val="true"/>
          <w:lang w:bidi="fa-IR"/>
        </w:rPr>
        <w:t xml:space="preserve">، غیر کاف لحلّ المشکلة؛ ضرورة أنّهما و إن کانا کذلک اعتبارا لا واقعا، کما تحرّر فی محلّه </w:t>
      </w:r>
      <w:r>
        <w:rPr>
          <w:rStyle w:val="FootnoteAnchor"/>
          <w:rtl w:val="true"/>
        </w:rPr>
        <w:footnoteReference w:id="92"/>
      </w:r>
      <w:r>
        <w:rPr>
          <w:rFonts w:ascii="IRNazanin" w:hAnsi="IRNazanin" w:eastAsia="IRNazanin"/>
          <w:color w:val="111111"/>
          <w:sz w:val="28"/>
          <w:sz w:val="28"/>
          <w:szCs w:val="28"/>
          <w:rtl w:val="true"/>
          <w:lang w:bidi="fa-IR"/>
        </w:rPr>
        <w:t>، و أنّ الإطلاق المقابل للتقیید و لو کان الإطلاق القسمیّ لا المقسمیّ، و لکنّه بحکم المقسمیّ فی مطلق الموارد و العلوم حتّی العقلیّات، إلّا أنّ مشکلة جریان حدیث الرفع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رفع المنشأ لا یمکن إلّا برفع الأمر بتمامه، و هذا یستتبع المثبتیّة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مشکلة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رفع الجزء و جزئیّة السورة، لا یکفی لتقیید بقیّة الأجزاء بها؛ فإنّ حقیقة الارتباطیّة بین أجزاء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اعتبار تلک الأجزاء 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معنی حرفیّ بین الجزء السابق و اللاحق و کونه بینهما، و تقیید کلّ من السابق و اللاحق بذلک الجزء، فرفع جزئیّة السورة عن المرکّب یلازم رفع تقیید السابق و اللاحق بها، و یلازم ضمّ الطرفین کلّ إلی الآخر بالمقارنة فی مرحلة الظاهر، و کلّ ذلک خارج عن عهدة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شکّ فیه، و کان من الأجزاء الخارجیّة، فهو یلازم القیدیّة و الجزئیّة التحلیلیّة الناشئة من ذلک الجزء العینیّ، و هی السورة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السورة فی الصلاة جزء شی‌ء، و تقید الحمد بها شی‌ء آخر، کما أنّ تقید السورة بالحمد شی‌ء ثالث، و تقیید الرکوع المتأخّر شی‌ء رابع، و کلّ ذلک من تبعات الارتباطیّة و الانضمامیّة الاعتباریّة بین أجزاء المرکّب الوحدانیّ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رفعت</w:t>
      </w:r>
    </w:p>
    <w:p>
      <w:pPr>
        <w:pStyle w:val="BookText"/>
        <w:rPr/>
      </w:pPr>
      <w:r>
        <w:rPr>
          <w:rFonts w:ascii="IRNazanin" w:hAnsi="IRNazanin" w:eastAsia="IRNazanin"/>
          <w:color w:val="111111"/>
          <w:sz w:val="28"/>
          <w:sz w:val="28"/>
          <w:szCs w:val="28"/>
          <w:rtl w:val="true"/>
          <w:lang w:bidi="fa-IR"/>
        </w:rPr>
        <w:t>جزئیّة السورة ظاهرا، فلا بدّ من رفع تقیید الحمد بها أیضا؛ لکونه مشکوکا فیه، و حیث لا یمکن رفعهما معا؛ لأنّ الشکّ فی تقیید الحمد بها مسبّب عن جزئیّة السورة، فلا بدّ و أن تجری البراءة عن جزئیّة السورة، و حیث لا معنی لتقیّد الحمد بالسورة المرفوعة بحسب الظاهر و التعبّد، لا معنی لرفعه بحدیث الرفع، و تصیر النتیجة امتناع جریان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مشکلة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حدیث الرفع جاریا بالنسبة إلی الأکثر، فالتخلّف عن الأقلّ بترکه أیضا جائز، و حیث إنّه ممنوع قطعا، فالجریان ممنوع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الکلّ کما یکون بترک مجموع الأجزاء، یکون بترک بعض الأجزاء، و فی مورد الترک لمجموع الأجزاء، لا یلیق بالمولی أن یحتجّ علی العبد بترک البعض دون البعض؛ لکونه ترجیحا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سفه فی الاحتجاج، و عند ذلک إذا جری حدیث الرفع بالنسبة إلی الأکثر، فترک العبد مجموع المرکّب، فإن کان الأقلّ واجبا نفسیّا، فلا حجّة علیه 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الأکثر واجبا، فالترک مستند إلی المجموع، دون جزء خاصّ؛ لامتناع استناد ترک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الترک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جزء معیّن بالضرورة، فلا یکون سبب تجویز الترک إلّا جریان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جواز استحقاق العبد، و إمکان عقوبة المولی مستندا إلی الأجزاء المعلومة، فی غیر محلّه؛ لأنّ الکلّ منترک علی کلّ تقدیر، و سواء أتی به، أو لم یأت به، و استناده إلی الجزءین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و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قد تجرّی فی ذلک؛ لاحتمال کون الواجب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أیضا ممنوع؛ لاستناده إلی البراءة الشرعیّة، لعدم العلم بوجوب الأقلّ النفسی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المشکلة بصورة معارضة البراءتین الشرعیّتین بالنسبة إلی کلّ واحد من الأقلّ و الأکثر، فلا تجری بالنسبة إلی الأکثر للمعارضة، و تصیر</w:t>
      </w:r>
    </w:p>
    <w:p>
      <w:pPr>
        <w:pStyle w:val="BookText"/>
        <w:rPr/>
      </w:pPr>
      <w:r>
        <w:rPr>
          <w:rFonts w:ascii="IRNazanin" w:hAnsi="IRNazanin" w:eastAsia="IRNazanin"/>
          <w:color w:val="111111"/>
          <w:sz w:val="28"/>
          <w:sz w:val="28"/>
          <w:szCs w:val="28"/>
          <w:rtl w:val="true"/>
          <w:lang w:bidi="fa-IR"/>
        </w:rPr>
        <w:t>النتیجة هی الاحتیاط حسبما مرّ</w:t>
      </w:r>
      <w:r>
        <w:rPr>
          <w:rStyle w:val="FootnoteAnchor"/>
          <w:rtl w:val="true"/>
        </w:rPr>
        <w:footnoteReference w:id="93"/>
      </w:r>
      <w:r>
        <w:rPr>
          <w:rFonts w:ascii="IRNazanin" w:hAnsi="IRNazanin" w:eastAsia="IRNazanin"/>
          <w:color w:val="111111"/>
          <w:sz w:val="28"/>
          <w:sz w:val="28"/>
          <w:szCs w:val="28"/>
          <w:rtl w:val="true"/>
          <w:lang w:bidi="fa-IR"/>
        </w:rPr>
        <w:t>، و إلّا فالمخالفة القطعیّة عندنا فی المتباینین جائزة، بخلاف ما نحن فیه؛ لاختصاصه بالأصل المثبت الشرعیّ و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الشرعیّة إمّا غیر جاریة؛ لکونها مثبتة، أو لابتلائها بمعضلة عقلیّة، أو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الیقینیّ یستتبع الامتثال الیقینیّ، و هو أعمّ من کونه تعبّدیا، أو وجدانیّا، أو کان الدلیل القائم علی الامتثال مخصوصا بمرکّب لا بدّ من الأخذ به؛ فرارا من اللغویّة، أو کان فی روایة معتبرة مورد التمسّک للفراغ و الامتثال، کقاعدة الفراغ و التجاوز، بناء علی کونها غیر أمارة، و تکون أعمّ موردا، کما ذهب إلیه بعضهم </w:t>
      </w:r>
      <w:r>
        <w:rPr>
          <w:rStyle w:val="FootnoteAnchor"/>
          <w:rtl w:val="true"/>
        </w:rPr>
        <w:footnoteReference w:id="94"/>
      </w:r>
      <w:r>
        <w:rPr>
          <w:rFonts w:ascii="IRNazanin" w:hAnsi="IRNazanin" w:eastAsia="IRNazanin"/>
          <w:color w:val="111111"/>
          <w:sz w:val="28"/>
          <w:sz w:val="28"/>
          <w:szCs w:val="28"/>
          <w:rtl w:val="true"/>
          <w:lang w:bidi="fa-IR"/>
        </w:rPr>
        <w:t>، إلّا أنّه یتمسّک بهما فی الصلاة، و فی غیر هذه الصور لا یکفی الامتثال الظنّی و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التحقیق فی باب المرکّبات، فالشکّ فی الامتثال بعد صدق طبیعة المرکّب علی المأتیّ به، فالامتثال من ناحیة صدق المرکّب، و رفع ما شکّ فی جزئیّته حاصل؛ لأنّ المقصود من البراءة لیس إثبات کون المرکّب و الأقلّ مأمورا به،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مثبت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یتقوّم رفع الجزئیّة برفع الحکم عن الکلّ؛ لأنّ الجزء لیس مورد الأمر النفسیّ، و لا غیره کما عرفت </w:t>
      </w:r>
      <w:r>
        <w:rPr>
          <w:rStyle w:val="FootnoteAnchor"/>
          <w:rtl w:val="true"/>
        </w:rPr>
        <w:footnoteReference w:id="95"/>
      </w:r>
      <w:r>
        <w:rPr>
          <w:rFonts w:ascii="IRNazanin" w:hAnsi="IRNazanin" w:eastAsia="IRNazanin"/>
          <w:color w:val="111111"/>
          <w:sz w:val="28"/>
          <w:sz w:val="28"/>
          <w:szCs w:val="28"/>
          <w:rtl w:val="true"/>
          <w:lang w:bidi="fa-IR"/>
        </w:rPr>
        <w:t xml:space="preserve">، بل المأمور به هو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الطبائع فی النظرة الثانیة تنحلّ إلی الأجزاء، و یکون قوام سقوط الأمر بالجزء المشکوک فیه مورد الجهالة، فإذا جری حدیث الرفع بالنسبة إلی ذلک</w:t>
      </w:r>
    </w:p>
    <w:p>
      <w:pPr>
        <w:pStyle w:val="BookText"/>
        <w:rPr/>
      </w:pPr>
      <w:r>
        <w:rPr>
          <w:rFonts w:ascii="IRNazanin" w:hAnsi="IRNazanin" w:eastAsia="IRNazanin"/>
          <w:color w:val="111111"/>
          <w:sz w:val="28"/>
          <w:sz w:val="28"/>
          <w:szCs w:val="28"/>
          <w:rtl w:val="true"/>
          <w:lang w:bidi="fa-IR"/>
        </w:rPr>
        <w:t>الجزء، لا یبقی شکّ فی سقوط الأمر؛ لأنّ المأمور به متحقّق خارجا، و منشأ الشکّ فی سقوط أمره مورد التعبّد بعدم الدخالة، فلا یبقی وجه لتوهّم المثبتیّة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جمیع التقادیر فی تفسیر حدیث الرفع؛ و هو أنّه رفع واقعیّ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الدور الممتنع، أو هو رفع تعبّدی، کما هو دأب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یشیر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البراءة الشرعیّة بحکم الاستثناء بالنسبة إلی الأدلّة الأوّلیة، أو هو حکم ظاهریّ کما علیه الأکثر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فعلی جمیع المبانی لا یلزم کونه مثبتا؛ بناء علی ما أبدعناه فی أساس کیفیّة تعلّق الأوامر بالمرکّبات </w:t>
      </w:r>
      <w:r>
        <w:rPr>
          <w:rStyle w:val="FootnoteAnchor"/>
          <w:rtl w:val="true"/>
        </w:rPr>
        <w:footnoteReference w:id="98"/>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وجه عدم وجود المعارضة بین البراءة عن الأکثر و الأقلّ؛ لما لا أکثر و لا أقلّ، بل الصلاة و العمرة مورد الأمر، و إنّما الشکّ فی أنّ السورة و طواف النساء اعتبرا دخیلین فی سقوط الأمر المتعلّق بالطبیعة، أم لا، من غیر کونهما مورد الأمر الضمنیّ و الغیریّ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أردنا رفع الجزئیّة و القیدیّة بالحدیث الشریف، المستتبع طبعا لعدم استحقاق العبد بترک الکلّ من ناحیة ترک الجزء و القید، الذی تنحلّ إلیهما الطبیعة فی موطن تقرّرها الماهویّ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عندئذ یظهر وجه إمکان کون الجزء و غیره قابلا للجعل الاستقلالیّ؛ لأنّه فی موطن اعتبار الجزئیّة یکون الأمر المتعلّق بالطبیعة أجنبیّا عنه، و غیر مربوط به؛ ضرورة أنّ المأمور به عنوان بسیط عرفیّ ینحلّ إلی الکثیر، و لا یکون الکثیر مورد</w:t>
      </w:r>
    </w:p>
    <w:p>
      <w:pPr>
        <w:pStyle w:val="BookText"/>
        <w:rPr/>
      </w:pPr>
      <w:r>
        <w:rPr>
          <w:rFonts w:ascii="IRNazanin" w:hAnsi="IRNazanin" w:eastAsia="IRNazanin"/>
          <w:color w:val="111111"/>
          <w:sz w:val="28"/>
          <w:sz w:val="28"/>
          <w:szCs w:val="28"/>
          <w:rtl w:val="true"/>
          <w:lang w:bidi="fa-IR"/>
        </w:rPr>
        <w:t>الأمر و مشخّص الأمر و البعث، کی یلزم رفعه أوّلا، حتّی یصحّ رفع الجزء، ثمّ إثباته بالنسبة إلی الأجزاء الباقیة حسب إطلاق أدلّتها،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أردنا استناد العقاب إلی الأجزاء المعلومة فی صورة ترک الکلّ، فمجرّد کون الأقلّ منجّزا علی نعت الواسطة فی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الأکثر إذا ترک بترک الأقلّ یکون منجّزا، و إذا ترک بترک الأکثر فلا یکون المتروک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لأنّ المشکلة ناشئة عن أنّ ترک الکلّ مستند إلیهما علی السواء، و لا مرجّح لاستناده إلی الأقلّ، فترخیص الشرع بترک الأکثر دخیل فی ترک المأمور به، فلا یکون المکلّف عندئذ متجرّیا لأجل تنجّز الأقلّ لو کان مورد التکلیف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احتجّ المولی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لقاعدة البراءة الشرعیّة المنتهیة إلی ترک المطلوب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احتجاج المولی بأنّه ترک المأمور به بترک الأجزاء المعلومة المنتهیة إلی ترک المطلوب و لو کان صحیحا، معارض باحتجاج العبد الصحیح أیضا، فالعقاب علی ترک الکلّ من ناحیة ترک الأجزاء المعلومة ممنوع، کما أنّ العقاب علی ترک الکلّ بترک الجزء المشکوک، أیضا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معنی لاحتجاج المولی علی ترک الأجزاء المعلومة؛ لأنّها واجبات غیر نفسیّة، و لا عقوبة علیها، فللمولی سؤال واحد؛ و هو عن ترکه الصلاة مثلا، و لا یجوز أن یسأل عن أمر آخر وراء ذلک، و للعبد أن یجیب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تکن فائدة فی إتیان الأجزاء المعلومة بعد ترخیصک ترک الجزء المشکوک فیه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هذه المشکلة غیر قابلة للحلّ إلّا علی ما سلکناه من جریان الاستصحاب المنتهی إلی لزوم إتیان الأکثر</w:t>
      </w:r>
      <w:r>
        <w:rPr>
          <w:rStyle w:val="FootnoteAnchor"/>
          <w:rtl w:val="true"/>
        </w:rPr>
        <w:footnoteReference w:id="99"/>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bookmarkStart w:id="71" w:name="pg13177_117719"/>
    </w:p>
    <w:p>
      <w:pPr>
        <w:pStyle w:val="Heading6"/>
        <w:numPr>
          <w:ilvl w:val="5"/>
          <w:numId w:val="1"/>
        </w:numPr>
        <w:rPr/>
      </w:pPr>
      <w:bookmarkStart w:id="72" w:name="__RefHeading___Toc763606_3244359995"/>
      <w:bookmarkStart w:id="73" w:name="_Toc28"/>
      <w:bookmarkEnd w:id="71"/>
      <w:bookmarkEnd w:id="72"/>
      <w:r>
        <w:rPr>
          <w:rtl w:val="true"/>
        </w:rPr>
        <w:t>التنبیه الثالث</w:t>
      </w:r>
      <w:r>
        <w:rPr>
          <w:rtl w:val="true"/>
        </w:rPr>
        <w:t xml:space="preserve">: </w:t>
      </w:r>
      <w:r>
        <w:rPr>
          <w:rtl w:val="true"/>
        </w:rPr>
        <w:t>تلازم جریان البراءتین العقلیّة و الشرعیّة هنا</w:t>
      </w:r>
      <w:bookmarkEnd w:id="73"/>
    </w:p>
    <w:p>
      <w:pPr>
        <w:pStyle w:val="BookText"/>
        <w:rPr/>
      </w:pPr>
      <w:r>
        <w:rPr>
          <w:rFonts w:ascii="IRNazanin" w:hAnsi="IRNazanin" w:eastAsia="IRNazanin"/>
          <w:color w:val="111111"/>
          <w:sz w:val="28"/>
          <w:sz w:val="28"/>
          <w:szCs w:val="28"/>
          <w:rtl w:val="true"/>
          <w:lang w:bidi="fa-IR"/>
        </w:rPr>
        <w:t>هل البراءتان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و الشرعیّة متلازمتان، أم یجوز جریان البراءة الشرعیّة دون العقلیّة،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تقریرات الکاظمیّ </w:t>
      </w:r>
      <w:r>
        <w:rPr>
          <w:rStyle w:val="FootnoteAnchor"/>
          <w:rtl w:val="true"/>
        </w:rPr>
        <w:footnoteReference w:id="102"/>
      </w:r>
      <w:r>
        <w:rPr>
          <w:rFonts w:ascii="IRNazanin" w:hAnsi="IRNazanin" w:eastAsia="IRNazanin"/>
          <w:color w:val="111111"/>
          <w:sz w:val="28"/>
          <w:sz w:val="28"/>
          <w:szCs w:val="28"/>
          <w:rtl w:val="true"/>
          <w:lang w:bidi="fa-IR"/>
        </w:rPr>
        <w:t>، أم یجوز العکس، فتجری البراءة العقلیّة، دون الشرعیّة؟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علی ما هو الحقّ فی باب المرکّبات و کیفیّة تعلّق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و الأکثر إن کانا یرجعان إلی المتباینین فیلزم التلازم علی المعروف؛ لعدم جریان العقلیّة بالضرورة، و النقلیّة إمّا لا تجری، و إمّا متعارضان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ما سلکناه تجری النقلیّة دون العقلیّة من غیر المعارضة 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فی الأقلّ و الأکثر لا ینحلّ، و یکون مفاد البراءة الشرعیّة تقیید الأدلّة الواقعیّة و بحکم الاستثناء، فلا یمکن التفکیک؛ لأنّ نفی الجزء عن الجزئیّة فعلا ینافی الانحلال، فیلزم عدم جریان البراءتین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التفکیک، مع التزامه بأنّ البراءة الشرعیّة بحکم الاستثناء</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الاستثناء واقعا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حکم تعبّدی ظاهریّ فلا منع من جریان البراءة الشرعیّة، دون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علّیة العلم الإجمالیّ للتنجیز المانعة عن الجریان</w:t>
      </w:r>
    </w:p>
    <w:p>
      <w:pPr>
        <w:pStyle w:val="BookText"/>
        <w:rPr/>
      </w:pPr>
      <w:r>
        <w:rPr>
          <w:rFonts w:ascii="IRNazanin" w:hAnsi="IRNazanin" w:eastAsia="IRNazanin"/>
          <w:color w:val="111111"/>
          <w:sz w:val="28"/>
          <w:sz w:val="28"/>
          <w:szCs w:val="28"/>
          <w:rtl w:val="true"/>
          <w:lang w:bidi="fa-IR"/>
        </w:rPr>
        <w:t>مطلقا و لو کان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العلّامة الأراکی رحمه اللّه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راجع إلی محصّل، کما تحرّر منّا فی مواضع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مقتضی النظر فی الأقلّ و الأکثر بما هما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منطبقین فی مرحلة الامتثال علی الواحد؛ لعدم وجوب التکرار فی مرحلة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التلازم للمعارضة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تحرّر عندنا من کیفیّة المرکّبات، فتجری البراءتان فی حدّ ذاتهما، إلّا أنّ الاستصحاب مقدم علی العقلیّة ورودا، و علی النقلیّة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 فالبراءة العقلیّة غیر جاریة، دون النقلیّة فإنّها تجری؛ ضرورة أنّ تمامیّة الحجّة علی الأقلّ توجب تنجّز الأکثر، و یکون العقاب علیه بالحجّة، و أمّا بالقیاس إلی البراءة الشرعیّة، فلا تکون الحجّة العقلیّة تقاوم النقلیّة، بل النقلیّة واردة علی العقلیّة؛ لأنّ حجّیة العقل من باب عدم الدلیل و المؤمّن، و النقلیّة مؤمّن علی جمیع التقاریب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تحرّر منّا فی التنبیه الثانی جریان البراءة العقلیّة، دون النقلیّة، لا لکونها مثبتة، فإنّه أیضا وجه، و لکن لکون جریانها مستتبعا لمشکلة عقلیّة، تنتهی إلی عدم صحّة عقوبة تارک الطبیعة فی صورة کون الأکثر واجبا، و الالتزام به مشکل عند بعض دوننا، ضرورة أنّ مخالفة الأکثر فی هذه الصورة، تشبه مخالفة الطریق المخطئ، کما هو الواضح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قد یتوهّم من التلازم بین البراءتین علی الإطلاق </w:t>
      </w:r>
      <w:r>
        <w:rPr>
          <w:rStyle w:val="FootnoteAnchor"/>
          <w:rtl w:val="true"/>
        </w:rPr>
        <w:footnoteReference w:id="106"/>
      </w:r>
      <w:r>
        <w:rPr>
          <w:rFonts w:ascii="IRNazanin" w:hAnsi="IRNazanin" w:eastAsia="IRNazanin"/>
          <w:color w:val="111111"/>
          <w:sz w:val="28"/>
          <w:sz w:val="28"/>
          <w:szCs w:val="28"/>
          <w:rtl w:val="true"/>
          <w:lang w:bidi="fa-IR"/>
        </w:rPr>
        <w:t>، فی غیر محلّه؛</w:t>
      </w:r>
      <w:bookmarkStart w:id="74" w:name="pg13177_117721"/>
    </w:p>
    <w:p>
      <w:pPr>
        <w:pStyle w:val="BookText"/>
        <w:rPr/>
      </w:pPr>
      <w:bookmarkEnd w:id="74"/>
      <w:r>
        <w:rPr>
          <w:rFonts w:ascii="IRNazanin" w:hAnsi="IRNazanin" w:eastAsia="IRNazanin"/>
          <w:color w:val="111111"/>
          <w:sz w:val="28"/>
          <w:sz w:val="28"/>
          <w:szCs w:val="28"/>
          <w:rtl w:val="true"/>
          <w:lang w:bidi="fa-IR"/>
        </w:rPr>
        <w:t>لاختلاف المبانی فی تنجیز الأکثر و فی مفاد البراءة الشرعیّة، فافهم و أغتنم،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حصّلناه یظهر مواضع الضعف فی کلمات مثل الشیخ </w:t>
      </w:r>
      <w:r>
        <w:rPr>
          <w:rStyle w:val="FootnoteAnchor"/>
          <w:rtl w:val="true"/>
        </w:rPr>
        <w:footnoteReference w:id="107"/>
      </w:r>
      <w:r>
        <w:rPr>
          <w:rFonts w:ascii="IRNazanin" w:hAnsi="IRNazanin" w:eastAsia="IRNazanin"/>
          <w:color w:val="111111"/>
          <w:sz w:val="28"/>
          <w:sz w:val="28"/>
          <w:szCs w:val="28"/>
          <w:rtl w:val="true"/>
          <w:lang w:bidi="fa-IR"/>
        </w:rPr>
        <w:t xml:space="preserve">و أتباعه </w:t>
      </w:r>
      <w:r>
        <w:rPr>
          <w:rStyle w:val="FootnoteAnchor"/>
          <w:rtl w:val="true"/>
        </w:rPr>
        <w:footnoteReference w:id="108"/>
      </w:r>
      <w:r>
        <w:rPr>
          <w:rFonts w:ascii="IRNazanin" w:hAnsi="IRNazanin" w:eastAsia="IRNazanin"/>
          <w:color w:val="111111"/>
          <w:sz w:val="28"/>
          <w:sz w:val="28"/>
          <w:szCs w:val="28"/>
          <w:rtl w:val="true"/>
          <w:lang w:bidi="fa-IR"/>
        </w:rPr>
        <w:t>القائلین بالاشتغال</w:t>
      </w:r>
      <w:r>
        <w:rPr>
          <w:rFonts w:eastAsia="IRNazanin" w:cs="IRNazanin"/>
          <w:color w:val="111111"/>
          <w:sz w:val="28"/>
          <w:szCs w:val="28"/>
          <w:rtl w:val="true"/>
          <w:lang w:bidi="fa-IR"/>
        </w:rPr>
        <w:t>.</w:t>
      </w:r>
    </w:p>
    <w:p>
      <w:pPr>
        <w:pStyle w:val="Heading6"/>
        <w:numPr>
          <w:ilvl w:val="5"/>
          <w:numId w:val="1"/>
        </w:numPr>
        <w:rPr/>
      </w:pPr>
      <w:bookmarkStart w:id="75" w:name="__RefHeading___Toc763608_3244359995"/>
      <w:bookmarkStart w:id="76" w:name="_Toc29"/>
      <w:bookmarkEnd w:id="75"/>
      <w:r>
        <w:rPr>
          <w:rtl w:val="true"/>
        </w:rPr>
        <w:t>نقل و نقد</w:t>
      </w:r>
      <w:r>
        <w:rPr>
          <w:rtl w:val="true"/>
        </w:rPr>
        <w:t xml:space="preserve">: </w:t>
      </w:r>
      <w:r>
        <w:rPr>
          <w:rtl w:val="true"/>
        </w:rPr>
        <w:t>حول کلام الشیخ الرئیس فی ردّ الرجل الهمدانی</w:t>
      </w:r>
      <w:bookmarkEnd w:id="76"/>
    </w:p>
    <w:p>
      <w:pPr>
        <w:pStyle w:val="BookText"/>
        <w:rPr/>
      </w:pPr>
      <w:r>
        <w:rPr>
          <w:rFonts w:ascii="IRNazanin" w:hAnsi="IRNazanin" w:eastAsia="IRNazanin"/>
          <w:color w:val="111111"/>
          <w:sz w:val="28"/>
          <w:sz w:val="28"/>
          <w:szCs w:val="28"/>
          <w:rtl w:val="true"/>
          <w:lang w:bidi="fa-IR"/>
        </w:rPr>
        <w:t>صرّح شریکنا فی الرئاسة العقلیّة فی رسالته المعمولة فی ردّ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حیوانیّة الإنسان تباین حیوانیّة البقر، و إنسانیة زید تباین إنسانیّة عمرو</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فإذا شکّ فی المطلق و المقیّد، و کان ما فی الخارج من الحصّة مباینا للحصّة الاخری، کیف یمکن القول بالبراءة؟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البینونة الآتیة من خارجیّة الطبیعة، و الأمر قد تعلّق بما لیس فی موطن التعلّق خارجیّا، و إنّما ارید به أن یصیر خارجیّا، فإذا لم یکن فی موطن التعلّق تباین فلازمه أن یکون المأمور به خالیا عن الذهنیّة و الخارجیّة کی یصیر خارجیّا، و یصیر متکثّرا، و هذه هی خاصّة الطبیعة اللابشرط حتّی عن اللابشرطیّة، و حیث هی لیست کلّیا و لا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جزئیّا و کلّیا، و حیث لا تکون واحدة و لا کثیرة تصیر واحدة و کثیرة، فما یحکم علیه بهذه الأحکام الانفصالیّة السلبیّة هو مورد الأمر الإلهیّ؛ لأنّه یجوز أن یکون فی الخارج مظهر الأثر بالوجود، فلا یخفی الأمر علی الرجل الفطن</w:t>
      </w:r>
      <w:r>
        <w:rPr>
          <w:rFonts w:eastAsia="IRNazanin" w:cs="IRNazanin"/>
          <w:color w:val="111111"/>
          <w:sz w:val="28"/>
          <w:szCs w:val="28"/>
          <w:rtl w:val="true"/>
          <w:lang w:bidi="fa-IR"/>
        </w:rPr>
        <w:t>.</w:t>
      </w:r>
      <w:bookmarkStart w:id="77" w:name="pg13177_117722"/>
    </w:p>
    <w:p>
      <w:pPr>
        <w:pStyle w:val="Heading6"/>
        <w:numPr>
          <w:ilvl w:val="5"/>
          <w:numId w:val="1"/>
        </w:numPr>
        <w:rPr/>
      </w:pPr>
      <w:bookmarkStart w:id="78" w:name="__RefHeading___Toc763610_3244359995"/>
      <w:bookmarkStart w:id="79" w:name="_Toc30"/>
      <w:bookmarkEnd w:id="77"/>
      <w:bookmarkEnd w:id="78"/>
      <w:r>
        <w:rPr>
          <w:rtl w:val="true"/>
        </w:rPr>
        <w:t>تتمیم و تکمیل</w:t>
      </w:r>
      <w:r>
        <w:rPr>
          <w:rtl w:val="true"/>
        </w:rPr>
        <w:t xml:space="preserve">: </w:t>
      </w:r>
      <w:r>
        <w:rPr>
          <w:rtl w:val="true"/>
        </w:rPr>
        <w:t>دوران الأمر بین المطلق و المقیّد</w:t>
      </w:r>
      <w:bookmarkEnd w:id="79"/>
    </w:p>
    <w:p>
      <w:pPr>
        <w:pStyle w:val="BookText"/>
        <w:rPr/>
      </w:pPr>
      <w:r>
        <w:rPr>
          <w:rFonts w:ascii="IRNazanin" w:hAnsi="IRNazanin" w:eastAsia="IRNazanin"/>
          <w:color w:val="111111"/>
          <w:sz w:val="28"/>
          <w:sz w:val="28"/>
          <w:szCs w:val="28"/>
          <w:rtl w:val="true"/>
          <w:lang w:bidi="fa-IR"/>
        </w:rPr>
        <w:t>قد أشرنا إلی محطّ الخلاف و حدود مصبّ النزاع فی المطلق و المقیّد</w:t>
      </w:r>
      <w:r>
        <w:rPr>
          <w:rStyle w:val="FootnoteAnchor"/>
          <w:rtl w:val="true"/>
        </w:rPr>
        <w:footnoteReference w:id="110"/>
      </w:r>
      <w:r>
        <w:rPr>
          <w:rFonts w:ascii="IRNazanin" w:hAnsi="IRNazanin" w:eastAsia="IRNazanin"/>
          <w:color w:val="111111"/>
          <w:sz w:val="28"/>
          <w:sz w:val="28"/>
          <w:szCs w:val="28"/>
          <w:rtl w:val="true"/>
          <w:lang w:bidi="fa-IR"/>
        </w:rPr>
        <w:t>و أنّه العنوان الجامع بین موارد الشکّ فی البراءة و الاشتغال، کموارد التردّد بین الجنس و النوع، و هکذا المطلق و المشروط؛ بمعنی الشرط التحلیلیّ، أو مورد الدوران بین الواجب المطلق و المشروط، و المنجّز و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تحقیق المسألة فی بحث البراءة</w:t>
      </w:r>
      <w:r>
        <w:rPr>
          <w:rStyle w:val="FootnoteAnchor"/>
          <w:rtl w:val="true"/>
        </w:rPr>
        <w:footnoteReference w:id="111"/>
      </w:r>
      <w:r>
        <w:rPr>
          <w:rFonts w:ascii="IRNazanin" w:hAnsi="IRNazanin" w:eastAsia="IRNazanin"/>
          <w:color w:val="111111"/>
          <w:sz w:val="28"/>
          <w:sz w:val="28"/>
          <w:szCs w:val="28"/>
          <w:rtl w:val="true"/>
          <w:lang w:bidi="fa-IR"/>
        </w:rPr>
        <w:t>، و مرّ هناک فی ذیلها بحوث أقسام الدورانات بین الواجبات بأقسامها و 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یخفی و قد کان الأمر مشتبها حتّی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حدیث الدوران بین التعیین و التخییر، مخصوص بالتعیین و التخییر الشرعیّین، کما اشیر إلیه، و علی هذا درج مسألة الأوامر الطریقیّة و الغیریّة فی تلک المسألة غیر جائز؛ لأنّه یرجع إلی التخییر العقلیّ؛ و أنّه یکون الرجوع إلی الأعلم مثلا أو إلی حدیث الراوی الإمامیّ متعیّنا، أو یکون هو أحد طرفی التخییر العقلیّ؛ لجواز الرجوع إلی مطلق المجتهد و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وجه تعیّن الرجوع إلی الأعلم و الإمامیّ فی هذه المسألة عند الشّک، مع ما عندنا فی خصوص مسألة عقلائیّة الرجوع إلی المجتهد، فلیراجع محلّه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موارد الدوران بین الأوامر الغیریّة التعینیّة و التخییریّة، فإنّها أیضا ترجع إلی المطلق و المقیّد؛ و أنّ الستر الخاصّ شرط و مأمور به، أو مطلق الستر،</w:t>
      </w:r>
      <w:bookmarkStart w:id="80" w:name="pg13177_117723"/>
    </w:p>
    <w:p>
      <w:pPr>
        <w:pStyle w:val="BookText"/>
        <w:rPr/>
      </w:pPr>
      <w:bookmarkEnd w:id="80"/>
      <w:r>
        <w:rPr>
          <w:rFonts w:ascii="IRNazanin" w:hAnsi="IRNazanin" w:eastAsia="IRNazanin"/>
          <w:color w:val="111111"/>
          <w:sz w:val="28"/>
          <w:sz w:val="28"/>
          <w:szCs w:val="28"/>
          <w:rtl w:val="true"/>
          <w:lang w:bidi="fa-IR"/>
        </w:rPr>
        <w:t>و قضیّة ما سلف من جریان الاستصحاب الحکمیّ الشخصیّ تقدّمه حکومة و ورودا علی البراءة العقلیّة و الشرعیّة و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الدورانات کلّها خارجة عن تلک المسألة، و مندرجة فی هذه المسألة، و کلّ ما کان یرجع إلی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التقریب الذی عرفت منّا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فمقتضی القاعدة هو الاحتیاط، إلّا فی مثل الدوران فی المطلق و المقیّد فی باب الطرق و الأمارات؛ ضرورة أنّ قضیّة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اشیر إلیه، و تحرّر فی محله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القطع بعدم حجّیة المطلق، فینحلّ العلم الإجمالیّ بوجوب المطلق و المقیّد</w:t>
      </w:r>
      <w:r>
        <w:rPr>
          <w:rFonts w:eastAsia="IRNazanin" w:cs="IRNazanin"/>
          <w:color w:val="111111"/>
          <w:sz w:val="28"/>
          <w:szCs w:val="28"/>
          <w:rtl w:val="true"/>
          <w:lang w:bidi="fa-IR"/>
        </w:rPr>
        <w:t>.</w:t>
      </w:r>
    </w:p>
    <w:p>
      <w:pPr>
        <w:pStyle w:val="Heading6"/>
        <w:numPr>
          <w:ilvl w:val="5"/>
          <w:numId w:val="1"/>
        </w:numPr>
        <w:rPr/>
      </w:pPr>
      <w:bookmarkStart w:id="81" w:name="__RefHeading___Toc763612_3244359995"/>
      <w:bookmarkStart w:id="82" w:name="_Toc31"/>
      <w:bookmarkEnd w:id="81"/>
      <w:r>
        <w:rPr>
          <w:rtl w:val="true"/>
        </w:rPr>
        <w:t>بقی شی‌ء</w:t>
      </w:r>
      <w:r>
        <w:rPr>
          <w:rtl w:val="true"/>
        </w:rPr>
        <w:t xml:space="preserve">: </w:t>
      </w:r>
      <w:r>
        <w:rPr>
          <w:rtl w:val="true"/>
        </w:rPr>
        <w:t>فی بیان حکم الدوران بین الإطلاق و التقیید العنوانیّین و التطبیقیّین</w:t>
      </w:r>
      <w:bookmarkEnd w:id="82"/>
    </w:p>
    <w:p>
      <w:pPr>
        <w:pStyle w:val="BookText"/>
        <w:rPr/>
      </w:pPr>
      <w:r>
        <w:rPr>
          <w:rFonts w:ascii="IRNazanin" w:hAnsi="IRNazanin" w:eastAsia="IRNazanin"/>
          <w:color w:val="111111"/>
          <w:sz w:val="28"/>
          <w:sz w:val="28"/>
          <w:szCs w:val="28"/>
          <w:rtl w:val="true"/>
          <w:lang w:bidi="fa-IR"/>
        </w:rPr>
        <w:t>إنّ فی موارد الإطلاق و التقیید العنوانیّین، یکون المرجع هی البراءة، و لا مجری للاستصحاب؛ ضرورة أنّ القید داخل فی محطّ الأمر، و لا علم بالوجوب کی یستصحب؛ لاحتمال عدم دخالة القید، و لا یبقی لاستصحاب وجوب نفس الطبیعة موضوع؛ لاختلاف الموضوع فی ظرف الیقین و الشکّ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الواجب هو الحیوان فی کفّارة الحجّ، أو الحیوان الصاهل، فإذا کان المفروض کون الصاهلیّة مورد الأمر ثبوتا، فلا یمکن إثبات العلم بوجوب الحیوان الصاهل، و ما هو المعلوم إثباتا هو موضوعیّة الحیوان، و لا یمکن عندئذ استصحاب الوجوب الواقعیّ هنا، بخلاف باب الأقلّ و الأکثر، فإنّ مصبّ</w:t>
      </w:r>
    </w:p>
    <w:p>
      <w:pPr>
        <w:pStyle w:val="BookText"/>
        <w:rPr/>
      </w:pPr>
      <w:r>
        <w:rPr>
          <w:rFonts w:ascii="IRNazanin" w:hAnsi="IRNazanin" w:eastAsia="IRNazanin"/>
          <w:color w:val="111111"/>
          <w:sz w:val="28"/>
          <w:sz w:val="28"/>
          <w:szCs w:val="28"/>
          <w:rtl w:val="true"/>
          <w:lang w:bidi="fa-IR"/>
        </w:rPr>
        <w:t>الأمر هو العنوان المنحلّ إلی الأجزاء، فیکون المعلوم هو وجوب الصلاة قطعا، فیستصحب ذلک الوجوب الشخصیّ عند الإتیان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الدوران بین المطلق و المقیّد، فلا یکون هناک عنوان ینحلّ إلی الأجزاء، بل هناک موضوع مقیّد، و لا علم بوجوب ذبح الحیوان الصاهل بما هو صاهل؛ لاحتمال کون الواجب هو ذبح الحیوان، فإذا جرت البراءة بالنسبة إلی القید، لا یمکن انحفاظ موضوع الاستصحاب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یحرز موضوع الحکم و لو فرضنا أنّ الحیوان الصاهل واجب الذبح علی تقدیر کون الواجب شرعا هو الحیوان، و لکن بعد التعبّد بعدم قیدیّة الصاهل فی الموضوع للحکم الشرعیّ، لا یمکن إجراء الاستصحاب؛ لعدم العلم بوجوب ذبح الحیوان کی یستصحب، فما هو حجّة المولی علیه تامّة قد ذبح؛ و هو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المطلق و المقیّد العنوانیّین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المطلق و المقیّد التطبیقیّین، کما إذا علم إجمالا بوجوب ذبح الحیوان أو الإبل، فالانحلال ممنوع کما اشیر إلیه، و الاستصحاب لو کان جاریا فی الکلّی الانتزاعیّ الحکمیّ کما عرفت تقریبه، یکون محکّما علی البراءة، علی الوجه المحرّر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الثالث، فهو المطلق و المقیّد العنوانیّین علی وجه یکون التقیّد داخلا، و القید خارجا عن حدّ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الصلاة الموقّتة المحدودة بالحدّین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و الغروب؛ بحیث یکون عنوان الموقّتة داخلا فی مصبّ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التقیّد داخلا، و القید خارجا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یجری الاستصحاب فی الصورة الاولی؛ و ذلک إمّا لأجل عدم العلم</w:t>
      </w:r>
    </w:p>
    <w:p>
      <w:pPr>
        <w:pStyle w:val="BookText"/>
        <w:rPr/>
      </w:pPr>
      <w:r>
        <w:rPr>
          <w:rFonts w:ascii="IRNazanin" w:hAnsi="IRNazanin" w:eastAsia="IRNazanin"/>
          <w:color w:val="111111"/>
          <w:sz w:val="28"/>
          <w:sz w:val="28"/>
          <w:szCs w:val="28"/>
          <w:rtl w:val="true"/>
          <w:lang w:bidi="fa-IR"/>
        </w:rPr>
        <w:t>بوجوب المقیّد بما هو مقیّد، و إمّا لعدم بقاء موضوع الاستصحاب؛ نظرا إلی أنّ مقتضی التعبّد بعدم القیدیّة، أنّه لا یحرز وحدة الموضوع فی ظرف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بأنّ التقیّد داخل، و القید خارج علی فرض الوجوب، فالاستصحاب هنا أولی بالجریان من الأقلّ و الأکثر کما لا یخفی؛ لوحدة الموضوع، و هی الصلاة فی الطرفین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فیما لو دار الأمر بین العامّ و الخاصّ، کالحیوان و الإنسان علی أن یکون القید 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الدوران بین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الجنس 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بحسب المتعارف التقیّد و القید داخلین، فإذا شکّ بعد امتثال الأمر بالمطلق یجری الاستصحاب الحکمیّ، و لا تکون البراءة حاکمة علیه کما مرّ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الصورة الأخیرة لا یجری الاستصحاب؛ لما اشیر إلیه،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القیود التحلیلیّة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مع القیود الخارجیّة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الاستصحاب بالنسبة إلی الصورة الاولی یجری دون الثانیة، و تصیر النتیجة هی الاحتیاط فی الأمثلة التی تکون من قبیل الأولی، و البراءة فی الأمثلة التی تکون من قبیل الأخیرة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مرّ من بیان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انحلال العلم الإجمالیّ بالنسبة إلی المطلق و المقیّد التطبیقیّین، دون العنوانیّین، و هکذا بالقیاس إلی دوران الأمر بین المطلق 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محلّه حسب نظر العرف و العقلاء، و لکنّه بالنظر إلی الأصل الشرعیّ یلزم الاحتیاط؛ علی التفصیل الذی أبدعناه فی بعض صور المطلق و المقیّد العنوانیّین </w:t>
      </w:r>
      <w:r>
        <w:rPr>
          <w:rStyle w:val="FootnoteAnchor"/>
          <w:rtl w:val="true"/>
        </w:rPr>
        <w:footnoteReference w:id="116"/>
      </w:r>
      <w:r>
        <w:rPr>
          <w:rFonts w:ascii="IRNazanin" w:hAnsi="IRNazanin" w:eastAsia="IRNazanin"/>
          <w:color w:val="111111"/>
          <w:sz w:val="28"/>
          <w:sz w:val="28"/>
          <w:szCs w:val="28"/>
          <w:rtl w:val="true"/>
          <w:lang w:bidi="fa-IR"/>
        </w:rPr>
        <w:t>، کالصلاة بالنسبة إلی الشکّ فی شرطیّة اللبس الخاصّ مثلا</w:t>
      </w:r>
      <w:r>
        <w:rPr>
          <w:rFonts w:eastAsia="IRNazanin" w:cs="IRNazanin"/>
          <w:color w:val="111111"/>
          <w:sz w:val="28"/>
          <w:szCs w:val="28"/>
          <w:rtl w:val="true"/>
          <w:lang w:bidi="fa-IR"/>
        </w:rPr>
        <w:t>.</w:t>
      </w:r>
      <w:bookmarkStart w:id="83" w:name="pg13177_117726"/>
    </w:p>
    <w:p>
      <w:pPr>
        <w:pStyle w:val="Heading6"/>
        <w:numPr>
          <w:ilvl w:val="5"/>
          <w:numId w:val="1"/>
        </w:numPr>
        <w:rPr/>
      </w:pPr>
      <w:bookmarkStart w:id="84" w:name="__RefHeading___Toc763614_3244359995"/>
      <w:bookmarkStart w:id="85" w:name="_Toc32"/>
      <w:bookmarkEnd w:id="83"/>
      <w:bookmarkEnd w:id="84"/>
      <w:r>
        <w:rPr>
          <w:rtl w:val="true"/>
        </w:rPr>
        <w:t>تذنیبان</w:t>
      </w:r>
      <w:r>
        <w:rPr>
          <w:rtl w:val="true"/>
        </w:rPr>
        <w:t>:</w:t>
      </w:r>
      <w:bookmarkEnd w:id="85"/>
    </w:p>
    <w:p>
      <w:pPr>
        <w:pStyle w:val="Heading6"/>
        <w:numPr>
          <w:ilvl w:val="5"/>
          <w:numId w:val="1"/>
        </w:numPr>
        <w:rPr/>
      </w:pPr>
      <w:bookmarkStart w:id="86" w:name="__RefHeading___Toc763616_3244359995"/>
      <w:bookmarkStart w:id="87" w:name="_Toc33"/>
      <w:bookmarkEnd w:id="86"/>
      <w:r>
        <w:rPr>
          <w:rtl w:val="true"/>
        </w:rPr>
        <w:t>الأوّل</w:t>
      </w:r>
      <w:r>
        <w:rPr>
          <w:rtl w:val="true"/>
        </w:rPr>
        <w:t xml:space="preserve">: </w:t>
      </w:r>
      <w:r>
        <w:rPr>
          <w:rtl w:val="true"/>
        </w:rPr>
        <w:t>فی موارد الشکّ فی مانعیّة شی‌ء</w:t>
      </w:r>
      <w:bookmarkEnd w:id="87"/>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تصویر المانعیّة فی الأمور الشرعیّة و الاعتباریّة غیر معقول، کما هو الحقّ و الأقرب إلی الأدلّة بعد ملاحظة مشکلة المسألة، فالأمر کما تحرّر؛ و هو جریان البراءات الثلاث بحسب الطبع، و تقدّم الاستصحاب علیها فی مقام المعارضة بالورود أو الحکومة، و تفصیله و تحقیقه فی بحوث الاستصحاب </w:t>
      </w:r>
      <w:r>
        <w:rPr>
          <w:rStyle w:val="FootnoteAnchor"/>
          <w:rtl w:val="true"/>
        </w:rPr>
        <w:footnoteReference w:id="117"/>
      </w:r>
      <w:r>
        <w:rPr>
          <w:rFonts w:ascii="IRNazanin" w:hAnsi="IRNazanin" w:eastAsia="IRNazanin"/>
          <w:color w:val="111111"/>
          <w:sz w:val="28"/>
          <w:sz w:val="28"/>
          <w:szCs w:val="28"/>
          <w:rtl w:val="true"/>
          <w:lang w:bidi="fa-IR"/>
        </w:rPr>
        <w:t xml:space="preserve">، و قد أشرنا إلیه فیما مضی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سیمرّ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مثبتات الاستصحاب حجّة کالأمارات؛ لأنّه أمارة شرعیّة تعبّدیة، و قد کان المشهور إلی عصر الشیخ حجّیتها</w:t>
      </w:r>
      <w:r>
        <w:rPr>
          <w:rStyle w:val="FootnoteAnchor"/>
          <w:rtl w:val="true"/>
        </w:rPr>
        <w:footnoteReference w:id="119"/>
      </w:r>
      <w:r>
        <w:rPr>
          <w:rFonts w:ascii="IRNazanin" w:hAnsi="IRNazanin" w:eastAsia="IRNazanin"/>
          <w:color w:val="111111"/>
          <w:sz w:val="28"/>
          <w:sz w:val="28"/>
          <w:szCs w:val="28"/>
          <w:rtl w:val="true"/>
          <w:lang w:bidi="fa-IR"/>
        </w:rPr>
        <w:t xml:space="preserve">، و إنّما الإشکال استقرّ بین المتأخّرین بوجه لا محصّل 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المانعیّة تتصوّر فی الشرعیّات و أمثالها کما فی التکوینیّات، فالقول بالاشتغال أوضح؛ لرجوع الشکّ فی صورة مقارنة المأمور به مع المانع المشکوک إلی الشکّ فی تحقّق المأمور به بعد العلم بالأمر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کفایة ضمّ الوجدان إلی التعبّد بعدم المانع، غیر سدید؛ ضرورة أنّه لا یمکن تصویر المانع فی افق الاعتبار و الشرع، إلّا برجوعه إلی تعبّد الشرع بأنّ ما</w:t>
      </w:r>
      <w:bookmarkStart w:id="88" w:name="pg13177_117727"/>
    </w:p>
    <w:p>
      <w:pPr>
        <w:pStyle w:val="BookText"/>
        <w:rPr/>
      </w:pPr>
      <w:bookmarkEnd w:id="88"/>
      <w:r>
        <w:rPr>
          <w:rFonts w:ascii="IRNazanin" w:hAnsi="IRNazanin" w:eastAsia="IRNazanin"/>
          <w:color w:val="111111"/>
          <w:sz w:val="28"/>
          <w:sz w:val="28"/>
          <w:szCs w:val="28"/>
          <w:rtl w:val="true"/>
          <w:lang w:bidi="fa-IR"/>
        </w:rPr>
        <w:t>هو الواقع من الصلاة عنوانا و خارجا، لیس بصلاة، فیلزم أن یعتبر الشرع عدم مصداقیّة ما هو الصلاة بالوجدان صلاة، و هذا ممّا لا یمکن إحرازه بأصالة البراءة الشرعیّة عن وجود المانع، فلا 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کانت البراءة جاریة، یکفی استصحاب بقاء الأمر و لو کان مسبّبا عن مانعیّة الموجود و اعتبار المانعیّة؛ لما عرفت مرارا</w:t>
      </w:r>
      <w:r>
        <w:rPr>
          <w:rStyle w:val="FootnoteAnchor"/>
          <w:rtl w:val="true"/>
        </w:rPr>
        <w:footnoteReference w:id="121"/>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Heading6"/>
        <w:numPr>
          <w:ilvl w:val="5"/>
          <w:numId w:val="1"/>
        </w:numPr>
        <w:rPr/>
      </w:pPr>
      <w:bookmarkStart w:id="89" w:name="__RefHeading___Toc763618_3244359995"/>
      <w:bookmarkStart w:id="90" w:name="_Toc34"/>
      <w:bookmarkEnd w:id="89"/>
      <w:r>
        <w:rPr>
          <w:rtl w:val="true"/>
        </w:rPr>
        <w:t>الثانی</w:t>
      </w:r>
      <w:r>
        <w:rPr>
          <w:rtl w:val="true"/>
        </w:rPr>
        <w:t xml:space="preserve">: </w:t>
      </w:r>
      <w:r>
        <w:rPr>
          <w:rtl w:val="true"/>
        </w:rPr>
        <w:t>فی موارد الشکّ فی السقوط التی یکون منشأها الشکّ فی الثبوت</w:t>
      </w:r>
      <w:bookmarkEnd w:id="90"/>
    </w:p>
    <w:p>
      <w:pPr>
        <w:pStyle w:val="BookText"/>
        <w:rPr/>
      </w:pPr>
      <w:r>
        <w:rPr>
          <w:rFonts w:ascii="IRNazanin" w:hAnsi="IRNazanin" w:eastAsia="IRNazanin"/>
          <w:color w:val="111111"/>
          <w:sz w:val="28"/>
          <w:sz w:val="28"/>
          <w:szCs w:val="28"/>
          <w:rtl w:val="true"/>
          <w:lang w:bidi="fa-IR"/>
        </w:rPr>
        <w:t>و قد ذهب المشهور فی جملة من المواضع إلی خلاف ذلک کما فی موارد جریان قاعدة أصالة الصحّة، و الفراغ، و التجاوز؛ نظرا إلی أنّ المرکّب بجمیع أجزائه، واجب علی العالم و الجاهل و الذاکر و الناسی، و مع ذلک تکون مرحلة السقوط أوسع من مرحلة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إذا أمکن ذلک لنا أن نبحث عن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مقتضی القاعدة العقلیّة و الصناعة العلمیّة، جواز اجتماع الأمر و النهی، إلّا أنّ بحکم العقلاء لا بدّ و أن یکون الفرد الممتثل به، غیر معانق لمحرّم من المحرمات، و غیر متّحد معه، فإن کان ذلک راجعا إلی تقیید المأمور به، فترجع المسألة إلی المطلق و المقیّد و الأقلّ و الأکثر؛ بالمعنی الأعمّ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مرحلة الامتثال غیر راجعة إلی مرحلة الجعل، فربّما یشکّ من جهة الشکّ فی حکم العقلاء؛ لإجماله، کما هو کذلک فی بابی الأقلّ و الأکثر و المطلق و المقیّد، فإنّ منشأ الشکّ هو إجمال الأدلّة، و عند ذلک یجب الاحتیاط؛ لرجوع</w:t>
      </w:r>
    </w:p>
    <w:p>
      <w:pPr>
        <w:pStyle w:val="BookText"/>
        <w:rPr/>
      </w:pPr>
      <w:r>
        <w:rPr>
          <w:rFonts w:ascii="IRNazanin" w:hAnsi="IRNazanin" w:eastAsia="IRNazanin"/>
          <w:color w:val="111111"/>
          <w:sz w:val="28"/>
          <w:sz w:val="28"/>
          <w:szCs w:val="28"/>
          <w:rtl w:val="true"/>
          <w:lang w:bidi="fa-IR"/>
        </w:rPr>
        <w:t>الشکّ المذکور إلی الشکّ فی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بامتناع استقلال الشکّ فی الامتثال؛ و أنّه لا بدّ و أن یرجع فی جمیع المواقف إلی الشکّ فی الجعل، فالأمر کما مرّ، فتدبّر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یکون للشرع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اقتران المأمور به بالمانع، مع إحراز المأمور به للأجزاء و الشرائط الخارجیّة و التحلیلیّة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فی الخارج من الصلاة لیس بصلاة، و تصیر النتیجة لزوم الإعادة، کذلک فی محیط العقلاء، یجوز اعتبار ما یعدّ صلاة جامعة للشرائط و الأجزاء غیر صلاة و غیر عبادة؛ لکونها غیر صالحة لأن تصیر فردا یمتثل به من غیر کونه راجعا إلی المطلق و المقیّد</w:t>
      </w:r>
      <w:r>
        <w:rPr>
          <w:rFonts w:eastAsia="IRNazanin" w:cs="IRNazanin"/>
          <w:color w:val="111111"/>
          <w:sz w:val="28"/>
          <w:szCs w:val="28"/>
          <w:rtl w:val="true"/>
          <w:lang w:bidi="fa-IR"/>
        </w:rPr>
        <w:t>.</w:t>
      </w:r>
      <w:bookmarkStart w:id="91" w:name="pg13177_117729"/>
    </w:p>
    <w:p>
      <w:pPr>
        <w:pStyle w:val="Heading5"/>
        <w:numPr>
          <w:ilvl w:val="4"/>
          <w:numId w:val="1"/>
        </w:numPr>
        <w:rPr/>
      </w:pPr>
      <w:bookmarkStart w:id="92" w:name="__RefHeading___Toc763620_3244359995"/>
      <w:bookmarkStart w:id="93" w:name="_Toc35"/>
      <w:bookmarkEnd w:id="91"/>
      <w:bookmarkEnd w:id="92"/>
      <w:r>
        <w:rPr>
          <w:rtl w:val="true"/>
        </w:rPr>
        <w:t>البحث الخامس فی الأسباب و المحصّلات</w:t>
      </w:r>
      <w:bookmarkEnd w:id="93"/>
    </w:p>
    <w:p>
      <w:pPr>
        <w:pStyle w:val="Heading6"/>
        <w:numPr>
          <w:ilvl w:val="5"/>
          <w:numId w:val="1"/>
        </w:numPr>
        <w:rPr/>
      </w:pPr>
      <w:bookmarkStart w:id="94" w:name="__RefHeading___Toc763622_3244359995"/>
      <w:bookmarkStart w:id="95" w:name="_Toc36"/>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و الذی ینبغی أن 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النزاع هنا هو ما إذا کان الأمر معلوما بالتفصیل، و المأمور به واضحا بالمفهوم سعة و ضیقا، و لا یکون فی محطّ الأمر و الإیجاب إجمال و إبهام، و إنّما الإجمال فی الجهة الأجنبیّة عن محطّ الأمر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و المحصّلات تنقسم إلی العقلیّة، و العادیّة، و العقلائیّة،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الإرادة للحرکة، فإنّ الثانیة موجودة خارجا بالاولی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الشی‌ء الفلانیّ للإشباع الواجب فی الکفّارة، أو فی باب إطعام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المثال الأوضح سببیّة الإلقاء للاحتراق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الزوجة لمقدار الکسوة و السکنی و المأکول، و سببیّة العقد الفعلیّ و اللفظیّ لتلک الملکیّة، أو تملّک أرباب الزکاة و الخمس لمقدار حقّهما، و سببیّة الإفراز أو الردّ إلی الولیّ أو إلیهم بلا صیغة مثلا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الغسلات و المسحات للطهور الواجب فرضا، أو سببیّة</w:t>
      </w:r>
      <w:bookmarkStart w:id="96" w:name="pg13177_117730"/>
    </w:p>
    <w:p>
      <w:pPr>
        <w:pStyle w:val="BookText"/>
        <w:rPr/>
      </w:pPr>
      <w:bookmarkEnd w:id="96"/>
      <w:r>
        <w:rPr>
          <w:rFonts w:ascii="IRNazanin" w:hAnsi="IRNazanin" w:eastAsia="IRNazanin"/>
          <w:color w:val="111111"/>
          <w:sz w:val="28"/>
          <w:sz w:val="28"/>
          <w:szCs w:val="28"/>
          <w:rtl w:val="true"/>
          <w:lang w:bidi="fa-IR"/>
        </w:rPr>
        <w:t>الصور الواجبة و الواجبات الظاهریّة لما هو الواجب الواقعیّ؛ و هی المصالح علی مذهب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الأوّل و الثانی لا یتدخّل الشرع، و لا یصلح تدخّله، و فی الثالث و الرابع یتدخّل الشرع، و یصلح ذلک؛ ضرورة أنّ فی مثل القتل و الإشباع، یکون العقل و العرف مقتدرا علی درکهما و درک تحقّقهما، بخلاف مثل الملکیّة و الطهارة، فإنّه ربّما لا یتعقّل العقلاء حصول الملکیّة بالمعاطاة أو بمثلها من موارد الشکّ و الإجمال فی السببیّة و المحصّلیة، و هکذا فی حصول الطهارة و الغرض و المصلحة بوجه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فالإجمال و الإبهام فی المسائل السابقة، کان حول الأدلّة اللفظیّة بالقیاس إلی حدود المأمور به جعلا و تشریعا، و هنا بالقیاس إلی تحقّق المأمور به تأثیرا و سببیّة و تحصیلا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 کی یتّضح محطّ الخلاف و مصبّ النزاع</w:t>
      </w:r>
      <w:r>
        <w:rPr>
          <w:rFonts w:eastAsia="IRNazanin" w:cs="IRNazanin"/>
          <w:color w:val="111111"/>
          <w:sz w:val="28"/>
          <w:szCs w:val="28"/>
          <w:rtl w:val="true"/>
          <w:lang w:bidi="fa-IR"/>
        </w:rPr>
        <w:t>:</w:t>
      </w:r>
    </w:p>
    <w:p>
      <w:pPr>
        <w:pStyle w:val="Heading6"/>
        <w:numPr>
          <w:ilvl w:val="5"/>
          <w:numId w:val="1"/>
        </w:numPr>
        <w:rPr/>
      </w:pPr>
      <w:bookmarkStart w:id="97" w:name="__RefHeading___Toc763624_3244359995"/>
      <w:bookmarkStart w:id="98" w:name="_Toc37"/>
      <w:bookmarkEnd w:id="97"/>
      <w:r>
        <w:rPr>
          <w:rtl w:val="true"/>
        </w:rPr>
        <w:t>الأمر الأوّل</w:t>
      </w:r>
      <w:r>
        <w:rPr>
          <w:rtl w:val="true"/>
        </w:rPr>
        <w:t xml:space="preserve">: </w:t>
      </w:r>
      <w:r>
        <w:rPr>
          <w:rtl w:val="true"/>
        </w:rPr>
        <w:t>فی تمحّض البحث بالشکّ فی السقوط</w:t>
      </w:r>
      <w:bookmarkEnd w:id="98"/>
    </w:p>
    <w:p>
      <w:pPr>
        <w:pStyle w:val="BookText"/>
        <w:rPr/>
      </w:pPr>
      <w:r>
        <w:rPr>
          <w:rFonts w:ascii="IRNazanin" w:hAnsi="IRNazanin" w:eastAsia="IRNazanin"/>
          <w:color w:val="111111"/>
          <w:sz w:val="28"/>
          <w:sz w:val="28"/>
          <w:szCs w:val="28"/>
          <w:rtl w:val="true"/>
          <w:lang w:bidi="fa-IR"/>
        </w:rPr>
        <w:t>إنّ البحث حسبما عرفت، حول ما إذا کان المأمور به معلوما بحدوده، سواء کان أمرا بسیطا، أو مرکّبا ذا مراتب و درجات، فلو کان الشکّ فی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الأقلّ و الأکثر و البساطة و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خارجا عن مسألة الأسباب و المسبّبات، فإطالة العلّامة الأراکیّ رحمه اللّه کلّها أجنبیّة عن هذه المسألة</w:t>
      </w:r>
      <w:r>
        <w:rPr>
          <w:rStyle w:val="FootnoteAnchor"/>
          <w:rtl w:val="true"/>
        </w:rPr>
        <w:footnoteReference w:id="122"/>
      </w:r>
      <w:r>
        <w:rPr>
          <w:rFonts w:ascii="IRNazanin" w:hAnsi="IRNazanin" w:eastAsia="IRNazanin"/>
          <w:color w:val="111111"/>
          <w:sz w:val="28"/>
          <w:sz w:val="28"/>
          <w:szCs w:val="28"/>
          <w:rtl w:val="true"/>
          <w:lang w:bidi="fa-IR"/>
        </w:rPr>
        <w:t>، و إطالة البحث حول مواضح ضعف مقالات القوم هنا و فی غیر المقام من اللغو المنهیّ عنه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الشکّ فی السقوط هنا دائما، إلّا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مرجع حلّ الشکّ و الجهالة العقل و العرف،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 بإمضاء الشرع و رضاه و تسبیب</w:t>
      </w:r>
      <w:bookmarkStart w:id="99" w:name="pg13177_117731"/>
    </w:p>
    <w:p>
      <w:pPr>
        <w:pStyle w:val="BookText"/>
        <w:rPr/>
      </w:pPr>
      <w:bookmarkEnd w:id="99"/>
      <w:r>
        <w:rPr>
          <w:rFonts w:ascii="IRNazanin" w:hAnsi="IRNazanin" w:eastAsia="IRNazanin"/>
          <w:color w:val="111111"/>
          <w:sz w:val="28"/>
          <w:sz w:val="28"/>
          <w:szCs w:val="28"/>
          <w:rtl w:val="true"/>
          <w:lang w:bidi="fa-IR"/>
        </w:rPr>
        <w:t>الشرع و کشفه</w:t>
      </w:r>
      <w:r>
        <w:rPr>
          <w:rFonts w:eastAsia="IRNazanin" w:cs="IRNazanin"/>
          <w:color w:val="111111"/>
          <w:sz w:val="28"/>
          <w:szCs w:val="28"/>
          <w:rtl w:val="true"/>
          <w:lang w:bidi="fa-IR"/>
        </w:rPr>
        <w:t>.</w:t>
      </w:r>
    </w:p>
    <w:p>
      <w:pPr>
        <w:pStyle w:val="Heading6"/>
        <w:numPr>
          <w:ilvl w:val="5"/>
          <w:numId w:val="1"/>
        </w:numPr>
        <w:rPr/>
      </w:pPr>
      <w:bookmarkStart w:id="100" w:name="__RefHeading___Toc763626_3244359995"/>
      <w:bookmarkStart w:id="101" w:name="_Toc38"/>
      <w:bookmarkEnd w:id="100"/>
      <w:r>
        <w:rPr>
          <w:rtl w:val="true"/>
        </w:rPr>
        <w:t>الأمر الثانی</w:t>
      </w:r>
      <w:r>
        <w:rPr>
          <w:rtl w:val="true"/>
        </w:rPr>
        <w:t xml:space="preserve">: </w:t>
      </w:r>
      <w:r>
        <w:rPr>
          <w:rtl w:val="true"/>
        </w:rPr>
        <w:t>فی أجنبیة بحث المعاملات هنا</w:t>
      </w:r>
      <w:bookmarkEnd w:id="101"/>
    </w:p>
    <w:p>
      <w:pPr>
        <w:pStyle w:val="BookText"/>
        <w:rPr/>
      </w:pPr>
      <w:r>
        <w:rPr>
          <w:rFonts w:ascii="IRNazanin" w:hAnsi="IRNazanin" w:eastAsia="IRNazanin"/>
          <w:color w:val="111111"/>
          <w:sz w:val="28"/>
          <w:sz w:val="28"/>
          <w:szCs w:val="28"/>
          <w:rtl w:val="true"/>
          <w:lang w:bidi="fa-IR"/>
        </w:rPr>
        <w:t>إنّ الجهة المبحوث عنها حول وجود الأسباب و المسبّبات و المحصّل و المحصّلات علی تقدیر صحّة السببیّة و المسبّبیة، و أمّا الورود فی أنّ باب المعاملات هل هی من باب الأسباب و المسبّبات، أو الموضوع و الأحکام؟ فهو من المناقشة فی مثال المسألة، و خارج عن دأب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فیما نحن فیه لیس إجمال فی التکلیف، کما کان فی دوران الأمر بین المتباینین، و فی الأقلّ و الأکثر علی بعض التقاریر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إجمال فی المکلّف به، کما کان فی المتباینین، و فی الأقلّ و الأکثر، و أنّه هل المأمور به هو الأقلّ أو الأکثر أو أنّ الصلاة التی هی المأمور بها تنحلّ إلی تسعة أجزاء أو عشرة أجزاء؟</w:t>
      </w:r>
    </w:p>
    <w:p>
      <w:pPr>
        <w:pStyle w:val="BookText"/>
        <w:rPr/>
      </w:pPr>
      <w:r>
        <w:rPr>
          <w:rFonts w:ascii="IRNazanin" w:hAnsi="IRNazanin" w:eastAsia="IRNazanin"/>
          <w:color w:val="111111"/>
          <w:sz w:val="28"/>
          <w:sz w:val="28"/>
          <w:szCs w:val="28"/>
          <w:rtl w:val="true"/>
          <w:lang w:bidi="fa-IR"/>
        </w:rPr>
        <w:t>بل هنا کلّ من الأمر و المأمور به واضح و مبیّن، إلّا أنّ المأمور به لمّا کان من الامور التی یتسبّب إلیه بامور عقلیّة و غیر عقلیّة، یلزم الشکّ فی حصوله و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الجهة المبحوث عنها هنا و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هناک فی تعلّق الأمر بالمعیّن أو بالمعنی الکلّی المنطبق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فی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فی حدود الجعل و التشریع، و فیما نحن فیه یرجع الشکّ دائما فی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 الشکّ فی الثبوت، یکون هو الخارج عن حدود النزاع و محطّ التشاحّ، فلا تغفل</w:t>
      </w:r>
      <w:r>
        <w:rPr>
          <w:rFonts w:eastAsia="IRNazanin" w:cs="IRNazanin"/>
          <w:color w:val="111111"/>
          <w:sz w:val="28"/>
          <w:szCs w:val="28"/>
          <w:rtl w:val="true"/>
          <w:lang w:bidi="fa-IR"/>
        </w:rPr>
        <w:t>.</w:t>
      </w:r>
    </w:p>
    <w:p>
      <w:pPr>
        <w:pStyle w:val="Heading6"/>
        <w:numPr>
          <w:ilvl w:val="5"/>
          <w:numId w:val="1"/>
        </w:numPr>
        <w:rPr/>
      </w:pPr>
      <w:bookmarkStart w:id="102" w:name="__RefHeading___Toc763628_3244359995"/>
      <w:bookmarkStart w:id="103" w:name="_Toc39"/>
      <w:bookmarkEnd w:id="102"/>
      <w:r>
        <w:rPr>
          <w:rtl w:val="true"/>
        </w:rPr>
        <w:t>و هم و دفع</w:t>
      </w:r>
      <w:r>
        <w:rPr>
          <w:rtl w:val="true"/>
        </w:rPr>
        <w:t xml:space="preserve">: </w:t>
      </w:r>
      <w:r>
        <w:rPr>
          <w:rtl w:val="true"/>
        </w:rPr>
        <w:t>حول بطلان البحث لخروج المسبب عن الاختیار</w:t>
      </w:r>
      <w:bookmarkEnd w:id="1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و النزاع غیر صحیح، و من الغلط عقلا؛ و ذلک لأنّ المسبّب و المحصّل ممّا لا یمکن أن یتعلّق به الأمر؛ لخروجه عن</w:t>
      </w:r>
    </w:p>
    <w:p>
      <w:pPr>
        <w:pStyle w:val="BookText"/>
        <w:rPr/>
      </w:pPr>
      <w:r>
        <w:rPr>
          <w:rFonts w:ascii="IRNazanin" w:hAnsi="IRNazanin" w:eastAsia="IRNazanin"/>
          <w:color w:val="111111"/>
          <w:sz w:val="28"/>
          <w:sz w:val="28"/>
          <w:szCs w:val="28"/>
          <w:rtl w:val="true"/>
          <w:lang w:bidi="fa-IR"/>
        </w:rPr>
        <w:t xml:space="preserve">حدّ الاختیار و الاقتدار، کما ذهب العلّامة الخراسانیّ </w:t>
      </w:r>
      <w:r>
        <w:rPr>
          <w:rStyle w:val="FootnoteAnchor"/>
          <w:rtl w:val="true"/>
        </w:rPr>
        <w:footnoteReference w:id="123"/>
      </w:r>
      <w:r>
        <w:rPr>
          <w:rFonts w:ascii="IRNazanin" w:hAnsi="IRNazanin" w:eastAsia="IRNazanin"/>
          <w:color w:val="111111"/>
          <w:sz w:val="28"/>
          <w:sz w:val="28"/>
          <w:szCs w:val="28"/>
          <w:rtl w:val="true"/>
          <w:lang w:bidi="fa-IR"/>
        </w:rPr>
        <w:t xml:space="preserve">و النائینیّ رحمهما اللّه </w:t>
      </w:r>
      <w:r>
        <w:rPr>
          <w:rStyle w:val="FootnoteAnchor"/>
          <w:rtl w:val="true"/>
        </w:rPr>
        <w:footnoteReference w:id="124"/>
      </w:r>
      <w:r>
        <w:rPr>
          <w:rFonts w:ascii="IRNazanin" w:hAnsi="IRNazanin" w:eastAsia="IRNazanin"/>
          <w:color w:val="111111"/>
          <w:sz w:val="28"/>
          <w:sz w:val="28"/>
          <w:szCs w:val="28"/>
          <w:rtl w:val="true"/>
          <w:lang w:bidi="fa-IR"/>
        </w:rPr>
        <w:t>فی الأسباب التولیدیّة إلی أنّ المأمور به هو السبب، و المنهیّ عنه فی الأسباب التولیدیّة هو السبب، أو یکون مورد النهی المتعلّق بالمسبّب، و لذلک قال بحرمة السبب التولیدیّ فی مقدّمة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الفقهاء إلی امتناع تکلیف الکفّار بالعبادات؛ لامتناع حصول القربة، و إلی عدم صحّة النذر دون الیمین؛ لاعتبار القربة فی الأوّل دون الثانی، و ما ذلک إلّا للامتناع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یکفیک دفعا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 ظواهر الأدلّة المقتضیة لوجوب المسبّب، غیر جائز إلّا فی صورة اقتضاء العقل، و هو لا یدرک؛ لاختیاریّة المسبّب بعد کون السبب اختیاریّا، و الاقتدار علی السبب یکفی لمقدوریة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فالطهور و التملّک بالمعنی الحاصل المصدریّ و المسبّبی، و القتل، و احتراق الکتب الضالّة، و انکسار آلات اللهو و اللعب و القمار، و إن کان غیر مقدور، إلّا أنّه یکفی لحفظ ظواهر الأدلّة اختیاریّة السبب حتّی فی الأسباب التولیدیّة؛ ضرورة أنّ الحرکة المتولّدة بما أنّها صادرة عن الید، موضوع لانتزاع عنوان، و بما أنّها قائمة بالمفتاح موضوع لانتزاع العنوان الآخر، فالوجود و لو کان واحدا، إلّا أنّ هناک إضافتین، و التحلیل العقلیّ یکفی لوجوب التحفّظ علی ظواهر الأدلّة، و عدم سرایة النهی إلی السبب الصادر عنه الحرکة، و هکذا عدم تقیّد المحرّم المسبّبی بالسبب، بل المحرّم منحصر بالمسبّب بما هو هو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لأجله ذهب المشهور إلی جواز تکلیف الکفّار و عدم حرمة مقدّمة الحرام</w:t>
      </w:r>
      <w:bookmarkStart w:id="104" w:name="pg13177_117733"/>
    </w:p>
    <w:p>
      <w:pPr>
        <w:pStyle w:val="BookText"/>
        <w:rPr/>
      </w:pPr>
      <w:bookmarkEnd w:id="104"/>
      <w:r>
        <w:rPr>
          <w:rFonts w:ascii="IRNazanin" w:hAnsi="IRNazanin" w:eastAsia="IRNazanin"/>
          <w:color w:val="111111"/>
          <w:sz w:val="28"/>
          <w:sz w:val="28"/>
          <w:szCs w:val="28"/>
          <w:rtl w:val="true"/>
          <w:lang w:bidi="fa-IR"/>
        </w:rPr>
        <w:t>و أنّ نیّة الحرام کانت محرّمة فی الامم السالفة، دون الأمّة المرحومة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النیّة تقارن أحیانا الإرادة التی هی الجزء الأخیر للعلّة التامة؛ حسبما تحرّر منّا بوجه لا یتوجّه إلیه إشکال السیّد الاستاذ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المحرّم و الواجب ما هو مورد الاختیار و الاقتدار بلا وسط مثلا، للزم انحصارهما فی الإرادة؛ ضرورة أنّ کلّ فعل مسبّب و متولّد عن الإرادة و محصّل عنها، و إن لم یعدّ من الأسباب التولیدیّة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أقسام المسبّبات واردة فی محطّ النزاع، تولیدیّة کانت، أو غیر تولیدیّة، و ما یظهر من القوم من اختصاص غیر الأسباب التولیدیّة بالبحث فی المقام، فی غیر محلّه، فاغتنم</w:t>
      </w:r>
      <w:r>
        <w:rPr>
          <w:rFonts w:eastAsia="IRNazanin" w:cs="IRNazanin"/>
          <w:color w:val="111111"/>
          <w:sz w:val="28"/>
          <w:szCs w:val="28"/>
          <w:rtl w:val="true"/>
          <w:lang w:bidi="fa-IR"/>
        </w:rPr>
        <w:t>.</w:t>
      </w:r>
    </w:p>
    <w:p>
      <w:pPr>
        <w:pStyle w:val="Heading6"/>
        <w:numPr>
          <w:ilvl w:val="5"/>
          <w:numId w:val="1"/>
        </w:numPr>
        <w:rPr/>
      </w:pPr>
      <w:bookmarkStart w:id="105" w:name="__RefHeading___Toc763630_3244359995"/>
      <w:bookmarkStart w:id="106" w:name="_Toc40"/>
      <w:bookmarkEnd w:id="105"/>
      <w:r>
        <w:rPr>
          <w:rtl w:val="true"/>
        </w:rPr>
        <w:t>تحقیق و توضیح</w:t>
      </w:r>
      <w:r>
        <w:rPr>
          <w:rtl w:val="true"/>
        </w:rPr>
        <w:t xml:space="preserve">: </w:t>
      </w:r>
      <w:r>
        <w:rPr>
          <w:rtl w:val="true"/>
        </w:rPr>
        <w:t>فی انحصار السبب بالعقلی</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السبب إلی العقلیّ، و العقلائیّ، و الشرعیّ، أو إلی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المسبّب لیس موجودا فی الخارج، کالإحراق بالنسبة إلی الإلقاء فی النار حسبما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یرجع إلی المحصّل، بل السبب واحد و هو عقلیّ، إلّا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عقلیا ناشئا من رعایة کون الشی‌ء ممرّا للوجود و الفیض، کالإرادة بالنسبة إلی الحرکة، أو سببا لهدم الوجود، کما أنّ إطلاق البندقة و الذبح سبب لهدم النظام الدخیل فی الحیاة، و إیجاد النار و الإحراق سبب لهدم الوحدة الاتصالیّة المساوقة للوجود، فلا یکون الذبح و الإحراق سببا لمسبّب خارجیّ موجود عقیبه، بل و لا ممرّا للفیض، بل هو سبب لاختلال ما به الوجود و الحیاة الدنیویّة و الاتصال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الشرع عن السببیّة، کما فی الطهارات مثلا، و لذلک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الواجبات الشرعیّة ألطاف فی الواجبات العقلیّة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فعدّ الحرکات و الغسلات أسبابا شرعیّة غلط، إلّا علی وجه یأتی فی الأسباب و المسبّبات العقلائیّة الراجعة إلی العقلیّة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ما هو السبب و مفیض الوجود بتسامح، هی الغسلات و المسحات بالنسبة إلی الآثار المفیضة و النورانیّة القلبیة، بخلاف مثل الإحراق 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السببیّة و المسبّبیة اعتباریّة، و الاعتباریّات فی جمیع الجوانب اعتبار الطبیعیّات و 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المعاملات عند العقلاء سببا فالسببیّة عقلیّة؛ لترتّب المسبّب علیها بلا حالة انتظاریّة، و لکن لیس هناک ممرّ الفیض و موجد الوجود الطبیعیّ أو الإلهیّ، بل هناک اعتبار وجود عقب وجود، فکما أنّ أصل السبب اعتبار، و أصل المسبّب اعتبار، أصل التسبّب و الصدور و الممرّیّة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عن کفایة أحد الاعتبارات عن الآخر و عدمها، أجنبیّ عن هذه المسألة، فدخول العلّامة النائینیّ رحمه اللّه </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فی هذه الجهة خروج عن الجهة المبحوث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الإشباع السببیّ مع أنّه لیس إلّا سببا بالمعنی المحرّر فی الإحراق و الذبح، لیس أمرا وراء السببیّة العقلیّة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الطهور و لو کان اعتبارا کالملکیّة وراء الغسلات، و لکن</w:t>
      </w:r>
      <w:bookmarkStart w:id="107" w:name="pg13177_117735"/>
    </w:p>
    <w:p>
      <w:pPr>
        <w:pStyle w:val="BookText"/>
        <w:rPr/>
      </w:pPr>
      <w:bookmarkEnd w:id="107"/>
      <w:r>
        <w:rPr>
          <w:rFonts w:ascii="IRNazanin" w:hAnsi="IRNazanin" w:eastAsia="IRNazanin"/>
          <w:color w:val="111111"/>
          <w:sz w:val="28"/>
          <w:sz w:val="28"/>
          <w:szCs w:val="28"/>
          <w:rtl w:val="true"/>
          <w:lang w:bidi="fa-IR"/>
        </w:rPr>
        <w:t>المفروض هنا اعتبار السببیّة الطبیعیّة؛ بمعنی أنّ هنا وجودا مسبّبا عن وجود بلا حالة انتظاریّة، و هذا معنی السببیّة الشرعیّة و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الغسلات و المعاملات أسباب واقعا فی الاعتبار، أو موضوعات لاعتبار و أحکام و تعبّدات، فهو موکول إلی الفقه، و خارج عن مسألة البراءة و الاشتغال فی باب الأسباب و المحصّلات، فما تری فی کلام العلّامة الأراکیّ </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من الغور فی استظهار المسألة الفقهیّة هنا، فهو لعدم الوصول إلی مغزی المرام فی المقام الذی زلّت فیه الأقدام</w:t>
      </w:r>
      <w:r>
        <w:rPr>
          <w:rFonts w:eastAsia="IRNazanin" w:cs="IRNazanin"/>
          <w:color w:val="111111"/>
          <w:sz w:val="28"/>
          <w:szCs w:val="28"/>
          <w:rtl w:val="true"/>
          <w:lang w:bidi="fa-IR"/>
        </w:rPr>
        <w:t>.</w:t>
      </w:r>
    </w:p>
    <w:p>
      <w:pPr>
        <w:pStyle w:val="Heading6"/>
        <w:numPr>
          <w:ilvl w:val="5"/>
          <w:numId w:val="1"/>
        </w:numPr>
        <w:rPr/>
      </w:pPr>
      <w:bookmarkStart w:id="108" w:name="__RefHeading___Toc763632_3244359995"/>
      <w:bookmarkStart w:id="109" w:name="_Toc41"/>
      <w:bookmarkEnd w:id="108"/>
      <w:r>
        <w:rPr>
          <w:rtl w:val="true"/>
        </w:rPr>
        <w:t>تکمیل و تتمیم</w:t>
      </w:r>
      <w:r>
        <w:rPr>
          <w:rtl w:val="true"/>
        </w:rPr>
        <w:t xml:space="preserve">: </w:t>
      </w:r>
      <w:r>
        <w:rPr>
          <w:rtl w:val="true"/>
        </w:rPr>
        <w:t>فی عدم تقید المسبّب بالسبب الخاصّ</w:t>
      </w:r>
      <w:bookmarkEnd w:id="109"/>
    </w:p>
    <w:p>
      <w:pPr>
        <w:pStyle w:val="BookText"/>
        <w:rPr/>
      </w:pPr>
      <w:r>
        <w:rPr>
          <w:rFonts w:ascii="IRNazanin" w:hAnsi="IRNazanin" w:eastAsia="IRNazanin"/>
          <w:color w:val="111111"/>
          <w:sz w:val="28"/>
          <w:sz w:val="28"/>
          <w:szCs w:val="28"/>
          <w:rtl w:val="true"/>
          <w:lang w:bidi="fa-IR"/>
        </w:rPr>
        <w:t>إنّ مصبّ النزاع کما اشیر إلیه؛ هو أن یکون الأمر و المأمور به معلومین مبیّنین، من غیر أن یکون المسبّب مقیّدا بالسبب؛ بمعنی أنّ الواجب مثلا قتل الناصب، من غیر کونه مقیّدا بالقتل الحاصل من السبب الخاصّ، أو الطهور یکون واجبا، مع غیر کونه مقیّدا بالطهور الحاصل من السبب الواصل، أو التملیک واجبا من غیر کونه مقیّدا بالأجزاء المعلومة، بل المسبّب واجب علی الإطلاق؛ و أنّ السببیّة موجودة سواء کان عقلیّا طبیعیّا، أو عقلیّا اعتباریّا بالمعنی الذی عرفت، أو واقعیّا منکشفا بکشف الشرع، کما انکشف وجوب الغسل و الوضوء بالإناء و البول بناء علی السببیّة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سواء أن یکون السبب مفیض الوجود، أو ممرّ الفیض و الجود، أو اعتبار ذلک بالادعاء؛ نظرا إلی الآثار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ترقّب الوجود الخارجیّ الطبیعیّ من السبب الاعتباریّ اشتباه؛ فإنّ السبب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السببیّة</w:t>
      </w:r>
      <w:bookmarkStart w:id="110" w:name="pg13177_117736"/>
    </w:p>
    <w:p>
      <w:pPr>
        <w:pStyle w:val="BookText"/>
        <w:rPr/>
      </w:pPr>
      <w:bookmarkEnd w:id="110"/>
      <w:r>
        <w:rPr>
          <w:rFonts w:ascii="IRNazanin" w:hAnsi="IRNazanin" w:eastAsia="IRNazanin"/>
          <w:color w:val="111111"/>
          <w:sz w:val="28"/>
          <w:sz w:val="28"/>
          <w:szCs w:val="28"/>
          <w:rtl w:val="true"/>
          <w:lang w:bidi="fa-IR"/>
        </w:rPr>
        <w:t xml:space="preserve">إلّا فی الاعتبار، و لا یتولّد منه إلّا الملکیّة و المسبّب الاعتباریّ بتولید اعتباریّ، نظیر ترقّبهم الاشتداد و التضعّف التکوینیّ من النجاسة و الطهارة و السلطنة الاعتباریّات، کی یمنع ذلک فیها کما عن جمع ممّن لا تحصیل له؛ بتخیّل أنّ الاعتبار لا یقبل الاشتداد و التضعّف، کما تحرّر فی محلّه بما لا مزید علیه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763634_3244359995"/>
      <w:bookmarkStart w:id="112" w:name="_Toc42"/>
      <w:bookmarkEnd w:id="111"/>
      <w:r>
        <w:rPr>
          <w:rtl w:val="true"/>
        </w:rPr>
        <w:t>اختیار الاشتغال عند الشکّ فی المحصّل</w:t>
      </w:r>
      <w:bookmarkEnd w:id="112"/>
    </w:p>
    <w:p>
      <w:pPr>
        <w:pStyle w:val="BookText"/>
        <w:rPr/>
      </w:pPr>
      <w:r>
        <w:rPr>
          <w:rFonts w:ascii="IRNazanin" w:hAnsi="IRNazanin" w:eastAsia="IRNazanin"/>
          <w:color w:val="111111"/>
          <w:sz w:val="28"/>
          <w:sz w:val="28"/>
          <w:szCs w:val="28"/>
          <w:rtl w:val="true"/>
          <w:lang w:bidi="fa-IR"/>
        </w:rPr>
        <w:t>إذا تبیّنت هذه الامور، و اتضح موقف البحث و محطّ الکلام، فالاشتغال واضح؛ ضرورة أنّ العلم بالثبوت یستدعی العلم بالسقوط، و المفروض فی باب الأسباب و المحصّلات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تدخّل الشرع فی السبب بالاکتفاء برمی سهم واحد فی باب القتل الواجب؛ و أنّه إذا لم یتعقّبه القتل فقد انصرف عن مطلوبه، کما فی باب تنفیذ الطرق و الأمارات، فإنّه قد اعتبر حجّیة الطرق من غیر تقیّد الواقع بها، و بوصولها و إصابتها، و إذا أخطأت فلا بدّ عقلا من صرف النظر عن مطلوبه و انصرافه عن الواقع، و لو کان صحیحا فرضا فی محلّه علی ما عرفت تحقیقه </w:t>
      </w:r>
      <w:r>
        <w:rPr>
          <w:rStyle w:val="FootnoteAnchor"/>
          <w:rtl w:val="true"/>
        </w:rPr>
        <w:footnoteReference w:id="132"/>
      </w:r>
      <w:r>
        <w:rPr>
          <w:rFonts w:ascii="IRNazanin" w:hAnsi="IRNazanin" w:eastAsia="IRNazanin"/>
          <w:color w:val="111111"/>
          <w:sz w:val="28"/>
          <w:sz w:val="28"/>
          <w:szCs w:val="28"/>
          <w:rtl w:val="true"/>
          <w:lang w:bidi="fa-IR"/>
        </w:rPr>
        <w:t>، إلّا أنّه لا یصحّ هنا؛ لأنّ المفروض وصول وجوب قتل سابّ النبیّ صلّی اللّه علیه و آله و سلّم و الاحتمال المذکور لا یوجب قبح العقاب بلا بیان، و لا امتناع العقاب و أن یکون جزافا، سواء کان السبب ما ذکر، أو غیره من أقسام الأسباب العقلیّة، فالبراءة العقلیّة و العقلائیّة غیر جاریة بالضرورة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تمامیّة الحجّة علی المسبّب فی السعة و الضیق، تابعة لتمامیّة الحجّة علی السبب، ناشئ من توهّم تقیّد المسبّب بالسبب، و بعد ما عرفت من أنّ المسبّب واجب، و له الإطلاق مادّة و هیئة، و أنّه لیس فی البین إلّا دخالة السبب فی صدور</w:t>
      </w:r>
      <w:bookmarkStart w:id="113" w:name="pg13177_117737"/>
    </w:p>
    <w:p>
      <w:pPr>
        <w:pStyle w:val="BookText"/>
        <w:rPr/>
      </w:pPr>
      <w:bookmarkEnd w:id="113"/>
      <w:r>
        <w:rPr>
          <w:rFonts w:ascii="IRNazanin" w:hAnsi="IRNazanin" w:eastAsia="IRNazanin"/>
          <w:color w:val="111111"/>
          <w:sz w:val="28"/>
          <w:sz w:val="28"/>
          <w:szCs w:val="28"/>
          <w:rtl w:val="true"/>
          <w:lang w:bidi="fa-IR"/>
        </w:rPr>
        <w:t xml:space="preserve">المسبّب عنه صدورا واقعیّا، أو تسامحیّا، أو اعتباریّا، و الکلّ مشترک فی الحکم و الأثر، لا یبقی وجه للتخیّل المذکور کما عن بعض أهل الفضل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763636_3244359995"/>
      <w:bookmarkStart w:id="115" w:name="_Toc43"/>
      <w:bookmarkEnd w:id="114"/>
      <w:r>
        <w:rPr>
          <w:rtl w:val="true"/>
        </w:rPr>
        <w:t>بقی شی‌ء</w:t>
      </w:r>
      <w:r>
        <w:rPr>
          <w:rtl w:val="true"/>
        </w:rPr>
        <w:t xml:space="preserve">: </w:t>
      </w:r>
      <w:r>
        <w:rPr>
          <w:rtl w:val="true"/>
        </w:rPr>
        <w:t>فی حکم ما لا تصل إلیه العقول من الأسباب عند الشکّ</w:t>
      </w:r>
      <w:bookmarkEnd w:id="115"/>
    </w:p>
    <w:p>
      <w:pPr>
        <w:pStyle w:val="BookText"/>
        <w:rPr/>
      </w:pPr>
      <w:r>
        <w:rPr>
          <w:rFonts w:ascii="IRNazanin" w:hAnsi="IRNazanin" w:eastAsia="IRNazanin"/>
          <w:color w:val="111111"/>
          <w:sz w:val="28"/>
          <w:sz w:val="28"/>
          <w:szCs w:val="28"/>
          <w:rtl w:val="true"/>
          <w:lang w:bidi="fa-IR"/>
        </w:rPr>
        <w:t>و هو أنّ فی مثل الأسباب الواصلة إلیها عقول الناس، و غیر المتدخّل فیها الشرع، یکون الاشتغال متعیّنا؛ لأنّه یمکن للمکلّف العلم بالسقوط بعد العلم بالثبوت، فیرمی و یحرق حتّی یعلم بحصول قتل سابّ النبیّ صلّی اللّه علیه و اله و سلّم و الکتب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ما لا یصل إلیه عقول الناس، کالطهارات الثلاث و أمثالها، أو یکون للشرع التدخّل باعتبار جزء فیها أو شرط لها کالمعاملات، فلا یتمکّن المکلّف من العلم بالسقوط بعد العلم بالثبوت؛ لاحتمال دخالة شی‌ء فی السبب غیر الواصل إلیه و غیر المنکشف له، فعند ذلک البراءة العقلیّة و العقلائیّة و إن لم تکن جاریة؛ لکفایة صحّة العقوبة علی فرض الإصابة، و سببیّة المقدار الواصل بعد العلم بالأمر و المأمور به علی الإطلاق کما عرفت، و لکن البراءة الشرعیّة تجری؛ لعدم تنجّز الواقع فی صورة الجهالة بالجزء و الشرط المرفوعین بالحدیث؛ و أنّ رفع الجزئیّة و الشرطیّة المجهولتین، لا معنی له إلّا اکتفاء الشرع بسببیّة الأجزاء الاخر، فکما أنّ فی الأقلّ و الأکثر برفعهما لا معنی له إلّا الاکتفاء بالباقی؛ لأنّ المرفوع هناک جزئیّة الشی‌ء للمأمور به و شرطیّة المحتمل للمکلّف به، یکون هنا ما هو المرفوع جزئیّة الشی‌ء و شرطیّته للسبب، فلا یکون من الأصل المثبت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عدّة أجزاء سببا اعتباریا أو منکشفا بالأدلّة، و شکّ فی الجزء الزائد و اضیف إلی ذلک المعلوم قول المعصوم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الجزء الفلانیّ غیر دخیل فی صورة الشکّ و ظرف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یستنتج منه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و إن لم یکن مثل الأقلّ و الأکثر؛ ضرورة أنّ المأمور به مبیّن، و لا بدّ من سبب یتسبّب به إلیه، إلّا أنّ السببیّة العقلائیّة المعتبرة عن السبب العقلیّ، و السببیّة الشرعیّة المنکشفة بالشرع، تتقوّم بالتعبّد إمضاء فی الاولی، و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فإذا احتاجت إلی التعبّد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بالنسبة إلی الأجزاء المعلومة واضح و معلوم، و بالنسبة إلی الجزء الزائد مشکوک فیه، فإذا رفع ذلک بالتعبّد تبقی بقیّة الأجزاء المتعبّد بها، و لا تصحّ العقوبة علی ترک المأمور به الواقعیّ من ناحیة ترک الجزء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مثل ذلک من الواسطة الخفیّة و من الخارج عن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العقلاء، و تقبیح العقاب بعد رفع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جمیع هذه التقاریب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التقریب المنتهی إلی التفصیل بین الأسباب الاعتباریّة و الشرعیّة؛ بتوهّم أنّ فی باب الأسباب العقلائیّة لمکان عدم السببیّة الواقعیّة، و إمکان التعبّد بسببیّة الأجزاء المعلومة دون الشرعیّة؛ لأنّها منکشفات بالشرع، فلا یتدخلّ فیها الشرع، و لا تنالها ید التشریع، یمکن إجراء البراءة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هو باب السببیّة و المسبّبیة الواقعیّة، أو الادعائیّة و الاعتباریّة، فلا بدّ من العلم بتحقّق السبب الواقعیّ أو الادعائیّ بالمقدار المیسور، و ذلک العلم إمّا یکون علما وجدانیّا، أو تعبّدیا، و الکلّ منتف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طریق إلی حلّ معضلة المثبتیّة إلّا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حدیث الرفع استثناء بالنسبة إلی الأدلّة الواقعیّة، فلا یکون حکما ظاهریّا، بل هو حکم واقعیّ اجتهادیّ، أو یکون بحکم الاجتهادیّ، و یرفع الجزء؛ بمعنی رفع المسبّب من ناحیة رفع الجزء فی المسبّب الواقعی، کما فی الأسباب الشرعیّة، أو رفع الجزئیّة بمعنی دخالتها فی الأثر فی الادعاء و الاعتبار، کما فی الأسباب العقلائیّة</w:t>
      </w:r>
      <w:r>
        <w:rPr>
          <w:rFonts w:eastAsia="IRNazanin" w:cs="IRNazanin"/>
          <w:color w:val="111111"/>
          <w:sz w:val="28"/>
          <w:szCs w:val="28"/>
          <w:rtl w:val="true"/>
          <w:lang w:bidi="fa-IR"/>
        </w:rPr>
        <w:t>.</w:t>
      </w:r>
      <w:bookmarkStart w:id="116" w:name="pg13177_117739"/>
    </w:p>
    <w:p>
      <w:pPr>
        <w:pStyle w:val="Heading5"/>
        <w:numPr>
          <w:ilvl w:val="4"/>
          <w:numId w:val="1"/>
        </w:numPr>
        <w:rPr/>
      </w:pPr>
      <w:bookmarkStart w:id="117" w:name="__RefHeading___Toc763638_3244359995"/>
      <w:bookmarkStart w:id="118" w:name="_Toc44"/>
      <w:bookmarkEnd w:id="116"/>
      <w:bookmarkEnd w:id="117"/>
      <w:r>
        <w:rPr>
          <w:rtl w:val="true"/>
        </w:rPr>
        <w:t>البحث السادس فی الشبهة الموضوعیّة للأقلّ و الأکثر</w:t>
      </w:r>
      <w:bookmarkEnd w:id="118"/>
    </w:p>
    <w:p>
      <w:pPr>
        <w:pStyle w:val="Heading6"/>
        <w:numPr>
          <w:ilvl w:val="5"/>
          <w:numId w:val="1"/>
        </w:numPr>
        <w:rPr/>
      </w:pPr>
      <w:bookmarkStart w:id="119" w:name="__RefHeading___Toc763640_3244359995"/>
      <w:bookmarkStart w:id="120" w:name="_Toc45"/>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و حیث تعرّض جمع من الأصحاب رحمهم اللّه لمطلق الشبهات، نشیر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منّا تفصیل الشبهات الموضوعیّة للتکالیف النفسیّة التحریمیّة و الإیجابیّة فی العامّ الاستغراقیّ، و ذکرنا هناک تعیّن البراءة العقلیّة و غیرها</w:t>
      </w:r>
      <w:r>
        <w:rPr>
          <w:rStyle w:val="FootnoteAnchor"/>
          <w:rtl w:val="true"/>
        </w:rPr>
        <w:footnoteReference w:id="134"/>
      </w:r>
      <w:r>
        <w:rPr>
          <w:rFonts w:ascii="IRNazanin" w:hAnsi="IRNazanin" w:eastAsia="IRNazanin"/>
          <w:color w:val="111111"/>
          <w:sz w:val="28"/>
          <w:sz w:val="28"/>
          <w:szCs w:val="28"/>
          <w:rtl w:val="true"/>
          <w:lang w:bidi="fa-IR"/>
        </w:rPr>
        <w:t xml:space="preserve">، خلافا لسیّدنا الاستاذ البروجردیّ رحمه اللّه و العلّامة الإیروانیّ فی اللباس المشکوک </w:t>
      </w:r>
      <w:r>
        <w:rPr>
          <w:rStyle w:val="FootnoteAnchor"/>
          <w:rtl w:val="true"/>
        </w:rPr>
        <w:footnoteReference w:id="135"/>
      </w:r>
      <w:r>
        <w:rPr>
          <w:rFonts w:ascii="IRNazanin" w:hAnsi="IRNazanin" w:eastAsia="IRNazanin"/>
          <w:color w:val="111111"/>
          <w:sz w:val="28"/>
          <w:sz w:val="28"/>
          <w:szCs w:val="28"/>
          <w:rtl w:val="true"/>
          <w:lang w:bidi="fa-IR"/>
        </w:rPr>
        <w:t xml:space="preserve">، کما ذکرنا وجه التفصیل فی وجوب الفحص عنها، کما عن شیخ مشایخنا جدّ أولادی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ما فیه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توهّم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فیما نحن فیه من الشکّ فی الأقلّ و الأکثر الاستقلالیّین </w:t>
      </w:r>
      <w:r>
        <w:rPr>
          <w:rStyle w:val="FootnoteAnchor"/>
          <w:rtl w:val="true"/>
        </w:rPr>
        <w:footnoteReference w:id="138"/>
      </w:r>
      <w:r>
        <w:rPr>
          <w:rFonts w:ascii="IRNazanin" w:hAnsi="IRNazanin" w:eastAsia="IRNazanin"/>
          <w:color w:val="111111"/>
          <w:sz w:val="28"/>
          <w:sz w:val="28"/>
          <w:szCs w:val="28"/>
          <w:rtl w:val="true"/>
          <w:lang w:bidi="fa-IR"/>
        </w:rPr>
        <w:t>، غافلا عن أنّ فی الأکثر الاستقلالیّ امتثالا واحدا لأمره، بخلاف ما نحن فیه، فإنّ إکرام جماعة من العلماء إطاعات و امتثالات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مباحث البراءة حکم مورد الشکّ فی العامّ المجموعیّ؛ و أنّه لیس من قبیل المحصّل و المحصّل </w:t>
      </w:r>
      <w:r>
        <w:rPr>
          <w:rStyle w:val="FootnoteAnchor"/>
          <w:rtl w:val="true"/>
        </w:rPr>
        <w:footnoteReference w:id="139"/>
      </w:r>
      <w:r>
        <w:rPr>
          <w:rFonts w:ascii="IRNazanin" w:hAnsi="IRNazanin" w:eastAsia="IRNazanin"/>
          <w:color w:val="111111"/>
          <w:sz w:val="28"/>
          <w:sz w:val="28"/>
          <w:szCs w:val="28"/>
          <w:rtl w:val="true"/>
          <w:lang w:bidi="fa-IR"/>
        </w:rPr>
        <w:t>، کما عن الشیخ حتّی اختار الاحتیاط</w:t>
      </w:r>
      <w:r>
        <w:rPr>
          <w:rStyle w:val="FootnoteAnchor"/>
          <w:rtl w:val="true"/>
        </w:rPr>
        <w:footnoteReference w:id="140"/>
      </w:r>
      <w:r>
        <w:rPr>
          <w:rFonts w:ascii="IRNazanin" w:hAnsi="IRNazanin" w:eastAsia="IRNazanin"/>
          <w:color w:val="111111"/>
          <w:sz w:val="28"/>
          <w:sz w:val="28"/>
          <w:szCs w:val="28"/>
          <w:rtl w:val="true"/>
          <w:lang w:bidi="fa-IR"/>
        </w:rPr>
        <w:t>، و لا من الأقلّ و الأکثر</w:t>
      </w:r>
      <w:r>
        <w:rPr>
          <w:rStyle w:val="FootnoteAnchor"/>
          <w:rtl w:val="true"/>
        </w:rPr>
        <w:footnoteReference w:id="141"/>
      </w:r>
      <w:r>
        <w:rPr>
          <w:rFonts w:ascii="IRNazanin" w:hAnsi="IRNazanin" w:eastAsia="IRNazanin"/>
          <w:color w:val="111111"/>
          <w:sz w:val="28"/>
          <w:sz w:val="28"/>
          <w:szCs w:val="28"/>
          <w:rtl w:val="true"/>
          <w:lang w:bidi="fa-IR"/>
        </w:rPr>
        <w:t>، کی یقال بالبراءة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راجع إلی مسألة کون المأمور به أمرا انتزاعیّا، یکون الخارج ظرف نفسه، لا وجوده، و أنّ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عن المائة، و مشکوک عن التسعین؛ لاحتمال کون العشرة من العلماء، و حیث لا وجود للأمر الانتزاعیّ، و لا ما هو فی الخارج محصّل، کی یکون السبب الخارجیّ محصّله و سببه فی الاعتبار و الادعاء، و لا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البسائط المنحلّة بالنظرة الثانیة إلی الأجزاء، بل هو فی النظر الأوّل متّحد مع الخارج، و موجود بوجود ما فیه، و لا یوصف بالصحّة و الفساد، و لا بالنقص و الکمال فی مفروض البحث، فلا یکون من قبیل المحصّلات، و لا من قبیل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الأقلّ و الأکثر غلط؛ لعدم الوصول إلی حقیقة الأقلّ و الأکثر؛ فإنّ مثل الصلاة و العمرة و الحجّ، یکون الخارج ظرف نفسها و وجودها؛ لوجود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بخلاف الانتزاعیّات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یرجع الشکّ إلی تنجّز التکلیف؛ للشکّ فی تحقّق الموضوع اللازم إحرازه فی تنجّزه، کما فی العامّ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العلم بأنّ التسعین من العلماء، و إذا ضمّ إلیهم العشرة یکون المأمور به معلوما، غیر کاف؛ لعدم العلم الإجمالیّ بالموضوع، بل هو من قبیل الشکّ فی تحقّق مصداق للعالم فی العامّ الاصولیّ،</w:t>
      </w:r>
    </w:p>
    <w:p>
      <w:pPr>
        <w:pStyle w:val="BookText"/>
        <w:rPr/>
      </w:pPr>
      <w:r>
        <w:rPr>
          <w:rFonts w:ascii="Amiri" w:hAnsi="Amiri" w:eastAsia="Amiri" w:cs="Amiri"/>
          <w:color w:val="111111"/>
          <w:sz w:val="28"/>
          <w:sz w:val="28"/>
          <w:szCs w:val="28"/>
          <w:rtl w:val="true"/>
          <w:lang w:bidi="ar-SA"/>
        </w:rPr>
        <w:t>فلیتأمّل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بعد اللتیّا و التی یتعیّن الاشتغال؛ لتمامیّة شرط تنجیز التکلیف، و هو العلم بتحقّق صغری الکبری المعلومة، إلّا أنّه علم مخلوط بالجهالة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فیما سلف، حکم مورد الشکّ فی العامّ الاستغراقیّ و المجموعیّ، کما فی حرمة حلق اللحیة، و یظهر علی هذا حکم الشبهات التحریمیّة و الإیجابیّة؛ من تعیّن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الصورة الأخیرة لا یجوز حلق مجموع اللحیة؛ لأنّه إمّا یحرم لکونه من الاستغراقیّ، أو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تجری البراءة الشرعیّة بالنسبة إلی الأکثر فی العامّ المجموعیّ إلّا بجریانها بالنسبة إلی الکلّ، و حیث لا تجری بالنسبة إلیه بالضرورة، لا تجری بالنسبة إلی الأکثر، إلّا علی 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البراءة الشرعیّة فی کلّ مورد، کمفاد الدلیل الاجتهادیّ القائم مثلا فیما نحن فیه علی عدم وجوب إکرام الأکثر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أنّ توهّم کون صرف الوجود مورد الأمر و النهی </w:t>
      </w:r>
      <w:r>
        <w:rPr>
          <w:rStyle w:val="FootnoteAnchor"/>
          <w:rtl w:val="true"/>
        </w:rPr>
        <w:footnoteReference w:id="142"/>
      </w:r>
      <w:r>
        <w:rPr>
          <w:rFonts w:ascii="IRNazanin" w:hAnsi="IRNazanin" w:eastAsia="IRNazanin"/>
          <w:color w:val="111111"/>
          <w:sz w:val="28"/>
          <w:sz w:val="28"/>
          <w:szCs w:val="28"/>
          <w:rtl w:val="true"/>
          <w:lang w:bidi="fa-IR"/>
        </w:rPr>
        <w:t>، غلط؛ لأنّ الوجود لیس وجودا إلّا فی محطّ لا یعقل أمر و لا نهی، و الوجود الساری أیضا کذلک، بل الطبیعة إمّا متعلّق الحکم، أو متعلّق المتعلّق، أو یکون فرد الطبیعة متعلّق المتعلّق، کما فی إیجاب إکرام زید، و تحریم شرب کلّ خمر، فاغتنم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القضیّة النعتیّة علی شکل القضیّة المعدولة مورد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المأمور به أن یکون عادلا، أو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یرجع إلی العامّ المجموعی و الأمر الانتزاعیّ، أو إلی المحصّل، و لیس قسما علی حدة کما تحرّر فی مبحثه </w:t>
      </w:r>
      <w:r>
        <w:rPr>
          <w:rStyle w:val="FootnoteAnchor"/>
          <w:rtl w:val="true"/>
        </w:rPr>
        <w:footnoteReference w:id="143"/>
      </w:r>
      <w:r>
        <w:rPr>
          <w:rFonts w:ascii="IRNazanin" w:hAnsi="IRNazanin" w:eastAsia="IRNazanin"/>
          <w:color w:val="111111"/>
          <w:sz w:val="28"/>
          <w:sz w:val="28"/>
          <w:szCs w:val="28"/>
          <w:rtl w:val="true"/>
          <w:lang w:bidi="fa-IR"/>
        </w:rPr>
        <w:t>، فلا تغفل، و الأمر سهل</w:t>
      </w:r>
      <w:r>
        <w:rPr>
          <w:rFonts w:eastAsia="IRNazanin" w:cs="IRNazanin"/>
          <w:color w:val="111111"/>
          <w:sz w:val="28"/>
          <w:szCs w:val="28"/>
          <w:rtl w:val="true"/>
          <w:lang w:bidi="fa-IR"/>
        </w:rPr>
        <w:t>.</w:t>
      </w:r>
      <w:bookmarkStart w:id="121" w:name="pg13177_117742"/>
    </w:p>
    <w:p>
      <w:pPr>
        <w:pStyle w:val="Heading6"/>
        <w:numPr>
          <w:ilvl w:val="5"/>
          <w:numId w:val="1"/>
        </w:numPr>
        <w:rPr/>
      </w:pPr>
      <w:bookmarkStart w:id="122" w:name="__RefHeading___Toc763642_3244359995"/>
      <w:bookmarkStart w:id="123" w:name="_Toc46"/>
      <w:bookmarkEnd w:id="121"/>
      <w:bookmarkEnd w:id="122"/>
      <w:r>
        <w:rPr>
          <w:rtl w:val="true"/>
        </w:rPr>
        <w:t>بسط و بحث</w:t>
      </w:r>
      <w:r>
        <w:rPr>
          <w:rtl w:val="true"/>
        </w:rPr>
        <w:t xml:space="preserve">: </w:t>
      </w:r>
      <w:r>
        <w:rPr>
          <w:rtl w:val="true"/>
        </w:rPr>
        <w:t>فی بیان سرّ عدم التمسّک بأدلّة الحلّ و البراءة فی المقام</w:t>
      </w:r>
      <w:bookmarkEnd w:id="123"/>
    </w:p>
    <w:p>
      <w:pPr>
        <w:pStyle w:val="BookText"/>
        <w:rPr/>
      </w:pPr>
      <w:r>
        <w:rPr>
          <w:rFonts w:ascii="IRNazanin" w:hAnsi="IRNazanin" w:eastAsia="IRNazanin"/>
          <w:color w:val="111111"/>
          <w:sz w:val="28"/>
          <w:sz w:val="28"/>
          <w:szCs w:val="28"/>
          <w:rtl w:val="true"/>
          <w:lang w:bidi="fa-IR"/>
        </w:rPr>
        <w:t>قد استقرّت آراء الفضلاء علی الاحتیاط فی مورد الشکّ فی واجدیّة المأمور به للقید المعلومة قیدیّته، و الشرط المعلومة شرطیّته، کالطهارات، و القبلة، و فری الأوداج الأربعة بالحدید، و هکذا ممّا تکون الطبیعة مشروطة بشرط وجودیّ أو عدمیّ؛ نظرا إلی وجوب امتثال الأمر المعلوم ثبوته، و لزوم القطع بسقوطه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فی جمیع هذه الموارد یشکّ فی حلّیة الطبیعة الفاقدة، و جواز الإتیان بها؛ لاحتمال کونها واجدة، فإذا فرضنا أنّ الواجب علی کلّ مکلّف لیس إلّا صلاة ظهر واحدة، و صلاة کسوف واحدة؛ و لا یجوز تکرار تلک الصلاة، و کان مقتضی أدلّة الحلّ و البراءة حلّیة تلک الصلاة، یلزم سقوط الأمر المعلوم؛ لأنّ الشکّ المذکور یرجع إلی الشکّ فی حلّیة الصلاة المأمور بها، و تصیر النتیجة هی الاجتزاء بالفاقد، و إذا دلّ دلیل ظاهریّ علی حلّیتها فلا معنی لبقاء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أدلّة البراءة هی حلّیة تلک الصلاة؛ نظرا إلی حرمة التشریع، فی غیر محلّه؛ لأنّ هذه الحلّیة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المشکوک فیه هی الصلاة المأمور بها بالأمر الخاصّ فی الیوم، و أن یؤتی بها بقصد ذلک الأمر، فعندئذ لا معنی لحلّیتها إلّا سقوط أمرها قهرا، نظیر التمسّک بدلیل الحلّیة الظاهریّة لجواز الصلاة فی الثوب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المعلوم هی صلاة الظهر الواحدة الواجبة، و لذلک یجوز التکرار بالإعادة إمّا فی خصوص الجماعة، أو مطلقا کما قوّیناه فی الفقه، فلا یلزم من حلّیة تلک الفاقدة سقوط الأمر الإلزامیّ المعلوم المتوجّه إلی المقیّد و المشروط و الأکثر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حلّیة العبادة مشروطة بالأمر، لا یمکن کشف الأمر بدلیل</w:t>
      </w:r>
      <w:bookmarkStart w:id="124" w:name="pg13177_117743"/>
    </w:p>
    <w:p>
      <w:pPr>
        <w:pStyle w:val="BookText"/>
        <w:rPr/>
      </w:pPr>
      <w:bookmarkEnd w:id="124"/>
      <w:r>
        <w:rPr>
          <w:rFonts w:ascii="IRNazanin" w:hAnsi="IRNazanin" w:eastAsia="IRNazanin"/>
          <w:color w:val="111111"/>
          <w:sz w:val="28"/>
          <w:sz w:val="28"/>
          <w:szCs w:val="28"/>
          <w:rtl w:val="true"/>
          <w:lang w:bidi="fa-IR"/>
        </w:rPr>
        <w:t>الحلّ الظاهریّ، فمجرّد شمول إطلاق دلیل الحلّ لا یکفی لحلّیة الصلاة و العبادة و سائر المرکّبات و المقیّدات تکلیفا 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حلّیة التسبّب بالمعاطاة للملکیّة و کونها حلالا وضعا، لا یقتضی کون المعاطاة، سببا أو موضوعا تامّا لاعتبار الملکیّة العقلائیّة وراء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یبقی حکم العقل بلزوم العلم بالسقوط بعد العلم بالثبوت فی العبادات، و تبقی أصالة الفساد فی المعاملات علی حالهما، و ستأتی زیادة توضیح حول الشبهة الموضوعیّة للأقلّ و الأکثر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عدم التمسّک بأدلّة الحلّ أو البراءة أنّ مجرّد شمول العموم و الإطلاق للأدلّة الظاهریّة غیر کاف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کانت مخصوصة بمورد، لا بدّ فی ذلک المورد من الفرار من اللغویّة، کما فی مورد قاعدة التجاوز و الاستصحاب، فتبیّن التمسّک به</w:t>
      </w:r>
      <w:r>
        <w:rPr>
          <w:rFonts w:eastAsia="IRNazanin" w:cs="IRNazanin"/>
          <w:color w:val="111111"/>
          <w:sz w:val="28"/>
          <w:szCs w:val="28"/>
          <w:rtl w:val="true"/>
          <w:lang w:bidi="fa-IR"/>
        </w:rPr>
        <w:t>.</w:t>
      </w:r>
    </w:p>
    <w:p>
      <w:pPr>
        <w:pStyle w:val="Heading6"/>
        <w:numPr>
          <w:ilvl w:val="5"/>
          <w:numId w:val="1"/>
        </w:numPr>
        <w:rPr/>
      </w:pPr>
      <w:bookmarkStart w:id="125" w:name="__RefHeading___Toc763644_3244359995"/>
      <w:bookmarkStart w:id="126" w:name="_Toc47"/>
      <w:bookmarkEnd w:id="125"/>
      <w:r>
        <w:rPr>
          <w:rtl w:val="true"/>
        </w:rPr>
        <w:t>بقی تنبیه</w:t>
      </w:r>
      <w:r>
        <w:rPr>
          <w:rtl w:val="true"/>
        </w:rPr>
        <w:t xml:space="preserve">: </w:t>
      </w:r>
      <w:r>
        <w:rPr>
          <w:rtl w:val="true"/>
        </w:rPr>
        <w:t>حول متعلق الأمر أو النهی</w:t>
      </w:r>
      <w:bookmarkEnd w:id="126"/>
    </w:p>
    <w:p>
      <w:pPr>
        <w:pStyle w:val="BookText"/>
        <w:rPr/>
      </w:pPr>
      <w:r>
        <w:rPr>
          <w:rFonts w:ascii="IRNazanin" w:hAnsi="IRNazanin" w:eastAsia="IRNazanin"/>
          <w:color w:val="111111"/>
          <w:sz w:val="28"/>
          <w:sz w:val="28"/>
          <w:szCs w:val="28"/>
          <w:rtl w:val="true"/>
          <w:lang w:bidi="fa-IR"/>
        </w:rPr>
        <w:t xml:space="preserve">قد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متعلّق الأمر أو النهی إمّا یکون علی نعت العموم الاصولیّ، أو العامّ المجموعیّ، أو نفس الطبیعة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أو غیر ذلک ممّا اشیر إلیه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الموجودات الجوهریّة الخارجیّة غیر الراجعة إلی معنی حدثیّ، لا یمکن أن یتعلّق بها الأمر و النهی، فلا یعقل أن یتعلّق الأمر أو النهی بالعالم</w:t>
      </w:r>
    </w:p>
    <w:p>
      <w:pPr>
        <w:pStyle w:val="BookText"/>
        <w:rPr/>
      </w:pPr>
      <w:r>
        <w:rPr>
          <w:rFonts w:ascii="IRNazanin" w:hAnsi="IRNazanin" w:eastAsia="IRNazanin"/>
          <w:color w:val="111111"/>
          <w:sz w:val="28"/>
          <w:sz w:val="28"/>
          <w:szCs w:val="28"/>
          <w:rtl w:val="true"/>
          <w:lang w:bidi="fa-IR"/>
        </w:rPr>
        <w:t>أو الفاسق، بل الجواهر فی جمیع الصور تکون متعلّق المتعلّق، و یکون المعنی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إکرام العالم و هتک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الإیجاب و التحریم، فتحریم الخمر و المیتة معناه تحریم أکلها و شربها، و 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مورد الأمر أو النهی لیس إلّا الطبیعة، إلّا أنّها فی صورة إفادتها بشکل العامّ الاصولیّ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وجوب الوفاء بکلّ عقد، فالوفاء و هو الطبیعة واجب أیضا، و إذا اضیف إلی نفس الطبیعة الخارجیّة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عتق الرقبة، و یکفی الواحد، و یکون المتعلّق أیضا طبیعة العتق، و هکذا فی مثل إیجاب الصلاة، و تحریم الغیبة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متعلق الأمر و النهی أربعة أقسام أو خمسة</w:t>
      </w:r>
      <w:r>
        <w:rPr>
          <w:rStyle w:val="FootnoteAnchor"/>
          <w:rtl w:val="true"/>
        </w:rPr>
        <w:footnoteReference w:id="148"/>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العامّ المجموعیّ علی حاله، إلّا أنّه لا أظنّ مثالا له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أمر و هو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هو الطبیعیّ المضاف إلی الأمر الخارجیّ الجوهریّ المفروض الوجود، و یکون فی حکم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وجود العالم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وجود الرقبة یجب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وجود المسجد تجب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المأمور به المضاف إلی الأمر الخارجیّ، أعمّ من کون الخارج مضافا إلیه و موضوعا کالعالم، أو متعلّقا به کالمسجد و العقد، فإنّه علی تقدیر وجود العقد یجب الوفاء به و هکذا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کذلک حتّی فی ناحیة النهی؛ بناء علی استهجان النهی عن شرب الخمر غیر الموجودة فی العالم، کتحریم أکل لحم العنقاء، علی الوجه الذی مرّ فی</w:t>
      </w:r>
      <w:bookmarkStart w:id="127" w:name="pg13177_117745"/>
    </w:p>
    <w:p>
      <w:pPr>
        <w:pStyle w:val="BookText"/>
        <w:rPr/>
      </w:pPr>
      <w:bookmarkEnd w:id="127"/>
      <w:r>
        <w:rPr>
          <w:rFonts w:ascii="IRNazanin" w:hAnsi="IRNazanin" w:eastAsia="IRNazanin"/>
          <w:color w:val="111111"/>
          <w:sz w:val="28"/>
          <w:sz w:val="28"/>
          <w:szCs w:val="28"/>
          <w:rtl w:val="true"/>
          <w:lang w:bidi="fa-IR"/>
        </w:rPr>
        <w:t xml:space="preserve">مباحث العلم الإجمالیّ </w:t>
      </w:r>
      <w:r>
        <w:rPr>
          <w:rStyle w:val="FootnoteAnchor"/>
          <w:rtl w:val="true"/>
        </w:rPr>
        <w:footnoteReference w:id="149"/>
      </w:r>
      <w:r>
        <w:rPr>
          <w:rFonts w:ascii="IRNazanin" w:hAnsi="IRNazanin" w:eastAsia="IRNazanin"/>
          <w:color w:val="111111"/>
          <w:sz w:val="28"/>
          <w:sz w:val="28"/>
          <w:szCs w:val="28"/>
          <w:rtl w:val="true"/>
          <w:lang w:bidi="fa-IR"/>
        </w:rPr>
        <w:t>و حدیث 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للهیئة إطلاق و للإرادة سعة؛ علی وجه یقتضی تحصیل الموضوع، کما هو کذلک فی التستّر فی الصلاة و التوضّؤ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یکون الأمر کذلک أحیانا فی المسجد؛ بأن یکون الوجوب علی وجه یقتضی إیجاد المسجد و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منه تعمیر البیت العتیق، و الطواف حوله، و تحصیل مقام إبراهیم، و الصلاة خلفه، و یکون الواجب عقلا التحفّظ علی المروة و الصفا کی یسعی بینهما، فلو 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یستولی علیهما الماء، و لا یخرّبهما السلطان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علیه ذلک عقلا؛ نظرا إلی وجوب السعی و الطواف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بالنسبة إلی المقام فی منی و عرفات، و قد مرّ بعض البحث حوله فی المجلّد الأوّل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إیجاب کون العادل فی المجتمع؛ للحاجة إلیه فی إدارة الامّة الإسلامیّة فی إقامة الحقّ، و إبطال الباطل فی مرحلة المخاصمة و هکذا، فلا تغفل، و لا تکن من الغافلین</w:t>
      </w:r>
      <w:r>
        <w:rPr>
          <w:rFonts w:eastAsia="IRNazanin" w:cs="IRNazanin"/>
          <w:color w:val="111111"/>
          <w:sz w:val="28"/>
          <w:szCs w:val="28"/>
          <w:rtl w:val="true"/>
          <w:lang w:bidi="fa-IR"/>
        </w:rPr>
        <w:t>.</w:t>
      </w:r>
    </w:p>
    <w:p>
      <w:pPr>
        <w:pStyle w:val="Heading6"/>
        <w:numPr>
          <w:ilvl w:val="5"/>
          <w:numId w:val="1"/>
        </w:numPr>
        <w:rPr/>
      </w:pPr>
      <w:bookmarkStart w:id="128" w:name="__RefHeading___Toc763646_3244359995"/>
      <w:bookmarkStart w:id="129" w:name="_Toc48"/>
      <w:bookmarkEnd w:id="128"/>
      <w:r>
        <w:rPr>
          <w:rtl w:val="true"/>
        </w:rPr>
        <w:t>حکم الأجزاء الخارجیّة و التحلیلیّة هنا</w:t>
      </w:r>
      <w:bookmarkEnd w:id="129"/>
    </w:p>
    <w:p>
      <w:pPr>
        <w:pStyle w:val="BookText"/>
        <w:rPr/>
      </w:pPr>
      <w:r>
        <w:rPr>
          <w:rFonts w:ascii="IRNazanin" w:hAnsi="IRNazanin" w:eastAsia="IRNazanin"/>
          <w:color w:val="111111"/>
          <w:sz w:val="28"/>
          <w:sz w:val="28"/>
          <w:szCs w:val="28"/>
          <w:rtl w:val="true"/>
          <w:lang w:bidi="fa-IR"/>
        </w:rPr>
        <w:t>بقی تمام الکلام فی الشبهة الموضوعیّة للأقلّ و الأکثر بالنسبة إلی الأجزاء الخارجیّة و التحلیلیّة و حکمها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بعض السور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للشیروانیّ، سورة قرآنیة، و حیث إنّ الواجب مثلا هی الصلاة المنحلّة بالنظرة الثانیة</w:t>
      </w:r>
    </w:p>
    <w:p>
      <w:pPr>
        <w:pStyle w:val="BookText"/>
        <w:rPr/>
      </w:pPr>
      <w:r>
        <w:rPr>
          <w:rFonts w:ascii="IRNazanin" w:hAnsi="IRNazanin" w:eastAsia="IRNazanin"/>
          <w:color w:val="111111"/>
          <w:sz w:val="28"/>
          <w:sz w:val="28"/>
          <w:szCs w:val="28"/>
          <w:rtl w:val="true"/>
          <w:lang w:bidi="fa-IR"/>
        </w:rPr>
        <w:t>إلی الأجزاء المبیّنة، و یشکّ فی السورة، فلا بدّ من إتیان السورة المعلومة علی الاشتغال مثلا، فالأوامر الغیریّة و الضمنیّة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الأباطیل ثبوتا بالنسبة إلی الثانیة، و إثباتا بالنسبة إلی الاولی، و لکنّ الأمر النفسیّ المتعلّق بتلک الطبیعة المنحلّة إلی الکثرة المبیّنة فی الأدلّة، یقتضی إتیان ما هو السورة القطعیّة، کما إذا تعلّق الأمر بنفس طبیعة إکرام العالم، فإنّه لا معنی لأن یجتزئ بما هو المشکوک إلّا علی الوجه الذی عرفت منّا احتماله، فعلیه تکون الشبهة فی تلک السورة أنّها سورة، من الشبهة الخارجیّة للأقلّ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مجرّد الشکّ فی وجود الطهور و الوضوء، و کون الثوب مباحا و ممّا یؤکل، من الشبهة الموضوعیّة؛ لأنّ الشکّ المذکور بعد ما لم یکن من الشبهة الحکمیّة، و لا من الشبهة المفهومیّة بالضرورة، فلا بدّ من کونه من الشبهة الموضوعیّة للأقلّ و الأکثر؛ لما لا قسم ثالث للشبهات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الشبهات الموضوعیّة اختلاط أفراد العالم و الجاهل، بل لو کان جمیع أفراد العالم واضحة، و کان زید جاهلا، و احتمل کسب العلم فی حقّه، یعدّ من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یعدّ کونه مشکوکة واجدیّته للوضوء و للثوب المباح، و لا بسا لما لا یؤکل، من الشبهة الموضوعیّة؛ لأنّ ما هو الواجب هی صلاة مع کونها کذا و کذا وجودیّا أو عدمیّا، و لا شبهة فی أنّها صلاة بالضرورة، إلّا أنّه یشکّ فی جزء منها لا حکمیّا، و لا مفهومیّا، و لا یعتبر فی الشبهة الموضوعیّة للأقلّ و الأکثر کون مفهوم الأکثر معلوما؛ ضرورة أنّ الصلاة بالنسبة إلی قیودها و شرائطها من الأقلّ و الأکثر بحسب الطبع، فتأمّل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الشرط مثل الطهور و أمثاله فلا بدّ من إحرازه، إلّا علی الوجه الذی</w:t>
      </w:r>
    </w:p>
    <w:p>
      <w:pPr>
        <w:pStyle w:val="BookText"/>
        <w:rPr/>
      </w:pPr>
      <w:r>
        <w:rPr>
          <w:rFonts w:ascii="IRNazanin" w:hAnsi="IRNazanin" w:eastAsia="IRNazanin"/>
          <w:color w:val="111111"/>
          <w:sz w:val="28"/>
          <w:sz w:val="28"/>
          <w:szCs w:val="28"/>
          <w:rtl w:val="true"/>
          <w:lang w:bidi="fa-IR"/>
        </w:rPr>
        <w:t xml:space="preserve">أبدعناه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الشرط مثل کون الثوب مباحا أو ممّا یؤکل لحمه، فإن کان المعتبر جزء لنفس طبیعة إباحة الثوب و ما لا یؤکل لحمه، فیلزم کفایة کون بعض الثوب من ذلک، لا مجموعه، و لا بدّ من الاحتیاط بالنسبة إلی نفس الطبیعة، و لا یضرّ الزائد و لو کان معلوما، فضلا عمّا إذا کان مورد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ارید اعتبار کون مجموع الثوب مباحا و ممّا یؤکل لحمه، و أنّه شرط وجودیّ، أو یکون الشرط عدمیّا؛ أی أن لا تکون الصلاة فی الثوب المأخوذ ممّا لا یؤکل لحمه، فیندرج فی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وجه الاحتیاط و وجه البراءة علی مسلکنا من التصرّف فی الواقع علی تقدیره </w:t>
      </w:r>
      <w:r>
        <w:rPr>
          <w:rStyle w:val="FootnoteAnchor"/>
          <w:rtl w:val="true"/>
        </w:rPr>
        <w:footnoteReference w:id="153"/>
      </w:r>
      <w:r>
        <w:rPr>
          <w:rFonts w:ascii="IRNazanin" w:hAnsi="IRNazanin" w:eastAsia="IRNazanin"/>
          <w:color w:val="111111"/>
          <w:sz w:val="28"/>
          <w:sz w:val="28"/>
          <w:szCs w:val="28"/>
          <w:rtl w:val="true"/>
          <w:lang w:bidi="fa-IR"/>
        </w:rPr>
        <w:t>، بل و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رفع ادعائیّ لا واقعیّ، فإنّ الرفع الادعائیّ بحکم الرفع الواقعیّ کما تحرّر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للتمسّک بحدیث الرفع فی مورد الشکّ فی وجود الشرط</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به لرفع دخالة المشکوک فی تحقّق العامّ المجموعیّ الذی هو شرط، و لا یلزم أن یکون مثبتا علی ما سلکناه، و إنّما حدیث المثبتیّة علی مذهب القائلین بأنّه حکم ظاهریّ، فلا تخلط؛ ضرورة أنّه علی ما سلکناه، یکون الجزء المشکوک فی تحقّق العامّ المجموعیّ إمّا غیر دخیل واقعا، و لازمه سقوط الأمر، أو أن یکون دخیلا، و الشرع قد انصرف عن حکم الصلاة و لزومها؛ لأجل التوسعة علی العباد، فلا حاجة إلی إثبات کون الباقی هو العامّ المجموعیّ تعبّدا؛ کی یلزم أن یکون مثبتا</w:t>
      </w:r>
      <w:r>
        <w:rPr>
          <w:rFonts w:eastAsia="IRNazanin" w:cs="IRNazanin"/>
          <w:color w:val="111111"/>
          <w:sz w:val="28"/>
          <w:szCs w:val="28"/>
          <w:rtl w:val="true"/>
          <w:lang w:bidi="fa-IR"/>
        </w:rPr>
        <w:t>.</w:t>
      </w:r>
      <w:bookmarkStart w:id="130" w:name="pg13177_117748"/>
    </w:p>
    <w:p>
      <w:pPr>
        <w:pStyle w:val="Heading6"/>
        <w:numPr>
          <w:ilvl w:val="5"/>
          <w:numId w:val="1"/>
        </w:numPr>
        <w:rPr/>
      </w:pPr>
      <w:bookmarkStart w:id="131" w:name="__RefHeading___Toc763648_3244359995"/>
      <w:bookmarkStart w:id="132" w:name="_Toc49"/>
      <w:bookmarkEnd w:id="130"/>
      <w:bookmarkEnd w:id="131"/>
      <w:r>
        <w:rPr>
          <w:rtl w:val="true"/>
        </w:rPr>
        <w:t>تذنیب</w:t>
      </w:r>
      <w:r>
        <w:rPr>
          <w:rtl w:val="true"/>
        </w:rPr>
        <w:t xml:space="preserve">: </w:t>
      </w:r>
      <w:r>
        <w:rPr>
          <w:rtl w:val="true"/>
        </w:rPr>
        <w:t>حول افتراض السید المجدد للشرط العدمی علی نعت العموم الاصولی</w:t>
      </w:r>
      <w:bookmarkEnd w:id="13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أولادی رحمه اللّه عن السیّد الاستاذ الفشارکیّ رحمه اللّه عن سیّد مشایخه الشیرازی رحمه اللّه افتراض الشبهة الموضوعیّة فی الأقلّ و الأکثر؛ علی أن یکون الشرط عدمیّا علی نعت العموم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اعتبر الشرع فی الصلاة عدم کلّ ثوب غیر مأکول، فإنّه فی موارد العلم بالمأکولیّة یکون الموضوع معلوما، و فی موارد العلم بعدم المأکولیّة یکون الموضوع أیضا معلوما، و فی مورد الشکّ یکون الأقلّ و الأکثر مردّدا فی الشبهة الموضوعیّة؛ لأجل الشکّ فی شرطیّة الصلاة بعدم کونها فی هذا المشکوک بالشبهة الخارجیّة</w:t>
      </w:r>
      <w:r>
        <w:rPr>
          <w:rStyle w:val="FootnoteAnchor"/>
          <w:rtl w:val="true"/>
        </w:rPr>
        <w:footnoteReference w:id="155"/>
      </w:r>
      <w:r>
        <w:rPr>
          <w:rFonts w:ascii="IRNazanin" w:hAnsi="IRNazanin" w:eastAsia="IRNazanin"/>
          <w:color w:val="111111"/>
          <w:sz w:val="28"/>
          <w:sz w:val="28"/>
          <w:szCs w:val="28"/>
          <w:rtl w:val="true"/>
          <w:lang w:bidi="fa-IR"/>
        </w:rPr>
        <w:t>، و قد عرفت أنّ قضیّة الأدلّة هی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الشبهة الموضوعیّة للأقلّ و الأکثر؛ هی الشکّ فی وجوب کون الصلاة فی عدم هذا الثوب المشکوکة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الشرط معلوما، و شکّ فی إباحة ثوب، فهو القید المعلوم أمره، و المشکوکة مصداقیّة المأتیّ به اللازم الاحتیاط إلّا علی الوجه الذی عرفت منّا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یکون الشکّ فی الأقلّ و الأکثر الحکمیّ، راجعا مثلا إلی بسط الأمر إلی الجزء المشکوک الکلّی، یکون الشکّ هنا فی بسط الأمر بالنسبة إلی الجزء المشکوک الخارجیّ، مع معلومیّة بسطه إلی الجزء المعلوم الخارجیّ؛ و هو عدم الثوب المغصوب و غیر المذکّی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رجوع المسألة إلی البسط و الشرطیّة، لا فرق بین الشبهة الحکمیّة و الموضوعیّة بحسب البراءة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صیغة کی لا یقع الطلبة فی الاشتباه؛ و هو أنّه اعتبر الشرع فی الصلاة الواجبة عدم کلّ ثوب غیر مذکّی،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الصلاة أن تکون فی کلّ غیر مغصوب،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معنی الشبهة الموضوعیّة للأقلّ و الأکثر أن لا یکون الأکثر معلوم الحکم بنحو کلّی، فهذا خارج عنه؛ لمعلومیّة اشتراط الصلاة بنحو إجمالیّ بأن لا تکون فی المغصوب، فیلزم ما لزم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الشبهة الموضوعیّة للأقلّ و الأکثر؛ أن یکون فی الشبهة الحکمیّة الأقلّ معلوم الحکم، و الأکثر مشکوکا، ففی هذا العموم الأصولیّ یکون الحکم بالنسبة إلی الموضوع المعلوم معلوما، و إنّما الشکّ فی بسط الحکم بالنسبة إلی الموضوع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اعتباره فی الشبهة الموضوعیّة فیما نحن فیه، بل الشبهة الموضوعیّة هنا کالشبهة الموضوعیّة فی سائر العمومات الاصولیّة الغیر النافیة لتنجیز الحکم بالنسبة إلی بعض المصادیق، و یشکّ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العموم الملتحق بالطبیعة الواجبة علی نعت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المجموعیّ لا الاستغراقیّ، کقول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الموصوف بأن لا یکون من کلّ فرقة غیر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الموصوف بأن لا یکون من کلّ فرد مباح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یرجع الموضوع إلی العامّ الاصولیّ، فیلزم الخروج عن الأقلّ و الأکثر، و نتیجته وجوب کلّ صلاة، و هذا واضح الفساد؛ لأنّ الواجب هو نفس الطبیعة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یرجع الوصف إلی العموم المجموعیّ، فیکون خارجا عن الأقلّ و الأکثر فی الشبهة الموضوعیّة، و الأمر سهل</w:t>
      </w:r>
      <w:r>
        <w:rPr>
          <w:rFonts w:eastAsia="IRNazanin" w:cs="IRNazanin"/>
          <w:color w:val="111111"/>
          <w:sz w:val="28"/>
          <w:szCs w:val="28"/>
          <w:rtl w:val="true"/>
          <w:lang w:bidi="fa-IR"/>
        </w:rPr>
        <w:t>.</w:t>
      </w:r>
      <w:bookmarkStart w:id="133" w:name="pg13177_117750"/>
    </w:p>
    <w:p>
      <w:pPr>
        <w:pStyle w:val="BookText"/>
        <w:rPr/>
      </w:pPr>
      <w:bookmarkEnd w:id="133"/>
      <w:r>
        <w:rPr>
          <w:rFonts w:ascii="IRNazanin" w:hAnsi="IRNazanin" w:eastAsia="IRNazanin"/>
          <w:color w:val="111111"/>
          <w:sz w:val="28"/>
          <w:sz w:val="28"/>
          <w:szCs w:val="28"/>
          <w:rtl w:val="true"/>
          <w:lang w:bidi="fa-IR"/>
        </w:rPr>
        <w:t xml:space="preserve">و تصیر النتیجة ما أفاد الشیخ رحمه اللّه من إرجاع الشبهة فیما نحن فیه إلی المحصّل و المحصّل </w:t>
      </w:r>
      <w:r>
        <w:rPr>
          <w:rStyle w:val="FootnoteAnchor"/>
          <w:rtl w:val="true"/>
        </w:rPr>
        <w:footnoteReference w:id="157"/>
      </w:r>
      <w:r>
        <w:rPr>
          <w:rFonts w:ascii="IRNazanin" w:hAnsi="IRNazanin" w:eastAsia="IRNazanin"/>
          <w:color w:val="111111"/>
          <w:sz w:val="28"/>
          <w:sz w:val="28"/>
          <w:szCs w:val="28"/>
          <w:rtl w:val="true"/>
          <w:lang w:bidi="fa-IR"/>
        </w:rPr>
        <w:t>، و إنّما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العامّ المجموعیّ لیس من باب المحصّل و المحصّل کما عرفت، بل هو من قبیل المنتزع و منشأ الانتزاع، الذی یرجع وجود الأوّل إلی الثانی بحسب الخارج، و إنّما یختلفان فی موطن الانتزاع، فلا تغفل</w:t>
      </w:r>
      <w:r>
        <w:rPr>
          <w:rFonts w:eastAsia="IRNazanin" w:cs="IRNazanin"/>
          <w:color w:val="111111"/>
          <w:sz w:val="28"/>
          <w:szCs w:val="28"/>
          <w:rtl w:val="true"/>
          <w:lang w:bidi="fa-IR"/>
        </w:rPr>
        <w:t>.</w:t>
      </w:r>
    </w:p>
    <w:p>
      <w:pPr>
        <w:pStyle w:val="Heading6"/>
        <w:numPr>
          <w:ilvl w:val="5"/>
          <w:numId w:val="1"/>
        </w:numPr>
        <w:rPr/>
      </w:pPr>
      <w:bookmarkStart w:id="134" w:name="__RefHeading___Toc763650_3244359995"/>
      <w:bookmarkStart w:id="135" w:name="_Toc50"/>
      <w:bookmarkEnd w:id="134"/>
      <w:r>
        <w:rPr>
          <w:rtl w:val="true"/>
        </w:rPr>
        <w:t>ذنابة</w:t>
      </w:r>
      <w:r>
        <w:rPr>
          <w:rtl w:val="true"/>
        </w:rPr>
        <w:t xml:space="preserve">: </w:t>
      </w:r>
      <w:r>
        <w:rPr>
          <w:rtl w:val="true"/>
        </w:rPr>
        <w:t>فی تصویر الشبهة الموضوعیة للأقل و الأکثر علی ثلاثة وجوه</w:t>
      </w:r>
      <w:bookmarkEnd w:id="135"/>
    </w:p>
    <w:p>
      <w:pPr>
        <w:pStyle w:val="BookText"/>
        <w:rPr/>
      </w:pPr>
      <w:r>
        <w:rPr>
          <w:rFonts w:ascii="IRNazanin" w:hAnsi="IRNazanin" w:eastAsia="IRNazanin"/>
          <w:color w:val="111111"/>
          <w:sz w:val="28"/>
          <w:sz w:val="28"/>
          <w:szCs w:val="28"/>
          <w:rtl w:val="true"/>
          <w:lang w:bidi="fa-IR"/>
        </w:rPr>
        <w:t>ربّما یمکن فرض الشبهة الموضوعیّة للأقلّ و الأکثر حسب العموم المجموعیّ؛ و أنّه فی المثال المذکور یشکّ فی بسط الحکم بالنسبة إلی مورد الشکّ، و یکون مورد الشکّ فی العامّ الاصولیّ من قبیل الأقلّ و الأکثر، الذی یکون المرجع فیه إمّا الاشتغال، أو البراءة، أو التفصیل بین العقلیّة و النقلیّة؛ ضرورة أنّ سرّ کون الشبهة موضوعیّة هو نحو تعلّق لمتعلّق الحکم بالخارج، سواء کان الخارج متعلّق المتعلّق، أو کان مورد إضافة متعلّق الحکم بنحو من الإضافة و لو کان إلی عدم مضاف إلی الخارج، مثل کون الصلاة فی عدم هذا الثوب غیر المذکّی و المیتة، أو فی أعدام الثیاب غیر المذکّاة،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الموضوعیّة للأقلّ و الأکثر، ربّما تکون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نفس المأمور به ذات القلّة و الکثرة، و ذات تشکیک خاصّ و لو کان الکثیر معلوم الحکم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الصلاة فی عدم الغصبیّة و غیر المذکّی واضح الحکم، فإنّ مصداقها الخارجیّ شبهة موضوعیّة لطبیعة ذات قلّة و کثرة، فی مقابل مصداق العالم الواجب الإکرام، فإنّ مصداقه لیس ذا مراتب، و لا یکون فی نفس المصداق الواحد إلّا معنی بسیطا؛ من غیر أن یفرض العلم ذا مراتب فی محطّ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أحسن الوجوه</w:t>
      </w:r>
    </w:p>
    <w:p>
      <w:pPr>
        <w:pStyle w:val="BookText"/>
        <w:rPr/>
      </w:pPr>
      <w:r>
        <w:rPr>
          <w:rFonts w:ascii="IRNazanin" w:hAnsi="IRNazanin" w:eastAsia="IRNazanin"/>
          <w:color w:val="111111"/>
          <w:sz w:val="28"/>
          <w:sz w:val="28"/>
          <w:szCs w:val="28"/>
          <w:rtl w:val="true"/>
          <w:lang w:bidi="fa-IR"/>
        </w:rPr>
        <w:t>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سیّد مشایخنا الشیرازیّ رحمه اللّه و قد کان یتوجّه إلیه ما عرفت تفصیله </w:t>
      </w:r>
      <w:r>
        <w:rPr>
          <w:rStyle w:val="FootnoteAnchor"/>
          <w:rtl w:val="true"/>
        </w:rPr>
        <w:footnoteReference w:id="158"/>
      </w:r>
      <w:r>
        <w:rPr>
          <w:rFonts w:ascii="IRNazanin" w:hAnsi="IRNazanin" w:eastAsia="IRNazanin"/>
          <w:color w:val="111111"/>
          <w:sz w:val="28"/>
          <w:sz w:val="28"/>
          <w:szCs w:val="28"/>
          <w:rtl w:val="true"/>
          <w:lang w:bidi="fa-IR"/>
        </w:rPr>
        <w:t>، مع کون الأکثر مشکوک الحکم فی مرحلة الجعل، و هذا هو مقصودهم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فرضناه أیضا، فإنّه خال عن إشکال ذکرناه، مع کونه أیضا مشکوک الحکم بالنسبة إلی مرحلة الجعل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الوجه الثانی علی وجه العامّ الاصولیّ، و الثالث علی وجه العامّ المجموعیّ،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العامّ المجموعیّ یلزم الاشتغال؛ حسبما عرفت فی الأوامر النفسیّة</w:t>
      </w:r>
      <w:r>
        <w:rPr>
          <w:rStyle w:val="FootnoteAnchor"/>
          <w:rtl w:val="true"/>
        </w:rPr>
        <w:footnoteReference w:id="159"/>
      </w:r>
      <w:r>
        <w:rPr>
          <w:rFonts w:ascii="IRNazanin" w:hAnsi="IRNazanin" w:eastAsia="IRNazanin"/>
          <w:color w:val="111111"/>
          <w:sz w:val="28"/>
          <w:sz w:val="28"/>
          <w:szCs w:val="28"/>
          <w:rtl w:val="true"/>
          <w:lang w:bidi="fa-IR"/>
        </w:rPr>
        <w:t xml:space="preserve">، و یمکن القول بالبراءة اللفظیّة؛ حسبما عرفت منّا من حقیقة البراءة اللفظیّة، الراجعة إلی تصرّف الشرع فی الواقع حقیقة أو ادعاء علی الإطلاق، و لازمه مضیّ الشرع علی الأوّل عن حکمه، و علی الثانی عن آثاره علی ما تحرّر فی محلّه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الواجب الغیریّ صرف العدم، و طبیعیّ عدم غیر المذکّی مثلا، أو طبیعیّ وجود الإباحة الأعمّ من کونه غیر نجس و غیر مغصوب و مذکّی، فلازمه کفایة کون بعض ثوب المصلّی مباحا، بخلاف العموم المجموعیّ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الشرع یکون أحیانا المأمور به، مأخوذا بنحو العامّ المجموعیّ، مثل أن یکون مجموع الثیاب حال الصلاة مباحا، و لذلک تری أنّه ورد بشکل النهی فی النواهی الغیریّة الراجعة عندنا إلی الإرشاد؛ ضرورة أنّ الأمر المتعلّق بنفس الطبیعة، لا یقتضی إلّا صرف الوجود، و النهی المتعلّق بنفس الطبیعة،</w:t>
      </w:r>
      <w:bookmarkStart w:id="136" w:name="pg13177_117752"/>
    </w:p>
    <w:p>
      <w:pPr>
        <w:pStyle w:val="BookText"/>
        <w:rPr/>
      </w:pPr>
      <w:bookmarkEnd w:id="136"/>
      <w:r>
        <w:rPr>
          <w:rFonts w:ascii="IRNazanin" w:hAnsi="IRNazanin" w:eastAsia="IRNazanin"/>
          <w:color w:val="111111"/>
          <w:sz w:val="28"/>
          <w:sz w:val="28"/>
          <w:szCs w:val="28"/>
          <w:rtl w:val="true"/>
          <w:lang w:bidi="fa-IR"/>
        </w:rPr>
        <w:t xml:space="preserve">یقتضی العموم الاستیعابیّ و العامّ المجموعیّ، کما تحرّر فی المجلّد الأوّل </w:t>
      </w:r>
      <w:r>
        <w:rPr>
          <w:rStyle w:val="FootnoteAnchor"/>
          <w:rtl w:val="true"/>
        </w:rPr>
        <w:footnoteReference w:id="161"/>
      </w:r>
      <w:r>
        <w:rPr>
          <w:rFonts w:ascii="IRNazanin" w:hAnsi="IRNazanin" w:eastAsia="IRNazanin"/>
          <w:color w:val="111111"/>
          <w:sz w:val="28"/>
          <w:sz w:val="28"/>
          <w:szCs w:val="28"/>
          <w:rtl w:val="true"/>
          <w:lang w:bidi="fa-IR"/>
        </w:rPr>
        <w:t>، و لذلک تری وروده بشکل النهی فی الأخبار، مثل النهی عن الصلاة فی النجس، أو فیما لا یؤکل و هکذا، فافهم و تدبّر و اغتنم، فإنّه یلیق به، و یتبیّن دقّة الشرع فی کیفیّة إفادة مطلوبه و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حقیقة الصیغة هو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الصلاة فی کلّ ثوب غیر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المیرزا الشیرازیّ ظنّ أنّ فی جمیع الأحیان، تفید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العموم الاصولیّ، غافلا عن أنّه ربّما تفید الموجبة الجزئیّة، کما تحرّر فی المنطق </w:t>
      </w:r>
      <w:r>
        <w:rPr>
          <w:rStyle w:val="FootnoteAnchor"/>
          <w:rtl w:val="true"/>
        </w:rPr>
        <w:footnoteReference w:id="162"/>
      </w:r>
      <w:r>
        <w:rPr>
          <w:rFonts w:ascii="IRNazanin" w:hAnsi="IRNazanin" w:eastAsia="IRNazanin"/>
          <w:color w:val="111111"/>
          <w:sz w:val="28"/>
          <w:sz w:val="28"/>
          <w:szCs w:val="28"/>
          <w:rtl w:val="true"/>
          <w:lang w:bidi="fa-IR"/>
        </w:rPr>
        <w:t xml:space="preserve">، و أنّ سور الموجبة الجزئیّة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أشبه بذلک، فلیتأمّل</w:t>
      </w:r>
      <w:r>
        <w:rPr>
          <w:rFonts w:eastAsia="IRNazanin" w:cs="IRNazanin"/>
          <w:color w:val="111111"/>
          <w:sz w:val="28"/>
          <w:szCs w:val="28"/>
          <w:rtl w:val="true"/>
          <w:lang w:bidi="fa-IR"/>
        </w:rPr>
        <w:t>.</w:t>
      </w:r>
    </w:p>
    <w:p>
      <w:pPr>
        <w:pStyle w:val="Heading6"/>
        <w:numPr>
          <w:ilvl w:val="5"/>
          <w:numId w:val="1"/>
        </w:numPr>
        <w:rPr/>
      </w:pPr>
      <w:bookmarkStart w:id="137" w:name="__RefHeading___Toc763652_3244359995"/>
      <w:bookmarkStart w:id="138" w:name="_Toc51"/>
      <w:bookmarkEnd w:id="137"/>
      <w:r>
        <w:rPr>
          <w:rtl w:val="true"/>
        </w:rPr>
        <w:t>تنبیهان</w:t>
      </w:r>
      <w:r>
        <w:rPr>
          <w:rtl w:val="true"/>
        </w:rPr>
        <w:t>:</w:t>
      </w:r>
      <w:bookmarkEnd w:id="138"/>
    </w:p>
    <w:p>
      <w:pPr>
        <w:pStyle w:val="Heading6"/>
        <w:numPr>
          <w:ilvl w:val="5"/>
          <w:numId w:val="1"/>
        </w:numPr>
        <w:rPr/>
      </w:pPr>
      <w:bookmarkStart w:id="139" w:name="__RefHeading___Toc763654_3244359995"/>
      <w:bookmarkStart w:id="140" w:name="_Toc52"/>
      <w:bookmarkEnd w:id="139"/>
      <w:r>
        <w:rPr>
          <w:rtl w:val="true"/>
        </w:rPr>
        <w:t>أحدهما</w:t>
      </w:r>
      <w:r>
        <w:rPr>
          <w:rtl w:val="true"/>
        </w:rPr>
        <w:t xml:space="preserve">: </w:t>
      </w:r>
      <w:r>
        <w:rPr>
          <w:rtl w:val="true"/>
        </w:rPr>
        <w:t>فی الشبهة الموضوعیّة للمانع</w:t>
      </w:r>
      <w:bookmarkEnd w:id="1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تحرّر منّا فی مسألة الشبهة الحکمیّة، امتناع تصویر المانع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فرضنا ذلک علی الوجه الذی أبدعناه </w:t>
      </w:r>
      <w:r>
        <w:rPr>
          <w:rStyle w:val="FootnoteAnchor"/>
          <w:rtl w:val="true"/>
        </w:rPr>
        <w:footnoteReference w:id="164"/>
      </w:r>
      <w:r>
        <w:rPr>
          <w:rFonts w:ascii="IRNazanin" w:hAnsi="IRNazanin" w:eastAsia="IRNazanin"/>
          <w:color w:val="111111"/>
          <w:sz w:val="28"/>
          <w:sz w:val="28"/>
          <w:szCs w:val="28"/>
          <w:rtl w:val="true"/>
          <w:lang w:bidi="fa-IR"/>
        </w:rPr>
        <w:t>، فلا تکفی البراءة الشرعیّة، فضلا عن العقلیّة و العقلائیّة؛ ضرورة أنّ مجرّد التعبّد بعد مانعیّة المشکوک فیه غیر کاف؛ لأنّه و إن کان قد أتی بما هو المأمور به بأجزائه و شرائطه، و إنّما الشکّ فی وجود المانع، إلّا أنّه لا یعقل مانعیّة الموجود إلّا فی صورة ادعاء الشرع أنّ تلک الصلاة لیست بصلاة، أو</w:t>
      </w:r>
    </w:p>
    <w:p>
      <w:pPr>
        <w:pStyle w:val="BookText"/>
        <w:rPr/>
      </w:pPr>
      <w:r>
        <w:rPr>
          <w:rFonts w:ascii="IRNazanin" w:hAnsi="IRNazanin" w:eastAsia="IRNazanin"/>
          <w:color w:val="111111"/>
          <w:sz w:val="28"/>
          <w:sz w:val="28"/>
          <w:szCs w:val="28"/>
          <w:rtl w:val="true"/>
          <w:lang w:bidi="fa-IR"/>
        </w:rPr>
        <w:t>ادعاء أنّها تسبیح، کما تری فی الصلاة المعادة فی الأخبار، 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جعلها تسبیحا، و إن شاء جعلها فریضة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معناه أنّه إن جعلها فریضة فلا تصحّ الإعادة، و إن جعلها تسبیحا تصحّ الإعادة، و تفصیله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یمکن بمجرّد جریان البراءة عن المانعیّة و عن جواز العقوبة من ناحیة وجود المانع، تصحیح المأتیّ به؛ ضرورة أنّ ما هو محطّ الادعاء هو المعنی الکلّی فی الأدلّة الاجتهادیّة، و أنّه فی تلک الأدلّة یدّعی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اعتبار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لیست بصلاة، و أمّا کون ما فی الخارج مصداقا لذلک الادعاء، فغیر ممکن؛ لأنّه لم یدّع أنّ عند عدم المانع ما هو الصلاة عرفا صلاة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فرضنا أنّه لازم الدلیل الاجتهادیّ مثلا، فیکون هناک إدعاءان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مع وجود المانع ما هو الصلاة عرفا لیس صلاة عندی، و مع عدم وجود المانع ما هو الصلاة عرفا صلاة عندی أیضا، فیکون له الإمضاء بالنسبة إلی تشخیص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تکفی البراءة أیضا لأنّه لا بدّ من کشف إمضاء الشرع بالنسبة إلی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الانطباق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اقتضاء للدلیل الاجتهادیّ المذکور بالنسبة إلی حال وجود المرکّب عند عدم المانع؛ لأنّ المرکّب موجود عرفیّ، و یکون مصداقا طبعا للأدلّة الشرعیّة، لأنّ ادعاء الشرع کون الصلاة لیست بصلاة، لازم عند وجود المانع، و أمّا ادعاء أنّها صلاة عند عدم المانع، فلا حاجة إلیه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الحاجة إلیه؛ للخروج عن المثبتیّة فی ظرف الشکّ فی وجود المانع، ممّا لیس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کفایة إطلاق دلیل البراءة اللفظیّة لکشف الادعاء اللازم فی ظرف وجود المانع، غیر صحیح علی 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أصل عملیّ </w:t>
      </w:r>
      <w:r>
        <w:rPr>
          <w:rStyle w:val="FootnoteAnchor"/>
          <w:rtl w:val="true"/>
        </w:rPr>
        <w:footnoteReference w:id="166"/>
      </w:r>
      <w:r>
        <w:rPr>
          <w:rFonts w:ascii="IRNazanin" w:hAnsi="IRNazanin" w:eastAsia="IRNazanin"/>
          <w:color w:val="111111"/>
          <w:sz w:val="28"/>
          <w:sz w:val="28"/>
          <w:szCs w:val="28"/>
          <w:rtl w:val="true"/>
          <w:lang w:bidi="fa-IR"/>
        </w:rPr>
        <w:t>، و أمّا علی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دلیلا حاکما علی الأدلّة الأوّلیة، و تصرّفا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الشرعیّة حسب المشهور غیر جاریة، و لکن البراءة العقلیّة و العقلائیة جاریتان؛ ضرورة أنّ المأتیّ به صلاة و عمرة و حجّ و هکذا عند العرف و العقلاء، و عند وجود المانع نحتاج إلی الادعاء، و هو غیر ثابت، فالعقوبة من هذه الناحیة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الأمر و جواز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یعارضه استصحاب عدم وجود المانع، أو مانعیّة الموجود، و هو مقدّم علی ذلک؛ لأنّه مسبب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ربّما لا یکون للاستصحاب السببیّ حالة سابقة،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مطلقا غیر جار؛ لکونه مثبتا، کما تکون البراءة الشرعیّة مثبتة، فلو قلنا بحجّیة الاستصحاب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الأقرب تبعا للشهرة القدیمة، و اقتضاء للصناعة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تقدّم هذا الاستصحاب علی الاستصحاب الحکمیّ واضحا؛ لتعارضهما فی محطّ یکون بالنسبة إلی الاستصحاب السببیّ لازما، و بالنسبة إلی الاستصحاب المسبّبی موردا، و قد حرّرنا فی التعادل و الترجیح إمکان تقدّم أحد العامّین من وجه علی الآخر؛ إذا کان تعارضهما بهذا النحو</w:t>
      </w:r>
      <w:r>
        <w:rPr>
          <w:rStyle w:val="FootnoteAnchor"/>
          <w:rtl w:val="true"/>
        </w:rPr>
        <w:footnoteReference w:id="167"/>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حکم الاستصحاب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الموضوعیّ، أو استصحاب الهیئة الاتصالیّة و الصحّة الشأنیّة و القابلیّة، فسیمرّ علیک من ذی قبل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عدم الجعل و الحکمیّ الکلّی، غیر جار عندنا مطلقا، کما مرّ فی بعض المواضع </w:t>
      </w:r>
      <w:r>
        <w:rPr>
          <w:rStyle w:val="FootnoteAnchor"/>
          <w:rtl w:val="true"/>
        </w:rPr>
        <w:footnoteReference w:id="168"/>
      </w:r>
      <w:r>
        <w:rPr>
          <w:rFonts w:ascii="IRNazanin" w:hAnsi="IRNazanin" w:eastAsia="IRNazanin"/>
          <w:color w:val="111111"/>
          <w:sz w:val="28"/>
          <w:sz w:val="28"/>
          <w:szCs w:val="28"/>
          <w:rtl w:val="true"/>
          <w:lang w:bidi="fa-IR"/>
        </w:rPr>
        <w:t xml:space="preserve">، و تفصیله فی الاستصحاب إن شاء اللّه تعالی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بقی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العلّامة الأراکیّ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هو القید العدمیّ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لا ینبغی أن یخفی علی الأصاغر، فضلا عن الأکابر؛ ضرورة أنّ وزان الاعتباریّات وزان التکوینیّات، فکما لا معنی لکون عدم الرطوبة مانعا عن تأثیر النار فی الاحتراق،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بأخذ المعانی العدمیّة قیدا و شرطا فی المرکّبات الاعتباریّة، بخلاف الامور التکوینیّة؛ ضرورة أنّ العدم لا أثر له کی یکون دخیلا فی المرکّب المؤثّر فی التکوینیّات، بخلاف التشریعیّات و الاعتباریّات و متعلّق الأمر و النهی، کما تحرّر فی هذا الکتاب مرارا</w:t>
      </w:r>
      <w:r>
        <w:rPr>
          <w:rStyle w:val="FootnoteAnchor"/>
          <w:rtl w:val="true"/>
        </w:rPr>
        <w:footnoteReference w:id="171"/>
      </w:r>
      <w:r>
        <w:rPr>
          <w:rFonts w:ascii="IRNazanin" w:hAnsi="IRNazanin" w:eastAsia="IRNazanin"/>
          <w:color w:val="111111"/>
          <w:sz w:val="28"/>
          <w:sz w:val="28"/>
          <w:szCs w:val="28"/>
          <w:rtl w:val="true"/>
          <w:lang w:bidi="fa-IR"/>
        </w:rPr>
        <w:t>، فالمانع هو المضادّ لوجود الشی‌ء، و خارج عن متعلّق الأمر، و لا یتعلّق به الأمر، و لا تنحلّ الطبیعة المرکّبة إلیه، بخلاف الأجزاء الصوریّة و التحلیلیّة الوجودیّة و العدمیّة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اعتبار معنی عدمیّ مانعا لشی‌ء ممکن، کما هو ممکن بالنسبة إلی المعنی الوجودیّ، و کما أنّ المانعیّة الوجودیّة لا تعقل بالنسبة إلی المسائل الاعتباریّة و المرکّبات التشریعیّة إلّا علی الوجه المتخیّل منّا، کذلک الأمر بالقیاس</w:t>
      </w:r>
      <w:bookmarkStart w:id="141" w:name="pg13177_117756"/>
    </w:p>
    <w:p>
      <w:pPr>
        <w:pStyle w:val="BookText"/>
        <w:rPr/>
      </w:pPr>
      <w:bookmarkEnd w:id="141"/>
      <w:r>
        <w:rPr>
          <w:rFonts w:ascii="IRNazanin" w:hAnsi="IRNazanin" w:eastAsia="IRNazanin"/>
          <w:color w:val="111111"/>
          <w:sz w:val="28"/>
          <w:sz w:val="28"/>
          <w:szCs w:val="28"/>
          <w:rtl w:val="true"/>
          <w:lang w:bidi="fa-IR"/>
        </w:rPr>
        <w:t>إلی المعنی العدمیّ، فیجوز أن یکون غیر المذکّی مانعا فی الأعتبار</w:t>
      </w:r>
      <w:r>
        <w:rPr>
          <w:rFonts w:eastAsia="IRNazanin" w:cs="IRNazanin"/>
          <w:color w:val="111111"/>
          <w:sz w:val="28"/>
          <w:szCs w:val="28"/>
          <w:rtl w:val="true"/>
          <w:lang w:bidi="fa-IR"/>
        </w:rPr>
        <w:t>.</w:t>
      </w:r>
    </w:p>
    <w:p>
      <w:pPr>
        <w:pStyle w:val="Heading6"/>
        <w:numPr>
          <w:ilvl w:val="5"/>
          <w:numId w:val="1"/>
        </w:numPr>
        <w:rPr/>
      </w:pPr>
      <w:bookmarkStart w:id="142" w:name="__RefHeading___Toc763656_3244359995"/>
      <w:bookmarkStart w:id="143" w:name="_Toc53"/>
      <w:bookmarkEnd w:id="142"/>
      <w:r>
        <w:rPr>
          <w:rtl w:val="true"/>
        </w:rPr>
        <w:t>ثانیهما</w:t>
      </w:r>
      <w:r>
        <w:rPr>
          <w:rtl w:val="true"/>
        </w:rPr>
        <w:t xml:space="preserve">: </w:t>
      </w:r>
      <w:r>
        <w:rPr>
          <w:rtl w:val="true"/>
        </w:rPr>
        <w:t>إذا شکّ فی قاطعیّة شی‌ء لشبهة حکمیّة، أو موضوعیّة</w:t>
      </w:r>
      <w:bookmarkEnd w:id="143"/>
    </w:p>
    <w:p>
      <w:pPr>
        <w:pStyle w:val="BookText"/>
        <w:rPr/>
      </w:pPr>
      <w:r>
        <w:rPr>
          <w:rFonts w:ascii="IRNazanin" w:hAnsi="IRNazanin" w:eastAsia="IRNazanin"/>
          <w:color w:val="111111"/>
          <w:sz w:val="28"/>
          <w:sz w:val="28"/>
          <w:szCs w:val="28"/>
          <w:rtl w:val="true"/>
          <w:lang w:bidi="fa-IR"/>
        </w:rPr>
        <w:t>و قبل الخوض فی ذلک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ممّا لا یتصوّر أو یحتاج تصوّره إلی الادعاء المذکور، و أمّا القاطعیّة فهی باعتبار الهیئة الاتصالیّة أو العنوان الخاصّ فی المأمور به، و یعدّ أحیانا قاطعا لتلک الهیئة، أو منافیا لذلک العنوان، و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أیّ مرکّب یعتبر فیه تلک الهیئة و ذلک العنوان؟ فهو موکول إلی الفقه، و لا یتقوّم اعتباره بدلیل خاصّ قائم علیه، بل ربّما یکون دلیله العرف، أو التوالی بین الأجزاء، فإنّه یستدعی اعتبار تلک الهیئة قهرا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کلام العلّامة الأراکیّ رحمه اللّه من اختصاص الصلاة بالهیئة الاتصالیّة؛ للنهی عن القطع بالنسبة إلی شی‌ء</w:t>
      </w:r>
      <w:r>
        <w:rPr>
          <w:rStyle w:val="FootnoteAnchor"/>
          <w:rtl w:val="true"/>
        </w:rPr>
        <w:footnoteReference w:id="172"/>
      </w:r>
      <w:r>
        <w:rPr>
          <w:rFonts w:ascii="IRNazanin" w:hAnsi="IRNazanin" w:eastAsia="IRNazanin"/>
          <w:color w:val="111111"/>
          <w:sz w:val="28"/>
          <w:sz w:val="28"/>
          <w:szCs w:val="28"/>
          <w:rtl w:val="true"/>
          <w:lang w:bidi="fa-IR"/>
        </w:rPr>
        <w:t>، غلط جدّا، بل فی مثل الوضوء و التیمّم و الصلاة و العمرة و کلّ ما لم یکن دلیلا علی خلاف التوالی بین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مثل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الهیئة الاتصالیّة طبعا معتبرة فی ذلک المرکّب عرفا، إلّا أنّ الهیئة الاتصالیّة من قبیل الشرط و الأجزاء التحلیلیّة، و المسألة تفصیلها فی الفقه، و أساسها العرف و ارتکاز العقلاء، و الفهم العادیّ، و اجتهاد من یصلح له</w:t>
      </w:r>
      <w:r>
        <w:rPr>
          <w:rFonts w:eastAsia="IRNazanin" w:cs="IRNazanin"/>
          <w:color w:val="111111"/>
          <w:sz w:val="28"/>
          <w:szCs w:val="28"/>
          <w:rtl w:val="true"/>
          <w:lang w:bidi="fa-IR"/>
        </w:rPr>
        <w:t>.</w:t>
      </w:r>
    </w:p>
    <w:p>
      <w:pPr>
        <w:pStyle w:val="Heading6"/>
        <w:numPr>
          <w:ilvl w:val="5"/>
          <w:numId w:val="1"/>
        </w:numPr>
        <w:rPr/>
      </w:pPr>
      <w:bookmarkStart w:id="144" w:name="__RefHeading___Toc763658_3244359995"/>
      <w:bookmarkStart w:id="145" w:name="_Toc54"/>
      <w:bookmarkEnd w:id="144"/>
      <w:r>
        <w:rPr>
          <w:rtl w:val="true"/>
        </w:rPr>
        <w:t>بقی تنبیه</w:t>
      </w:r>
      <w:r>
        <w:rPr>
          <w:rtl w:val="true"/>
        </w:rPr>
        <w:t xml:space="preserve">: </w:t>
      </w:r>
      <w:r>
        <w:rPr>
          <w:rtl w:val="true"/>
        </w:rPr>
        <w:t>فی اعتبار القاطعیة بالنسبة إلی المرکّبات</w:t>
      </w:r>
      <w:bookmarkEnd w:id="1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من امتناع تصویر المانع بالنسبة إلی المرکّبات الاعتباریّة و الاختراعات الشرعیّة، یجری بالنسبة إلی القاطع؛ لأنّه أمر خارج عن حدود</w:t>
      </w:r>
    </w:p>
    <w:p>
      <w:pPr>
        <w:pStyle w:val="BookText"/>
        <w:rPr/>
      </w:pPr>
      <w:r>
        <w:rPr>
          <w:rFonts w:ascii="IRNazanin" w:hAnsi="IRNazanin" w:eastAsia="IRNazanin"/>
          <w:color w:val="111111"/>
          <w:sz w:val="28"/>
          <w:sz w:val="28"/>
          <w:szCs w:val="28"/>
          <w:rtl w:val="true"/>
          <w:lang w:bidi="fa-IR"/>
        </w:rPr>
        <w:t>المأمور به و متعلّق الأمر، و لا ینحلّ المرکّب إلیه، بخلاف سائر الأجزاء الصوریّة کالفاتحة و الرکوع، و التحصیلیّة کالطهور 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وجها للإمکان یجری هنا أیضا، إلّا أنّ الأدلّة قاصرة عن إفادة ذلک المعنی، بل الأدلّة ترجع إلی القیود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القاطع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المرکّب مورد العنوان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یضادّ الأمر الخارجیّ ذلک العنوان، فلا تعتبر مثلا جزء و شرطا فی الصلاة، و لا کونها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یستفاد من الأدلّة أن تکون الصلاة المفروض وجودها، صالحة لانتزاع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ربّما یضادّ بعض الأشیاء انتزاعها منها، کما إذا رقص و لو قلیلا فی حال الصلاة، أو ضحک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الضحک للّه تعالی أو للحسین علیه السّلام فلا ینافیها، بل یؤکّد عبادیّتها، فإذا ورد مثلا فی الأدلّة قاطعیّة الضحک، فتلزم الشبهة التی ذکرناها؛ ضرورة أنّ الصلاة و هیئتها الاتصالیّة باقیة عرفا، فلا بدّ من ضمّ الادعاء الشرعیّ علی أنّها لیست بصلاة ادعاء، نظرا إلی الأثر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بقاء الأمر الصلاتیّ أو غیرها من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تقاس القاطعیّة بالنسبة إلی الصلاحیة، و هو المتعیّن؛ ضرورة أنّه لو کان شی‌ء قاطعا عرفا للهیئة الاتصالیّة، فلا یکون فرق بین کونه للّه، أو لغیر اللّه، مثلا هیئة الکوز تنکسر و تتقطّع بضرب العصا، سواء کانت عصا موسی علیه السّلام أو کانت خیزران یزید علیه لعائن اللّه، فالتفصیل فی البقاء بین البکاء منه تعالی و لغیره تعالی، فی غیر محلّه؛ لأنّ النیّة و القربیّة أجنبیّة عن مضادّة الوجود و المضادّة مع الهیئة الاتصالیّة و عنوان الصلاة، و لذلک لو بکی بکاء شدیدا عالیا فی الصلاة خوفا منه تعالی، فإنّه ینافی عنوان الصلاة علی الأشبه، فافهم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یکون بعض الأشیاء، مانعا عن قابلیّة الأجزاء المتعاقبة لانتزاع الهیئة الاتصالیّة، فیکون هناک مرکّب ذو أجزاء صوریّة، و ذو اعتبار خاصّ؛ و هو</w:t>
      </w:r>
    </w:p>
    <w:p>
      <w:pPr>
        <w:pStyle w:val="BookText"/>
        <w:rPr/>
      </w:pPr>
      <w:r>
        <w:rPr>
          <w:rFonts w:ascii="IRNazanin" w:hAnsi="IRNazanin" w:eastAsia="IRNazanin"/>
          <w:color w:val="111111"/>
          <w:sz w:val="28"/>
          <w:sz w:val="28"/>
          <w:szCs w:val="28"/>
          <w:rtl w:val="true"/>
          <w:lang w:bidi="fa-IR"/>
        </w:rPr>
        <w:t>توالی الأجزاء، و أن تکون الأجزاء صالحة لانتزاع الهیئة الاتصالیّة، کما یکون البیت ذا هیئة 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الأکل الکثیر، أو الضحک الشدید بین الفاتحة و السورة مثلا فإنّه یضرّ بالتوالی المعتبر فی أجزاء الصلاة، و یوجب سقوطها عن صلاحیتها لانتزاع الهیئة الاتصالیّة، زائدا علی مضادّته لاعتبار کونها عبادة، و یکون ذلک بحکم العرف، و عندئذ لا بأس به؛ لکونه قاطعا لتلک الهیئة، أو موجبا لعدم إمکان تحقّق تلک الهیئة بعدم تحقّق ما هو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المانع، فإنّه یمنع فی الاعتبار مثلا عن وجود الممنوع فی الخارج، و هو وجود الصلاة و المرکّب المأمور به بالأمر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فالقاطع یقطع ما یکون مورد الأمر الغیریّ و الشرط التحلیلیّ، و المانع یمنع ما یکون مورد الأمر النفسیّ، فلا ینبغی الخلط بین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کونها شیئا مانعا أو قاطعا یحتاج إلی الدلیل، و تفصیله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القواطع ما یوجب عدم صلاحیة المرکّب لانتزاع العنوان اللازم، بخلاف المانع، فإنّه یعتبر دائما بالقیاس إلی وجود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عدّ الفعل الکثیر من القواطع؛ ضرورة أنّه ربّما لا یکون الفعل المقرون مع الأعمال الکثیرة، صالحا لانتزاع عنوان العبودیّة، کما هو الواضح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تخصیص الفقهاء فصلا للموانع بإرجاعها إلی القیود العدمیّة، فهو لقصور بالهم، و قلّة اطلاعهم، و الأمر سهل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لارتقائهم الفکریّ إلی امتناع المانع بمعناه الواقعیّ، و رجوع جمیع الامور إلی القیود الوجودیّة أو العدمیّة، بخلاف بعض الفروض من القواطع، و لذلک خصّصوا لها بابا خاصّا و فصلا مخصوصا، فلیتدبّر جیّدا</w:t>
      </w:r>
      <w:r>
        <w:rPr>
          <w:rFonts w:eastAsia="IRNazanin" w:cs="IRNazanin"/>
          <w:color w:val="111111"/>
          <w:sz w:val="28"/>
          <w:szCs w:val="28"/>
          <w:rtl w:val="true"/>
          <w:lang w:bidi="fa-IR"/>
        </w:rPr>
        <w:t>.</w:t>
      </w:r>
      <w:bookmarkStart w:id="146" w:name="pg13177_117759"/>
    </w:p>
    <w:p>
      <w:pPr>
        <w:pStyle w:val="Heading6"/>
        <w:numPr>
          <w:ilvl w:val="5"/>
          <w:numId w:val="1"/>
        </w:numPr>
        <w:rPr/>
      </w:pPr>
      <w:bookmarkStart w:id="147" w:name="__RefHeading___Toc763660_3244359995"/>
      <w:bookmarkStart w:id="148" w:name="_Toc55"/>
      <w:bookmarkEnd w:id="146"/>
      <w:bookmarkEnd w:id="147"/>
      <w:r>
        <w:rPr>
          <w:rtl w:val="true"/>
        </w:rPr>
        <w:t>تکمیل و توضیح</w:t>
      </w:r>
      <w:r>
        <w:rPr>
          <w:rtl w:val="true"/>
        </w:rPr>
        <w:t xml:space="preserve">: </w:t>
      </w:r>
      <w:r>
        <w:rPr>
          <w:rtl w:val="true"/>
        </w:rPr>
        <w:t>حول القاطعیة للهیئة الاتصالیة و لعنوان العبادة</w:t>
      </w:r>
      <w:bookmarkEnd w:id="148"/>
    </w:p>
    <w:p>
      <w:pPr>
        <w:pStyle w:val="BookText"/>
        <w:rPr/>
      </w:pPr>
      <w:r>
        <w:rPr>
          <w:rFonts w:ascii="IRNazanin" w:hAnsi="IRNazanin" w:eastAsia="IRNazanin"/>
          <w:color w:val="111111"/>
          <w:sz w:val="28"/>
          <w:sz w:val="28"/>
          <w:szCs w:val="28"/>
          <w:rtl w:val="true"/>
          <w:lang w:bidi="fa-IR"/>
        </w:rPr>
        <w:t>بعد ما عرفت اعتبار القاطع، و علمت الفرق بین القاطع و المانع،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القاطعیّة بالنسبة إلی الهیئة الاتصالیّة، ممّا لا یمکن تصدیقها؛ لأنّ العرف غیر مساعد علی کون شی‌ء قاطعا للهیئة المعتبرة، و الشرع غیر صالح لاعتبار شی‌ء قاطعا؛ لأنّه أمر خارجیّ تکوینیّ، و خارج عن حدود مداخلة التشریع؛ لأنّ المفروض هو التصرّف فی الوجود الخارجیّ من غیر رجوعه إلی قید عدمیّ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إرجاع تصرّف الشرع فی اعتبار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الهیئة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التعبّد الصرف؛ بادعاء قطع الهیئة المعتبرة، و انقطاع الوصل المعتبر بین الأجزاء، و إن کان ممکنا، إلّا أنّه بعید عن الأدلّة إثباتا، و ینحصر بالصلاة؛ لعدم اعتبارها فی غیرها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شی‌ء قاطعا فی الروایات بالنسبة إلی الصلاة، لا یزید علی عدّه مانعا، و کما أنّ الثانی راجع إلی الإرشاد إلی قیدیّة العدم، کذلک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الفقهاء قاطعیّة عدّة امور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اعتبار القاطعیّة بالقیاس إلی الهیئة الاتصالیّة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اعتبار القاطعیّة؛ لإسقاط العمل الخارجیّ عن صلاحیة انتزاع عنوان العبادة، فهو فی الجملة ممکن؛ ضرورة أنّه یعتبر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الأعمال القربیّة، کالخمس،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فی الخارج صالحا لانتزاع العبودیّة و القربیّة، من غیر أن یکون ذلک قیدا فی المأمور به، کی یترشّح إلیه الأمر الضمنیّ أو الغیریّ، علی القول بهما، أو ینحلّ المرکّب فی مرحلة الطبیعة و الترکّب إلیهما؛ ضرورة أنّ حکم العرف و العقلاء هو أنّ الرجل حین صلاته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یصلّی، أو یستهزئ؟</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الخارجیّ لا یعدّ صلاة و عبادة إذا کان مقارنا للفحشاء و المنکرات عرفا، أو کان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لمرتبة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للرقص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رجوعه إلی قیدیّة ذلک للمرکّب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 یعتبروا أن تکون الصلاة عبادة، أو الحجّ و العمرة و الطهارات الثلاث عبادة، مع أنّه لا بدّ من کونها صالحة لانتزاع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ذکرنا فی تفسیرنا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یکون الواجب هو العبادة؛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w:t>
      </w:r>
      <w:r>
        <w:rPr>
          <w:rStyle w:val="FootnoteAnchor"/>
          <w:rtl w:val="true"/>
        </w:rPr>
        <w:footnoteReference w:id="173"/>
      </w:r>
      <w:r>
        <w:rPr>
          <w:rFonts w:ascii="IRNazanin" w:hAnsi="IRNazanin" w:eastAsia="IRNazanin"/>
          <w:color w:val="111111"/>
          <w:sz w:val="28"/>
          <w:sz w:val="28"/>
          <w:szCs w:val="28"/>
          <w:rtl w:val="true"/>
          <w:lang w:bidi="fa-IR"/>
        </w:rPr>
        <w:t>و أنّ الصلاة و غیرها مصادیق العبادة بکشف الشرع، و لا یؤاخذ العاصی و تارک الصلاة من جهة ترکه أمر الصلاة، بل یؤاخذ لأجل ترک أمر العبادة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أغمضنا عن ذلک کما أغمضوا عنه، و لکن یعتبر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تلک الأعمال صالحة لانتزاع العبودیّة،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w:t>
      </w:r>
      <w:r>
        <w:rPr>
          <w:rStyle w:val="FootnoteAnchor"/>
          <w:rtl w:val="true"/>
        </w:rPr>
        <w:footnoteReference w:id="175"/>
      </w:r>
      <w:r>
        <w:rPr>
          <w:rFonts w:ascii="IRNazanin" w:hAnsi="IRNazanin" w:eastAsia="IRNazanin"/>
          <w:color w:val="111111"/>
          <w:sz w:val="28"/>
          <w:sz w:val="28"/>
          <w:szCs w:val="28"/>
          <w:rtl w:val="true"/>
          <w:lang w:bidi="fa-IR"/>
        </w:rPr>
        <w:t xml:space="preserve">و هذا إشعار بالقضیّة الخارجیّة، و لا یکون قید المرکّب أن لا یکون مکاء و تصدیة، بل الظاهر ما عرفت منّا المساعد علیه ارتکاز العقلاء و فهم العرف، و اجتهاد الفقهاء؛ بعد تعرّضهم لقاطعیّة عدّة امور فی الجملة، علی تفصیل محرّر فی الفقه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القهقهة و الأکل الکثیر حال قراءة الإمام، أو فی حال الرکوع، و الرقص و لو کان خفیفا حال صلاته و کان منفردا، ینافی صلاحیة العمل للانتزاع المذکور، بخلاف التبسّم الخفیف، بل و امتصاص بعض الأشیاء و الشرب الیسیر، کما فی صلاة</w:t>
      </w:r>
      <w:bookmarkStart w:id="149" w:name="pg13177_117761"/>
    </w:p>
    <w:p>
      <w:pPr>
        <w:pStyle w:val="BookText"/>
        <w:rPr/>
      </w:pPr>
      <w:bookmarkEnd w:id="149"/>
      <w:r>
        <w:rPr>
          <w:rFonts w:ascii="IRNazanin" w:hAnsi="IRNazanin" w:eastAsia="IRNazanin"/>
          <w:color w:val="111111"/>
          <w:sz w:val="28"/>
          <w:sz w:val="28"/>
          <w:szCs w:val="28"/>
          <w:rtl w:val="true"/>
          <w:lang w:bidi="fa-IR"/>
        </w:rPr>
        <w:t>الوتر فی بعض الأحیان، فعند ذلک یرجع ذلک إلی الشرطیّة و القیدیّة للمرکّب، و کیفیّة استفادة القاطعیّة لمرتبة منها و قیدیّة بعض المراتب، یطلب من الفقه، و غیر مربوط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 قول بعض المعاصرین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العصیان حال الصلاة ینافیها، و 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قائم علیه دلیل لفظیّ، و لا یکون مندرجا فی مسألة اجتماع الأمر و النهی؛ لعدم اتحاد الکون، فیعلم من ذلک ما ذکرناه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انصراف الأدلّة إلی أن تکون الصلاة صالحة لما مرّ، فیکون قیدا، ینافی ارتکاز العقلاء عدّ العمل الصلاتیّ حال الرقص غیر صلاة، أو العمرة مع إتیان بعض المعاصی الکبیرة حال السعی غیر عبادة، و لا یحسبونه عملا حقیقة، لا مجازا أو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من الاشیاء عرفا ما ینافی العبودیّة، و تصیر النتیجة عدم سقوط الأمر، لا لأجل ترک بعض الأفعال و القیود، بل لأجل ما ینافی صلاحیته لانتزاع العبودیّة، فلیتأمّل جیّدا</w:t>
      </w:r>
      <w:r>
        <w:rPr>
          <w:rFonts w:eastAsia="IRNazanin" w:cs="IRNazanin"/>
          <w:color w:val="111111"/>
          <w:sz w:val="28"/>
          <w:szCs w:val="28"/>
          <w:rtl w:val="true"/>
          <w:lang w:bidi="fa-IR"/>
        </w:rPr>
        <w:t>.</w:t>
      </w:r>
    </w:p>
    <w:p>
      <w:pPr>
        <w:pStyle w:val="Heading6"/>
        <w:numPr>
          <w:ilvl w:val="5"/>
          <w:numId w:val="1"/>
        </w:numPr>
        <w:rPr/>
      </w:pPr>
      <w:bookmarkStart w:id="150" w:name="__RefHeading___Toc763662_3244359995"/>
      <w:bookmarkStart w:id="151" w:name="_Toc56"/>
      <w:bookmarkEnd w:id="150"/>
      <w:r>
        <w:rPr>
          <w:rtl w:val="true"/>
        </w:rPr>
        <w:t>بقی شی‌ء</w:t>
      </w:r>
      <w:r>
        <w:rPr>
          <w:rtl w:val="true"/>
        </w:rPr>
        <w:t xml:space="preserve">: </w:t>
      </w:r>
      <w:r>
        <w:rPr>
          <w:rtl w:val="true"/>
        </w:rPr>
        <w:t>فی عدم اعتبار القاطع و المانع بالنسبة إلی المرکّب غیر العبادی</w:t>
      </w:r>
      <w:bookmarkEnd w:id="151"/>
    </w:p>
    <w:p>
      <w:pPr>
        <w:pStyle w:val="BookText"/>
        <w:rPr/>
      </w:pPr>
      <w:r>
        <w:rPr>
          <w:rFonts w:ascii="IRNazanin" w:hAnsi="IRNazanin" w:eastAsia="IRNazanin"/>
          <w:color w:val="111111"/>
          <w:sz w:val="28"/>
          <w:sz w:val="28"/>
          <w:szCs w:val="28"/>
          <w:rtl w:val="true"/>
          <w:lang w:bidi="fa-IR"/>
        </w:rPr>
        <w:t>ما ذکرناه من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القاطع، مخصوص بالمرکّب العبادیّ، و أمّا المرکّب غیر العبادیّ فلا یعتبر بالنسبة إلی وجوده المانع، و لا بالنسبة إلی الهیئة الاتصالیّة قاطعا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یعدّ الفعل بین الأجزاء مضرّا بالتوالی المعتبر فیه، کما إذا أوقع الفعل الکثیر بین البسملة و فری الأوداج الأربعة، و هذا یرجع إلی الإخلال بالقید المعتبر، کما فی باب المعاملات و صیغها</w:t>
      </w:r>
      <w:r>
        <w:rPr>
          <w:rFonts w:eastAsia="IRNazanin" w:cs="IRNazanin"/>
          <w:color w:val="111111"/>
          <w:sz w:val="28"/>
          <w:szCs w:val="28"/>
          <w:rtl w:val="true"/>
          <w:lang w:bidi="fa-IR"/>
        </w:rPr>
        <w:t>.</w:t>
      </w:r>
      <w:bookmarkStart w:id="152" w:name="pg13177_117762"/>
    </w:p>
    <w:p>
      <w:pPr>
        <w:pStyle w:val="Heading6"/>
        <w:numPr>
          <w:ilvl w:val="5"/>
          <w:numId w:val="1"/>
        </w:numPr>
        <w:rPr/>
      </w:pPr>
      <w:bookmarkStart w:id="153" w:name="__RefHeading___Toc763664_3244359995"/>
      <w:bookmarkStart w:id="154" w:name="_Toc57"/>
      <w:bookmarkEnd w:id="152"/>
      <w:bookmarkEnd w:id="153"/>
      <w:r>
        <w:rPr>
          <w:rtl w:val="true"/>
        </w:rPr>
        <w:t>مقتضی الأصل فی الشبهة الحکمیة للقاطع</w:t>
      </w:r>
      <w:bookmarkEnd w:id="154"/>
    </w:p>
    <w:p>
      <w:pPr>
        <w:pStyle w:val="BookText"/>
        <w:rPr/>
      </w:pPr>
      <w:r>
        <w:rPr>
          <w:rFonts w:ascii="IRNazanin" w:hAnsi="IRNazanin" w:eastAsia="IRNazanin"/>
          <w:color w:val="111111"/>
          <w:sz w:val="28"/>
          <w:sz w:val="28"/>
          <w:szCs w:val="28"/>
          <w:rtl w:val="true"/>
          <w:lang w:bidi="fa-IR"/>
        </w:rPr>
        <w:t>إذا عرفت هذه الجهات، حان وقت الکلام حول مقتضی الأصل عند الشکّ فی قاطعیّة شی‌ء حکما، ثمّ الشکّ فیها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قد عرفت أنّ القاطعیّة بالقیاس إلی الهیئة الاتصالیّة، غیر متصوّرة إلّا علی وجه الادعاء البعید جدّا عن الأخبار و الأدلّة، و لو فرضنا ذلک فمقتضی البراءات الثلاث عند الشکّ فی اعتبار قاطعیّة شی‌ء، عدم جواز العقوبة علی ترک المأمور به لأجل إیجاد القاطع، إلّا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المزبور یوجب الشکّ فی وجود الهیئة الاتصالیّة، و اتصاف المأمور به بها، فعندئذ تصحّ العقوبة العقلیّة و العقلائیّة؛ للزوم إحراز تلک الهیئة التی تنعدم عند وجود القاطع، و تکون البراءة الشرعیة من الأصل المثبت، کما عرفت توضیحه فی التنبیه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بما سلکناه من رجوع البراءة إلی تقیید الأدلّة الأوّلیة، کما یستشمّ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المسائل الماضیة هنا</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القاطعیّة بالقیاس إلی انتزاع عنوان العبودیّة، ففی النظرة الاولی تجری؛ لأنّ حقیقة القاطع هی المضادّة مع الوجود علی الوجه المحرّر، و إذا شکّ فی ذلک یکون الإجزاء قهریّا، و القاطعیّة مرفوعة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النظرة الثانیة، اعتبار کون المأتیّ به فی باب المرکّبات العبادیّة، صالحا لانتزاع عنوان العبودیّة، و عند الشکّ یلزم الشکّ فی حصول ذلک الأمر الانتزاعیّ اللازم، و تصیر النتیجة هی الاشتغال</w:t>
      </w:r>
      <w:r>
        <w:rPr>
          <w:rFonts w:eastAsia="IRNazanin" w:cs="IRNazanin"/>
          <w:color w:val="111111"/>
          <w:sz w:val="28"/>
          <w:szCs w:val="28"/>
          <w:rtl w:val="true"/>
          <w:lang w:bidi="fa-IR"/>
        </w:rPr>
        <w:t>.</w:t>
      </w:r>
      <w:bookmarkStart w:id="155" w:name="pg13177_117763"/>
    </w:p>
    <w:p>
      <w:pPr>
        <w:pStyle w:val="Heading6"/>
        <w:numPr>
          <w:ilvl w:val="5"/>
          <w:numId w:val="1"/>
        </w:numPr>
        <w:rPr/>
      </w:pPr>
      <w:bookmarkStart w:id="156" w:name="__RefHeading___Toc763666_3244359995"/>
      <w:bookmarkStart w:id="157" w:name="_Toc58"/>
      <w:bookmarkEnd w:id="155"/>
      <w:bookmarkEnd w:id="156"/>
      <w:r>
        <w:rPr>
          <w:rtl w:val="true"/>
        </w:rPr>
        <w:t>مقتضی الأصل فی الهیئة الاتصالیّة</w:t>
      </w:r>
      <w:bookmarkEnd w:id="157"/>
    </w:p>
    <w:p>
      <w:pPr>
        <w:pStyle w:val="BookText"/>
        <w:rPr/>
      </w:pPr>
      <w:r>
        <w:rPr>
          <w:rFonts w:ascii="IRNazanin" w:hAnsi="IRNazanin" w:eastAsia="IRNazanin"/>
          <w:color w:val="111111"/>
          <w:sz w:val="28"/>
          <w:sz w:val="28"/>
          <w:szCs w:val="28"/>
          <w:rtl w:val="true"/>
          <w:lang w:bidi="fa-IR"/>
        </w:rPr>
        <w:t>بقی بحث حول الهیئة الاتصالیّة بالمعنی الأعمّ المذکورة بین أفعال الحجّ و العمرة، و هکذا بین أفعال التذکیة، فإنّه و إن کان مقتضی الشکّ فی اعتبار قیدیّة التوالی فی الأوّل أو التوالی الخاصّ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الهیئة الاتصالیّة، ربّما تستفاد من اعتبار التوالی بین الأجزاء زائدا علی نفس التوالی؛ لأنّه شی‌ء بین ذوات الأجزاء بقیاس بعضها إلی بعض، و الهیئة تقاس بالقیاس إلی نفس المرکّب و مجموع الأجزاء، و تکون قائمة بالصلاة و التذکیة و العمرة و هکذا،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 عن وجوب التوالی، و عن مبدأ اعتبار تلک الهیئة، إلّا أنّ حلّیة اللحم منوطة بالسبب الخاصّ، و حرمة اللحم لا ترتفع إلّا بعد حصول الأجزاء علی الوجه المحتمل و حلّیة تروک الإحرام أو حرمتها مستدامة إلی أن یقطع و یستیقن بخروجه عن الإحرام المستصحب، فالبراءة العقلیّة و العقلائیّة غیر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فهی مثبتة و لو کان شکّها سببا للشکّ الاستصحابیّ؛ ضرورة أنّ إمکان تصرّف الشرع فی جزئیّة شی‌ء للسبب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کسببیة التذکیة للحلّیة، أو العمرة لحلّیة تروک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صحیحا و جائزا عندنا، کما تحرّر فی محله </w:t>
      </w:r>
      <w:r>
        <w:rPr>
          <w:rStyle w:val="FootnoteAnchor"/>
          <w:rtl w:val="true"/>
        </w:rPr>
        <w:footnoteReference w:id="178"/>
      </w:r>
      <w:r>
        <w:rPr>
          <w:rFonts w:ascii="IRNazanin" w:hAnsi="IRNazanin" w:eastAsia="IRNazanin"/>
          <w:color w:val="111111"/>
          <w:sz w:val="28"/>
          <w:sz w:val="28"/>
          <w:szCs w:val="28"/>
          <w:rtl w:val="true"/>
          <w:lang w:bidi="fa-IR"/>
        </w:rPr>
        <w:t>، إلّا أنّ حدیث المثبتیّة لا ینحلّ بذلک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الإحرام موضوع لحرمة عدّة امور، کموضوعیّة الصلاة لحرمة الضحک و غیره، و إنّ حرمة اللحم قبل التذکیة ممنوعة، و إنّما یعتبر لحلّیة أکل بعضه إیجاد عدّة امور من البسملة إلی آخرها، فلا استصحاب، و لا مثبتیّة؛ لاندراج المسألة فی الأقلّ و الأکثر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اللتیّا و التی، إن قلنا باستفادة اعتبار الهیئة الاتصالیّة؛ من جهة</w:t>
      </w:r>
      <w:bookmarkStart w:id="158" w:name="pg13177_117764"/>
    </w:p>
    <w:p>
      <w:pPr>
        <w:pStyle w:val="BookText"/>
        <w:rPr/>
      </w:pPr>
      <w:bookmarkEnd w:id="158"/>
      <w:r>
        <w:rPr>
          <w:rFonts w:ascii="IRNazanin" w:hAnsi="IRNazanin" w:eastAsia="IRNazanin"/>
          <w:color w:val="111111"/>
          <w:sz w:val="28"/>
          <w:sz w:val="28"/>
          <w:szCs w:val="28"/>
          <w:rtl w:val="true"/>
          <w:lang w:bidi="fa-IR"/>
        </w:rPr>
        <w:t>التوالی المعتبر بین أجزاء المرکّب علی النحو الوارد فی المرکّبات علی اختلافها، فالبراءة عن الأکثر تکون مثبتة بالنسبة إلی حصول تلک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اعتبار الزائد علی التوالی بین الأجزاء علی اختلاف المرکّبات فی حدود التوالی، فلا یلزم کونها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استنادها من اعتباره بین الأجزاء، بل تکون الهیئة الاتصالیّة عین التوالی المعتبر، إلّا أنّ التوالی یقاس بین جزء و جزء، و الهیئة تعتبر بالقیاس إلی مجموع المرکّب بعد اعتباره بین کلّ جزء مع جزء سابق و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الاتصالیّة المساوقة للوحدة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عین الوجود و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الهیئة الاتصالیّة الاعتباریّة فی الصلاة و غیرها، و ذات مراتب مشکّکة بتشکیک اعتباریّ، فلا یلزم إنکارها فی الصلاة، و لا فی مثل الوضوء و التیمّم و الحجّ و العمرة، و سائر المرکّبات غیر العبادیّة من صیغ الإنشاءات و العقود، و مثل التذکیة، فافهم و اغتنم، فإنّه یلیق به جدّا</w:t>
      </w:r>
      <w:r>
        <w:rPr>
          <w:rFonts w:eastAsia="IRNazanin" w:cs="IRNazanin"/>
          <w:color w:val="111111"/>
          <w:sz w:val="28"/>
          <w:szCs w:val="28"/>
          <w:rtl w:val="true"/>
          <w:lang w:bidi="fa-IR"/>
        </w:rPr>
        <w:t>.</w:t>
      </w:r>
    </w:p>
    <w:p>
      <w:pPr>
        <w:pStyle w:val="Heading6"/>
        <w:numPr>
          <w:ilvl w:val="5"/>
          <w:numId w:val="1"/>
        </w:numPr>
        <w:rPr/>
      </w:pPr>
      <w:bookmarkStart w:id="159" w:name="__RefHeading___Toc763668_3244359995"/>
      <w:bookmarkStart w:id="160" w:name="_Toc59"/>
      <w:bookmarkEnd w:id="159"/>
      <w:r>
        <w:rPr>
          <w:rtl w:val="true"/>
        </w:rPr>
        <w:t>مقتضی الأصل فی الشبهة الموضوعیّة للقاطع</w:t>
      </w:r>
      <w:bookmarkEnd w:id="160"/>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الشبهة الموضوعیّة للقاطع؛ سواء کانت من الشبهة الموضوعیّة بالقیاس إلی الهیئة الاتصالیّة، أو کانت بالقیاس إلی انتزاع عنوان العبودیّة عن المرکّب، بعد الاعتراف بلزوم کون المرکّب العبادیّ، موضوعا لانتزاع عنوان العبودیّة بحسب الوجود الخارجیّ، من غیر کونه راجعا إلی القیدیّة للمرکّب کما مرّ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کانت من جهة وجود الفصل بین الأجزاء، فإنّه ربّما یشکّ فی تحقّق ما هو</w:t>
      </w:r>
      <w:bookmarkStart w:id="161" w:name="pg13177_117765"/>
    </w:p>
    <w:p>
      <w:pPr>
        <w:pStyle w:val="BookText"/>
        <w:rPr/>
      </w:pPr>
      <w:bookmarkEnd w:id="161"/>
      <w:r>
        <w:rPr>
          <w:rFonts w:ascii="IRNazanin" w:hAnsi="IRNazanin" w:eastAsia="IRNazanin"/>
          <w:color w:val="111111"/>
          <w:sz w:val="28"/>
          <w:sz w:val="28"/>
          <w:szCs w:val="28"/>
          <w:rtl w:val="true"/>
          <w:lang w:bidi="fa-IR"/>
        </w:rPr>
        <w:t>القاطع من الامور الوجودیّة، کالضحک و غیره، و الرقص و نحوه، أو من الامور العدمیّة، کتحقّق الفصل المضرّ بتلک الهیئة؛ و بأخذ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من جهة البراءة و الاشتغال هنا، غیر الکلام فی الشبهة الحکمیّة؛ ضرورة أنّ البراءة العقلیّة و العقلائیّة غیر جاریة؛ للزوم القطع بالسقوط بعد العلم بالثبوت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البراءة الشرعیّة فهی مثبتة إلّا علی ما سلکناه؛ ضرورة أنّه بعد جریان البراءة عن إضرار ما هو فی الخارج لتلک الهیئة، أو لذلک الأمر اللازم انتزاعه، فلازمه و إن لم یکن تقیّد الأدلّة؛ لأنّ القاطعیّة کالمانعیّة لا ترجع إلی مرحلة الجعل، و لکنّه یرجع إلی أنّ الشرع غیر ملتزم بکون المرکّب الخارجیّ ذا هیئة اتصالیة، أو منشأ لانتزاع العبودیّة و هکذا، کما هو کذلک فی الغسل علی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رفع حقیقیّ فی مورد الجهالة، أو کالحقیقیّ، و هو الادعائیّ علی إطلاقه الملازم أیضا لصرف النظر عن الواقع؛ علی وجه لا یعدّ ترکه من الإخلال بالأمر الواجب فی المأمور به، حتّی تلزم الإعادة أو القضاء بعد الالتفات و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قطع النظر عن استصحاب الصحّة التأهّلیة الآتی بیانه إن شاء اللّه تعالی</w:t>
      </w:r>
      <w:r>
        <w:rPr>
          <w:rFonts w:eastAsia="IRNazanin" w:cs="IRNazanin"/>
          <w:color w:val="111111"/>
          <w:sz w:val="28"/>
          <w:szCs w:val="28"/>
          <w:rtl w:val="true"/>
          <w:lang w:bidi="fa-IR"/>
        </w:rPr>
        <w:t>.</w:t>
      </w:r>
    </w:p>
    <w:p>
      <w:pPr>
        <w:pStyle w:val="Heading6"/>
        <w:numPr>
          <w:ilvl w:val="5"/>
          <w:numId w:val="1"/>
        </w:numPr>
        <w:rPr/>
      </w:pPr>
      <w:bookmarkStart w:id="162" w:name="__RefHeading___Toc763670_3244359995"/>
      <w:bookmarkStart w:id="163" w:name="_Toc60"/>
      <w:bookmarkEnd w:id="162"/>
      <w:r>
        <w:rPr>
          <w:rtl w:val="true"/>
        </w:rPr>
        <w:t>تنبیهات و توضیحات</w:t>
      </w:r>
      <w:r>
        <w:rPr>
          <w:rtl w:val="true"/>
        </w:rPr>
        <w:t xml:space="preserve">: </w:t>
      </w:r>
      <w:r>
        <w:rPr>
          <w:rtl w:val="true"/>
        </w:rPr>
        <w:t>حول الإخلال بأجزاء المرکّب</w:t>
      </w:r>
      <w:bookmarkEnd w:id="163"/>
    </w:p>
    <w:p>
      <w:pPr>
        <w:pStyle w:val="Heading6"/>
        <w:numPr>
          <w:ilvl w:val="5"/>
          <w:numId w:val="1"/>
        </w:numPr>
        <w:rPr/>
      </w:pPr>
      <w:bookmarkStart w:id="164" w:name="__RefHeading___Toc763672_3244359995"/>
      <w:bookmarkStart w:id="165" w:name="_Toc61"/>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أی الأعمّ من الأجزاء الصوریّة، کالفاتحة و السورة، أو التحلیلیّة، و الأعمّ من الوجودیّة و العدمیّة، و الأعمّ من الوجودیّة و العدمیّة، و الأعمّ من المرکّب العبادیّ و غیر العبادیّ، و الأعمّ من الإخلال السهویّ، و النسیانیّ، و الجهلیّ، و الاضطراریّ، و الإکراهیّ، و العجزیّ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من الأجزاء و الموانع و القواطع، بناء علی صحّتهما کما مرّ تحقیقه، کما أنّ الجهة المبحوث عنها أعمّ من نسیان الجزء و الجزئیّة، و الشرط</w:t>
      </w:r>
    </w:p>
    <w:p>
      <w:pPr>
        <w:pStyle w:val="BookText"/>
        <w:rPr/>
      </w:pPr>
      <w:r>
        <w:rPr>
          <w:rFonts w:ascii="IRNazanin" w:hAnsi="IRNazanin" w:eastAsia="IRNazanin"/>
          <w:color w:val="111111"/>
          <w:sz w:val="28"/>
          <w:sz w:val="28"/>
          <w:szCs w:val="28"/>
          <w:rtl w:val="true"/>
          <w:lang w:bidi="fa-IR"/>
        </w:rPr>
        <w:t>و الشرطیّة، و هکذا هو الأعمّ من الإخلال بالمرکّب بالنقیصة 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البحث هو المرکّب الأعمّ من العقلائیّ و الشرعیّ، و دخول بعض بحوث المرکّبات الخاصّة کالصلاة أو الوضوء؛ لوجود الأدلّة الخاصّة بها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زاد فی صلاة </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 سجدتی السهو لکلّ نقیصة و زیادة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فإنّه کلّه خارج عمّا یلیق بالبحث الاصولیّ العامّ و یختصّ بالفقیه فی کتاب الصلاة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کلمات القوم من التدخّل فی هذه القواعد بالنسبة إلی خصوص الصلاة، و ملاحظة النسبة بین الأجزاء و القواعد، و ملاحظة التقدّم ورودا و حکومة بینها</w:t>
      </w:r>
      <w:r>
        <w:rPr>
          <w:rStyle w:val="FootnoteAnchor"/>
          <w:rtl w:val="true"/>
        </w:rPr>
        <w:footnoteReference w:id="183"/>
      </w:r>
      <w:r>
        <w:rPr>
          <w:rFonts w:ascii="Amiri" w:hAnsi="Amiri" w:eastAsia="Amiri" w:cs="Amiri"/>
          <w:color w:val="111111"/>
          <w:sz w:val="28"/>
          <w:sz w:val="28"/>
          <w:szCs w:val="28"/>
          <w:rtl w:val="true"/>
          <w:lang w:bidi="ar-SA"/>
        </w:rPr>
        <w:t>، فإنّه کلّه أجنبیّ و غیر مترقّب منهم طرّا و کلّا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المنظور إلیه هو الأدلّة العامة غیر الخاصّة بمرکّب، کحدیث الرفع </w:t>
      </w:r>
      <w:r>
        <w:rPr>
          <w:rStyle w:val="FootnoteAnchor"/>
          <w:rtl w:val="true"/>
        </w:rPr>
        <w:footnoteReference w:id="18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به ما استطعتم</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اضطرّ إلیه ابن آدم فقد أحلّه اللّه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فجعل بعض المرکّبات موضوعا للبحث بعد کونه مورد البحث فی کتاب یختصّ به فی الفقه غیر ملاحظة بعض الحالات الطارئة بالنسبة إلی کلّ</w:t>
      </w:r>
      <w:bookmarkStart w:id="166" w:name="pg13177_117767"/>
    </w:p>
    <w:p>
      <w:pPr>
        <w:pStyle w:val="BookText"/>
        <w:rPr/>
      </w:pPr>
      <w:bookmarkEnd w:id="166"/>
      <w:r>
        <w:rPr>
          <w:rFonts w:ascii="IRNazanin" w:hAnsi="IRNazanin" w:eastAsia="IRNazanin"/>
          <w:color w:val="111111"/>
          <w:sz w:val="28"/>
          <w:sz w:val="28"/>
          <w:szCs w:val="28"/>
          <w:rtl w:val="true"/>
          <w:lang w:bidi="fa-IR"/>
        </w:rPr>
        <w:t>مرکّب، کحالة العجز و الإکراه، أو النسیان و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الجهالة بالنسبة إلی التکلیف و الوضع فقد مرّ بحثه فی البراءة، فبقی الکلام بالنسبة إلی سائر الحالات</w:t>
      </w:r>
      <w:r>
        <w:rPr>
          <w:rFonts w:eastAsia="IRNazanin" w:cs="IRNazanin"/>
          <w:color w:val="111111"/>
          <w:sz w:val="28"/>
          <w:szCs w:val="28"/>
          <w:rtl w:val="true"/>
          <w:lang w:bidi="fa-IR"/>
        </w:rPr>
        <w:t>.</w:t>
      </w:r>
    </w:p>
    <w:p>
      <w:pPr>
        <w:pStyle w:val="Heading6"/>
        <w:numPr>
          <w:ilvl w:val="5"/>
          <w:numId w:val="1"/>
        </w:numPr>
        <w:rPr/>
      </w:pPr>
      <w:bookmarkStart w:id="167" w:name="__RefHeading___Toc763674_3244359995"/>
      <w:bookmarkStart w:id="168" w:name="_Toc62"/>
      <w:bookmarkEnd w:id="167"/>
      <w:r>
        <w:rPr>
          <w:rtl w:val="true"/>
        </w:rPr>
        <w:t>مقتضی القواعد الأوّلیّة الثبوتیة و الشبهات العقلیة فی صورة الإخلال بالمرکّب</w:t>
      </w:r>
      <w:bookmarkEnd w:id="168"/>
    </w:p>
    <w:p>
      <w:pPr>
        <w:pStyle w:val="Heading6"/>
        <w:numPr>
          <w:ilvl w:val="5"/>
          <w:numId w:val="1"/>
        </w:numPr>
        <w:rPr/>
      </w:pPr>
      <w:bookmarkStart w:id="169" w:name="__RefHeading___Toc763676_3244359995"/>
      <w:bookmarkStart w:id="170" w:name="_Toc63"/>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إذا عرفت ذلک فهناک بحوث ترجع إلی شبهات عقلیّة، و مباحث حول مرحلة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بحوث حول قضیّة القواعد الأوّلیة العقلیّة و اللفظیّة، و مباحث حول مقتضی القواعد الثانویّة</w:t>
      </w:r>
      <w:r>
        <w:rPr>
          <w:rFonts w:eastAsia="IRNazanin" w:cs="IRNazanin"/>
          <w:color w:val="111111"/>
          <w:sz w:val="28"/>
          <w:szCs w:val="28"/>
          <w:rtl w:val="true"/>
          <w:lang w:bidi="fa-IR"/>
        </w:rPr>
        <w:t>:</w:t>
      </w:r>
    </w:p>
    <w:p>
      <w:pPr>
        <w:pStyle w:val="Heading6"/>
        <w:numPr>
          <w:ilvl w:val="5"/>
          <w:numId w:val="1"/>
        </w:numPr>
        <w:rPr/>
      </w:pPr>
      <w:bookmarkStart w:id="171" w:name="__RefHeading___Toc763678_3244359995"/>
      <w:bookmarkStart w:id="172" w:name="_Toc64"/>
      <w:bookmarkEnd w:id="171"/>
      <w:r>
        <w:rPr>
          <w:rtl w:val="true"/>
        </w:rPr>
        <w:t>البحث الأوّل</w:t>
      </w:r>
      <w:r>
        <w:rPr>
          <w:rtl w:val="true"/>
        </w:rPr>
        <w:t xml:space="preserve">: </w:t>
      </w:r>
      <w:r>
        <w:rPr>
          <w:rtl w:val="true"/>
        </w:rPr>
        <w:t>حول صحّة المرکّب مع الإخلال بالجزء عمدا</w:t>
      </w:r>
      <w:bookmarkEnd w:id="172"/>
    </w:p>
    <w:p>
      <w:pPr>
        <w:pStyle w:val="Heading6"/>
        <w:numPr>
          <w:ilvl w:val="5"/>
          <w:numId w:val="1"/>
        </w:numPr>
        <w:rPr/>
      </w:pPr>
      <w:bookmarkStart w:id="173" w:name="__RefHeading___Toc763680_3244359995"/>
      <w:bookmarkStart w:id="174" w:name="_Toc65"/>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قد اشتهر أنّ الترک العمدیّ للجزء ینافی عقلا صحّة المرکّب </w:t>
      </w:r>
      <w:r>
        <w:rPr>
          <w:rStyle w:val="FootnoteAnchor"/>
          <w:rtl w:val="true"/>
        </w:rPr>
        <w:footnoteReference w:id="187"/>
      </w:r>
      <w:r>
        <w:rPr>
          <w:rFonts w:ascii="IRNazanin" w:hAnsi="IRNazanin" w:eastAsia="IRNazanin"/>
          <w:color w:val="111111"/>
          <w:sz w:val="28"/>
          <w:sz w:val="28"/>
          <w:szCs w:val="28"/>
          <w:rtl w:val="true"/>
          <w:lang w:bidi="fa-IR"/>
        </w:rPr>
        <w:t>، فلو لم یکن هناک إطلاق فرضا لدلیل الجزء، فلازم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المرکّب بترک الجزء فی صورة القدرة، و المتیقّن هی صورة ترکه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لدلیل الجزء إطلاق، و لم یکن لدلیل الطبیعة إطلاق، فالبطلان فی صورة ترک الجزء عمدا أیضا واضح؛ قضاء لحقّ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لدلیل المرکّب فقط إطلاق، فالبطلان بترکه أوضح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لکلّ واحد منهما الإطلاق، فصدق المرکّب بدون الجزء، یقتضی</w:t>
      </w:r>
    </w:p>
    <w:p>
      <w:pPr>
        <w:pStyle w:val="BookText"/>
        <w:rPr/>
      </w:pPr>
      <w:r>
        <w:rPr>
          <w:rFonts w:ascii="IRNazanin" w:hAnsi="IRNazanin" w:eastAsia="IRNazanin"/>
          <w:color w:val="111111"/>
          <w:sz w:val="28"/>
          <w:sz w:val="28"/>
          <w:szCs w:val="28"/>
          <w:rtl w:val="true"/>
          <w:lang w:bidi="fa-IR"/>
        </w:rPr>
        <w:t>کفایة المأتیّ به و سقوط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معنی إطلاق دلیل الجزء عندنا، لیس إلّا انحلال المرکّب المأمور به إلی عشرة أجزاء، فإذا ترک جزء منها و صار تسعة أجزاء یکون باطلا؛ لعدم التوافق بین المأمور به و المأتیّ به، و یعدّ الجزء رکنا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قال المیرزا التقیّ الشیرازیّ فی رسالته، بإمکان تصوّر کون الإخلال العمدیّ غیر مضرّ بصحّة المرکّب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أفاد الوالد المحقّق علی خلاف ما 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الانصراف یقتضی البطلان، و إلّا فلا بأس بالالتزام بصحّة المرکّب الفاقد للجزء مثلا عمدا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 من تلک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حلقتین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کبیرة جامعة لعشرة أجزاء، و حلقة قصیرة فاقدة لجزء منها مثلا، فإذا ترک الجزء تبطل الحلقة الکبیرة، و تصحّ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مراتب للمرکّب؛ مرتبة منها تبطل بترک الجزء العمدیّ، و مرتبة منها تصحّ؛ لاجتماع سائر الأجزاء فیها و هکذا، و بعد صحّة الحلقة الصغیرة لا یبقی وجه لبقاء الأمر بالنسبة إلی الحلقة الکبیرة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قدّس سرّه مخصوص بالصلاة؛ نظرا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فی مورد انصراف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فی خارج البحث یمیل إلی أنّه لولا انصراف القاعدة کان للقول بصحّة الصلاة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نرید توضیح ذلک بالقیاس إلی مطلق المرکّب، لأنّه إذا أمکن ثبوتا الجمع بین القول بالجزئیّة حال العمد، و القول بصحّة الفاقد؛ نظرا إلی إطلاق الدلیلین؛ و أنّ ذلک یستلزم ذاک، یمکن ذلک بالنسبة إلی کافّة المرکّبات من غیر الحاجة إلی الأدلّة</w:t>
      </w:r>
    </w:p>
    <w:p>
      <w:pPr>
        <w:pStyle w:val="BookText"/>
        <w:rPr/>
      </w:pPr>
      <w:r>
        <w:rPr>
          <w:rFonts w:ascii="IRNazanin" w:hAnsi="IRNazanin" w:eastAsia="IRNazanin"/>
          <w:color w:val="111111"/>
          <w:sz w:val="28"/>
          <w:sz w:val="28"/>
          <w:szCs w:val="28"/>
          <w:rtl w:val="true"/>
          <w:lang w:bidi="fa-IR"/>
        </w:rPr>
        <w:t xml:space="preserve">الخاصّة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فی خصوص الصلاة،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هذه المقالة الفاسدة وجوه من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بتلک الحلقات و المراتب إمّا تکون نفسیّة، أو یکون ما هو المتوجّه إلی الحلقة الصغیرة نفسیّا، دون غیره، فإن کانت هی نفسیّة فلازمه الإطاعات فی صورة الإتیان بالمرکّب، و العصیانات فی صورة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الحلقة الاولی مورد الأمر النفسیّ، فالأمر الثانی غیریّ، و لا معنی للغیریّة إلّا بیان جزئیّة المأمور به للمأمور به النفسیّ، و لازمه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واحد متعلّق بواحد و هو المرکّب، إلّا أنّه إن وجد فی الخارج جامعا فقد سقط أمر واحد، و إن ترک علی الإطلاق فهناک عصیان، و إن أتی بالحلقة الاولی فما هو طبیعیّ المرکّب قد امتثل أمره، و ما هی المرتبة العالیة قد ترک أمرها الغیریّ، فلا عصیان و لا بطلان، فی غیر محلّه جدّا؛ ضرورة أنّه لا معنی لغیریّة الأمر إلّا الجزئیّة و الشرطیّة بالقیاس إلی المأمور به بالأمر النفسیّ، و لازمه عصیانه و بطلانه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 فی محلّه امتناع کون المطلق و المقیّد، مورد الأمرین الاستقلالیّین النفسیّین، و أنّه کما لا یعقل أن یترشّح الأمران النفسیّان بالنسبة إلی الشی‌ء الواحد و العنوان الفارد، کذلک الأمر بالنسبة إلی المطلق و المقیّد</w:t>
      </w:r>
      <w:r>
        <w:rPr>
          <w:rStyle w:val="FootnoteAnchor"/>
          <w:rtl w:val="true"/>
        </w:rPr>
        <w:footnoteReference w:id="190"/>
      </w:r>
      <w:r>
        <w:rPr>
          <w:rFonts w:ascii="IRNazanin" w:hAnsi="IRNazanin" w:eastAsia="IRNazanin"/>
          <w:color w:val="111111"/>
          <w:sz w:val="28"/>
          <w:sz w:val="28"/>
          <w:szCs w:val="28"/>
          <w:rtl w:val="true"/>
          <w:lang w:bidi="fa-IR"/>
        </w:rPr>
        <w:t>، بخلاف المتباینین و العامّین من وجه، فلا یعقل أن تکون الصلاة مثلا بمرتبة و فی حلقة کبیرة مورد الأمر النفسیّ، و الحلقة المتأخّرة أیضا مورد الأمر النفسیّ الآخر، فالأوامر ترجع إلی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دخالة المأمور به بالأمر الغیریّ فی سقوط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للجزئیّة الصوریّة و الشرطیّة التحلیلیّة إلّا البطلان عند الإخلال به، و إلّا فهو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وجود عدّة أمور فی الحجّ جزء من غیر استلزام الإخلال بها للبطلان </w:t>
      </w:r>
      <w:r>
        <w:rPr>
          <w:rStyle w:val="FootnoteAnchor"/>
          <w:rtl w:val="true"/>
        </w:rPr>
        <w:footnoteReference w:id="191"/>
      </w:r>
      <w:r>
        <w:rPr>
          <w:rFonts w:ascii="IRNazanin" w:hAnsi="IRNazanin" w:eastAsia="IRNazanin"/>
          <w:color w:val="111111"/>
          <w:sz w:val="28"/>
          <w:sz w:val="28"/>
          <w:szCs w:val="28"/>
          <w:rtl w:val="true"/>
          <w:lang w:bidi="fa-IR"/>
        </w:rPr>
        <w:t>، فی غیر محلّه؛ و أنّها ترجع إلی محرّمات نفسیّة ذات کفّارة أحیانا، أو واجبات نفسیّة ذات کفّارة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یعتبر الشرع شیئا جزء للمرکّب فی الجملة؛ بأن یکون مخلّا به و موجبا لبطلانه حال النسیان، دون العمد، و أمّا عدم کونه موجبا للبطلان علی الإطلاق، و مع ذلک یعدّ جزء واجبا غیریّا، أو ضمنیّا، أو منحلّا إلیه المرکّب فی مرحلة الجعل و الاختراع و 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الأغلاط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یقاس ما نحن فیه بلواحق المصادیق، کالجزء المستحبّ، أو الواجب النفسیّ فی ظرف الواجب النفسیّ الآخر، مثلا التکبیرات الافتتاحیّة و القنوت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لواحق المصداق و الطبیعة الخارجیّة، و لذلک یعدّ بعد وجوده فی ضمن المصداق جزء، من غیر أن تتعلّق به الأوامر الغیریّة الوجوبیّة و الضمنیّة، و من غیر انحلال المرکّب إلیه فی حال ابتکار الطبیعة و اختراعها و وجودها الهندسیّ، فلا تغفل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مقصود الشیرازیّ هو الإخلال العمدیّ بمقدار لا یضرّ بصدق اسم المرکّب، و إلّا فالأمر أوهن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اختصاص إشکاله بالصلاة؛ نظرا إلی رکنیّة الأجزاء المستفادة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کما اشیر إلیه؛ لأنّ وجه إشکاله أعمّ کما تری</w:t>
      </w:r>
      <w:r>
        <w:rPr>
          <w:rFonts w:eastAsia="IRNazanin" w:cs="IRNazanin"/>
          <w:color w:val="111111"/>
          <w:sz w:val="28"/>
          <w:szCs w:val="28"/>
          <w:rtl w:val="true"/>
          <w:lang w:bidi="fa-IR"/>
        </w:rPr>
        <w:t>.</w:t>
      </w:r>
      <w:bookmarkStart w:id="175" w:name="pg13177_117771"/>
    </w:p>
    <w:p>
      <w:pPr>
        <w:pStyle w:val="BookText"/>
        <w:rPr/>
      </w:pPr>
      <w:bookmarkEnd w:id="175"/>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 المناقشة فی صحّة العقوبة علی ترک الجزء و الشرط، حتّی فی مثل الطهارة المائیّة بإیجاد عجزه عنها، و إلّا فلا دلیل علی مشروعیّة الترابیّة إذا تعمّد إلی تعجیزه، فیکون العقاب علی ترک الصلاة لعدم تمکّنه من امتثال أمرها، فلو کان ترک الجزء العمدیّ غیر مضرّ بالمرکّب، فلا تصحّ العقوبة؛ لعدم کون أمره نفسیّا بالضرورة، و لا معنی لکونه ضمنیّا؛ لامتناع تصویر الأمر الضمنیّ کما مرّ</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المرکّب الناقص فی بعض الأحیان، هی لدلیل آخر علی خلاف الأصل، فتأمّل و اغتنم</w:t>
      </w:r>
      <w:r>
        <w:rPr>
          <w:rFonts w:eastAsia="IRNazanin" w:cs="IRNazanin"/>
          <w:color w:val="111111"/>
          <w:sz w:val="28"/>
          <w:szCs w:val="28"/>
          <w:rtl w:val="true"/>
          <w:lang w:bidi="fa-IR"/>
        </w:rPr>
        <w:t>.</w:t>
      </w:r>
    </w:p>
    <w:p>
      <w:pPr>
        <w:pStyle w:val="Heading6"/>
        <w:numPr>
          <w:ilvl w:val="5"/>
          <w:numId w:val="1"/>
        </w:numPr>
        <w:rPr/>
      </w:pPr>
      <w:bookmarkStart w:id="176" w:name="__RefHeading___Toc763682_3244359995"/>
      <w:bookmarkStart w:id="177" w:name="_Toc66"/>
      <w:bookmarkEnd w:id="176"/>
      <w:r>
        <w:rPr>
          <w:rtl w:val="true"/>
        </w:rPr>
        <w:t>ذنابة</w:t>
      </w:r>
      <w:r>
        <w:rPr>
          <w:rtl w:val="true"/>
        </w:rPr>
        <w:t xml:space="preserve">: </w:t>
      </w:r>
      <w:r>
        <w:rPr>
          <w:rtl w:val="true"/>
        </w:rPr>
        <w:t>حول تحریر محطّ النزاع</w:t>
      </w:r>
      <w:bookmarkEnd w:id="177"/>
    </w:p>
    <w:p>
      <w:pPr>
        <w:pStyle w:val="BookText"/>
        <w:rPr/>
      </w:pPr>
      <w:r>
        <w:rPr>
          <w:rFonts w:ascii="IRNazanin" w:hAnsi="IRNazanin" w:eastAsia="IRNazanin"/>
          <w:color w:val="111111"/>
          <w:sz w:val="28"/>
          <w:sz w:val="28"/>
          <w:szCs w:val="28"/>
          <w:rtl w:val="true"/>
          <w:lang w:bidi="fa-IR"/>
        </w:rPr>
        <w:t>قد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هنا حول مقتضی القاعدة بالنسبة إلی رکنیّة شی‌ء و جزء صوریّ، أو تحلیلیّ للمرکّب، مع قطع النظر عن إطلاق دلیل الجزء الذی هو یورث الرکنیّة طبعا؛ ضرورة أنّ إطلاق دلیل المرکّب و إهماله، لا یقتضی الإعادة بعد الإتیان بما یصدق علیه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لدلیل الجزء إطلاق فتثبت الرکنیّة و لزوم الإعادة، إلّا بالدلیل الآخر الذی بحکم المقیّد له، أو یکون مقیّدا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من جهة المرکّب عامّ، و من جهة الصناعة تقع فی بحوث راجعة إلی شبهات عقلیّة فی المسألة، و مباحث إثباتیّة حول الأدلّة الراجعة إلی المرکّبات الشرعیّة، فالدخول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تفاسیره، أو أنّه کیف یمکن إفادة الإطلاق بالنسبة إلی الجزء؟ فی غیر محلّه، و سیمرّ علیک المباحث الإثباتیّة إن شاء اللّه تعالی</w:t>
      </w:r>
      <w:r>
        <w:rPr>
          <w:rFonts w:eastAsia="IRNazanin" w:cs="IRNazanin"/>
          <w:color w:val="111111"/>
          <w:sz w:val="28"/>
          <w:szCs w:val="28"/>
          <w:rtl w:val="true"/>
          <w:lang w:bidi="fa-IR"/>
        </w:rPr>
        <w:t>.</w:t>
      </w:r>
      <w:bookmarkStart w:id="178" w:name="pg13177_117772"/>
    </w:p>
    <w:p>
      <w:pPr>
        <w:pStyle w:val="BookText"/>
        <w:rPr/>
      </w:pPr>
      <w:bookmarkEnd w:id="178"/>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نظرنا إلی ذکر الشبهات العقلیّة بالنسبة إلی الحالات الطارئة علی المرکّب علی الوجه الأعم المذکور؛ سواء کان مخصوصا بترک الجزء، أو إضافة الجزء و زیادته، أو إیجاد المانع و القاطع مثلا؛ نسیانا، أو اضطرارا و إکراها، و التفت إلی ذلک النسیان فی الأثناء، أو بعد ذلک، أو ارتفع الاضطرار مثلا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الأصحاب لم یدخلوا المسألة من بابها، و لم ینقّحوا شأنها و حدودها علی الوجه الذی یتّضح لطلبة العلم</w:t>
      </w:r>
      <w:r>
        <w:rPr>
          <w:rFonts w:eastAsia="IRNazanin" w:cs="IRNazanin"/>
          <w:color w:val="111111"/>
          <w:sz w:val="28"/>
          <w:szCs w:val="28"/>
          <w:rtl w:val="true"/>
          <w:lang w:bidi="fa-IR"/>
        </w:rPr>
        <w:t>.</w:t>
      </w:r>
    </w:p>
    <w:p>
      <w:pPr>
        <w:pStyle w:val="Heading6"/>
        <w:numPr>
          <w:ilvl w:val="5"/>
          <w:numId w:val="1"/>
        </w:numPr>
        <w:rPr/>
      </w:pPr>
      <w:bookmarkStart w:id="179" w:name="__RefHeading___Toc763684_3244359995"/>
      <w:bookmarkStart w:id="180" w:name="_Toc67"/>
      <w:bookmarkEnd w:id="179"/>
      <w:r>
        <w:rPr>
          <w:rtl w:val="true"/>
        </w:rPr>
        <w:t>البحث الثانی</w:t>
      </w:r>
      <w:r>
        <w:rPr>
          <w:rtl w:val="true"/>
        </w:rPr>
        <w:t xml:space="preserve">: </w:t>
      </w:r>
      <w:r>
        <w:rPr>
          <w:rtl w:val="true"/>
        </w:rPr>
        <w:t>حول امتناع خطاب الناسی و الغافل و إمکانه</w:t>
      </w:r>
      <w:bookmarkEnd w:id="180"/>
    </w:p>
    <w:p>
      <w:pPr>
        <w:pStyle w:val="Heading6"/>
        <w:numPr>
          <w:ilvl w:val="5"/>
          <w:numId w:val="1"/>
        </w:numPr>
        <w:rPr/>
      </w:pPr>
      <w:bookmarkStart w:id="181" w:name="__RefHeading___Toc763686_3244359995"/>
      <w:bookmarkStart w:id="182" w:name="_Toc68"/>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إنّ الإخلال بقیود المرکّب الوجودیّة أو العدمیّة علی سعتها إذا کان عن نسیان، یستلزم عدم تمکّن المولی من توجیه أمره بالنسبة إلی المرکّب، فلا بدّ و أن یصبر إلی أن یلتفت و یتذکّر المکلّف، فإذا تذکّر الجزء و الجزئیّة یتوجّه إلیه الأمر بالمرکّب المشتمل علی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حقیقة أصالة الرکنیّة التی اختارها شیخنا الأنصاریّ رحمه اللّه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وجه عدم تمکّنه فواضح؛ ضرورة أنّ المرکّب الفاقد لا بدّ من کونه مورد الأمر، و لا یعقل توجیه الأمر بالمرکّب بالنسبة إلی ناسی الجزء؛ للزوم الخلف و هو التفاته، فیکون المأمور به حینئذ هو المشتمل علی الجزء، فعلی هذا تجب الإعادة و القضاء و الإتیان به علی النحو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الشبهة لا تختصّ بالمرکّب العبادیّ؛ ضرورة عدم إمکان توجیه الخطاب الوضعیّ إلی الذابح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نسیان القبلة فلا تعتبر القبلة، و لا یشترط الاستقبال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بکفایة إتیان بقیّة الأجزاء لحصول الذبح الشرعیّ؛ و لو کان عن غفلة</w:t>
      </w:r>
    </w:p>
    <w:p>
      <w:pPr>
        <w:pStyle w:val="BookText"/>
        <w:rPr/>
      </w:pPr>
      <w:r>
        <w:rPr>
          <w:rFonts w:ascii="IRNazanin" w:hAnsi="IRNazanin" w:eastAsia="IRNazanin"/>
          <w:color w:val="111111"/>
          <w:sz w:val="28"/>
          <w:sz w:val="28"/>
          <w:szCs w:val="28"/>
          <w:rtl w:val="true"/>
          <w:lang w:bidi="fa-IR"/>
        </w:rPr>
        <w:t>عن الأمر و الخطاب، قلنا بذلک فی العبادات؛ ضرورة کفایة إتیان الناسی ببقیّة الأجزاء قربة إلی اللّه تعالی من غیر اشتراط توجّهه إلی الأمر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بعدم واجدیّة بقیّة الأجزاء للمصلحة و السببیّة، قلنا بذلک أیضا فی العبادات؛ و سببیّة المأتیّ به لسقوط الأمر، مع أنّه لا سببیّة فی مثل الذبح، بل و لا بالنسبة إلی الأمر حسبما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تختصّ هذه الشبهة بصورة کون الأمر بالمرکّب مهملا أو مطلقا، بل علی کلّ تقدیر لا یعقل توجیه الخطاب؛ و ذلک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المأتیّ به کافیا حسب دلیل المرکّب، فلا بدّ من وجود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کفایة طبیعیّ المرکّب، فهو و الإهمال فی حکم واحد کما اشیر إلیه، أو یکون المراد هو أن تکون الطبیعة ذات أجزاء تنحلّ إلیها دائما، فلو أخلّ بجزء منها فلا تنحلّ إلی المأتیّ به،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توجیه الأمر بالمرکّب إلی غافل الجزء بعنوانه، و یکون الفاقد باطلا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وجه یکون باطلا لفقد الأمر، و علی التقدیر الثانی یلزم بطلانه من جهة فقد الأمر و عدم انحلال المرکّب إلی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تختصّ هذه المشکلة بالغافل، بل تعمّ الجاهل؛ لامتناع توجیه الخطاب إلیه حال جهله، و لو توجّه إلی الخطاب حال جهله یلزم خروجه عن الموضوع المفروض، و هو خلف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یعقل خطاب العاجز بالنسبة إلی المرکّب التامّ؛ فإنّ الکلّ یرجع إلی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العجز عن المأمور به؛ و ذلک إمّا لعجزه عن جزء المرکّب غیر القربیّ، أو جزء المرکّب القربیّ، و هو الالتفات إلی الأمر و الانبعاث منه نحو الأقلّ المأمور به، دون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المجلّد الأوّل وجه حلّ هذه المشکلة و أشباهها</w:t>
      </w:r>
      <w:r>
        <w:rPr>
          <w:rStyle w:val="FootnoteAnchor"/>
          <w:rtl w:val="true"/>
        </w:rPr>
        <w:footnoteReference w:id="194"/>
      </w:r>
      <w:r>
        <w:rPr>
          <w:rFonts w:ascii="IRNazanin" w:hAnsi="IRNazanin" w:eastAsia="IRNazanin"/>
          <w:color w:val="111111"/>
          <w:sz w:val="28"/>
          <w:sz w:val="28"/>
          <w:szCs w:val="28"/>
          <w:rtl w:val="true"/>
          <w:lang w:bidi="fa-IR"/>
        </w:rPr>
        <w:t xml:space="preserve">و أنّ تمام الإشکال ناشئ من توهّم الخطاب الشخصیّ بالنسبة إلی شخص الناسی، 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الخطابات الإلهیّة کلّیة قانونیّة لا تختصّ بالذاکر، و لا بالعالم و العاجز و غیر ذلک، فالأمر متوجّه إلی کلّ من الذاکر و الناسی، و کلّ منهما بصدد تطبیق المأمور به علی المأتیّ به، و بصدد إیجاد المرکّب التامّ، فلا یلزم بطلان المرکّب الناقص العبادیّ؛ من ناحیة فقد الأمر اللازم مثلا فی عبادیّة العبادات و قربیّة المقرّبات، و إنّما یلزم البطلان من جهة الإخلال بالجزء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لدلیل المرکّب إهمال؛ بمعنی کفایة صدق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المأتیّ به، و لم یکن لدلیل الجزء إطلاق، فلا إعادة، و لا قضاء، و لا تکون الذبیحة محرّمة، و العقد باطلا؛ حسبما تحرّر منّا فی صورة الشک فی الجزئیّة فی مبحث البراءة علی وجه لا یلزم المثبتیّة</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لنا نظرا خاصّا فی أدلّة النسیان، بل و البراءة حال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لدلیل المرکّب إطلاق بالمعنی الذی ذکرناه، یلزم البطلان و لو کان دلیل الجزء مهملا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حال إهمال دلیل المرکّب دلیل الجزء مطلقا، فیلزم البطلان و عدم تحقّق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الإهمال فالأمر کما تحرّر أوّلا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دلیل المرکّب مطلقا؛ بمعنی کفایة المسمّی، و دلیل الجزء مطلقا؛ بمعنی الرکنیّة، فإطلاق دلیل الجزء مقدّم؛ ضرورة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حدود المرکّب و المأمور به، و إلی بیان مهندسیّة طبیعة المأمور به و طبیعة السبب،</w:t>
      </w:r>
      <w:bookmarkStart w:id="183" w:name="pg13177_117775"/>
    </w:p>
    <w:p>
      <w:pPr>
        <w:pStyle w:val="BookText"/>
        <w:rPr/>
      </w:pPr>
      <w:bookmarkEnd w:id="183"/>
      <w:r>
        <w:rPr>
          <w:rFonts w:ascii="IRNazanin" w:hAnsi="IRNazanin" w:eastAsia="IRNazanin"/>
          <w:color w:val="111111"/>
          <w:sz w:val="28"/>
          <w:sz w:val="28"/>
          <w:szCs w:val="28"/>
          <w:rtl w:val="true"/>
          <w:lang w:bidi="fa-IR"/>
        </w:rPr>
        <w:t>فیکون له نحو حکومة، فلا یکفی مجرّد الاسم و المرکّب، کما هو کذلک إذا کان لدلیل المرکّب 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هنا حول هذه المسألة من البحوث الإثباتیّة، و کیفیّة إفادة الجزء، و اختلاف التراکیب الکلامیّة من الإخباریّة و الإنشائیّة، فکلّه خارج عن الجهة المبحوث عنها فی الاصول، سواء کان ذلک من مثل شیخ المشایخ، أو غیره، و سیأتی البحث مقتضی القواعد العامّة الثانیة بعد الغضّ عن القواعد الأوّلیة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763688_3244359995"/>
      <w:bookmarkStart w:id="185" w:name="_Toc69"/>
      <w:bookmarkEnd w:id="184"/>
      <w:r>
        <w:rPr>
          <w:rtl w:val="true"/>
        </w:rPr>
        <w:t>بقی شی‌ء</w:t>
      </w:r>
      <w:r>
        <w:rPr>
          <w:rtl w:val="true"/>
        </w:rPr>
        <w:t xml:space="preserve">: </w:t>
      </w:r>
      <w:r>
        <w:rPr>
          <w:rtl w:val="true"/>
        </w:rPr>
        <w:t>فی إمکان خطاب الغافل بناء علی شخصیة الخطابات الشرعیة</w:t>
      </w:r>
      <w:bookmarkEnd w:id="185"/>
    </w:p>
    <w:p>
      <w:pPr>
        <w:pStyle w:val="BookText"/>
        <w:rPr/>
      </w:pPr>
      <w:r>
        <w:rPr>
          <w:rFonts w:ascii="IRNazanin" w:hAnsi="IRNazanin" w:eastAsia="IRNazanin"/>
          <w:color w:val="111111"/>
          <w:sz w:val="28"/>
          <w:sz w:val="28"/>
          <w:szCs w:val="28"/>
          <w:rtl w:val="true"/>
          <w:lang w:bidi="fa-IR"/>
        </w:rPr>
        <w:t>و هو إمکان حلّ هذه المشکلة و لو کان الخطاب شخصیّا؛ و ذلک أنّه 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عبادیّة العبادة بامتثال الأمر المتوجّه إلی الأقلّ، و هو لا یحصل إلّا بالانبعاث عن ذلک الأمر، فلا بدّ أن یکون ملتفتا، و هو خلف، فلا یعقل صحّة هذا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بعدم الحاجة إلی ذلک فی صحّة العبادة، و تکفی القربة المقارنة مع المأتیّ به، أو قلنا بکفایة امتثاله و انبعاثه عن الأمر المتوجّه إلی المرکّب؛ و لو کان معتقدا بأنّه یأتی بالتامّ کالملتفت، و لا یقیّد ذلک بأنّه لا بدّ و أن یکون منبعثا عن الأمر بالمرکّب المنحلّ إلی تسعة أجزاء، فالصحّة واضحة، کما أنّ الأمر کذلک؛ فإنّ الذاکر و الغافل مورد الأمر بالصلاة، من غیر تقیید الصلاة المأمور بها بالانحلال إلی کذا و کذا، فعندئذ لا یلزم خلاف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عبادیّة العبادة بالانبعاث عن أمر المرکّب، و لا بطلان المرکّب و تصحیحه من ناحیة اخری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لدلیل الجزء إطلاق فالبطلان متعیّن حسب القاعدة الأوّلیة، فلا ینبغی الخلط بین مقتضی القاعدة الأوّلیة و الثانویّة؛ و أنّه علی تقدیر إهمال دلیل الجزء لا وجه للقول بأصالة الرکنیّة، إلّا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إطلاق دلیل المرکّب هو</w:t>
      </w:r>
      <w:bookmarkStart w:id="186" w:name="pg13177_117776"/>
    </w:p>
    <w:p>
      <w:pPr>
        <w:pStyle w:val="BookText"/>
        <w:rPr/>
      </w:pPr>
      <w:bookmarkEnd w:id="186"/>
      <w:r>
        <w:rPr>
          <w:rFonts w:ascii="IRNazanin" w:hAnsi="IRNazanin" w:eastAsia="IRNazanin"/>
          <w:color w:val="111111"/>
          <w:sz w:val="28"/>
          <w:sz w:val="28"/>
          <w:szCs w:val="28"/>
          <w:rtl w:val="true"/>
          <w:lang w:bidi="fa-IR"/>
        </w:rPr>
        <w:t>أنّ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التقدیر و الاختراع، و اعتبارها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دائمة الانحلال إلی مطلق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بناء العقلاء و دستور الأطبّاء فی موارد الأمر بتحصیل معجون کذائیّ لداء خاصّ، فإنّ مرتکز العرف علی دخالة کلّ جزء علی الإطلاق فی الطبیعة و المعجون؛ لأنّ المعجون الذی هو مورد الأمر لیس إلّا تلک الأجزاء، فإطلاق المرکّب عین إطلاق جزئیّة کلّ جزء بالقیاس إلی المرکّب المزبور</w:t>
      </w:r>
      <w:r>
        <w:rPr>
          <w:rFonts w:eastAsia="IRNazanin" w:cs="IRNazanin"/>
          <w:color w:val="111111"/>
          <w:sz w:val="28"/>
          <w:szCs w:val="28"/>
          <w:rtl w:val="true"/>
          <w:lang w:bidi="fa-IR"/>
        </w:rPr>
        <w:t>.</w:t>
      </w:r>
    </w:p>
    <w:p>
      <w:pPr>
        <w:pStyle w:val="Heading6"/>
        <w:numPr>
          <w:ilvl w:val="5"/>
          <w:numId w:val="1"/>
        </w:numPr>
        <w:rPr/>
      </w:pPr>
      <w:bookmarkStart w:id="187" w:name="__RefHeading___Toc763690_3244359995"/>
      <w:bookmarkStart w:id="188" w:name="_Toc70"/>
      <w:bookmarkEnd w:id="187"/>
      <w:r>
        <w:rPr>
          <w:rtl w:val="true"/>
        </w:rPr>
        <w:t>حول أصالة الرکنیّة</w:t>
      </w:r>
      <w:bookmarkEnd w:id="188"/>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ثبوتا فی إمکان وصول المولی إلی مرامه بالنسبة إلی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الغافل عمله عبادیّا صحیحا، و سببا و موضوعا للأثر و الحکم و المسبّب، و أنّه مع إطلاق دلیل الجزء فلا شبهة فی الرکنیّة؛ بمعنی أنّ ترکه یضرّ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تبیّن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بأصالة الرکنیّة و لو لم یکن لدلیل الجزء إطلاق، و أمکن ثبوتا وجود الأمر بالنسبة إلی ما وراء المعنی؛ و ذلک لإطلاق دلیل المرکّب بالمعنی الذی عرفت، و بمقایسة المرکّبات الشرعیّة مع المرکّبات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وجود اختصاص الجزئیّة فی المرکّبات الشرعیّة بغیر المعاملة، لا یصحّ القیاس و الاستئناس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إطلاق دلیل المرکّب عین إطلاقات أدلّة الأجزاء، فلازمه أن تصیر النتیجة هی أصالة الرکنیّة بالقیاس إلی جمیع الطوارئ و الحالات، کالاضطرار و الإکراه بالنسبة إلی إیجاد القاطع و ترک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المانع فقد مرّ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للاضطرار إلی ترک الجزء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البیان المذکور أصالة الرکنیّة من جهة إثباتیّة، لا شبهة</w:t>
      </w:r>
    </w:p>
    <w:p>
      <w:pPr>
        <w:pStyle w:val="BookText"/>
        <w:rPr/>
      </w:pPr>
      <w:r>
        <w:rPr>
          <w:rFonts w:ascii="IRNazanin" w:hAnsi="IRNazanin" w:eastAsia="IRNazanin"/>
          <w:color w:val="111111"/>
          <w:sz w:val="28"/>
          <w:sz w:val="28"/>
          <w:szCs w:val="28"/>
          <w:rtl w:val="true"/>
          <w:lang w:bidi="fa-IR"/>
        </w:rPr>
        <w:t xml:space="preserve">ثبوتیّة کما یظهر من الشیخ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تتمّ مقالة 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إمکان حلّ المشکلة ثبوتا تکون أصالة عدم الرکنیّة مرجعا</w:t>
      </w:r>
      <w:r>
        <w:rPr>
          <w:rStyle w:val="FootnoteAnchor"/>
          <w:rtl w:val="true"/>
        </w:rPr>
        <w:footnoteReference w:id="198"/>
      </w:r>
      <w:r>
        <w:rPr>
          <w:rFonts w:ascii="IRNazanin" w:hAnsi="IRNazanin" w:eastAsia="IRNazanin"/>
          <w:color w:val="111111"/>
          <w:sz w:val="28"/>
          <w:sz w:val="28"/>
          <w:szCs w:val="28"/>
          <w:rtl w:val="true"/>
          <w:lang w:bidi="fa-IR"/>
        </w:rPr>
        <w:t>، بل هناک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مع کون الشبهة الثبوتیّة مندفعة، و مع فرض إهمال دلیل الجزء، یمکن تقریب أصالة الرکنیّة بالبیان المذکور و إن لم یتمّ حدیث المقایسة و الاستیناس؛ لما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دلیل المرکّب ینحلّ إلی إطلاق الأوامر الضمنیّة، فالقائلون بها لا بدّ و أن یقولوا فی صورة إطلاق دلیل الطبیعة بأصالة الرکنیّة، فأصالة الرکنیّة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نسیان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مدار إطلاق دلیل الجزء کما اشتهر</w:t>
      </w:r>
      <w:r>
        <w:rPr>
          <w:rStyle w:val="FootnoteAnchor"/>
          <w:rtl w:val="true"/>
        </w:rPr>
        <w:footnoteReference w:id="199"/>
      </w:r>
      <w:r>
        <w:rPr>
          <w:rFonts w:ascii="IRNazanin" w:hAnsi="IRNazanin" w:eastAsia="IRNazanin"/>
          <w:color w:val="111111"/>
          <w:sz w:val="28"/>
          <w:sz w:val="28"/>
          <w:szCs w:val="28"/>
          <w:rtl w:val="true"/>
          <w:lang w:bidi="fa-IR"/>
        </w:rPr>
        <w:t>، بل و لا فی مورد الاضطرار و الإکراه بالنسبة إلی الأجزاء و القواطع، و بالنسبة إلی کافّة الطوارئ،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لهم إنکار إطلاق أدلّة المرکّبات، و اختیارهم أنّ قضیّة الأدلّة التشریعیّة، لیست إلّا مشروعیّة المرکّب من غیر النظر إلی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عندنا غیر واضح، بل ممنوع کما حرّرناه فی محلّه </w:t>
      </w:r>
      <w:r>
        <w:rPr>
          <w:rStyle w:val="FootnoteAnchor"/>
          <w:rtl w:val="true"/>
        </w:rPr>
        <w:footnoteReference w:id="200"/>
      </w:r>
      <w:r>
        <w:rPr>
          <w:rFonts w:ascii="IRNazanin" w:hAnsi="IRNazanin" w:eastAsia="IRNazanin"/>
          <w:color w:val="111111"/>
          <w:sz w:val="28"/>
          <w:sz w:val="28"/>
          <w:szCs w:val="28"/>
          <w:rtl w:val="true"/>
          <w:lang w:bidi="fa-IR"/>
        </w:rPr>
        <w:t>لاختلاف الأدلّة، و اختلاف کیفیّة الأداء، و النزاع حول ذلک خروج عن الجهة المبحوث عنها فی الاصول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التقریب المذکور؛ أنّ العناوین المأخوذة مورد الأمر فی المرکّبات و إن کانت تنحلّ إلی الأجزاء، إلّا أنّ فی مصبّ تعلّق الأمر لا کثرة فی</w:t>
      </w:r>
    </w:p>
    <w:p>
      <w:pPr>
        <w:pStyle w:val="BookText"/>
        <w:rPr/>
      </w:pPr>
      <w:r>
        <w:rPr>
          <w:rFonts w:ascii="IRNazanin" w:hAnsi="IRNazanin" w:eastAsia="IRNazanin"/>
          <w:color w:val="111111"/>
          <w:sz w:val="28"/>
          <w:sz w:val="28"/>
          <w:szCs w:val="28"/>
          <w:rtl w:val="true"/>
          <w:lang w:bidi="fa-IR"/>
        </w:rPr>
        <w:t xml:space="preserve">المتعلّق، و لا فی الأمر، و لا أساس للأوامر الضمنیّة، کما مرّ فی محلّه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الأوامر النفسیّة المتعلّقة بالمرکّبات منحلّة إلی الأوامر الضمنیّة، کان مقتضی الأصل هی أصالة الرکنیّة؛ ضرورة أنّ محطّ النزاع ما إذا لم یکن للأوامر الغیریّة و لأدلّة الأجزاء و الشرائط إطلاق، و أمّا عدم کون أمر المرکّب ذا إطلاق أو إهمال، فهو غیر دخیل عند القوم فی محطّ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أنّ محطّ النزاع عدم ثبوت الإطلاق لأمر المرکّب و لأمر الجزء</w:t>
      </w:r>
      <w:r>
        <w:rPr>
          <w:rStyle w:val="FootnoteAnchor"/>
          <w:rtl w:val="true"/>
        </w:rPr>
        <w:footnoteReference w:id="202"/>
      </w:r>
      <w:r>
        <w:rPr>
          <w:rFonts w:ascii="IRNazanin" w:hAnsi="IRNazanin" w:eastAsia="IRNazanin"/>
          <w:color w:val="111111"/>
          <w:sz w:val="28"/>
          <w:sz w:val="28"/>
          <w:szCs w:val="28"/>
          <w:rtl w:val="true"/>
          <w:lang w:bidi="fa-IR"/>
        </w:rPr>
        <w:t>، و هذا فی غیر محلّه؛ لأنّ امتناع خطاب الناسی بالنسبة إلی بقیّة الأجزاء لو کان تامّا، فلا یختلف فی صورتی الإهمال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التقریبین اللذین ذکرناهما؛ هی أصالة الرکنیّة بالنسبة إلی مطلق الطوارئ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الجهالة، و النسیان، و الوضع، و التکلیف، و الاضطرار، 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القاطع و المانع بعد ما لم یکن لدلیلهما الإطلاق، فلا یمکن أصالة الرکنیّة بالنسبة إلی صورة اقتران المرکّب مع المانع للوجود، و القاطع للهیئة، إلّا بالنسبة إلی القاطع العرفیّ و المانع العرفیّ، لو کان یعتبر فی بعض الفروض؛ لأنّ لازمه انعدام المرکّب، و عندئذ یلزم بقاء أمر المرکّب؛ لعدم امتثاله، ضرورة أنّ المانعیّة للوجود و القاطعیّة لا یتصوّران إلّا بالنسبة إلی حین الاشتغال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أمر المرکّب أصالة الرکنیّة علی التقریب المذکور، و حیث إنّه مبتن علی انحلال الأمر المذکور إلی الأوامر الضمنیّة التی هی بحکم إطلاق أدلّة الأجزاء، و هذا الابتناء باطل جدّا، فأصالة الرکنیّة باطلة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الأوّلیة عند عدم وجود الإطلاق لدلیل الجزء؛ هی أصالة عدم الرکنیّة من غیر فرق بین صور النسیان، و غیرها من العناوین</w:t>
      </w:r>
    </w:p>
    <w:p>
      <w:pPr>
        <w:pStyle w:val="BookText"/>
        <w:rPr/>
      </w:pPr>
      <w:r>
        <w:rPr>
          <w:rFonts w:ascii="IRNazanin" w:hAnsi="IRNazanin" w:eastAsia="IRNazanin"/>
          <w:color w:val="111111"/>
          <w:sz w:val="28"/>
          <w:sz w:val="28"/>
          <w:szCs w:val="28"/>
          <w:rtl w:val="true"/>
          <w:lang w:bidi="fa-IR"/>
        </w:rPr>
        <w:t>الطارئة الموجبة للإخلال بالمرکّب؛ و ذلک لعدم الدلیل علی الرکنیّة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الرکنیّة، و هذا فرع عدم تقدّم البراءة فی الرتبة السابقة علیه، کما هو الظاهر عندی، فعلیه فالقاعدة الأوّلیة تقتضی بقاء الأمر؛ للشکّ فی السقوط و إن کان ناشئا من الشکّ فی الثبوت، کما مرّ فی الأقلّ و الأکثر</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النسیان المستوعب و غیر المستوعب، و لا بین النسیان أوّل الوقت و الذکران فی أوّله؛ ضرورة أنّ الخطابات القانونیّة تقتضی وجوب مجموع الأجزاء، بل مقتضی الوجوب التعلیقیّ ذلک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صورة إطلاق دلیل المرکّب، و إهمال دلیل الجزء، یکفی المصداق الصادق علیه عنوان المرکّب؛ لما تحرّر من الأعمّیة فی الموضوع له </w:t>
      </w:r>
      <w:r>
        <w:rPr>
          <w:rStyle w:val="FootnoteAnchor"/>
          <w:rtl w:val="true"/>
        </w:rPr>
        <w:footnoteReference w:id="204"/>
      </w:r>
      <w:r>
        <w:rPr>
          <w:rFonts w:ascii="IRNazanin" w:hAnsi="IRNazanin" w:eastAsia="IRNazanin"/>
          <w:color w:val="111111"/>
          <w:sz w:val="28"/>
          <w:sz w:val="28"/>
          <w:szCs w:val="28"/>
          <w:rtl w:val="true"/>
          <w:lang w:bidi="fa-IR"/>
        </w:rPr>
        <w:t>، و عند ذلک فلا تصل النوبة إلی الشکّ و الاستصحاب، کما لا حاجة إلی البراءة الشرعیّة أیضا، و الأمر واضح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الإخلال بجزء أو شرط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صدق الطبیعة علی المأتیّ به، و إطلاق دلیل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بشی‌ء، و فی صورة إهمال دلیلها لا یجوز الاکتفاء بما أتی به؛ للاستصحاب علی کلّ تقدیر، من غیر فرق بین الطوارئ و الموانع و 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فی صور النسیان أو سائر الطوارئ، لا یرجع إلی محصّل عندنا؛ لتقدّم الاستصحاب علی البراءة و لو کانت جاریة فی مرحلة الثبوت کما مرّ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89" w:name="pg13177_117780"/>
    </w:p>
    <w:p>
      <w:pPr>
        <w:pStyle w:val="Heading6"/>
        <w:numPr>
          <w:ilvl w:val="5"/>
          <w:numId w:val="1"/>
        </w:numPr>
        <w:rPr/>
      </w:pPr>
      <w:bookmarkStart w:id="190" w:name="__RefHeading___Toc763692_3244359995"/>
      <w:bookmarkStart w:id="191" w:name="_Toc71"/>
      <w:bookmarkEnd w:id="189"/>
      <w:bookmarkEnd w:id="190"/>
      <w:r>
        <w:rPr>
          <w:rtl w:val="true"/>
        </w:rPr>
        <w:t>بقی تذنیب</w:t>
      </w:r>
      <w:r>
        <w:rPr>
          <w:rtl w:val="true"/>
        </w:rPr>
        <w:t xml:space="preserve">: </w:t>
      </w:r>
      <w:r>
        <w:rPr>
          <w:rtl w:val="true"/>
        </w:rPr>
        <w:t>فی مورد إهمال دلیل الجزء و الشرط فی الأسباب و المسبّبات و العقود و الإیقاعات</w:t>
      </w:r>
      <w:bookmarkEnd w:id="191"/>
    </w:p>
    <w:p>
      <w:pPr>
        <w:pStyle w:val="BookText"/>
        <w:rPr/>
      </w:pPr>
      <w:r>
        <w:rPr>
          <w:rFonts w:ascii="IRNazanin" w:hAnsi="IRNazanin" w:eastAsia="IRNazanin"/>
          <w:color w:val="111111"/>
          <w:sz w:val="28"/>
          <w:sz w:val="28"/>
          <w:szCs w:val="28"/>
          <w:rtl w:val="true"/>
          <w:lang w:bidi="fa-IR"/>
        </w:rPr>
        <w:t>فإن کان لدلیل السبب إطلاق، و کان ما فی الخارج سببا عرفیّا، فالمرجع هو الإطلاق عند الشکّ فی دخالة شی‌ء و لو کان ذلک الشی‌ء دخیلا فی الجملة و شرطا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مبیّن عرفا، و قام دلیل علی شرطیّة الاستقبال فی الجملة، فإن کان لدلیل التذکیة إطلاق فهو المرجع، دون أصالة حرمة اللحوم أو استصحابها علی فرض جریانها، و هکذا فی باب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لدلیل المرکّب و لا الجزء و الشرط إطلاق، و کان ما فی الخارج یصدق علیه عنوان المرکّب و العقد و الإیقاع عرفا، فیمکن أن یستکشف أصالة الرکنیّة بالنسبة إلی الجزء المذکور؛ من باب المقایسة و الاستئناس بین المرکّبات و المعاجین العرفیّة المحضة، و بین المرکّبات المحتاجة إلی الإمضاء و الارتضاء، و أنّه کما لا معنی لکون شی‌ء دخیلا فی المعاجین حال العلم و الالتفات، دون حال النسیان و الاضطرار، بل کلّ شی‌ء اعتبر فهو دخیل رکنا حسب النظر العقلائیّ، و الطوارئ النفسانیّة لا توجب سقوط دخالة جزء أو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الأمر فی أسباب العقود و الإیقاعات، و لا سیّما بعد ما نجد من ذهاب المشهور إلی رکنیّة الأجزاء فی هذا الباب، و ورود الأخبار الخاصّة بالمناسبة عند السؤال عن الإخلال به نسیانا و جهلا و إکراها و غیر ذلک، و أنّ المرکّب المأتیّ به غیر کاف جوابا عن الأسئلة المذکورة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التمسّک بحدیث الرفع فی الأسباب و المسبّبات، لا یلزم</w:t>
      </w:r>
      <w:bookmarkStart w:id="192" w:name="pg13177_117781"/>
    </w:p>
    <w:p>
      <w:pPr>
        <w:pStyle w:val="BookText"/>
        <w:rPr/>
      </w:pPr>
      <w:bookmarkEnd w:id="192"/>
      <w:r>
        <w:rPr>
          <w:rFonts w:ascii="IRNazanin" w:hAnsi="IRNazanin" w:eastAsia="IRNazanin"/>
          <w:color w:val="111111"/>
          <w:sz w:val="28"/>
          <w:sz w:val="28"/>
          <w:szCs w:val="28"/>
          <w:rtl w:val="true"/>
          <w:lang w:bidi="fa-IR"/>
        </w:rPr>
        <w:t xml:space="preserve">منه کونه مثبتا علی الإطلاق، کما حرّرناه </w:t>
      </w:r>
      <w:r>
        <w:rPr>
          <w:rStyle w:val="FootnoteAnchor"/>
          <w:rtl w:val="true"/>
        </w:rPr>
        <w:footnoteReference w:id="206"/>
      </w:r>
      <w:r>
        <w:rPr>
          <w:rFonts w:ascii="IRNazanin" w:hAnsi="IRNazanin" w:eastAsia="IRNazanin"/>
          <w:color w:val="111111"/>
          <w:sz w:val="28"/>
          <w:sz w:val="28"/>
          <w:szCs w:val="28"/>
          <w:rtl w:val="true"/>
          <w:lang w:bidi="fa-IR"/>
        </w:rPr>
        <w:t>، أو یقال بالتفصیل فیما شکّ فی دخالته شرعا مع أنّه دخیل عرفا، کما قوّاه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تحریراته </w:t>
      </w:r>
      <w:r>
        <w:rPr>
          <w:rStyle w:val="FootnoteAnchor"/>
          <w:rtl w:val="true"/>
        </w:rPr>
        <w:footnoteReference w:id="207"/>
      </w:r>
      <w:r>
        <w:rPr>
          <w:rFonts w:ascii="IRNazanin" w:hAnsi="IRNazanin" w:eastAsia="IRNazanin"/>
          <w:color w:val="111111"/>
          <w:sz w:val="28"/>
          <w:sz w:val="28"/>
          <w:szCs w:val="28"/>
          <w:rtl w:val="true"/>
          <w:lang w:bidi="fa-IR"/>
        </w:rPr>
        <w:t>، یندفع بأصالة الرکنیّة حسب هذا التقریب، فلیتأمّل</w:t>
      </w:r>
      <w:r>
        <w:rPr>
          <w:rFonts w:eastAsia="IRNazanin" w:cs="IRNazanin"/>
          <w:color w:val="111111"/>
          <w:sz w:val="28"/>
          <w:szCs w:val="28"/>
          <w:rtl w:val="true"/>
          <w:lang w:bidi="fa-IR"/>
        </w:rPr>
        <w:t>.</w:t>
      </w:r>
    </w:p>
    <w:p>
      <w:pPr>
        <w:pStyle w:val="Heading6"/>
        <w:numPr>
          <w:ilvl w:val="5"/>
          <w:numId w:val="1"/>
        </w:numPr>
        <w:rPr/>
      </w:pPr>
      <w:bookmarkStart w:id="193" w:name="__RefHeading___Toc763694_3244359995"/>
      <w:bookmarkStart w:id="194" w:name="_Toc72"/>
      <w:bookmarkEnd w:id="193"/>
      <w:r>
        <w:rPr>
          <w:rtl w:val="true"/>
        </w:rPr>
        <w:t>ذنابة</w:t>
      </w:r>
      <w:r>
        <w:rPr>
          <w:rtl w:val="true"/>
        </w:rPr>
        <w:t xml:space="preserve">: </w:t>
      </w:r>
      <w:r>
        <w:rPr>
          <w:rtl w:val="true"/>
        </w:rPr>
        <w:t>فی حکم العجز عن الجزء و الشرط</w:t>
      </w:r>
      <w:bookmarkEnd w:id="194"/>
    </w:p>
    <w:p>
      <w:pPr>
        <w:pStyle w:val="BookText"/>
        <w:rPr/>
      </w:pPr>
      <w:r>
        <w:rPr>
          <w:rFonts w:ascii="IRNazanin" w:hAnsi="IRNazanin" w:eastAsia="IRNazanin"/>
          <w:color w:val="111111"/>
          <w:sz w:val="28"/>
          <w:sz w:val="28"/>
          <w:szCs w:val="28"/>
          <w:rtl w:val="true"/>
          <w:lang w:bidi="fa-IR"/>
        </w:rPr>
        <w:t>فی مورد العجز عن الجزء و الشرط، فإن کان لدلیل المرکّب و الطبیعة إطلاق دونهما، فعلیه المرکّب بعد صدقه علی ما یتمکّن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لدلیله الإهمال و هکذا لدلیلهما، فالبراءة عن أصل وجوب المرکّب محکّمة، إلّا إذا قام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بدّ من الإتیان به علی کلّ تقدیر، کما ربّما یقال بذلک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لدلیل المرکّب إطلاق، و هکذا لدلیل الجزء و الشرط، فقد مرّ تقدّم الثانی علی الأوّل حسب الطبع </w:t>
      </w:r>
      <w:r>
        <w:rPr>
          <w:rStyle w:val="FootnoteAnchor"/>
          <w:rtl w:val="true"/>
        </w:rPr>
        <w:footnoteReference w:id="208"/>
      </w:r>
      <w:r>
        <w:rPr>
          <w:rFonts w:ascii="IRNazanin" w:hAnsi="IRNazanin" w:eastAsia="IRNazanin"/>
          <w:color w:val="111111"/>
          <w:sz w:val="28"/>
          <w:sz w:val="28"/>
          <w:szCs w:val="28"/>
          <w:rtl w:val="true"/>
          <w:lang w:bidi="fa-IR"/>
        </w:rPr>
        <w:t>، إلّا مع وجود القرینة الخاصّة، کما هو کذلک فی مثل الصلاة أیضا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یستفاد إطلاق الجزئیّة و الشرطیّة بطریق غیر خطابیّ، فمع العجز عن الجزء أو الشرط، یکون معذورا بالنسبة إلی ترک المرکّب، و لا یجب علیه شی‌ء؛ و ذلک مثل 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بتکبیرة الافتتاح</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إفادة الجزئیّة و الرکنیّة أجنبیّة عن حالتی العجز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ذلک بطریق خطابیّ،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بالبیت إذا اعتمرت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فإنّه تختلف حالتا العجز و القدرة؛ ضرورة امتناع خطاب العاجز، فیکون إطلاق دلیل الجزء منصرفا إلی صورة القدرة، و عندئذ یقدّم إطلاق دلیل المرکّب؛ بمعنی أنّه یتعیّن امتثال دلیل المرکّب؛ لامتناع تصوّر الإطلاق لدلیل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یستفاد من تکفّل الخطاب لشی‌ء من المرکّب؛ أنّه للإرشاد إلی الجزئیّة، من غیر النظر إلی حالة العجز و القدرة کالصورة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المحرّر فی محلّه إمکان الإطلاق بالنسبة إلی حالة العجز؛ لأنّه خطاب قانونیّ، و تفصیله محرّر فی مواضع من هذا الکتاب </w:t>
      </w:r>
      <w:r>
        <w:rPr>
          <w:rStyle w:val="FootnoteAnchor"/>
          <w:rtl w:val="true"/>
        </w:rPr>
        <w:footnoteReference w:id="212"/>
      </w:r>
      <w:r>
        <w:rPr>
          <w:rFonts w:ascii="IRNazanin" w:hAnsi="IRNazanin" w:eastAsia="IRNazanin"/>
          <w:color w:val="111111"/>
          <w:sz w:val="28"/>
          <w:sz w:val="28"/>
          <w:szCs w:val="28"/>
          <w:rtl w:val="true"/>
          <w:lang w:bidi="fa-IR"/>
        </w:rPr>
        <w:t>، فأصالة الرکنیّة فی غیر صورة إطلاق دلیل الجزء ممنوعة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من البیان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العجز عن الجزء و الشرط، لا یسقط أمر المرکّب؛ بتوهّم أنّه لمکان امتناع إطلاق دلیل الجزء، لا یمکن کشف وجود الأمر بالنسبة إلی المرکّب فی صورة العجز؛ لأنّ التمسّک بالإطلاق، یصحّ فی مورد أمکن أن یعتبر المولی شیئا جزء للمرکّب فیما إذا أفاد الجزئیّة بالخطاب، فمقتضی 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 إطلاق دلیل المرکّب، و إهمال دلیل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الامتثال بالناقص و إن کان عاجزا عن الإتیان بالجزء، فلیغتنم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ممّا قرّرناه أنّ التفصیل المذکور عن الوحید البهبهانیّ رحمه اللّه فی مورد نسیان الجزء</w:t>
      </w:r>
      <w:r>
        <w:rPr>
          <w:rStyle w:val="FootnoteAnchor"/>
          <w:rtl w:val="true"/>
        </w:rPr>
        <w:footnoteReference w:id="213"/>
      </w:r>
      <w:r>
        <w:rPr>
          <w:rFonts w:ascii="IRNazanin" w:hAnsi="IRNazanin" w:eastAsia="IRNazanin"/>
          <w:color w:val="111111"/>
          <w:sz w:val="28"/>
          <w:sz w:val="28"/>
          <w:szCs w:val="28"/>
          <w:rtl w:val="true"/>
          <w:lang w:bidi="fa-IR"/>
        </w:rPr>
        <w:t>، یرجع إلی ما ذکرناه فی مورد العجز عن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ما عن العلّامة الأراکیّ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علی تقدیر امتناع الخطاب بالنسبة إلی الناسی فی الجزء المنسیّ، و بالنسبة إلی العاجز فی مورد العجز عنه، یمکن القول بأصالة الرکنیّة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لأنّ المقدار الممتنع بالنسبة إلیهما هو الحکم التکلیفیّ، و هو لا ینافی إطلاق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لو کان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أو فی خصوص 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للحکم التکلیفیّ، فلا یمکن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و لو کانت الجزئیّة و الشرطیّة قابلتین لأن تنالهما ید الجعل الاستقلالیّ، إلّا أنّه لو کان الدلیل المتکفّل للتکلیف ذا إطلاق، فلا یعقل الإطلاق الزائد بالنسبة إلی الوضع؛ لأنّ إطلاق الوضع فی الرتبة المتأخّرة عن إطلاق التکلیف، و الإطلاق الأوّل موضوع للثانی، فالمقیّد و لو کان العقل غیر المقارن و الارتکاز غیر الواضح، لا یورث بقاء الإطلاق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مسألة المقیّد العقلیّ؛ و التفصیل بین البدیهیّ الأوّلی و الثانویّ، غیر صحیحة محرّرة فی محلّها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إطلاق دلیل المرکّب، یجب الامتثال عقلا إذا کان دلیل الجزء مهملا، و مجرّد العجز عن القید الصوریّ و التحلیلیّ، لا یورث العذر بالنسبة إلی الأمر الثابت بعد صدق المرکّب علی المقدار المقدور منه، فلا تغفل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بنقصان جزء من المرکّب بإحدی الطوارئ الممکنة، لا تثبت أصالة الرکنیّة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القواعد العقلیّة، و الشبهات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بمقتضی القواعد الأوّلیة؛ و هی إطلاق دلیل الجزء و لو کان لدلیل المرکّب إطلاق، إلّا</w:t>
      </w:r>
      <w:bookmarkStart w:id="195" w:name="pg13177_117784"/>
    </w:p>
    <w:p>
      <w:pPr>
        <w:pStyle w:val="BookText"/>
        <w:rPr/>
      </w:pPr>
      <w:bookmarkEnd w:id="195"/>
      <w:r>
        <w:rPr>
          <w:rFonts w:ascii="IRNazanin" w:hAnsi="IRNazanin" w:eastAsia="IRNazanin"/>
          <w:color w:val="111111"/>
          <w:sz w:val="28"/>
          <w:sz w:val="28"/>
          <w:szCs w:val="28"/>
          <w:rtl w:val="true"/>
          <w:lang w:bidi="fa-IR"/>
        </w:rPr>
        <w:t>فی بعض الموارد الخاصّة کالصلاة، حیث ورد عن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لا تترک بحال</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763696_3244359995"/>
      <w:bookmarkStart w:id="197" w:name="_Toc73"/>
      <w:bookmarkEnd w:id="196"/>
      <w:r>
        <w:rPr>
          <w:rtl w:val="true"/>
        </w:rPr>
        <w:t>وجه عدم التمسّک بالإطلاق عند العجز عن الجزء و دفعه</w:t>
      </w:r>
      <w:bookmarkEnd w:id="197"/>
    </w:p>
    <w:p>
      <w:pPr>
        <w:pStyle w:val="BookText"/>
        <w:rPr/>
      </w:pPr>
      <w:r>
        <w:rPr>
          <w:rFonts w:ascii="IRNazanin" w:hAnsi="IRNazanin" w:eastAsia="IRNazanin"/>
          <w:color w:val="111111"/>
          <w:sz w:val="28"/>
          <w:sz w:val="28"/>
          <w:szCs w:val="28"/>
          <w:rtl w:val="true"/>
          <w:lang w:bidi="fa-IR"/>
        </w:rPr>
        <w:t>و بقی کلام حول أنّ الجزئیّة و الشرطیّة و القیدیّة المستقلّة، غیر قابلة لأن تعتبر فی المرکّب بعد الأمر النفسیّ به، و إنّما تکون أدلّة الأجزاء إرشادا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الجزئیّة و القیدیّة من الأوّل، و لا تعتبر إرشادا إلی الجزئیّة فی الرتبة المتأخّرة مع بقاء الأمر النفسیّ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صرف النظر عن الأمر الأوّل، ثمّ اعتبار القید فی الطبیعة، ثمّ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یبقی محطّ للتمسّک بإطلاق دلیل المرکّب عند العجز عن الجزء منه، کی یجب الامتثال، و تصیر النتیجة فی مورد العجز عن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الاعتذار عند ترک الکلّ و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تشخّص الأمر و البعث و الإرادة، بالحدود الملحوظة فی المرکّبات، و التصرّف فیها بالزیادة یوجب التصرّف فی الأمر المتعلّق بها قهرا، و 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تنال الجزئیّة و القیدیّة ید الجعل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تفصیله یأتی فی الاستصحاب إن شاء اللّه تعالی </w:t>
      </w:r>
      <w:r>
        <w:rPr>
          <w:rStyle w:val="FootnoteAnchor"/>
          <w:rtl w:val="true"/>
        </w:rPr>
        <w:footnoteReference w:id="217"/>
      </w:r>
      <w:r>
        <w:rPr>
          <w:rFonts w:ascii="Amiri" w:hAnsi="Amiri" w:eastAsia="Amiri" w:cs="Amiri"/>
          <w:color w:val="111111"/>
          <w:sz w:val="28"/>
          <w:sz w:val="28"/>
          <w:szCs w:val="28"/>
          <w:rtl w:val="true"/>
          <w:lang w:bidi="ar-SA"/>
        </w:rPr>
        <w:t>، و أنّ سرّ السرّ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ما هو ملاک تشخّص الأمر و البعث و الإرادة، عنوان واحد باق فی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قبل الزیادة، و بعدها</w:t>
      </w:r>
      <w:r>
        <w:rPr>
          <w:rFonts w:eastAsia="IRNazanin" w:cs="IRNazanin"/>
          <w:color w:val="111111"/>
          <w:sz w:val="28"/>
          <w:szCs w:val="28"/>
          <w:rtl w:val="true"/>
          <w:lang w:bidi="fa-IR"/>
        </w:rPr>
        <w:t>.</w:t>
      </w:r>
      <w:bookmarkStart w:id="198" w:name="pg13177_117785"/>
    </w:p>
    <w:p>
      <w:pPr>
        <w:pStyle w:val="BookText"/>
        <w:rPr/>
      </w:pPr>
      <w:bookmarkEnd w:id="198"/>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 أمر الصلاة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الأجزاء فانیة فیها، و هی تنحلّ إلیها فی النظرة الثانیة، و حدیث الأقلّ و الأکثر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الأغلاط، فما به تشخّص الأمر محفوظ غیر متصرّف فیه؛ لسعة عرض الصلاة، و أنّها ذات عرض عریض، فلا یلزم الإشکال کی یتوهّم ما قد یتوهّم فی أمثال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یتبیّن وجه إمکان إطلاق دلیل المرکّب و لو کان الشرع عالما بعجز المکلّف عن الجزء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لإطلاق دلیل بالنسبة إلی فعل شی‌ء و ترکه، و إذا کان مورد التکلیف شیئا متعذّرا منه جزء منه، فلازمه إطلاقه بالنسبة إلی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الأمر هو عنوان بسیط عرفیّ یتحقّق مع العجز عن الجزء، فیکون إطلاقه من قبیل إطلاق دلیل وجوب إکرام العالم بالنسبة إلی قیامه و قعوده، فتدبّر و اغتنم</w:t>
      </w:r>
      <w:r>
        <w:rPr>
          <w:rFonts w:eastAsia="IRNazanin" w:cs="IRNazanin"/>
          <w:color w:val="111111"/>
          <w:sz w:val="28"/>
          <w:szCs w:val="28"/>
          <w:rtl w:val="true"/>
          <w:lang w:bidi="fa-IR"/>
        </w:rPr>
        <w:t>.</w:t>
      </w:r>
    </w:p>
    <w:p>
      <w:pPr>
        <w:pStyle w:val="Heading6"/>
        <w:numPr>
          <w:ilvl w:val="5"/>
          <w:numId w:val="1"/>
        </w:numPr>
        <w:rPr/>
      </w:pPr>
      <w:bookmarkStart w:id="199" w:name="__RefHeading___Toc763698_3244359995"/>
      <w:bookmarkStart w:id="200" w:name="_Toc74"/>
      <w:bookmarkEnd w:id="199"/>
      <w:r>
        <w:rPr>
          <w:rtl w:val="true"/>
        </w:rPr>
        <w:t>تنبیه</w:t>
      </w:r>
      <w:r>
        <w:rPr>
          <w:rtl w:val="true"/>
        </w:rPr>
        <w:t xml:space="preserve">: </w:t>
      </w:r>
      <w:r>
        <w:rPr>
          <w:rtl w:val="true"/>
        </w:rPr>
        <w:t>فی رکنیة الجزء القربی و لو مع إهمال دلیله</w:t>
      </w:r>
      <w:bookmarkEnd w:id="200"/>
    </w:p>
    <w:p>
      <w:pPr>
        <w:pStyle w:val="BookText"/>
        <w:rPr/>
      </w:pPr>
      <w:r>
        <w:rPr>
          <w:rFonts w:ascii="IRNazanin" w:hAnsi="IRNazanin" w:eastAsia="IRNazanin"/>
          <w:color w:val="111111"/>
          <w:sz w:val="28"/>
          <w:sz w:val="28"/>
          <w:szCs w:val="28"/>
          <w:rtl w:val="true"/>
          <w:lang w:bidi="fa-IR"/>
        </w:rPr>
        <w:t>أشرنا فی البحث الأوّل إلی أنّ من الأجزاء ما لا یکون مقدورا، و یلزم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أفاده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رکنیّة ذلک الجزء و لو کان لدلیله الإهمال، و ذلک هو الجزء القربیّ؛ فإنّ الغافل یعجز عن إتیانه حسبما عرفت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یأتی إشکاله رحمه اللّه بالنسبة إلی سائر الأجزاء؛ لإمکان خطاب العاجز بالنسبة إلی بقیّة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قد أحطت خبرا بما فیه حسب کلّ من المسلکین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القانونیّ، و الخطاب الشخصیّ</w:t>
      </w:r>
      <w:r>
        <w:rPr>
          <w:rFonts w:eastAsia="IRNazanin" w:cs="IRNazanin"/>
          <w:color w:val="111111"/>
          <w:sz w:val="28"/>
          <w:szCs w:val="28"/>
          <w:rtl w:val="true"/>
          <w:lang w:bidi="fa-IR"/>
        </w:rPr>
        <w:t>.</w:t>
      </w:r>
      <w:bookmarkStart w:id="201" w:name="pg13177_117786"/>
    </w:p>
    <w:p>
      <w:pPr>
        <w:pStyle w:val="Heading6"/>
        <w:numPr>
          <w:ilvl w:val="5"/>
          <w:numId w:val="1"/>
        </w:numPr>
        <w:rPr/>
      </w:pPr>
      <w:bookmarkStart w:id="202" w:name="__RefHeading___Toc763700_3244359995"/>
      <w:bookmarkStart w:id="203" w:name="_Toc75"/>
      <w:bookmarkEnd w:id="201"/>
      <w:bookmarkEnd w:id="202"/>
      <w:r>
        <w:rPr>
          <w:rtl w:val="true"/>
        </w:rPr>
        <w:t>البحث الثالث</w:t>
      </w:r>
      <w:r>
        <w:rPr>
          <w:rtl w:val="true"/>
        </w:rPr>
        <w:t xml:space="preserve">: </w:t>
      </w:r>
      <w:r>
        <w:rPr>
          <w:rtl w:val="true"/>
        </w:rPr>
        <w:t>فی الإخلال بإحدی المرکّبات علی نحو الزیادة العمدیّة و السهویّة</w:t>
      </w:r>
      <w:bookmarkEnd w:id="203"/>
    </w:p>
    <w:p>
      <w:pPr>
        <w:pStyle w:val="Heading6"/>
        <w:numPr>
          <w:ilvl w:val="5"/>
          <w:numId w:val="1"/>
        </w:numPr>
        <w:rPr/>
      </w:pPr>
      <w:bookmarkStart w:id="204" w:name="__RefHeading___Toc763702_3244359995"/>
      <w:bookmarkStart w:id="205" w:name="_Toc76"/>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و الذی لا ینبغی أن یخفی ما فی طریق بحث الأعلام فی المقام، و یتبیّن ذلک بأدنی تأمّل فی کیفیّة ورودنا فی بحث الإخلال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الإطناب فی البحث حول المقام الثالث زائدا علی مقتضی القواعد الأوّلیة و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لم یکن المرکّب مأمورا به، و مع ذلک یکون مجزیا عن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إلّا لتخیّل أنّ الصلاة الفاقدة للأجزاء حال النسیان و الجهالة، غیر مأمور بها، و مع ذلک تکون مجزیة؛ نظرا إلی إمکان تحصیل المصلحة، غافلین عن أنّ کشف المصلحة بدون الأمر غیر ممکن، 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حول الإخلال بالزیادة فی مرحلتین</w:t>
      </w:r>
      <w:r>
        <w:rPr>
          <w:rFonts w:eastAsia="IRNazanin" w:cs="IRNazanin"/>
          <w:color w:val="111111"/>
          <w:sz w:val="28"/>
          <w:szCs w:val="28"/>
          <w:rtl w:val="true"/>
          <w:lang w:bidi="fa-IR"/>
        </w:rPr>
        <w:t>:</w:t>
      </w:r>
    </w:p>
    <w:p>
      <w:pPr>
        <w:pStyle w:val="Heading6"/>
        <w:numPr>
          <w:ilvl w:val="5"/>
          <w:numId w:val="1"/>
        </w:numPr>
        <w:rPr/>
      </w:pPr>
      <w:bookmarkStart w:id="206" w:name="__RefHeading___Toc763704_3244359995"/>
      <w:bookmarkStart w:id="207" w:name="_Toc77"/>
      <w:bookmarkEnd w:id="206"/>
      <w:r>
        <w:rPr>
          <w:rtl w:val="true"/>
        </w:rPr>
        <w:t>المرحلة الاولی</w:t>
      </w:r>
      <w:r>
        <w:rPr>
          <w:rtl w:val="true"/>
        </w:rPr>
        <w:t xml:space="preserve">: </w:t>
      </w:r>
      <w:r>
        <w:rPr>
          <w:rtl w:val="true"/>
        </w:rPr>
        <w:t>فی أصل تصویر ذلک</w:t>
      </w:r>
      <w:bookmarkEnd w:id="207"/>
    </w:p>
    <w:p>
      <w:pPr>
        <w:pStyle w:val="BookText"/>
        <w:rPr/>
      </w:pPr>
      <w:r>
        <w:rPr>
          <w:rFonts w:ascii="IRNazanin" w:hAnsi="IRNazanin" w:eastAsia="IRNazanin"/>
          <w:color w:val="111111"/>
          <w:sz w:val="28"/>
          <w:sz w:val="28"/>
          <w:szCs w:val="28"/>
          <w:rtl w:val="true"/>
          <w:lang w:bidi="fa-IR"/>
        </w:rPr>
        <w:t>و ممّا لا ینبغی أن یختفی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یعتبر أن یکون الزائد من نوع المزید فیه فی المرکّبات الشرعیّة المتشکّلة من الأجناس المختلفة، فلو لم یمکن تصویر الزیادة فی الحنطة بالشعیر، و لکن یمکن الزیادة فی الحجّ و العمرة و الصلاة بما لیس من سنخ سائر الأفعال و الأجزاء؛ لأنّها رکّبت من الامور المختلفة، کالوقوف، و الحرکة المستدیرة حول البیت، و المستقیمة بین الصفا و المروة، و من الأوضاع المتشتّتة فی الصلاة، کما هو الواضح</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هنا حول الزیادة فی المرکّب، لا الزیادة من جنس جزء من المرکّب، کالرکوع الثانی، و السجدة الثانیة، و الرکعة الخامسة، فما تری فی</w:t>
      </w:r>
    </w:p>
    <w:p>
      <w:pPr>
        <w:pStyle w:val="BookText"/>
        <w:rPr/>
      </w:pPr>
      <w:r>
        <w:rPr>
          <w:rFonts w:ascii="Amiri" w:hAnsi="Amiri" w:eastAsia="Amiri" w:cs="Amiri"/>
          <w:color w:val="111111"/>
          <w:sz w:val="28"/>
          <w:sz w:val="28"/>
          <w:szCs w:val="28"/>
          <w:rtl w:val="true"/>
          <w:lang w:bidi="ar-SA"/>
        </w:rPr>
        <w:t xml:space="preserve">کلام العلّامة الأراکیّ </w:t>
      </w:r>
      <w:r>
        <w:rPr>
          <w:rStyle w:val="FootnoteAnchor"/>
          <w:rtl w:val="true"/>
        </w:rPr>
        <w:footnoteReference w:id="219"/>
      </w:r>
      <w:r>
        <w:rPr>
          <w:rFonts w:ascii="Amiri" w:hAnsi="Amiri" w:eastAsia="Amiri" w:cs="Amiri"/>
          <w:color w:val="111111"/>
          <w:sz w:val="28"/>
          <w:sz w:val="28"/>
          <w:szCs w:val="28"/>
          <w:rtl w:val="true"/>
          <w:lang w:bidi="ar-SA"/>
        </w:rPr>
        <w:t>غفلة و ذهول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فربّما یناقش عقلا فی الزیادة؛ نظرا إلی أنّ المرکّب بالنسبة إلیه إمّا لا بشرط، أو بشرط شی‌ء، أو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الزیادة؛ لما لا یختلّ بها المرکّب، فلا تکون الزیادة فی المأمور به؛ لما لا ینحلّ المرکّب إلیها، و لا یتعلّق الأمر الغیریّ بها ثبوتا، علی تقدیر إمکانه بالنسبة إلی غیرها کما تحرّر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الإخلال بالنقیصة؛ لأنّ شرط وحدة المرکّب من ناحیة الرکوع مثلا، و شرط أن لا یکون شی‌ء زائدا علی الأجزاء المقرّرة، یکون من الأجزاء التحلیلیّة و الشروط العقلیّة، فالزیادة توجب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الکلام حول تصویر الزیادة علی نعت تکون منشأ لانتزاع الجزئیّة عند المولی، کسائر الأجزاء المقرّرة جزء التی تکون منشأ لانتزاع الجزئیّة، فی قبال انتزاع الکلّیة؛ ضرورة أنّه أمر خارج عن حدّ اقتدار المکلّف، بل الکلام حول تصویر الزیادة علی وجه تکون منشأ لانتزاع الجزئیّة فی الجملة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کلام الوالد المحقّق </w:t>
      </w:r>
      <w:r>
        <w:rPr>
          <w:rStyle w:val="FootnoteAnchor"/>
          <w:rtl w:val="true"/>
        </w:rPr>
        <w:footnoteReference w:id="221"/>
      </w:r>
      <w:r>
        <w:rPr>
          <w:rFonts w:ascii="Amiri" w:hAnsi="Amiri" w:eastAsia="Amiri" w:cs="Amiri"/>
          <w:color w:val="111111"/>
          <w:sz w:val="28"/>
          <w:sz w:val="28"/>
          <w:szCs w:val="28"/>
          <w:rtl w:val="true"/>
          <w:lang w:bidi="ar-SA"/>
        </w:rPr>
        <w:t xml:space="preserve">و العلّامة النائینیّ </w:t>
      </w:r>
      <w:r>
        <w:rPr>
          <w:rStyle w:val="FootnoteAnchor"/>
          <w:rtl w:val="true"/>
        </w:rPr>
        <w:footnoteReference w:id="222"/>
      </w:r>
      <w:r>
        <w:rPr>
          <w:rFonts w:ascii="IRNazanin" w:hAnsi="IRNazanin" w:eastAsia="IRNazanin"/>
          <w:color w:val="111111"/>
          <w:sz w:val="28"/>
          <w:sz w:val="28"/>
          <w:szCs w:val="28"/>
          <w:rtl w:val="true"/>
          <w:lang w:bidi="fa-IR"/>
        </w:rPr>
        <w:t>و غیرهما من تصویر الزیادة العرفیّة، أو أنّ مقتضی أخذ الرکوع مثلا علی نعت صرف الوجود، یستلزم تحقّق الزیادة</w:t>
      </w:r>
      <w:r>
        <w:rPr>
          <w:rStyle w:val="FootnoteAnchor"/>
          <w:rtl w:val="true"/>
        </w:rPr>
        <w:footnoteReference w:id="223"/>
      </w:r>
      <w:r>
        <w:rPr>
          <w:rFonts w:ascii="IRNazanin" w:hAnsi="IRNazanin" w:eastAsia="IRNazanin"/>
          <w:color w:val="111111"/>
          <w:sz w:val="28"/>
          <w:sz w:val="28"/>
          <w:szCs w:val="28"/>
          <w:rtl w:val="true"/>
          <w:lang w:bidi="fa-IR"/>
        </w:rPr>
        <w:t>، غیر تامّ؛ لأنّ الأوّل فرار من الشبهة و تصدیق بها، و الثانی یرجع إلی اعتبار قید أوّل الوجود، فیکون الجزء هو الرکوع علی نعت کونه أوّل الوجود ناقض العدم، و یکون الثانی مستلزما لنقصان الرکوع الطبیعیّ الذی اعتبر أن یکون بلا تعقّب</w:t>
      </w:r>
    </w:p>
    <w:p>
      <w:pPr>
        <w:pStyle w:val="BookText"/>
        <w:rPr/>
      </w:pPr>
      <w:r>
        <w:rPr>
          <w:rFonts w:ascii="IRNazanin" w:hAnsi="IRNazanin" w:eastAsia="IRNazanin"/>
          <w:color w:val="111111"/>
          <w:sz w:val="28"/>
          <w:sz w:val="28"/>
          <w:szCs w:val="28"/>
          <w:rtl w:val="true"/>
          <w:lang w:bidi="fa-IR"/>
        </w:rPr>
        <w:t>بالثانی، و إلّا فلو کان نفس طبیعة الرکوع جزء، فلا یکون الرکوع الثانی زیادة؛ لأنّه لا یزید علی نفس الطبیعة،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من مقام تهندس المرکّب و اختراع الطبیعة الشرعیّة، کالأجزاء اللازم وجودها فی مرحلة العین و الخارج، و ذلک مثل الفاتحة و السورة، و الرکوع و السجود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من الأشیاء اللاحقة بالفرد و المصداق، کما إذا تکرّر ذکر الرکوع و السجود، و أتی بالتکبیرات الافتتاحیّة و بالتسلیم الأوّل المستحبّ، و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الجزئیّة تعتبر و تنتزع بعد تحقّق الطبیعة مشتملة علیها، فإذا أمر المولی ببناء دار کان منصرفه ثلاث غرف، و کذا، و کذا، و یعتبر من مرحلة تهندس الدار و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المتقدّرة کلّیا و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الغرفة الشرقیّة، و إذا أتی المأمور و المکلّف بغرفة لطیفة زائدة علی المطلوب طبعا ینتزع جزئیّة هذه الغرفة للدار الموجودة الخارجیّة بالضرورة، و یعدّ ذلک اصطلاحا کلواحق الفرد و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تنحلّ مشکلة تصویر الجزء المستحبّ الغیریّ الموجب لکمال الفرد، من غیر کونه مستحبّا نفسیّا فی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الغافل عن لا مشروعیّة التکتّف فی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و لا عمل فی الصلاة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کتاب الصلاة، أبواب قواطع الصلاة،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زاد فی المرکّب فی مرحلة الخارج و فی مرحلة الأعیان و التحقّق من غیر کونه مشرّعا،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یرجع إلی الإخلال باشتراط العدم؛ لامتناع حصول التشریع من العالم بعدم کونه من المرکّب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تشهّد فی الرکعة الاولی جهلا و غفلة مثلا، فإنّه لم یلاحظ</w:t>
      </w:r>
    </w:p>
    <w:p>
      <w:pPr>
        <w:pStyle w:val="BookText"/>
        <w:rPr/>
      </w:pPr>
      <w:r>
        <w:rPr>
          <w:rFonts w:ascii="IRNazanin" w:hAnsi="IRNazanin" w:eastAsia="IRNazanin"/>
          <w:color w:val="111111"/>
          <w:sz w:val="28"/>
          <w:sz w:val="28"/>
          <w:szCs w:val="28"/>
          <w:rtl w:val="true"/>
          <w:lang w:bidi="fa-IR"/>
        </w:rPr>
        <w:t>المولی خلوّ المرکّب من هذا التشهّد، و لکنّه زاد فی صلاته؛ لأجل اعتقاد أنّه من الصلاة، فیکون من لواحق الفرد، و من غیر کونه مستحبّا غیریّا، و لکنّه جزء من هذا المصداق قهرا و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اللازم فی صیرورة الشی‌ء زیادة حقیقة فی المرکّب، إتیانه بها بعنوان جزء المرکّب؛ تخیّلا أنّه عبادة فی المرکّبات العبادیّة، و دخیلا فی السبب فی غیر المرکّبات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العلم بعدم الجزئیّة، ربّما یشکل انتزاع الجزئیّة منه فی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نشأة التقدیر و الترکیب الذهنیّ، و نشأة الخارج و العین و الوجود، و ذلک لعدم تمشّی قصد العبودیّة به فی المرکّبات العبادیّة، و لعدم انتزاع الجزئیّة بمجرّد الإتیان به خلال المرکّبات،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کون المرکّب بالقیاس إلیه لا بشرط، إذا أتی بما هو من سنخ أجزاء المرکّب، یحسب جزء منه قهرا أیضا؛ لعدم بطلان المرکّب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خروج عن الفرض؛ ضرورة أنّه یرجع إلی کون المرکّب بالقیاس إلیه لا بشرط، و تکون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کزیادة أذکار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الجعل و الأمر؛ لأنّ المأمور به هو القابل للصدق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طبیعیة الرکوع أو طبیعیّ ذکر الرکوع لو کان جزء، فالجزء یتحقّق بأوّل الوجود، و الوجود الثانی لا یتعلّق به الأمر، و لا النهی؛ لعدم جزئیّة وجوده، و لا شرطیّة عدمه، أو جزئیّة عدمه، فإذا تعمّد إتیان الوجود الثانی یعدّ من الزیادة فی المرکّب فی نشأة الخارج طبعا، کما هو کذلک فی غرف الدار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غیر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العلّامة النائینیّ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یتصوّر شقّ ثالث</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فهو صحیح إذا قیس المرکّب إلی الزیادة، و أمّا إذا قیس إلی صفة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bookmarkStart w:id="208" w:name="pg13177_117790"/>
    </w:p>
    <w:p>
      <w:pPr>
        <w:pStyle w:val="BookText"/>
        <w:rPr/>
      </w:pPr>
      <w:bookmarkEnd w:id="208"/>
      <w:r>
        <w:rPr>
          <w:rFonts w:ascii="IRNazanin" w:hAnsi="IRNazanin" w:eastAsia="IRNazanin"/>
          <w:color w:val="111111"/>
          <w:sz w:val="28"/>
          <w:sz w:val="28"/>
          <w:szCs w:val="28"/>
          <w:rtl w:val="true"/>
          <w:lang w:bidi="fa-IR"/>
        </w:rPr>
        <w:t>وحدة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کلام العلّامة المحشّی الأصفهانیّ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إمکان الزیادة الحقیقیّة؛ بأخذ صرف الوجود من الرکوع جزء</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فهو أیضا إمّا یرجع نفس المرکّب بالقیاس إلی الرکوع الثانی لا بشرط، أو یرجع إلی أخذ صفة للرکوع الأوّل علی نحو یتضرّر بالرکوع الثانی، فهو من النقیصة، فطریق تصویر الزیادة الحقیقیّة فی الجملة ینحصر علی الوجه الذی سلکناه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 ذهاب العلّامة النائینی هنا إلی الزیادة العرفیّة</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مرجعه فی مقام التطبیق هو العقل</w:t>
      </w:r>
      <w:r>
        <w:rPr>
          <w:rFonts w:eastAsia="IRNazanin" w:cs="IRNazanin"/>
          <w:color w:val="111111"/>
          <w:sz w:val="28"/>
          <w:szCs w:val="28"/>
          <w:rtl w:val="true"/>
          <w:lang w:bidi="fa-IR"/>
        </w:rPr>
        <w:t>.</w:t>
      </w:r>
    </w:p>
    <w:p>
      <w:pPr>
        <w:pStyle w:val="Heading6"/>
        <w:numPr>
          <w:ilvl w:val="5"/>
          <w:numId w:val="1"/>
        </w:numPr>
        <w:rPr/>
      </w:pPr>
      <w:bookmarkStart w:id="209" w:name="__RefHeading___Toc763706_3244359995"/>
      <w:bookmarkStart w:id="210" w:name="_Toc78"/>
      <w:bookmarkEnd w:id="209"/>
      <w:r>
        <w:rPr>
          <w:rtl w:val="true"/>
        </w:rPr>
        <w:t>المرحلة الثانیة</w:t>
      </w:r>
      <w:r>
        <w:rPr>
          <w:rtl w:val="true"/>
        </w:rPr>
        <w:t xml:space="preserve">: </w:t>
      </w:r>
      <w:r>
        <w:rPr>
          <w:rtl w:val="true"/>
        </w:rPr>
        <w:t>فی حکم المرکّب المشتمل علی الزیادة حقیقة کانت، أو عرفیّة</w:t>
      </w:r>
      <w:bookmarkEnd w:id="210"/>
    </w:p>
    <w:p>
      <w:pPr>
        <w:pStyle w:val="Heading6"/>
        <w:numPr>
          <w:ilvl w:val="5"/>
          <w:numId w:val="1"/>
        </w:numPr>
        <w:rPr/>
      </w:pPr>
      <w:bookmarkStart w:id="211" w:name="__RefHeading___Toc763708_3244359995"/>
      <w:bookmarkStart w:id="212" w:name="_Toc79"/>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کما أفاده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و إلیک وجوها من الکلام</w:t>
      </w:r>
      <w:r>
        <w:rPr>
          <w:rFonts w:eastAsia="IRNazanin" w:cs="IRNazanin"/>
          <w:color w:val="111111"/>
          <w:sz w:val="28"/>
          <w:szCs w:val="28"/>
          <w:rtl w:val="true"/>
          <w:lang w:bidi="fa-IR"/>
        </w:rPr>
        <w:t>:</w:t>
      </w:r>
    </w:p>
    <w:p>
      <w:pPr>
        <w:pStyle w:val="Heading6"/>
        <w:numPr>
          <w:ilvl w:val="5"/>
          <w:numId w:val="1"/>
        </w:numPr>
        <w:rPr/>
      </w:pPr>
      <w:bookmarkStart w:id="213" w:name="__RefHeading___Toc763710_3244359995"/>
      <w:bookmarkStart w:id="214" w:name="_Toc80"/>
      <w:bookmarkEnd w:id="213"/>
      <w:r>
        <w:rPr>
          <w:rtl w:val="true"/>
        </w:rPr>
        <w:t>الأوّل</w:t>
      </w:r>
      <w:r>
        <w:rPr>
          <w:rtl w:val="true"/>
        </w:rPr>
        <w:t xml:space="preserve">: </w:t>
      </w:r>
      <w:r>
        <w:rPr>
          <w:rtl w:val="true"/>
        </w:rPr>
        <w:t>فی مقتضی القاعدة</w:t>
      </w:r>
      <w:bookmarkEnd w:id="2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مقتضی القاعدة صحّته؛ لأنّ المفروض إتیان المکلّف بجمیع ما یعتبر فیه، و المفروض أنّ الزیادة لیست مانعا شرعا، و لا قاطعا؛ بناء علی تصویرهما، فما فی کلام بعضهم من توهّم مانعیّة الزیادة، فی غیر محلّه کما هو الواضح</w:t>
      </w:r>
      <w:r>
        <w:rPr>
          <w:rFonts w:eastAsia="IRNazanin" w:cs="IRNazanin"/>
          <w:color w:val="111111"/>
          <w:sz w:val="28"/>
          <w:szCs w:val="28"/>
          <w:rtl w:val="true"/>
          <w:lang w:bidi="fa-IR"/>
        </w:rPr>
        <w:t>.</w:t>
      </w:r>
      <w:bookmarkStart w:id="215" w:name="pg13177_117791"/>
    </w:p>
    <w:p>
      <w:pPr>
        <w:pStyle w:val="BookText"/>
        <w:rPr/>
      </w:pPr>
      <w:bookmarkEnd w:id="215"/>
      <w:r>
        <w:rPr>
          <w:rFonts w:ascii="IRNazanin" w:hAnsi="IRNazanin" w:eastAsia="IRNazanin"/>
          <w:color w:val="111111"/>
          <w:sz w:val="28"/>
          <w:sz w:val="28"/>
          <w:szCs w:val="28"/>
          <w:rtl w:val="true"/>
          <w:lang w:bidi="fa-IR"/>
        </w:rPr>
        <w:t xml:space="preserve">کما أنّ توهّم کون المرکّب بالقیاس إلی جزء لا بشرط، کی یکون الوجود الثانی جزء شرعا و مورد الأمر، فاسد جدّا و لو أفاده العلّامة النائینیّ رحمه اللّه </w:t>
      </w:r>
      <w:r>
        <w:rPr>
          <w:rStyle w:val="FootnoteAnchor"/>
          <w:rtl w:val="true"/>
        </w:rPr>
        <w:footnoteReference w:id="230"/>
      </w:r>
      <w:r>
        <w:rPr>
          <w:rFonts w:ascii="IRNazanin" w:hAnsi="IRNazanin" w:eastAsia="IRNazanin"/>
          <w:color w:val="111111"/>
          <w:sz w:val="28"/>
          <w:sz w:val="28"/>
          <w:szCs w:val="28"/>
          <w:rtl w:val="true"/>
          <w:lang w:bidi="fa-IR"/>
        </w:rPr>
        <w:t>ضرورة أنّ الوجود الثانی لا یعتبر جزء إذا کان الطبیعیّ جزء، ضرورة حصول الجزء بالوجود الأوّل، و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فی صورة الانحلال و لو کان الوجود الساری جزء، فیلزم الإتیان بجمیع الموجودات، و هو واضح الفساد</w:t>
      </w:r>
      <w:r>
        <w:rPr>
          <w:rFonts w:eastAsia="IRNazanin" w:cs="IRNazanin"/>
          <w:color w:val="111111"/>
          <w:sz w:val="28"/>
          <w:szCs w:val="28"/>
          <w:rtl w:val="true"/>
          <w:lang w:bidi="fa-IR"/>
        </w:rPr>
        <w:t>.</w:t>
      </w:r>
    </w:p>
    <w:p>
      <w:pPr>
        <w:pStyle w:val="Heading6"/>
        <w:numPr>
          <w:ilvl w:val="5"/>
          <w:numId w:val="1"/>
        </w:numPr>
        <w:rPr/>
      </w:pPr>
      <w:bookmarkStart w:id="216" w:name="__RefHeading___Toc763712_3244359995"/>
      <w:bookmarkStart w:id="217" w:name="_Toc81"/>
      <w:bookmarkEnd w:id="216"/>
      <w:r>
        <w:rPr>
          <w:rtl w:val="true"/>
        </w:rPr>
        <w:t>الثانی</w:t>
      </w:r>
      <w:r>
        <w:rPr>
          <w:rtl w:val="true"/>
        </w:rPr>
        <w:t xml:space="preserve">: </w:t>
      </w:r>
      <w:r>
        <w:rPr>
          <w:rtl w:val="true"/>
        </w:rPr>
        <w:t>فی إبطال الزیادة المحرّمة تشریعا</w:t>
      </w:r>
      <w:bookmarkEnd w:id="217"/>
    </w:p>
    <w:p>
      <w:pPr>
        <w:pStyle w:val="BookText"/>
        <w:rPr/>
      </w:pPr>
      <w:r>
        <w:rPr>
          <w:rFonts w:ascii="IRNazanin" w:hAnsi="IRNazanin" w:eastAsia="IRNazanin"/>
          <w:color w:val="111111"/>
          <w:sz w:val="28"/>
          <w:sz w:val="28"/>
          <w:szCs w:val="28"/>
          <w:rtl w:val="true"/>
          <w:lang w:bidi="fa-IR"/>
        </w:rPr>
        <w:t>أنّ الإتیان بالزیادة المحرّمة تشریعا یضرّ بعبادیّة العبادة، و یمنع عن أخذ عنوان العبودیّة عن مثل الصلاة و أمثالها، و قد مرّ اعتبار کون الصلاة و أشباهها، صالحة لانتزاع عنوان العبودیّة، و لا سیّما إذا کان مقارنا للصلاة من أوّل وجودها إلی آخرها، کالتکتّف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التشریع حال الجهل لا ینافی، و حال العلم لا یمکن، غیر مسموعة؛ للزوم عدم کونه محرّما إلّا بالقیاس إلی الجاهل المقصّر فما هو المحرّم من التشریع أعمّ ممّا یقصد به أو یأتی به علی شکل التشریع، کما لو کرّر الرکوع أو الرکعات</w:t>
      </w:r>
      <w:r>
        <w:rPr>
          <w:rFonts w:eastAsia="IRNazanin" w:cs="IRNazanin"/>
          <w:color w:val="111111"/>
          <w:sz w:val="28"/>
          <w:szCs w:val="28"/>
          <w:rtl w:val="true"/>
          <w:lang w:bidi="fa-IR"/>
        </w:rPr>
        <w:t>.</w:t>
      </w:r>
    </w:p>
    <w:p>
      <w:pPr>
        <w:pStyle w:val="Heading6"/>
        <w:numPr>
          <w:ilvl w:val="5"/>
          <w:numId w:val="1"/>
        </w:numPr>
        <w:rPr/>
      </w:pPr>
      <w:bookmarkStart w:id="218" w:name="__RefHeading___Toc763714_3244359995"/>
      <w:bookmarkStart w:id="219" w:name="_Toc82"/>
      <w:bookmarkEnd w:id="218"/>
      <w:r>
        <w:rPr>
          <w:rtl w:val="true"/>
        </w:rPr>
        <w:t>الثالث</w:t>
      </w:r>
      <w:r>
        <w:rPr>
          <w:rtl w:val="true"/>
        </w:rPr>
        <w:t xml:space="preserve">: </w:t>
      </w:r>
      <w:r>
        <w:rPr>
          <w:rtl w:val="true"/>
        </w:rPr>
        <w:t>فی إخلال الزیادة بالهیئة الاتصالی و التوالیّ</w:t>
      </w:r>
      <w:bookmarkEnd w:id="2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الزیادة العمدیّة بل مطلق الزیادة، تضرّ بالهیئة الاتصالیّة، أو بالتوالی الذی</w:t>
      </w:r>
      <w:bookmarkStart w:id="220" w:name="pg13177_117792"/>
    </w:p>
    <w:p>
      <w:pPr>
        <w:pStyle w:val="BookText"/>
        <w:rPr/>
      </w:pPr>
      <w:bookmarkEnd w:id="220"/>
      <w:r>
        <w:rPr>
          <w:rFonts w:ascii="IRNazanin" w:hAnsi="IRNazanin" w:eastAsia="IRNazanin"/>
          <w:color w:val="111111"/>
          <w:sz w:val="28"/>
          <w:sz w:val="28"/>
          <w:szCs w:val="28"/>
          <w:rtl w:val="true"/>
          <w:lang w:bidi="fa-IR"/>
        </w:rPr>
        <w:t>هو منشأ اعتبارها فی مراتب المرکّب کما مرّ، و علی هذا یخلّ بالمرکّب فی مرحلة الخارج، و یصیر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تفصیلا بین الزیادة الیسیرة و الکثیرة، فإن کانت یسیرة فلا یضرّ بها، و إن کانت کثیرة متخلّلة بین الأجزاء، لا ممّا تقارنها، مثل التکتّف فی الصلاة، أو غیره فی غیرها ممّا یعدّ من الزیادة التحلیلیّة، کالشروط العقلیة التحلیلیّة،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بحصول الشکّ فی انقطاع تلک الهیئة، فتصل النوبة إلی البحث عن استصحاب الصحّة التأهّلیة و الهیئة الاتصالیّة، کما سیأتی البحث عنه </w:t>
      </w:r>
      <w:r>
        <w:rPr>
          <w:rStyle w:val="FootnoteAnchor"/>
          <w:rtl w:val="true"/>
        </w:rPr>
        <w:footnoteReference w:id="23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221" w:name="__RefHeading___Toc763716_3244359995"/>
      <w:bookmarkStart w:id="222" w:name="_Toc83"/>
      <w:bookmarkEnd w:id="221"/>
      <w:r>
        <w:rPr>
          <w:rtl w:val="true"/>
        </w:rPr>
        <w:t>الرابع</w:t>
      </w:r>
      <w:r>
        <w:rPr>
          <w:rtl w:val="true"/>
        </w:rPr>
        <w:t xml:space="preserve">: </w:t>
      </w:r>
      <w:r>
        <w:rPr>
          <w:rtl w:val="true"/>
        </w:rPr>
        <w:t>فی إخلال الزیادة الصوریّة بالتوالی</w:t>
      </w:r>
      <w:bookmarkEnd w:id="222"/>
    </w:p>
    <w:p>
      <w:pPr>
        <w:pStyle w:val="Heading6"/>
        <w:numPr>
          <w:ilvl w:val="5"/>
          <w:numId w:val="1"/>
        </w:numPr>
        <w:rPr/>
      </w:pPr>
      <w:bookmarkStart w:id="223" w:name="__RefHeading___Toc763718_3244359995"/>
      <w:bookmarkStart w:id="224" w:name="_Toc84"/>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أنّ الزیادة الصوریّة بین أجزاء المرکّب تخلّ بالتوالی، سواء کان من قبیل العبادات، أو غیرها، مثلا إذا أتی بالبسملة علی الذبیحة، ثمّ باعتقاد أمر آخر فی صحّة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أو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بذلک، فلازمه بطلان السبب لحلّیة الذبیحة، أو بطلان ما هو الموضوع لاعتبار الشرع حلّیة لحمها؛ لأنّ التوالی معتبر فی تحقّق ما هو الموضوع، کالعقد و الإیقاع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یشکّ فی اختلال التوالی بتلک الزیادة، و سیأتی حکم صورة الشکّ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225" w:name="pg13177_117793"/>
    </w:p>
    <w:p>
      <w:pPr>
        <w:pStyle w:val="Heading6"/>
        <w:numPr>
          <w:ilvl w:val="5"/>
          <w:numId w:val="1"/>
        </w:numPr>
        <w:rPr/>
      </w:pPr>
      <w:bookmarkStart w:id="226" w:name="__RefHeading___Toc763720_3244359995"/>
      <w:bookmarkStart w:id="227" w:name="_Toc85"/>
      <w:bookmarkEnd w:id="225"/>
      <w:bookmarkEnd w:id="226"/>
      <w:r>
        <w:rPr>
          <w:rtl w:val="true"/>
        </w:rPr>
        <w:t>تحریر</w:t>
      </w:r>
      <w:r>
        <w:rPr>
          <w:rtl w:val="true"/>
        </w:rPr>
        <w:t xml:space="preserve">: </w:t>
      </w:r>
      <w:r>
        <w:rPr>
          <w:rtl w:val="true"/>
        </w:rPr>
        <w:t>حول ما هو محط الکلام فی الزیادة</w:t>
      </w:r>
      <w:bookmarkEnd w:id="227"/>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حول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الزیادة بما هی هی </w:t>
      </w:r>
      <w:r>
        <w:rPr>
          <w:rStyle w:val="FootnoteAnchor"/>
          <w:rtl w:val="true"/>
        </w:rPr>
        <w:footnoteReference w:id="233"/>
      </w:r>
      <w:r>
        <w:rPr>
          <w:rFonts w:ascii="IRNazanin" w:hAnsi="IRNazanin" w:eastAsia="IRNazanin"/>
          <w:color w:val="111111"/>
          <w:sz w:val="28"/>
          <w:sz w:val="28"/>
          <w:szCs w:val="28"/>
          <w:rtl w:val="true"/>
          <w:lang w:bidi="fa-IR"/>
        </w:rPr>
        <w:t>، و هذا فی غیر محلّه؛ ضرورة أنّه بعد کون المفروض أنّها لیست منهیّة عنها، فلا معنی لاحتمال بطلان المرکّب بها بما هی هی، کی یقع مورد الکلام، فالبحث من جهة استلزامها أحیانا للإخلال ببعض ما یعتبر فی المرکّب،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توهّم الزیادة من جهة المانعیّة و القاطعیّة، و قد عرفت أنّ الزائد من المرکّب، بخلاف المانع و القاطع، فإنّ اعتبارهما هی المضادّة مع المرکّب، أو مع الهیئة الاتصالیّة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إرجاع المانعیّة إلی اشتراط عدم المانع فی المرکّب، و لازمه کون المسألة من صغریات الأقلّ و الأکثر،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غیرها</w:t>
      </w:r>
      <w:r>
        <w:rPr>
          <w:rStyle w:val="FootnoteAnchor"/>
          <w:rtl w:val="true"/>
        </w:rPr>
        <w:footnoteReference w:id="235"/>
      </w:r>
      <w:r>
        <w:rPr>
          <w:rFonts w:ascii="IRNazanin" w:hAnsi="IRNazanin" w:eastAsia="IRNazanin"/>
          <w:color w:val="111111"/>
          <w:sz w:val="28"/>
          <w:sz w:val="28"/>
          <w:szCs w:val="28"/>
          <w:rtl w:val="true"/>
          <w:lang w:bidi="fa-IR"/>
        </w:rPr>
        <w:t>، من الغریب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الجهة المبحوث عنها هنا هی الزیادة المعلوم عدم تعلّق النهی بها، و لا الأمر بعدمها؛ و أنّه هل أصل الازیاد فی المرکّب یوجب عدم امتثال أمر المرکّب، أم 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 أنّ حقیقة المانعیّة هی اشتراط عدم شی‌ء فی المأمور به، فالمفروض عدم تعلّق النهی بهذا العدم، و عدم کونه شرطا و قیدا، فالجهة المبحوث عنها ممّا لا ینبغی أن تخفی علی الأکابر، و الأمر سهل</w:t>
      </w:r>
      <w:r>
        <w:rPr>
          <w:rFonts w:eastAsia="IRNazanin" w:cs="IRNazanin"/>
          <w:color w:val="111111"/>
          <w:sz w:val="28"/>
          <w:szCs w:val="28"/>
          <w:rtl w:val="true"/>
          <w:lang w:bidi="fa-IR"/>
        </w:rPr>
        <w:t>.</w:t>
      </w:r>
      <w:bookmarkStart w:id="228" w:name="pg13177_117794"/>
    </w:p>
    <w:p>
      <w:pPr>
        <w:pStyle w:val="Heading6"/>
        <w:numPr>
          <w:ilvl w:val="5"/>
          <w:numId w:val="1"/>
        </w:numPr>
        <w:rPr/>
      </w:pPr>
      <w:bookmarkStart w:id="229" w:name="__RefHeading___Toc763722_3244359995"/>
      <w:bookmarkStart w:id="230" w:name="_Toc86"/>
      <w:bookmarkEnd w:id="228"/>
      <w:bookmarkEnd w:id="229"/>
      <w:r>
        <w:rPr>
          <w:rtl w:val="true"/>
        </w:rPr>
        <w:t>الخامس</w:t>
      </w:r>
      <w:r>
        <w:rPr>
          <w:rtl w:val="true"/>
        </w:rPr>
        <w:t xml:space="preserve">: </w:t>
      </w:r>
      <w:r>
        <w:rPr>
          <w:rtl w:val="true"/>
        </w:rPr>
        <w:t>حول بطلان المرکّب مع نیّة الانبعاث عن الأمر المتعلق بالطبیعة المزید فیها</w:t>
      </w:r>
      <w:bookmarkEnd w:id="230"/>
    </w:p>
    <w:p>
      <w:pPr>
        <w:pStyle w:val="BookText"/>
        <w:rPr/>
      </w:pPr>
      <w:r>
        <w:rPr>
          <w:rFonts w:ascii="IRNazanin" w:hAnsi="IRNazanin" w:eastAsia="IRNazanin"/>
          <w:color w:val="111111"/>
          <w:sz w:val="28"/>
          <w:sz w:val="28"/>
          <w:szCs w:val="28"/>
          <w:rtl w:val="true"/>
          <w:lang w:bidi="fa-IR"/>
        </w:rPr>
        <w:t xml:space="preserve">ربّما یتوهّم بطلان المرکّب فی صورة الزیادة إذا غفل المکلّف، و کان من نیّته الانبعاث عن الأمر المتعلّق بالطبیعة الخاصّة المشتملة علی تلک الزیادة علی وجه التقیید؛ بحیث لولا التکتّف لا یصلّی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تحرّر أنّ المعتبر إتیان المرکّب مقرونا بالقربة؛ حسبما تحرّر فی محلّه </w:t>
      </w:r>
      <w:r>
        <w:rPr>
          <w:rStyle w:val="FootnoteAnchor"/>
          <w:rtl w:val="true"/>
        </w:rPr>
        <w:footnoteReference w:id="237"/>
      </w:r>
      <w:r>
        <w:rPr>
          <w:rFonts w:ascii="IRNazanin" w:hAnsi="IRNazanin" w:eastAsia="IRNazanin"/>
          <w:color w:val="111111"/>
          <w:sz w:val="28"/>
          <w:sz w:val="28"/>
          <w:szCs w:val="28"/>
          <w:rtl w:val="true"/>
          <w:lang w:bidi="fa-IR"/>
        </w:rPr>
        <w:t>، و هذا أمر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التقیید لا یوجب الانبعاث عن الأمر الغیریّ المتخیّل، و ما هو الأمر الباعث أحیانا هو الأمر بالمرکّب؛ علی وجه یفنی فیه الجزء الزائد، فالانبعاث مخصوص بأمر المرکّب النفسیّ الواقعیّ جدّا</w:t>
      </w:r>
      <w:r>
        <w:rPr>
          <w:rFonts w:eastAsia="IRNazanin" w:cs="IRNazanin"/>
          <w:color w:val="111111"/>
          <w:sz w:val="28"/>
          <w:szCs w:val="28"/>
          <w:rtl w:val="true"/>
          <w:lang w:bidi="fa-IR"/>
        </w:rPr>
        <w:t>.</w:t>
      </w:r>
    </w:p>
    <w:p>
      <w:pPr>
        <w:pStyle w:val="Heading6"/>
        <w:numPr>
          <w:ilvl w:val="5"/>
          <w:numId w:val="1"/>
        </w:numPr>
        <w:rPr/>
      </w:pPr>
      <w:bookmarkStart w:id="231" w:name="__RefHeading___Toc763724_3244359995"/>
      <w:bookmarkStart w:id="232" w:name="_Toc87"/>
      <w:bookmarkEnd w:id="231"/>
      <w:r>
        <w:rPr>
          <w:rtl w:val="true"/>
        </w:rPr>
        <w:t>السادس</w:t>
      </w:r>
      <w:r>
        <w:rPr>
          <w:rtl w:val="true"/>
        </w:rPr>
        <w:t xml:space="preserve">: </w:t>
      </w:r>
      <w:r>
        <w:rPr>
          <w:rtl w:val="true"/>
        </w:rPr>
        <w:t>فی أجنبیة البحث عن الزیادة فی الصلاة</w:t>
      </w:r>
      <w:bookmarkEnd w:id="232"/>
    </w:p>
    <w:p>
      <w:pPr>
        <w:pStyle w:val="Heading6"/>
        <w:numPr>
          <w:ilvl w:val="5"/>
          <w:numId w:val="1"/>
        </w:numPr>
        <w:rPr/>
      </w:pPr>
      <w:bookmarkStart w:id="233" w:name="__RefHeading___Toc763726_3244359995"/>
      <w:bookmarkStart w:id="234" w:name="_Toc88"/>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قد تعرّض جمع من الأصحاب لمباحث الزیادة فی الصلاة</w:t>
      </w:r>
      <w:r>
        <w:rPr>
          <w:rStyle w:val="FootnoteAnchor"/>
          <w:rtl w:val="true"/>
        </w:rPr>
        <w:footnoteReference w:id="238"/>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مصباح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هذا غریب؛ لأنّ الجهة المبحوث عنها هی الزیادة فی إحدی المرکّبات التأسیسیّة أو الإمضائیّة الشرعیّة، و حول مقتضی القواعد العامّة، دون ما یختصّ بإحداها، فإنّه مربوط بالفقه و کتاب الصلاة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من المشاکل هو الجمع بین ما ورد فی الصلاة حول الزیادة</w:t>
      </w:r>
    </w:p>
    <w:p>
      <w:pPr>
        <w:pStyle w:val="BookText"/>
        <w:rPr/>
      </w:pPr>
      <w:r>
        <w:rPr>
          <w:rFonts w:ascii="IRNazanin" w:hAnsi="IRNazanin" w:eastAsia="IRNazanin"/>
          <w:color w:val="111111"/>
          <w:sz w:val="28"/>
          <w:sz w:val="28"/>
          <w:szCs w:val="28"/>
          <w:rtl w:val="true"/>
          <w:lang w:bidi="fa-IR"/>
        </w:rPr>
        <w:t xml:space="preserve">و النقیصة، و من شاء نظرنا فلیراجع ما کتبناه هناک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تستنبط قاعدة کلّیة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زیادة فی المکتوبة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فإنّ المکتوب أعمّ من المفروض و المندوب، و العبادیّات و غیر العبادیات؛ ضرورة أنّ المرکّبات العقلائیّة مکتوبات إمضائیّة، و لا سیّما فی موارد تصرّف الشرع باعتبار قید أو شرط أو جزء فیها، فإذا تحقّقت الزیادة عقلا أو عرفا فالمرکّب باطل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الزیادة فی المرکّب، فربّما تحصل علی وجه الحقیقة کما عرفت </w:t>
      </w:r>
      <w:r>
        <w:rPr>
          <w:rStyle w:val="FootnoteAnchor"/>
          <w:rtl w:val="true"/>
        </w:rPr>
        <w:footnoteReference w:id="241"/>
      </w:r>
      <w:r>
        <w:rPr>
          <w:rFonts w:ascii="IRNazanin" w:hAnsi="IRNazanin" w:eastAsia="IRNazanin"/>
          <w:color w:val="111111"/>
          <w:sz w:val="28"/>
          <w:sz w:val="28"/>
          <w:szCs w:val="28"/>
          <w:rtl w:val="true"/>
          <w:lang w:bidi="fa-IR"/>
        </w:rPr>
        <w:t>، و ربّما یعتبر قصد التشریع فی المکتوبة علی وجه یتحقّق منه قصده، و ربّما تکفی السنخیّة بین الزائد و المزید فیه، کما فی السجدة الثالثة، و لا حاجة عندئذ إلی قصد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تصیر النتیجة عدم سقوط أمر المرکّب لأجل تلک الزیادة علی الإطلاق،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خاصّة نفس الزیادة،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ترجع إلی اعتبار مانعیّة الزیادة علی الوجه الذی عرفت منّا</w:t>
      </w:r>
      <w:r>
        <w:rPr>
          <w:rStyle w:val="FootnoteAnchor"/>
          <w:rtl w:val="true"/>
        </w:rPr>
        <w:footnoteReference w:id="242"/>
      </w:r>
      <w:r>
        <w:rPr>
          <w:rFonts w:ascii="IRNazanin" w:hAnsi="IRNazanin" w:eastAsia="IRNazanin"/>
          <w:color w:val="111111"/>
          <w:sz w:val="28"/>
          <w:sz w:val="28"/>
          <w:szCs w:val="28"/>
          <w:rtl w:val="true"/>
          <w:lang w:bidi="fa-IR"/>
        </w:rPr>
        <w:t>، أو ترجع إلی اشتراط عدم الزیادة فی المرکّب، فیلزم بطلانه من أجل الإخلال بالشرط و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یرجع الوجه الثانی إلی مضادّته مع وجود المرکّب ادعاء؛ نظرا إلی بقاء الأمر و لزوم الإعادة و القضاء، فلا دلالة للحدیث الشریف علی أنّ الزیادة مورد النهی للاحتمال الأوّل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موارد الشکّ فی حصول الزیادة، ترجع المسألة إلی الأقلّ و الأکثر، أو إلی الشکّ فی مانعیّة الوجود و اختلال المرکّب بها، و سیظهر حکم ذلک من ذی قبل إن شاء اللّه تعالی</w:t>
      </w:r>
      <w:r>
        <w:rPr>
          <w:rFonts w:eastAsia="IRNazanin" w:cs="IRNazanin"/>
          <w:color w:val="111111"/>
          <w:sz w:val="28"/>
          <w:szCs w:val="28"/>
          <w:rtl w:val="true"/>
          <w:lang w:bidi="fa-IR"/>
        </w:rPr>
        <w:t>.</w:t>
      </w:r>
      <w:bookmarkStart w:id="235" w:name="pg13177_117796"/>
    </w:p>
    <w:p>
      <w:pPr>
        <w:pStyle w:val="Heading6"/>
        <w:numPr>
          <w:ilvl w:val="5"/>
          <w:numId w:val="1"/>
        </w:numPr>
        <w:rPr/>
      </w:pPr>
      <w:bookmarkStart w:id="236" w:name="__RefHeading___Toc763728_3244359995"/>
      <w:bookmarkStart w:id="237" w:name="_Toc89"/>
      <w:bookmarkEnd w:id="235"/>
      <w:bookmarkEnd w:id="236"/>
      <w:r>
        <w:rPr>
          <w:rtl w:val="true"/>
        </w:rPr>
        <w:t>بقی شی‌ء</w:t>
      </w:r>
      <w:r>
        <w:rPr>
          <w:rtl w:val="true"/>
        </w:rPr>
        <w:t xml:space="preserve">: </w:t>
      </w:r>
      <w:r>
        <w:rPr>
          <w:rtl w:val="true"/>
        </w:rPr>
        <w:t>حول الفرق بین سجدة التلاوة و إقحام الصلاة فی الصلاة</w:t>
      </w:r>
      <w:bookmarkEnd w:id="237"/>
    </w:p>
    <w:p>
      <w:pPr>
        <w:pStyle w:val="BookText"/>
        <w:rPr/>
      </w:pPr>
      <w:r>
        <w:rPr>
          <w:rFonts w:ascii="IRNazanin" w:hAnsi="IRNazanin" w:eastAsia="IRNazanin"/>
          <w:color w:val="111111"/>
          <w:sz w:val="28"/>
          <w:sz w:val="28"/>
          <w:szCs w:val="28"/>
          <w:rtl w:val="true"/>
          <w:lang w:bidi="fa-IR"/>
        </w:rPr>
        <w:t>کیف یعقل أن تکون سجدة التلاوة من الزیادة القهریّة، و لا تکون موارد إقحام الصلاة فی الصلاة من الزیادة، مع أنّهما من سنخ واحد، و تکون أولی بذلک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التعبّد فی البین، فلا بأس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اعتبر مطلق الزیادة فی مطلق المرکّب، موجبا للبطلان تعبّدا، و خصّص مورد الاقتحام تعبّدا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قصور الحدیث الشریف عن إفادة القاعدة الکلّیة؛ نظرا إلی أنّ سجدة التلاوة لیست زیادة إلّا تعبّدا، فلا یلزم منه أنّ کلّ شی‌ء غیر زائد عقلا أو عرفا، زیادة تعبّدا؛ و مبطل تعبّدا، کی یکون کلّ من الموضوع و المحمول من التعبّد؛ ضرورة أنّ مقتضی القاعدة عدم مبطلیّة الزیادة بما هی هی، کما مرّ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مسموعة؛ لأنّها مجرّد 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بعض المواقف تستلزم الزیادة نقیصة موجبة للبطلان حسب القاعدة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الاستبعاد المذکور هنا لیس أغرب ممّا فی روایة أبان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 السنّة إذا قیست محق الدین</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فلیتأمّل جیّدا</w:t>
      </w:r>
      <w:r>
        <w:rPr>
          <w:rFonts w:eastAsia="Amiri" w:cs="Amiri" w:ascii="Amiri" w:hAnsi="Amiri"/>
          <w:color w:val="111111"/>
          <w:sz w:val="28"/>
          <w:szCs w:val="28"/>
          <w:rtl w:val="true"/>
          <w:lang w:bidi="ar-SA"/>
        </w:rPr>
        <w:t>.</w:t>
      </w:r>
      <w:bookmarkStart w:id="238" w:name="pg13177_117797"/>
    </w:p>
    <w:p>
      <w:pPr>
        <w:pStyle w:val="Heading6"/>
        <w:numPr>
          <w:ilvl w:val="5"/>
          <w:numId w:val="1"/>
        </w:numPr>
        <w:rPr/>
      </w:pPr>
      <w:bookmarkStart w:id="239" w:name="__RefHeading___Toc763730_3244359995"/>
      <w:bookmarkStart w:id="240" w:name="_Toc90"/>
      <w:bookmarkEnd w:id="238"/>
      <w:bookmarkEnd w:id="239"/>
      <w:r>
        <w:rPr>
          <w:rtl w:val="true"/>
        </w:rPr>
        <w:t>خاتمة الکلام فی حدیث استصحاب الصحّة و استصحاب الهیئة الاتصالیّة</w:t>
      </w:r>
      <w:bookmarkEnd w:id="240"/>
    </w:p>
    <w:p>
      <w:pPr>
        <w:pStyle w:val="Heading6"/>
        <w:numPr>
          <w:ilvl w:val="5"/>
          <w:numId w:val="1"/>
        </w:numPr>
        <w:rPr/>
      </w:pPr>
      <w:bookmarkStart w:id="241" w:name="__RefHeading___Toc763732_3244359995"/>
      <w:bookmarkStart w:id="242" w:name="_Toc91"/>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 xml:space="preserve">و ذلک فی موارد احتمال اختلال المرکّب من جهة ما وقع فیه من الزیادة؛ بناء علی عدم کونها بما هی هی موجبة للبطلان، کما عرفت فی الوجه الأوّل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نشیر إلی أمرین قبل الخوض فی حکم الاستصحاب</w:t>
      </w:r>
      <w:r>
        <w:rPr>
          <w:rFonts w:eastAsia="IRNazanin" w:cs="IRNazanin"/>
          <w:color w:val="111111"/>
          <w:sz w:val="28"/>
          <w:szCs w:val="28"/>
          <w:rtl w:val="true"/>
          <w:lang w:bidi="fa-IR"/>
        </w:rPr>
        <w:t>:</w:t>
      </w:r>
    </w:p>
    <w:p>
      <w:pPr>
        <w:pStyle w:val="Heading6"/>
        <w:numPr>
          <w:ilvl w:val="5"/>
          <w:numId w:val="1"/>
        </w:numPr>
        <w:rPr/>
      </w:pPr>
      <w:bookmarkStart w:id="243" w:name="__RefHeading___Toc763734_3244359995"/>
      <w:bookmarkStart w:id="244" w:name="_Toc92"/>
      <w:bookmarkEnd w:id="243"/>
      <w:r>
        <w:rPr>
          <w:rtl w:val="true"/>
        </w:rPr>
        <w:t>الأمر الأوّل</w:t>
      </w:r>
      <w:r>
        <w:rPr>
          <w:rtl w:val="true"/>
        </w:rPr>
        <w:t xml:space="preserve">: </w:t>
      </w:r>
      <w:r>
        <w:rPr>
          <w:rtl w:val="true"/>
        </w:rPr>
        <w:t>فی بیان محلّ الکلام فی استصحاب الصحة</w:t>
      </w:r>
      <w:bookmarkEnd w:id="2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محلّ الکلام أعمّ ممّا یری فی کلام الأصحاب </w:t>
      </w:r>
      <w:r>
        <w:rPr>
          <w:rStyle w:val="FootnoteAnchor"/>
          <w:rtl w:val="true"/>
        </w:rPr>
        <w:footnoteReference w:id="246"/>
      </w:r>
      <w:r>
        <w:rPr>
          <w:rFonts w:ascii="IRNazanin" w:hAnsi="IRNazanin" w:eastAsia="IRNazanin"/>
          <w:color w:val="111111"/>
          <w:sz w:val="28"/>
          <w:sz w:val="28"/>
          <w:szCs w:val="28"/>
          <w:rtl w:val="true"/>
          <w:lang w:bidi="fa-IR"/>
        </w:rPr>
        <w:t>و ذلک لأنّ المشکوک فیه هو اختلال المرکّب من جهة الالتئام الثابت بین أجزائه؛ بحیث لو انضمّ إلیه بعد الشکّ فی الأثناء سائر الأجزاء، یشکّ فی سقوط المرکّب؛ لأجل احتمال فقد التوالی المعتبر بینها، لوجود الزیادة، أو لفقد الهیئة الاتصالیّة، أو لفقد صلاحیة المرکّب لانتزاع عنوان العبودیّة، أو یشکّ فی تحقّق سبب النقل و الانتقال، أو تحقّق الإیقاع، أو تحقّق التذکیة، و کلّ ذلک لأجل وقوع الزیادة فی المرکّب، و یحتمل اختلال المرکّب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سقوط صلاحیة الأجزاء السابقة عن التئام الأجزاء اللاحقة بها، أو سقوط صحّتها الفعلیّة، أو صحّتها الشأنیّة و الإنشائیّة و التأهّلیة، و أن یکون الشکّ فی مانعیّة الزیادة و قاطعیّتها، أو یشکّ فی احتمال اشتراط عدمها فی المرکّب، فإنّه قد مرّ الکلام حوله </w:t>
      </w:r>
      <w:r>
        <w:rPr>
          <w:rStyle w:val="FootnoteAnchor"/>
          <w:rtl w:val="true"/>
        </w:rPr>
        <w:footnoteReference w:id="247"/>
      </w:r>
      <w:r>
        <w:rPr>
          <w:rFonts w:ascii="IRNazanin" w:hAnsi="IRNazanin" w:eastAsia="IRNazanin"/>
          <w:color w:val="111111"/>
          <w:sz w:val="28"/>
          <w:sz w:val="28"/>
          <w:szCs w:val="28"/>
          <w:rtl w:val="true"/>
          <w:lang w:bidi="fa-IR"/>
        </w:rPr>
        <w:t>، و بناء الأصحاب علی تقدّم البراءة العقلیّة و الشرعیّة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إنکار جریان البراءة و کفایتها، و تصیر النتیجة أن نبحث بحثا عامّا فی مطلق المرکّبات بالنسبة إلی مطلق ما یشکّ؛ حتّی ما یشکّ فی شرطیّة عدمه الموجب للشکّ فی بقاء تلک الصحّة و الهیئة الاتصالیّة، کما إذا شکّ فی اشتراط عدم القران بین السورتین، فإنّه لو أتی بسورة طویلة بعد سورة، یشکّ فی بقاء صلاحیة الأجزاء المأتیّ بها، و لا أصل حکمیّ یکون مرجعا للاکتفاء بذلک المرکّب؛ و سقوط أمره، و ترتیب الآثار عقیبه، إلّا الأصل الحکمیّ، و قد فرضنا عدم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الحقیقة حول الاستصحاب المذکور مخصوص بصورة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الزیادة لیست مضرّة بما هی هی، و إنّما یحتمل تضرّر المرکّب من جهة النقیصة الواردة علیه من قبلها احتمالا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یجوز توسیع البحث فی صورة الشبهة الحکمیّة و الموضوعیّة؛ بالنسبة إلی احتمال کون تلک الزیادة قاطعة، أو مانعة، أو مشروطا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البراءة السابقة غیر کافیة فرضا، أو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بحث عامّ اصولیّ مفید یبتلی به الفقیه بالنسبة إلی المرکّبات المختلفة، کزیادة شی‌ء فی تسبیحة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زیادة شی‌ء فی الإقامة و الأذان، و غیر ذلک من المرکّبات الابتکاریّة و غیرها</w:t>
      </w:r>
      <w:r>
        <w:rPr>
          <w:rFonts w:eastAsia="IRNazanin" w:cs="IRNazanin"/>
          <w:color w:val="111111"/>
          <w:sz w:val="28"/>
          <w:szCs w:val="28"/>
          <w:rtl w:val="true"/>
          <w:lang w:bidi="fa-IR"/>
        </w:rPr>
        <w:t>.</w:t>
      </w:r>
      <w:bookmarkStart w:id="245" w:name="pg13177_117799"/>
    </w:p>
    <w:p>
      <w:pPr>
        <w:pStyle w:val="Heading6"/>
        <w:numPr>
          <w:ilvl w:val="5"/>
          <w:numId w:val="1"/>
        </w:numPr>
        <w:rPr/>
      </w:pPr>
      <w:bookmarkStart w:id="246" w:name="__RefHeading___Toc763736_3244359995"/>
      <w:bookmarkStart w:id="247" w:name="_Toc93"/>
      <w:bookmarkEnd w:id="245"/>
      <w:bookmarkEnd w:id="246"/>
      <w:r>
        <w:rPr>
          <w:rtl w:val="true"/>
        </w:rPr>
        <w:t>الأمر الثانی</w:t>
      </w:r>
      <w:r>
        <w:rPr>
          <w:rtl w:val="true"/>
        </w:rPr>
        <w:t xml:space="preserve">: </w:t>
      </w:r>
      <w:r>
        <w:rPr>
          <w:rtl w:val="true"/>
        </w:rPr>
        <w:t>حول حقیقة الصحّة و الفساد و کیفیة اتّصاف المرکّب بهما</w:t>
      </w:r>
      <w:bookmarkEnd w:id="247"/>
    </w:p>
    <w:p>
      <w:pPr>
        <w:pStyle w:val="BookText"/>
        <w:rPr/>
      </w:pPr>
      <w:r>
        <w:rPr>
          <w:rFonts w:ascii="IRNazanin" w:hAnsi="IRNazanin" w:eastAsia="IRNazanin"/>
          <w:color w:val="111111"/>
          <w:sz w:val="28"/>
          <w:sz w:val="28"/>
          <w:szCs w:val="28"/>
          <w:rtl w:val="true"/>
          <w:lang w:bidi="fa-IR"/>
        </w:rPr>
        <w:t xml:space="preserve">قد تحرّر منّا حقیقة الصحّة و الفساد و أمثالهما فی المجلّد الأوّل </w:t>
      </w:r>
      <w:r>
        <w:rPr>
          <w:rStyle w:val="FootnoteAnchor"/>
          <w:rtl w:val="true"/>
        </w:rPr>
        <w:footnoteReference w:id="248"/>
      </w:r>
      <w:r>
        <w:rPr>
          <w:rFonts w:ascii="IRNazanin" w:hAnsi="IRNazanin" w:eastAsia="IRNazanin"/>
          <w:color w:val="111111"/>
          <w:sz w:val="28"/>
          <w:sz w:val="28"/>
          <w:szCs w:val="28"/>
          <w:rtl w:val="true"/>
          <w:lang w:bidi="fa-IR"/>
        </w:rPr>
        <w:t>، و فی موضع من المکاسب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الطبیعة فی النشأة الذهنیّة و المرکّب فی الوجود الذهنی، لا یوصف بالصحّة و الفساد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ممّا لا شبهة تعتریه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المرکّب یوصف بهما بعد الوجود، و إنّما الاشتباه من طائفة الاصولیّین، و ما کان ینبغی لمن هو یلمس المسائل العقلیّة؛ و هو أنّ الصحّة أمر انتزاعیّ من مطابقة المأتیّ به مع المأمور به، و الفساد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 المرکّبات الاعتباریّة و التألیفیّة حدّ المرکّبات الطبیعیّة، و الطبیعیّ یوجد بنفسه فی الخارج، و لا یقاس و لا یطابق بین ما هو الفرد، و ما هو الطبیعة و المرکّب، بل المرکّب یوجد بنفسه فی الخارج، فالإنسان یوجد بنفسه فی الخارج، و هکذا الصلاة، و لأجل ذلک یصحّ توصیف ما فی الخارج من الصلاة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وجودها،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صلاة فریضة وجدت فیه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تختلف المرکّبات من جهة أنّ بعضا منها زمانیّ، و بعضا منها تدریجیّ الوجود منطبق علی الزمان، کالمرکّبات العقلائیّة و الشرعیّة و الابتکاریّة، مثل الأذان و الإقامة، فلو کانت الصحّة منتزعة من المطابقة، یلزم أن تکون الأجزاء المعدومة السابقة منشأ لذلک، و دخیلة فیه، مع أنّ المعدوم المطلق لا شی‌ء، و لا یحکم علیه بشی‌ء، فضلا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خافیا علی العرف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المرکّب الذی اعتبر له الأجزاء، و تعلّق به الأمر، أو اعتبر سببا أو موضوعا لأمر آخر، قد یوجد تدریجا بتمام الأجزاء، فإذا تحقّق فی الخارج ینتزع عنه الصحّة، و إلّا فلا، فالخارج ظرف انتزاع الصحّة و الفساد من غیر کون الصحّة و الفساد جزءین، کما أنّ الخارجیّة ینتزع عن الإنسان العینیّ من غیر دخالة الخارجیّة فی ماهیّة ذلک المرکّب،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الصحّة هی التمامیّة</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فإنّ معناها هو أنّ المرکّب فی النسبة الذهنیّة و فی مرحلة التهندس، لیس إلّا نفس الأجزاء الفانیة فی العنوان الواحد، کالحجّ و العمرة و الصلاة و الوضوء، فإذا اشتغل المکلّف مثلا بإیجادها و جعلها خارجیّة، یوجد تدریجا ذلک المرکّب، فإن حصل فی الخارج بتمامه فقد أوجد الصحیح و التامّ، و إلّا فلا، و أمّا حین الاشتغال بإیجاده فهو مشغول بإیجاد المرکّب، و قد أوجد إلی تلک الحال الوجود الصحیح و المرکّب بتمامه إلی تلک الحال، و إذا أبطل صلاته و قد أخلّ بإیجاد الوجود الصحیح، و لم یوجد فی الخارج وجودا صحیحا کما لا یخفی؛ فإنّ الأسرار تحت التعابیر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فالصحّة التأهّلیة و الشأنیّة بالقیاس إلی الأجزاء الفانیة، من الأغلاط، و دعوی اتصافها بالصفة الاستعدادیّة و القابلیّة و الصلاحیة للحوق سائر الأجزاء</w:t>
      </w:r>
      <w:r>
        <w:rPr>
          <w:rStyle w:val="FootnoteAnchor"/>
          <w:rtl w:val="true"/>
        </w:rPr>
        <w:footnoteReference w:id="251"/>
      </w:r>
      <w:r>
        <w:rPr>
          <w:rFonts w:ascii="IRNazanin" w:hAnsi="IRNazanin" w:eastAsia="IRNazanin"/>
          <w:color w:val="111111"/>
          <w:sz w:val="28"/>
          <w:sz w:val="28"/>
          <w:szCs w:val="28"/>
          <w:rtl w:val="true"/>
          <w:lang w:bidi="fa-IR"/>
        </w:rPr>
        <w:t>، أوضح غلطا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لنا الاعتقاد بما فی کلمات القوم، یمکن الصحّة الفعلیّة بالنسبة إلی تلک الأجزاء بالنسبة إلی الأوامر الضمنیّة؛ ضرورة سقوط تلک الأوامر تدریجا، فإذا أتی ببقیّة الأجزاء سقط الأمر الضمنیّ الأخیر، و إلّا ینکشف عدم سقوط الأمر الضمنیّ من الأوّل بتاتا</w:t>
      </w:r>
      <w:r>
        <w:rPr>
          <w:rFonts w:eastAsia="IRNazanin" w:cs="IRNazanin"/>
          <w:color w:val="111111"/>
          <w:sz w:val="28"/>
          <w:szCs w:val="28"/>
          <w:rtl w:val="true"/>
          <w:lang w:bidi="fa-IR"/>
        </w:rPr>
        <w:t>.</w:t>
      </w:r>
      <w:bookmarkStart w:id="248" w:name="pg13177_117801"/>
    </w:p>
    <w:p>
      <w:pPr>
        <w:pStyle w:val="Heading6"/>
        <w:numPr>
          <w:ilvl w:val="5"/>
          <w:numId w:val="1"/>
        </w:numPr>
        <w:rPr/>
      </w:pPr>
      <w:bookmarkStart w:id="249" w:name="__RefHeading___Toc763738_3244359995"/>
      <w:bookmarkStart w:id="250" w:name="_Toc94"/>
      <w:bookmarkEnd w:id="248"/>
      <w:bookmarkEnd w:id="249"/>
      <w:r>
        <w:rPr>
          <w:rtl w:val="true"/>
        </w:rPr>
        <w:t>التحقیق فی استصحاب الصحّة</w:t>
      </w:r>
      <w:bookmarkEnd w:id="250"/>
    </w:p>
    <w:p>
      <w:pPr>
        <w:pStyle w:val="BookText"/>
        <w:rPr/>
      </w:pPr>
      <w:r>
        <w:rPr>
          <w:rFonts w:ascii="IRNazanin" w:hAnsi="IRNazanin" w:eastAsia="IRNazanin"/>
          <w:color w:val="111111"/>
          <w:sz w:val="28"/>
          <w:sz w:val="28"/>
          <w:szCs w:val="28"/>
          <w:rtl w:val="true"/>
          <w:lang w:bidi="fa-IR"/>
        </w:rPr>
        <w:t>إذا عرفت الأمرین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الشیخ رحمه اللّه أنّ استصحاب الصحّة الفعلیّة لا حالة سابقة لها، و استصحاب الصحّة الشأنیّة لا شکّ فی بقائها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استصحاب تعلیقیّ غیر جار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الأجزاء السابقة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الحیثیّة الاستعدادیّة للحوق الأجزاء اللاحقة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هذا أمر مشکوک فیه، إلّا أنّ الأصل مثبت، و لا یمکن الفرار به عن الاشتغال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بکفایة استصحاب عدم تحقّق ما یضرّ أثناء المرکّب </w:t>
      </w:r>
      <w:r>
        <w:rPr>
          <w:rStyle w:val="FootnoteAnchor"/>
          <w:rtl w:val="true"/>
        </w:rPr>
        <w:footnoteReference w:id="254"/>
      </w:r>
      <w:r>
        <w:rPr>
          <w:rFonts w:ascii="IRNazanin" w:hAnsi="IRNazanin" w:eastAsia="IRNazanin"/>
          <w:color w:val="111111"/>
          <w:sz w:val="28"/>
          <w:sz w:val="28"/>
          <w:szCs w:val="28"/>
          <w:rtl w:val="true"/>
          <w:lang w:bidi="fa-IR"/>
        </w:rPr>
        <w:t>، و هو غیر تامّ بالنسبة إلی مورد اشتراط عدم الزیادة فی المرکّب احتمالا کما مرّ</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تثبت به تمامیّة المرکّب و الصحّة الفعلیّة،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بحکومة هذا الاستصحاب علی ذاک الاستصحاب الوجودیّ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الوجود الصحیح کان یوجد، و یشکّ فی بقائه، و هذا غیر معقول؛ لأنّ مصبّ الیقین و الشکّ شیئان، فمندفعة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سیأتی إن شاء اللّه تعالی فی إمکان استصحاب الامور التدریجیّة کالزمان، و ما ینطبق علی الزمان، کالحرکة و أمثال هذه المرکّبات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ما تحرّر أنّ تقسیم الصحّة إلی الفعلیّة و الشأنیّة، من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وجود الشکّ فی البقاء</w:t>
      </w:r>
      <w:r>
        <w:rPr>
          <w:rStyle w:val="FootnoteAnchor"/>
          <w:rtl w:val="true"/>
        </w:rPr>
        <w:footnoteReference w:id="257"/>
      </w:r>
      <w:r>
        <w:rPr>
          <w:rFonts w:ascii="IRNazanin" w:hAnsi="IRNazanin" w:eastAsia="IRNazanin"/>
          <w:color w:val="111111"/>
          <w:sz w:val="28"/>
          <w:sz w:val="28"/>
          <w:szCs w:val="28"/>
          <w:rtl w:val="true"/>
          <w:lang w:bidi="fa-IR"/>
        </w:rPr>
        <w:t>، غیر تامّ؛ لأنّ المکلّف کان مشتغلا بإیجاد الوجود الصحیح،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بقائه علی إیجاد الوجود الصحیح، کالشکّ فی بقائه علی إیجاد الحرکة، و إنّما إذا أتی بتمام المرکّب فقد أوجد الوجود الصحیح بتمامه و بحدّه، و إذا أخلّ به فی الأثناء فقد أبطل الوجود الصحیح غیر التامّ، و لذلک یصحّ اعتبار تحریم إبطال الصلاة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یوصف به الصحّة الفعلیّة التامّة و الناقصة، هو الوجود المتدرّج الموجود به المرکّب المتدرّج الوجود أیضا؛ لاتحاد الماهیّة و الوجود فی الدفعیّة و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محطّ الصحّة و الوجود هو الخارج، و لا یعتبر فی المرکّب شی‌ء زائد علی الأجزاء المعلومة، و لیس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الأمر کی یفید الاستصحاب، و إنّما تحقّق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أو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قبال القاعدة المقتضیة للاشتغال، من غیر دخالة وصف التحقّق و الخارجیّة فی ذلک، بل لا بدّ و أن یدرک العقل أنّ المأمور به المبعوث إلیه، قد تحصّل و سقط الأمر قهرا، فاستصحاب اشتغاله بالوجود الصحیح إلی آخر المرکّب و أخیرة أجزائه، غیر کاف فی قبال العلم بالاشتغال فی المرکّبات الواجبة، أو العلم بالأمر فی المندوبة، أو أصالة الفساد و الحرمة فی کافّة المرکّبات غیر العبادیّة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کلّ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لیس مورد الطلب، و لا متعلّق متعلّق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یوجّه بوجهین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تحرّر منّا قویّا؛ و هو أنّ حقیقة الاستصحاب هی التعبّد ببقاء</w:t>
      </w:r>
    </w:p>
    <w:p>
      <w:pPr>
        <w:pStyle w:val="BookText"/>
        <w:rPr/>
      </w:pPr>
      <w:r>
        <w:rPr>
          <w:rFonts w:ascii="IRNazanin" w:hAnsi="IRNazanin" w:eastAsia="IRNazanin"/>
          <w:color w:val="111111"/>
          <w:sz w:val="28"/>
          <w:sz w:val="28"/>
          <w:szCs w:val="28"/>
          <w:rtl w:val="true"/>
          <w:lang w:bidi="fa-IR"/>
        </w:rPr>
        <w:t xml:space="preserve">الیقین المقطوع انتفاؤه </w:t>
      </w:r>
      <w:r>
        <w:rPr>
          <w:rStyle w:val="FootnoteAnchor"/>
          <w:rtl w:val="true"/>
        </w:rPr>
        <w:footnoteReference w:id="258"/>
      </w:r>
      <w:r>
        <w:rPr>
          <w:rFonts w:ascii="IRNazanin" w:hAnsi="IRNazanin" w:eastAsia="IRNazanin"/>
          <w:color w:val="111111"/>
          <w:sz w:val="28"/>
          <w:sz w:val="28"/>
          <w:szCs w:val="28"/>
          <w:rtl w:val="true"/>
          <w:lang w:bidi="fa-IR"/>
        </w:rPr>
        <w:t>أی وصف الیقین الملازم لترتّب آثاره من الطریقیّة و الموضوعیّة، من غیر النظر إلی المتیقّن؛ و کونه محتمل البقاء، أو کونه حکما، أو موضوعا ذا حکم، بل النظر إلی أصل التعبّد بمصداق الیقین فی ظرف الشکّ، المماثل للیقین السابق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شبهة فی أنّه کما لو کان متیقّنا بأنّه مشغول بالوجود الصحیح، و لا یضرّ ما تخلّل بین أجزاء المرکّب، کان یجب علیه الإتمام، و یحرم علیه الإبطال، کذلک الأمر فی مورد الشکّ، و تفصیله فی الاستصحاب </w:t>
      </w:r>
      <w:r>
        <w:rPr>
          <w:rStyle w:val="FootnoteAnchor"/>
          <w:rtl w:val="true"/>
        </w:rPr>
        <w:footnoteReference w:id="25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المشتغل بالمرکّب مثل الصلاة و الوضوء و الاعتکاف، کان یعلم باشتغاله بذلک المرکّب المأمور به، أو بذلک المرکّب الذی له السببیّة عند الشرع، أو بذلک المرکّب الذی له الموضوعیّة عند الشرع، و یشکّ فی بقاء اشتغاله بذلک المرکّب الکذائیّ، و تصیر النتیجة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المرکّب المأمور به و ما هو السبب و الموضوع، و هذا یکفی من غیر أن یتوجّه إلیه إشکال المثبتیّة بعد ما عرفت أنّه شکّ فی بقاء اشتغاله بذلک المرکّب، فلا یتوجّه إلیه إشکال الشیخ </w:t>
      </w:r>
      <w:r>
        <w:rPr>
          <w:rStyle w:val="FootnoteAnchor"/>
          <w:rtl w:val="true"/>
        </w:rPr>
        <w:footnoteReference w:id="260"/>
      </w:r>
      <w:r>
        <w:rPr>
          <w:rFonts w:ascii="IRNazanin" w:hAnsi="IRNazanin" w:eastAsia="IRNazanin"/>
          <w:color w:val="111111"/>
          <w:sz w:val="28"/>
          <w:sz w:val="28"/>
          <w:szCs w:val="28"/>
          <w:rtl w:val="true"/>
          <w:lang w:bidi="fa-IR"/>
        </w:rPr>
        <w:t>، و لا یکون من الاستصحاب التعلیقیّ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یتوجّه إلیه أنّه لیس من الاستصحاب الحکمیّ، و لا کالحکمی کاستصحاب عدم الوجوب و الجعل، و لا من الاستصحاب الموضوعیّ، و لا کالموضوعی کاستصحاب عدم علم زید؛ لإخراجه عن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فینحصر الوجه بالوجه الأوّل، فتأمّل</w:t>
      </w:r>
      <w:r>
        <w:rPr>
          <w:rFonts w:eastAsia="IRNazanin" w:cs="IRNazanin"/>
          <w:color w:val="111111"/>
          <w:sz w:val="28"/>
          <w:szCs w:val="28"/>
          <w:rtl w:val="true"/>
          <w:lang w:bidi="fa-IR"/>
        </w:rPr>
        <w:t>.</w:t>
      </w:r>
      <w:bookmarkStart w:id="251" w:name="pg13177_117804"/>
    </w:p>
    <w:p>
      <w:pPr>
        <w:pStyle w:val="Heading6"/>
        <w:numPr>
          <w:ilvl w:val="5"/>
          <w:numId w:val="1"/>
        </w:numPr>
        <w:rPr/>
      </w:pPr>
      <w:bookmarkStart w:id="252" w:name="__RefHeading___Toc763740_3244359995"/>
      <w:bookmarkStart w:id="253" w:name="_Toc95"/>
      <w:bookmarkEnd w:id="251"/>
      <w:bookmarkEnd w:id="252"/>
      <w:r>
        <w:rPr>
          <w:rtl w:val="true"/>
        </w:rPr>
        <w:t>بقی شی‌ء</w:t>
      </w:r>
      <w:r>
        <w:rPr>
          <w:rtl w:val="true"/>
        </w:rPr>
        <w:t xml:space="preserve">: </w:t>
      </w:r>
      <w:r>
        <w:rPr>
          <w:rtl w:val="true"/>
        </w:rPr>
        <w:t>فی استصحاب الهیئة الاتصالیّة عند الشک فی حصول القاطع</w:t>
      </w:r>
      <w:bookmarkEnd w:id="253"/>
    </w:p>
    <w:p>
      <w:pPr>
        <w:pStyle w:val="BookText"/>
        <w:rPr/>
      </w:pPr>
      <w:r>
        <w:rPr>
          <w:rFonts w:ascii="IRNazanin" w:hAnsi="IRNazanin" w:eastAsia="IRNazanin"/>
          <w:color w:val="111111"/>
          <w:sz w:val="28"/>
          <w:sz w:val="28"/>
          <w:szCs w:val="28"/>
          <w:rtl w:val="true"/>
          <w:lang w:bidi="fa-IR"/>
        </w:rPr>
        <w:t>یظهر من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المرکّبات المعتبرة فیها الهیئة الاتصالیّة، یجری استصحاب بقاء تلک الهیئة عند الشکّ فی حصول القاطع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تدریجیّة الهیئة لیس أسوأ حالا من تدریجیّة الزمان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لو لم تکن تلک الهیئة مورد الطلب إلّا بمطلوبیّة الموادّ المتوالیة لحصولها، إلّا أنّ حصولها القهریّ لا ینافی مطلوبیّتها الشرعیّة کی یستصحب تلک الهیئة، فلو شکّ مثلا فی قاطعیّة التبسّم حکما، و قلنا بعدم جریان البراءة مثلا، أو قلنا بقاطعیّة الأکل، و شکّ فی تحقّقه، أو قلنا بعدم جریان استصحاب عدم تحقّق الأکل؛ لعدم کفایته، أو شکّ فی حصول الفراق بین الموادّ بمقدار انقطعت الأجزاء أو غیر ذلک، ففی کلّ صورة یجری هذا الاستصحاب الموضوعیّ، و تصیر النتیجة تحقّق المرکّب علی صفته الخاصّة، و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اعتبار الهیئة الاتصالیّة للمرکّب و دلیله، موکول إلی الفقه، و قد أشرنا إلی مغزی المرام فی بعض البحوث السابقة</w:t>
      </w:r>
      <w:r>
        <w:rPr>
          <w:rStyle w:val="FootnoteAnchor"/>
          <w:rtl w:val="true"/>
        </w:rPr>
        <w:footnoteReference w:id="263"/>
      </w:r>
      <w:r>
        <w:rPr>
          <w:rFonts w:ascii="IRNazanin" w:hAnsi="IRNazanin" w:eastAsia="IRNazanin"/>
          <w:color w:val="111111"/>
          <w:sz w:val="28"/>
          <w:sz w:val="28"/>
          <w:szCs w:val="28"/>
          <w:rtl w:val="true"/>
          <w:lang w:bidi="fa-IR"/>
        </w:rPr>
        <w:t>، و إنّما الإشکال فی أنّها مورد الطلب شرعا، کی یستنتج بالاستصحاب شی‌ء، أم هو أمر غیر مورد للطلب، و لا یتعلّق به الأمر و إن عدّ جزء صوریّا؛ و ذلک لتحقّقه بتحقّق الموادّ متوالیة، فلا طلب للشرع وراء الموادّ و التوالی، فلا استصحاب مفید فی المسألة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المطلوبیّة اللازمة فی جریان الاستصحاب، أعمّ من کونها مطلوبیّة وضعیّة، أو تکلیفیّة، أو قهریّة، و تلک الهیئة مورد الطلب قهرا، و نظرا</w:t>
      </w:r>
      <w:bookmarkStart w:id="254" w:name="pg13177_117805"/>
    </w:p>
    <w:p>
      <w:pPr>
        <w:pStyle w:val="BookText"/>
        <w:rPr/>
      </w:pPr>
      <w:bookmarkEnd w:id="254"/>
      <w:r>
        <w:rPr>
          <w:rFonts w:ascii="IRNazanin" w:hAnsi="IRNazanin" w:eastAsia="IRNazanin"/>
          <w:color w:val="111111"/>
          <w:sz w:val="28"/>
          <w:sz w:val="28"/>
          <w:szCs w:val="28"/>
          <w:rtl w:val="true"/>
          <w:lang w:bidi="fa-IR"/>
        </w:rPr>
        <w:t>إلی أنّ فی مورد اختلال المرکّب من ناحیة الهیئة الاتصالیّة بوقوع الزیادة الموجبة للشکّ المقتضی للاشتغال، تکون تلک الهیئة مورد الطلب فینتج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مواقع النظر فی کلمات القوم، و الأمر سهل بعد ما عرفت حقیقة المرام فی المقام</w:t>
      </w:r>
      <w:r>
        <w:rPr>
          <w:rFonts w:eastAsia="IRNazanin" w:cs="IRNazanin"/>
          <w:color w:val="111111"/>
          <w:sz w:val="28"/>
          <w:szCs w:val="28"/>
          <w:rtl w:val="true"/>
          <w:lang w:bidi="fa-IR"/>
        </w:rPr>
        <w:t>.</w:t>
      </w:r>
    </w:p>
    <w:p>
      <w:pPr>
        <w:pStyle w:val="Heading6"/>
        <w:numPr>
          <w:ilvl w:val="5"/>
          <w:numId w:val="1"/>
        </w:numPr>
        <w:rPr/>
      </w:pPr>
      <w:bookmarkStart w:id="255" w:name="__RefHeading___Toc763742_3244359995"/>
      <w:bookmarkStart w:id="256" w:name="_Toc96"/>
      <w:bookmarkEnd w:id="255"/>
      <w:r>
        <w:rPr>
          <w:rtl w:val="true"/>
        </w:rPr>
        <w:t>تنبیه</w:t>
      </w:r>
      <w:r>
        <w:rPr>
          <w:rtl w:val="true"/>
        </w:rPr>
        <w:t xml:space="preserve">: </w:t>
      </w:r>
      <w:r>
        <w:rPr>
          <w:rtl w:val="true"/>
        </w:rPr>
        <w:t>فی مرجعیة الاشتغال مع عدم جریان الاستصحاب</w:t>
      </w:r>
      <w:bookmarkEnd w:id="256"/>
    </w:p>
    <w:p>
      <w:pPr>
        <w:pStyle w:val="BookText"/>
        <w:rPr/>
      </w:pPr>
      <w:r>
        <w:rPr>
          <w:rFonts w:ascii="IRNazanin" w:hAnsi="IRNazanin" w:eastAsia="IRNazanin"/>
          <w:color w:val="111111"/>
          <w:sz w:val="28"/>
          <w:sz w:val="28"/>
          <w:szCs w:val="28"/>
          <w:rtl w:val="true"/>
          <w:lang w:bidi="fa-IR"/>
        </w:rPr>
        <w:t>الاستصحاب إن کان یجری فلا أصل یقتضی الاشتغال إلّا علم إجمالیّ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یجری، فیمکن دعوی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یجب علیه الإتمام و یحرم علیه الإبطال، أو تجب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ینفع شیئا؛ لأنّ وجوب الإعادة عقلیّ، لا شرعیّ کی یتنجّز العلم، فعندئذ تکون حرمة إبطال ما بیده ممنوعة؛ للشبهة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أتی به لا یجوز له الاکتفاء بما أتی به؛ لقاعدة الاشتغال، کما هو الظاهر</w:t>
      </w:r>
      <w:r>
        <w:rPr>
          <w:rFonts w:eastAsia="IRNazanin" w:cs="IRNazanin"/>
          <w:color w:val="111111"/>
          <w:sz w:val="28"/>
          <w:szCs w:val="28"/>
          <w:rtl w:val="true"/>
          <w:lang w:bidi="fa-IR"/>
        </w:rPr>
        <w:t>.</w:t>
      </w:r>
    </w:p>
    <w:p>
      <w:pPr>
        <w:pStyle w:val="Heading6"/>
        <w:numPr>
          <w:ilvl w:val="5"/>
          <w:numId w:val="1"/>
        </w:numPr>
        <w:rPr/>
      </w:pPr>
      <w:bookmarkStart w:id="257" w:name="__RefHeading___Toc763744_3244359995"/>
      <w:bookmarkStart w:id="258" w:name="_Toc97"/>
      <w:bookmarkEnd w:id="257"/>
      <w:r>
        <w:rPr>
          <w:rtl w:val="true"/>
        </w:rPr>
        <w:t>البحث الرابع</w:t>
      </w:r>
      <w:r>
        <w:rPr>
          <w:rtl w:val="true"/>
        </w:rPr>
        <w:t xml:space="preserve">: </w:t>
      </w:r>
      <w:r>
        <w:rPr>
          <w:rtl w:val="true"/>
        </w:rPr>
        <w:t>فی موارد الاضطرار إلی إیجاد المانع و القاطع، و الاضطرار و الإکراه علی ترک الجزء الصوریّ أو التحلیلیّ</w:t>
      </w:r>
      <w:bookmarkEnd w:id="258"/>
    </w:p>
    <w:p>
      <w:pPr>
        <w:pStyle w:val="Heading6"/>
        <w:numPr>
          <w:ilvl w:val="5"/>
          <w:numId w:val="1"/>
        </w:numPr>
        <w:rPr/>
      </w:pPr>
      <w:bookmarkStart w:id="259" w:name="__RefHeading___Toc763746_3244359995"/>
      <w:bookmarkStart w:id="260" w:name="_Toc98"/>
      <w:bookmarkEnd w:id="259"/>
      <w:r>
        <w:rPr>
          <w:rtl w:val="true"/>
        </w:rPr>
        <w:t>اشارة</w:t>
      </w:r>
      <w:bookmarkEnd w:id="2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الخلط بین العجز عن الجزء، و بین الاضطرار و الإکراه؛ ضرورة إمکان التزام الشرع بالجزء فی صورة الضرورة و الإکراه، و أنّه یجب علیه المرکّب علی الإطلاق و إن استلزم فسادا فی الأرض مالا أو نفسا، ففرق واضح بین صورة العجز و غیرها عقلا کما مرّ سابقا، و لا ینبغی الخلط بین العنوانین؛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صورة انحفاظ القدرة العقلیّة،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و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صورة فقد القدرة العقلیّة؛ لأنّ الأدلّة الثانویّة ناظرة إلی الاضطرار العرفیّ المجامع للقدرة العقلیّة، فلا بدّ من عقد بحثین، و مراعاة القواعد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یتصوّر بالقیاس إلی إیجاد المانع و القاطع، و الإکراه یتصوّر بالقیاس إلیهما و إلی ترک الجزء و الشرط؛ بأن یکرهه المکره علی إیجاد المرکّب الناقص بترک السورة مثلا، و أمّا الاضطرار إلی ترک السورة فلا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یتصوّر الاضطرار بالنسبة إلی إتیان المرکّب بدون السورة؛ فی صورة إکراه المکره علی أنّه لو کان یصلّی فلا یصلّی إلّا بدون السورة، فإنّه یضطرّ إلی أن یصلّی بدون السورة، و إلّا فالاضطرار إلی ترک شی‌ء بدوا غیر معقول، فتأمّل،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تحرّر سابقا أنّ الجهة المبحوث عنها، هی الإخلال بالمرکّب بالنقیصة أو الزیادة، أو إیجاد المانع و القاطع </w:t>
      </w:r>
      <w:r>
        <w:rPr>
          <w:rStyle w:val="FootnoteAnchor"/>
          <w:rtl w:val="true"/>
        </w:rPr>
        <w:footnoteReference w:id="264"/>
      </w:r>
      <w:r>
        <w:rPr>
          <w:rFonts w:ascii="IRNazanin" w:hAnsi="IRNazanin" w:eastAsia="IRNazanin"/>
          <w:color w:val="111111"/>
          <w:sz w:val="28"/>
          <w:sz w:val="28"/>
          <w:szCs w:val="28"/>
          <w:rtl w:val="true"/>
          <w:lang w:bidi="fa-IR"/>
        </w:rPr>
        <w:t>، و أنّه لا یکون هناک إلّا الأمر بالمرکّب و إمضائه، و الأمر بالجزء، أو ما یکون مثل الأمر، و لم یکن فی البین قرینة خاصّة، فإنّه لو قامت القرینة علی أنّ الصلاة لا تترک بحال، فهو بحث راجع إلی المقام الثانی، و علی خلاف مقتضی القاعدة، و أنّه یکون البحث فی صورة کون دلیل الجزء و المانع و القاطع مثلا له الإطلاق، سواء کان لدلیل المرکّب إطلاق، أو لم یکن؛ ضرورة تقدّم إطلاق دلیل الجزء و ما شابهه علی دلیل المرکّب بالضرورة، مع قطع النظر عن القرینة الخاصّة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من المناقشة بتقدّم دلیل المرکّب علی إطلاق دلیل الجزء،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فهو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بین أنحاء إفادة</w:t>
      </w:r>
    </w:p>
    <w:p>
      <w:pPr>
        <w:pStyle w:val="BookText"/>
        <w:rPr/>
      </w:pPr>
      <w:r>
        <w:rPr>
          <w:rFonts w:ascii="IRNazanin" w:hAnsi="IRNazanin" w:eastAsia="IRNazanin"/>
          <w:color w:val="111111"/>
          <w:sz w:val="28"/>
          <w:sz w:val="28"/>
          <w:szCs w:val="28"/>
          <w:rtl w:val="true"/>
          <w:lang w:bidi="fa-IR"/>
        </w:rPr>
        <w:t xml:space="preserve">الجزئیّة علی الوجه المنسوب إلی البهبهانیّ رحمه اللّه </w:t>
      </w:r>
      <w:r>
        <w:rPr>
          <w:rStyle w:val="FootnoteAnchor"/>
          <w:rtl w:val="true"/>
        </w:rPr>
        <w:footnoteReference w:id="267"/>
      </w:r>
      <w:r>
        <w:rPr>
          <w:rFonts w:ascii="IRNazanin" w:hAnsi="IRNazanin" w:eastAsia="IRNazanin"/>
          <w:color w:val="111111"/>
          <w:sz w:val="28"/>
          <w:sz w:val="28"/>
          <w:szCs w:val="28"/>
          <w:rtl w:val="true"/>
          <w:lang w:bidi="fa-IR"/>
        </w:rPr>
        <w:t>فی غیر محلّه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حول صورة إمکان تحقّق المرکّب بعنوانه، و الاضطرار و الإکراه علی إیجاد المانع و ترک الجزء، فلو کان دلیل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الطبیعة الفاقدة للجزء، لیست طبیعة الصلاة أو العمرة، 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بتکبیرة الافتتاح</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یقم صلبه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فیلزم خروجه عن الجهة المبحوث عنها؛ لأنّه یلزم فی صورة ترک التکبیرة، عدم صدق العنوان تعبّدا علی ما فی الخارج، و لازمه خروجه عن محطّ الکلام، و إن کان الأظهر أنّها لا تفید أزید من الجزئیّة، و تفصیله فی کتاب الصلاة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یوجب الخروج عن محطّ النزاع صورة إیجاد المانع علی الإطلاق، و القاطع فی الجملة، فإنّه علی ما مرّ لا یتصوّر المانع إلّا بالقیاس إلی وجود المرکّب </w:t>
      </w:r>
      <w:r>
        <w:rPr>
          <w:rStyle w:val="FootnoteAnchor"/>
          <w:rtl w:val="true"/>
        </w:rPr>
        <w:footnoteReference w:id="272"/>
      </w:r>
      <w:r>
        <w:rPr>
          <w:rFonts w:ascii="IRNazanin" w:hAnsi="IRNazanin" w:eastAsia="IRNazanin"/>
          <w:color w:val="111111"/>
          <w:sz w:val="28"/>
          <w:sz w:val="28"/>
          <w:szCs w:val="28"/>
          <w:rtl w:val="true"/>
          <w:lang w:bidi="fa-IR"/>
        </w:rPr>
        <w:t>، و هذا غیر ممکن إلّا بضمیمة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وجد فی الخارج غیر موجود تعبّدا، و أنّ الطبیعة و الصلاة المقرونة مع المانع لیست بصلاة ادعاء، فعندئذ لو اضطرّ أو أکره علی إیجاد المانع، أو القاطع فی الجملة کما عرفت، فالمرکّب غیر متحقّق ادعاء، فیلزم الخروج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ما فی الخارج مصداق المرکّب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إطلاق دلیل الجزء علی الوجه المزبور، و دلیل المانع و القاطع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کون القاطع قاطعا تکوینا و عرفا، فالخروج عن محطّ النزاع</w:t>
      </w:r>
    </w:p>
    <w:p>
      <w:pPr>
        <w:pStyle w:val="BookText"/>
        <w:rPr/>
      </w:pPr>
      <w:r>
        <w:rPr>
          <w:rFonts w:ascii="IRNazanin" w:hAnsi="IRNazanin" w:eastAsia="IRNazanin"/>
          <w:color w:val="111111"/>
          <w:sz w:val="28"/>
          <w:sz w:val="28"/>
          <w:szCs w:val="28"/>
          <w:rtl w:val="true"/>
          <w:lang w:bidi="fa-IR"/>
        </w:rPr>
        <w:t>أوضح، و هکذا لو أکره علی ترک أکثر الأجزاء أو اضطرّ إلی ترک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وجوب الإتیان بالمرکّب بعد کونه ذا إطلاق، و مجرّد الاضطرار و الإکراه و تحمّل المشقّات و الضرر المالیّ البدنیّ و غیرهما، لا یوجب الاعتذار بالقیاس إلی الأمر الشرعیّ حسب القواعد الأوّلیة؛ لإمکان أمر الشرع بالمرکّب التامّ، و التزامه بجمیع ما یستلزمه من المفاسد و خلاف المصالح، کما هو کذلک فی عدم صحّة الطلاق الفاقد للشرط أو النکاح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اکره علی قتل زید و إلّا یقتل، لا یجوز له قتله و إن قتل، فلا ینبغی الخلط بین مقتضی القواعد الأوّلیة، و مقتضی القواعد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لدلیل المرکّب إطلاق، فیجوز دعوی عدم وجوبه فی صورة الاضطرار و المشقّة و الإکراه و التضرّر، و یجوز الأخذ بالقدر المتیقّن، فلا یتمّ بیان المولی بالنسبة إلی المرکّب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دلیل علی الإعادة و القضاء، أو قامت الأدلّة علی أصالة الفساد فی الوضعیّات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إیجاد المرکّب التامّ؛ لأنّ المفروض إطلاق دلیل الجزء و الشرط و المانع و القاطع، و ذلک لأنّه لا یعلم بإمضاء الشرع بالنسبة إلی المرکّب الناقص،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إهمال دلیل الجزء، و إطلاق دلیل المرکّب، یکون الأمر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إطلاق دلیل المرکّب 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یلزم الخروج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القاعدة وجوب المرکّب بجمیع ما له من الأجزاء، و لا یعدّ الاضطرار العرفیّ عذرا، و هکذا الإکراه؛ لإمکان التزام الشرع بواجبه علی الإطلاق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ذهب إلیه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فی صورة الإکراه و الاضطرار العرفیّ، یکون</w:t>
      </w:r>
      <w:bookmarkStart w:id="261" w:name="pg13177_117809"/>
    </w:p>
    <w:p>
      <w:pPr>
        <w:pStyle w:val="BookText"/>
        <w:rPr/>
      </w:pPr>
      <w:bookmarkEnd w:id="261"/>
      <w:r>
        <w:rPr>
          <w:rFonts w:ascii="IRNazanin" w:hAnsi="IRNazanin" w:eastAsia="IRNazanin"/>
          <w:color w:val="111111"/>
          <w:sz w:val="28"/>
          <w:sz w:val="28"/>
          <w:szCs w:val="28"/>
          <w:rtl w:val="true"/>
          <w:lang w:bidi="fa-IR"/>
        </w:rPr>
        <w:t>مقتضی القاعدة الأوّلیة عدم وجوب الناقص</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فی غیر محلّه؛ لأنّ إطلاق دلیل المرکّب کاف لعدم مقبولیّة عذریّة الاضطرار و الإکراه العرفیّین، فلو اضطرّ إلی إیجاد المانع یجب علیه إتیان المرکّب، و ترک المانع، و تحمّل المشقّات البدنیّة و المالیّة؛ حسب الأدلّة الأوّلیة بعد فرض إطلاق دلیل المرکّب و الجزء علی الوجه المحرّر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نسی المانع و القاطع فالمرکّب غیر متحقّق، و تجب الإعادة و القضاء حسب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مقتضی القاعدة الثانویّة، تقیید إطلاق دلیل الجزء و الشرط فی غیر الصور التی تلزم الخروج عن محلّ النزاع، و تفصیله یأتی إن شاء اللّه تعالی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صورة إهمال دلیل الجزء و الشرط، و إطلاق دلیل المرکّب، یکون المرجع إطلاقه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تبیّن، لا یقاس الاضطرار و الإکراه بالعجز العقلیّ و النسیان؛ ضرورة أنّه فی صورة إطلاق دلیل الجزء و المرکّب یمکن إیجاب تحمّل الاضطرار و الإکراه، و لا معنی لذلک فی صورة العجز و النسیان، فإنّه یسقط أمر المرکّب مع إطلاق دلیل الجزء، بخلاف ما نحن فیه</w:t>
      </w:r>
      <w:r>
        <w:rPr>
          <w:rFonts w:eastAsia="IRNazanin" w:cs="IRNazanin"/>
          <w:color w:val="111111"/>
          <w:sz w:val="28"/>
          <w:szCs w:val="28"/>
          <w:rtl w:val="true"/>
          <w:lang w:bidi="fa-IR"/>
        </w:rPr>
        <w:t>.</w:t>
      </w:r>
    </w:p>
    <w:p>
      <w:pPr>
        <w:pStyle w:val="Heading6"/>
        <w:numPr>
          <w:ilvl w:val="5"/>
          <w:numId w:val="1"/>
        </w:numPr>
        <w:rPr/>
      </w:pPr>
      <w:bookmarkStart w:id="262" w:name="__RefHeading___Toc763748_3244359995"/>
      <w:bookmarkStart w:id="263" w:name="_Toc99"/>
      <w:bookmarkEnd w:id="262"/>
      <w:r>
        <w:rPr>
          <w:rtl w:val="true"/>
        </w:rPr>
        <w:t>تذنیب</w:t>
      </w:r>
      <w:r>
        <w:rPr>
          <w:rtl w:val="true"/>
        </w:rPr>
        <w:t xml:space="preserve">: </w:t>
      </w:r>
      <w:r>
        <w:rPr>
          <w:rtl w:val="true"/>
        </w:rPr>
        <w:t>فی دعوی البراءة عن وجوب المرکّب لتعارض الإطلاقین و دفعها</w:t>
      </w:r>
      <w:bookmarkEnd w:id="2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فرضنا إطلاق دلیل المرکّب، و إطلاق دلیل الجزء، لا یکون الإطلاق الثانی مقدّما علی الأوّل، و قضیّة القرینة الخروج عن محطّ</w:t>
      </w:r>
    </w:p>
    <w:p>
      <w:pPr>
        <w:pStyle w:val="BookText"/>
        <w:rPr/>
      </w:pPr>
      <w:r>
        <w:rPr>
          <w:rFonts w:ascii="IRNazanin" w:hAnsi="IRNazanin" w:eastAsia="IRNazanin"/>
          <w:color w:val="111111"/>
          <w:sz w:val="28"/>
          <w:sz w:val="28"/>
          <w:szCs w:val="28"/>
          <w:rtl w:val="true"/>
          <w:lang w:bidi="fa-IR"/>
        </w:rPr>
        <w:t>البحث، و لا سیّما قرینیّة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فإنّه راجع إلی القواعد الثانویّة؛ لتعرّض دلیل المرکّب للحال الطارئة من العجز و الاضطرار و غیر ذلک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معارضة الإطلاقین؛ فهو أنّ حقیقة إطلاق دلیل المرکّب لیست إلّا أنّ الصلاة واجبة، أو الأذان و الإقامة مستحبّان، أو الحجّ و العمرة فرضان، سواء أتی بالسورة أو لم یأت بها، أو أتی بالتکبیرة أو لم یأت بها، أو أتی بالشوط السابع أم لم یأت به، و حقیقة إطلاق دلیل الجزء هو أنّ کلّ واحد من المذکورات جزء المرکّب؛ سواء عجز أو قدر، و سواء نسی أو تذکّر، و سواء اضطرّ أو اکره، أو لم یضطرّ و لم یکره، و تصیر النتیجة البراءة عن وجوب المرکّب؛ لتعارض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المحرّر فی محلّه أنّ حقیقة الإطلاق لیست جمع القیود و التسریة، بل و لا ملاحظة رفض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ذکرنا فی وجه رجوع اختلاف الأعلام إلی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أمر یعتبر من أخذ الطبیعة موضوعا للحکم؛ بشرط کونه بصدد بیان مرامه علی ما مرّ تفصیله </w:t>
      </w:r>
      <w:r>
        <w:rPr>
          <w:rStyle w:val="FootnoteAnchor"/>
          <w:rtl w:val="true"/>
        </w:rPr>
        <w:footnoteReference w:id="276"/>
      </w:r>
      <w:r>
        <w:rPr>
          <w:rFonts w:ascii="IRNazanin" w:hAnsi="IRNazanin" w:eastAsia="IRNazanin"/>
          <w:color w:val="111111"/>
          <w:sz w:val="28"/>
          <w:sz w:val="28"/>
          <w:szCs w:val="28"/>
          <w:rtl w:val="true"/>
          <w:lang w:bidi="fa-IR"/>
        </w:rPr>
        <w:t>، فعندئذ لیس فی المقام إلّا أنّ الصلاة أو العمرة فرض، و أنّ السورة جزء للصلاة، و الطواف جزء للعمرة، و لا شبهة فی تقدّم الثانی علی الأوّل؛ لتعرّض الثانی لخصوصیّة فی موضوع الأوّل، فلا تغفل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یمکن التردّد فی تقدّم الثانی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صورة وجود الإطلاقات الکثیرة فی ناحیة دلیل المرکّب، و الإطلاق الواحد فی دلیل الشرط و الجزء، و هذا ما هو المحکیّ عن شیخ مشایخنا جدّ أولادی رحمه اللّه فی باب المطلق و المقیّد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264" w:name="pg13177_117811"/>
    </w:p>
    <w:p>
      <w:pPr>
        <w:pStyle w:val="BookText"/>
        <w:rPr/>
      </w:pPr>
      <w:bookmarkEnd w:id="264"/>
      <w:r>
        <w:rPr>
          <w:rFonts w:ascii="IRNazanin" w:hAnsi="IRNazanin" w:eastAsia="IRNazanin"/>
          <w:color w:val="111111"/>
          <w:sz w:val="28"/>
          <w:sz w:val="28"/>
          <w:szCs w:val="28"/>
          <w:rtl w:val="true"/>
          <w:lang w:bidi="fa-IR"/>
        </w:rPr>
        <w:t>و لا یلزم من هذا الفرض الخروج عن محطّ النزاع؛ لأنّه غیر القرینة التی تعرّض لها القوم، فإنّها مخصوصة بمرکّب خاصّ، و هذا أمر عامّ فی مطلق المرکّبات الشرعیّة؛ ضرورة وجود الأدلّة الکثیرة علی مطلوبیّة عنوان المرکّب علی الإطلاق؛ بعد الفراغ عن کون أدلّة المرکّبات ذات إطلاق، و لیست لمجرّد التشریع کما مرّ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افید فی محلّه فلا یتمّ ذلک هنا؛ ضرورة أنّ دلیل الجزء یتکفّل حدّ الطبیعة و خصوصیّة ذات المرکّب فی افق الطلب، لا الاسم و العنوان، و هذا نظیر ما إذا وردت الأدلّة الکثیرة علی وجوب عتق الرقبة، و ورد دلیل واحد علی أنّ الإیمان جزء محطّ الأمر، بخلاف ما إذا ورد النهی عن عتق الرقبة الکافرة، فلیتأمّل</w:t>
      </w:r>
      <w:r>
        <w:rPr>
          <w:rFonts w:eastAsia="IRNazanin" w:cs="IRNazanin"/>
          <w:color w:val="111111"/>
          <w:sz w:val="28"/>
          <w:szCs w:val="28"/>
          <w:rtl w:val="true"/>
          <w:lang w:bidi="fa-IR"/>
        </w:rPr>
        <w:t>.</w:t>
      </w:r>
    </w:p>
    <w:p>
      <w:pPr>
        <w:pStyle w:val="Heading6"/>
        <w:numPr>
          <w:ilvl w:val="5"/>
          <w:numId w:val="1"/>
        </w:numPr>
        <w:rPr/>
      </w:pPr>
      <w:bookmarkStart w:id="265" w:name="__RefHeading___Toc763750_3244359995"/>
      <w:bookmarkStart w:id="266" w:name="_Toc100"/>
      <w:bookmarkEnd w:id="265"/>
      <w:r>
        <w:rPr>
          <w:rtl w:val="true"/>
        </w:rPr>
        <w:t>ذنابة</w:t>
      </w:r>
      <w:r>
        <w:rPr>
          <w:rtl w:val="true"/>
        </w:rPr>
        <w:t xml:space="preserve">: </w:t>
      </w:r>
      <w:r>
        <w:rPr>
          <w:rtl w:val="true"/>
        </w:rPr>
        <w:t>فیها تأیید لوجوب الإتیان بالمرکّب مع الجزء و تحمل الاضطرار</w:t>
      </w:r>
      <w:bookmarkEnd w:id="266"/>
    </w:p>
    <w:p>
      <w:pPr>
        <w:pStyle w:val="BookText"/>
        <w:rPr/>
      </w:pPr>
      <w:r>
        <w:rPr>
          <w:rFonts w:ascii="IRNazanin" w:hAnsi="IRNazanin" w:eastAsia="IRNazanin"/>
          <w:color w:val="111111"/>
          <w:sz w:val="28"/>
          <w:sz w:val="28"/>
          <w:szCs w:val="28"/>
          <w:rtl w:val="true"/>
          <w:lang w:bidi="fa-IR"/>
        </w:rPr>
        <w:t>ممّا یؤیّد ما أبدعناه من وجوب القیام بالمرکّب مع الجزء، و تحمّل الاضطرار و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الأدلّة الثانویّة و القواعد الاخر النافیة للحکم فی صورة الاضطرار و الإکراه، و فی صورة الضرر و الضرار، فما أفاده القوم من مقبولیّة الاضطرار عذرا بترک المرکّب، و جریان البراءة العقلیّة و الشرعیّة</w:t>
      </w:r>
      <w:r>
        <w:rPr>
          <w:rStyle w:val="FootnoteAnchor"/>
          <w:rtl w:val="true"/>
        </w:rPr>
        <w:footnoteReference w:id="279"/>
      </w:r>
      <w:r>
        <w:rPr>
          <w:rFonts w:ascii="Amiri" w:hAnsi="Amiri" w:eastAsia="Amiri" w:cs="Amiri"/>
          <w:color w:val="111111"/>
          <w:sz w:val="28"/>
          <w:sz w:val="28"/>
          <w:szCs w:val="28"/>
          <w:rtl w:val="true"/>
          <w:lang w:bidi="ar-SA"/>
        </w:rPr>
        <w:t>، غیر تامّ جدّا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مقتضی ما سلکناه و أبدعناه فی تحریر محطّ النزاع، لا یجری بحث الاضطرار إلی المانع و القاطع، کی یقع الکلام فی کیفیّة استفادة المانعیّة من النهی النفسیّ، أو النهی المشابه للنهی فی باب الاجتماع و الامتناع، مع أنّهما عندنا واحد،</w:t>
      </w:r>
      <w:bookmarkStart w:id="267" w:name="pg13177_117812"/>
    </w:p>
    <w:p>
      <w:pPr>
        <w:pStyle w:val="BookText"/>
        <w:rPr/>
      </w:pPr>
      <w:bookmarkEnd w:id="267"/>
      <w:r>
        <w:rPr>
          <w:rFonts w:ascii="IRNazanin" w:hAnsi="IRNazanin" w:eastAsia="IRNazanin"/>
          <w:color w:val="111111"/>
          <w:sz w:val="28"/>
          <w:sz w:val="28"/>
          <w:szCs w:val="28"/>
          <w:rtl w:val="true"/>
          <w:lang w:bidi="fa-IR"/>
        </w:rPr>
        <w:t>و المانعیّة لا تستفاد علی الفرض إلّا من النهی الإرشادیّ إلی التمانع، کما فی سائر النواهی الواردة حول المرکّبات، و هکذا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بحوث مقتضی القواعد الأوّلیة و الشبهات العقلیّة حولها</w:t>
      </w:r>
      <w:r>
        <w:rPr>
          <w:rFonts w:eastAsia="IRNazanin" w:cs="IRNazanin"/>
          <w:color w:val="111111"/>
          <w:sz w:val="28"/>
          <w:szCs w:val="28"/>
          <w:rtl w:val="true"/>
          <w:lang w:bidi="fa-IR"/>
        </w:rPr>
        <w:t>.</w:t>
      </w:r>
    </w:p>
    <w:p>
      <w:pPr>
        <w:pStyle w:val="Heading6"/>
        <w:numPr>
          <w:ilvl w:val="5"/>
          <w:numId w:val="1"/>
        </w:numPr>
        <w:rPr/>
      </w:pPr>
      <w:bookmarkStart w:id="268" w:name="__RefHeading___Toc763752_3244359995"/>
      <w:bookmarkStart w:id="269" w:name="_Toc101"/>
      <w:bookmarkEnd w:id="268"/>
      <w:r>
        <w:rPr>
          <w:rtl w:val="true"/>
        </w:rPr>
        <w:t>مقتضی القواعد الثانویة الإثباتیّة فی صورة الإخلال بالمرکّب</w:t>
      </w:r>
      <w:bookmarkEnd w:id="269"/>
    </w:p>
    <w:p>
      <w:pPr>
        <w:pStyle w:val="Heading6"/>
        <w:numPr>
          <w:ilvl w:val="5"/>
          <w:numId w:val="1"/>
        </w:numPr>
        <w:rPr/>
      </w:pPr>
      <w:bookmarkStart w:id="270" w:name="__RefHeading___Toc763754_3244359995"/>
      <w:bookmarkStart w:id="271" w:name="_Toc102"/>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و بقی کلام حول مقتضی القواعد الثانویّة بالنسبة إلی الإخلال بالمرکّب من المرکّبات التأسیسیّة، کالأذان و الإقامة و تسبیحات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العبادیّة الإمضائیّة، کالحجّ و العمرة و الصلاة، و غیر العبادیّة الإمضائیّة، کالعقود و الإیقاعات، و غیر ذلک ممّا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الخوض فی تلک المباحث، لا بدّ و أن نشیر إلی أمر زائد علی ما مرّ فی البحث السابق فی تحریر محطّ البحث </w:t>
      </w:r>
      <w:r>
        <w:rPr>
          <w:rStyle w:val="FootnoteAnchor"/>
          <w:rtl w:val="true"/>
        </w:rPr>
        <w:footnoteReference w:id="280"/>
      </w:r>
      <w:r>
        <w:rPr>
          <w:rFonts w:ascii="IRNazanin" w:hAnsi="IRNazanin" w:eastAsia="IRNazanin"/>
          <w:color w:val="111111"/>
          <w:sz w:val="28"/>
          <w:sz w:val="28"/>
          <w:szCs w:val="28"/>
          <w:rtl w:val="true"/>
          <w:lang w:bidi="fa-IR"/>
        </w:rPr>
        <w:t>، ضرورة أنّ الکلام حول الاختلال و الإخلال بالنقیصة و الزیادة؛ علی وجه یصدق علی ما فی الخارج عنوان المرکّب، فلا کلام حول ما إذا عجز عن معظم أجزاء العمرة و الحجّ، أو أکثر أجزاء الصلاة و غیرهما، و لا فی صورة نسیان معظم الأجزاء؛ بحیث لا یصدق علی المأتیّ به عنوان الصلاة، ضرورة أنّه عند عدم صدق العنوان المذکور، لا تشمله الأدلّة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یدلّ علی خصوص بعض المرکّبات، الأدلّة الخاصّة المستفاد منها معنی أعمّ، کما فی صلاة الغرقی، فلا تخلط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کما اشیر إلیه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القاعدة الأوّلیة و الثانویّة أمر ربّما یکون أصلا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القاعدة الأوّلیة، و دلیلا اجتهادیّا من</w:t>
      </w:r>
    </w:p>
    <w:p>
      <w:pPr>
        <w:pStyle w:val="BookText"/>
        <w:rPr/>
      </w:pPr>
      <w:r>
        <w:rPr>
          <w:rFonts w:ascii="IRNazanin" w:hAnsi="IRNazanin" w:eastAsia="IRNazanin"/>
          <w:color w:val="111111"/>
          <w:sz w:val="28"/>
          <w:sz w:val="28"/>
          <w:szCs w:val="28"/>
          <w:rtl w:val="true"/>
          <w:lang w:bidi="fa-IR"/>
        </w:rPr>
        <w:t>القاعدة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الخلط فی کلمات القوم هنا؛ و ذلک لأنّ القاعدة الأوّلیة هی الأدلّة المقتضیة لمشروعیّة المرکّبات أو وجوبها، من غیر النظر إلی حال من الأحوال الطارئة، کالنسیان، و الخطأ، و العجز، و الاضطرار، 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الثانویّة هی الأدلّة المتعرّضة لحال من تلک الأحوال الطارئة بالنسبة إلی المرکّب، أو مجموع الأحوال علی نحو الدلالة اللفظیّة، کما تری فی قاعدة حدیث الرفع و غیرها، و هکذا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فإنّها من أدلّة القواعد الثانویّة؛ لتعرّضها للأحوال الطارئة من الاضطرار و العجز و الإکراه و النسیان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یکون الاستصحاب المتمسّک به هنا من أدلّة القواعد الثانویّة؛ ضرورة أنّ مجراه هو إبقاء وجوب المرکّب، فلا بدّ أوّلا من کون المتعذّر بوجه یصدق معه عنوان المرکّب علی الباقی، و أنّه لا یکون متعرّضا للحال الطارئة من العجز و غیره من موارد جریانه محقّقا أو فرضا، فإنّ من الممکن إهمال دلیل المرکّب، و طروّ العجز بالنسبة إلی الجزء الذی یکون لدلیله الإطلاق، أو یمکن أن یصل المجتهد إلی معارضة الإطلاقین، فیتمسّک بالاستصحاب الحکمیّ و هکذا، فمثل الاستصحاب الحکمیّ هنا مثل إطلاق دلیل المرکّب، فإنّ مجرّد کون مفاد الحجّة وجوب الناقص، لا یلزم منه کونه من القواعد الثانویّة،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أنظارا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القواعد الأوّلیة الاجتهادیّة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مقتضی القواعد الفقهائیّة و الاصول العملیّة</w:t>
      </w:r>
      <w:r>
        <w:rPr>
          <w:rFonts w:eastAsia="IRNazanin" w:cs="IRNazanin"/>
          <w:color w:val="111111"/>
          <w:sz w:val="28"/>
          <w:szCs w:val="28"/>
          <w:rtl w:val="true"/>
          <w:lang w:bidi="fa-IR"/>
        </w:rPr>
        <w:t>.</w:t>
      </w:r>
      <w:bookmarkStart w:id="272" w:name="pg13177_117814"/>
    </w:p>
    <w:p>
      <w:pPr>
        <w:pStyle w:val="BookText"/>
        <w:rPr/>
      </w:pPr>
      <w:bookmarkEnd w:id="272"/>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مقتضی الأدلّة و القواعد الاجتهادیّة الثانویّة، فإنّ المفروض فی القواعد الثانویّة إطلاق دلیل الجزء، و بطلان المرکّب بدونه، و علی کلّ حال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النکتة و المیزان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مباحث</w:t>
      </w:r>
      <w:r>
        <w:rPr>
          <w:rFonts w:eastAsia="IRNazanin" w:cs="IRNazanin"/>
          <w:color w:val="111111"/>
          <w:sz w:val="28"/>
          <w:szCs w:val="28"/>
          <w:rtl w:val="true"/>
          <w:lang w:bidi="fa-IR"/>
        </w:rPr>
        <w:t>:</w:t>
      </w:r>
    </w:p>
    <w:p>
      <w:pPr>
        <w:pStyle w:val="Heading6"/>
        <w:numPr>
          <w:ilvl w:val="5"/>
          <w:numId w:val="1"/>
        </w:numPr>
        <w:rPr/>
      </w:pPr>
      <w:bookmarkStart w:id="273" w:name="__RefHeading___Toc763756_3244359995"/>
      <w:bookmarkStart w:id="274" w:name="_Toc103"/>
      <w:bookmarkEnd w:id="273"/>
      <w:r>
        <w:rPr>
          <w:rtl w:val="true"/>
        </w:rPr>
        <w:t>المبحث الأوّل</w:t>
      </w:r>
      <w:r>
        <w:rPr>
          <w:rtl w:val="true"/>
        </w:rPr>
        <w:t xml:space="preserve">: </w:t>
      </w:r>
      <w:r>
        <w:rPr>
          <w:rtl w:val="true"/>
        </w:rPr>
        <w:t>حول مقتضی الاصول العملیّة فی صورة نسیان جزء المرکّب و لم یکن لدلیله الإطلاق</w:t>
      </w:r>
      <w:bookmarkEnd w:id="274"/>
    </w:p>
    <w:p>
      <w:pPr>
        <w:pStyle w:val="Heading6"/>
        <w:numPr>
          <w:ilvl w:val="5"/>
          <w:numId w:val="1"/>
        </w:numPr>
        <w:rPr/>
      </w:pPr>
      <w:bookmarkStart w:id="275" w:name="__RefHeading___Toc763758_3244359995"/>
      <w:bookmarkStart w:id="276" w:name="_Toc104"/>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فإنّه فی محطّ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نسیان الجزء غیر المقوّم للاسم و لحقیقة المرکّب عرفا أو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البراءة عن جزئیّة الجزء المنسیّ؛ لإمکان اختصاص الجزئیّة بصورة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موارد المرکّبات الشرعیّة التکلیفیّة لا یأتی إشکال المثبتیّة؛ لأنّ المنظور عدم جواز المؤاخذة علی ترک المرکّب و الباقی بترک الجزء المنسیّ المرفوعة جزئیّته، و أمّا فی الأسباب و المسبّبات ففیه إشکال المثبتیّة؛ للحاجة إلی إثبات سببیّة الباقی، أو موضوعیّة لحکم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صدق السببیّة، و تمامیّة الموضوعیّة عرفا، فلا حاجة إلّا إلی نفی جزئیّة الجزء المذکور، و المفروض أنّ الشکّ فی إمضاء الباقی للتسبّب، أو إمضاء الشرع موضوعیّة الباقی، مسبّب عن الشکّ فی الجزئیة المرفوعة شرعا، فلا حاجة إلی الأکثر من ذلک کی یلزم إشکال المثبتیّة، و قد مرّ تفصیله فی الشکّ فی التکلیف الغیریّ و حول مورد الجهل بالجزئیّة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ما هو المهمّ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إطلاق دلیل الجزء، و طروّ النسیان،</w:t>
      </w:r>
    </w:p>
    <w:p>
      <w:pPr>
        <w:pStyle w:val="BookText"/>
        <w:rPr/>
      </w:pPr>
      <w:r>
        <w:rPr>
          <w:rFonts w:ascii="IRNazanin" w:hAnsi="IRNazanin" w:eastAsia="IRNazanin"/>
          <w:color w:val="111111"/>
          <w:sz w:val="28"/>
          <w:sz w:val="28"/>
          <w:szCs w:val="28"/>
          <w:rtl w:val="true"/>
          <w:lang w:bidi="fa-IR"/>
        </w:rPr>
        <w:t>فإنّه بمقتضی إطلاق دلیل البراءة الشرعیّة رفع جزئیّة المنسیّ، و مقتضی استصحاب بقاء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المحرّر فی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و یکون الشکّ الاستصحابیّ مسبّبا عن الشکّ البراءتیّ، و حیث یتقدّم الأصل السببیّ علی المسبّبی لا تصل النوبة إلی الاستصحاب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الاستصحاب هو المتمسّک به فی الأقلّ و الأکثر، و مضی تفصیله </w:t>
      </w:r>
      <w:r>
        <w:rPr>
          <w:rStyle w:val="FootnoteAnchor"/>
          <w:rtl w:val="true"/>
        </w:rPr>
        <w:footnoteReference w:id="283"/>
      </w:r>
      <w:r>
        <w:rPr>
          <w:rFonts w:ascii="IRNazanin" w:hAnsi="IRNazanin" w:eastAsia="IRNazanin"/>
          <w:color w:val="111111"/>
          <w:sz w:val="28"/>
          <w:sz w:val="28"/>
          <w:szCs w:val="28"/>
          <w:rtl w:val="true"/>
          <w:lang w:bidi="fa-IR"/>
        </w:rPr>
        <w:t xml:space="preserve">، و قد یتمسّک به الأصحاب فی مورد العجز و العذر بالنسبة إلی الجزء، کما یأتی تفصیله </w:t>
      </w:r>
      <w:r>
        <w:rPr>
          <w:rStyle w:val="FootnoteAnchor"/>
          <w:rtl w:val="true"/>
        </w:rPr>
        <w:footnoteReference w:id="28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الحاکمة علی إطلاق دلیل الجزئیّة یوجب التقیید، کما تحرّر فی مورد الجهل بالجزئیّة</w:t>
      </w:r>
      <w:r>
        <w:rPr>
          <w:rStyle w:val="FootnoteAnchor"/>
          <w:rtl w:val="true"/>
        </w:rPr>
        <w:footnoteReference w:id="285"/>
      </w:r>
      <w:r>
        <w:rPr>
          <w:rFonts w:ascii="IRNazanin" w:hAnsi="IRNazanin" w:eastAsia="IRNazanin"/>
          <w:color w:val="111111"/>
          <w:sz w:val="28"/>
          <w:sz w:val="28"/>
          <w:szCs w:val="28"/>
          <w:rtl w:val="true"/>
          <w:lang w:bidi="fa-IR"/>
        </w:rPr>
        <w:t>، من غیر لزوم إشکال فی البین، و عندئذ لا محطّ للاستصحاب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حکم ظاهریّ، و الجزئیّة باقیة علی حالها الواقعیّة، فالاستصحاب المسبّبی ینجّز التکلیف إذا فرضنا جریانه، کما هو الحقّ و تأتی محتملاته </w:t>
      </w:r>
      <w:r>
        <w:rPr>
          <w:rStyle w:val="FootnoteAnchor"/>
          <w:rtl w:val="true"/>
        </w:rPr>
        <w:footnoteReference w:id="286"/>
      </w:r>
      <w:r>
        <w:rPr>
          <w:rFonts w:ascii="IRNazanin" w:hAnsi="IRNazanin" w:eastAsia="IRNazanin"/>
          <w:color w:val="111111"/>
          <w:sz w:val="28"/>
          <w:sz w:val="28"/>
          <w:szCs w:val="28"/>
          <w:rtl w:val="true"/>
          <w:lang w:bidi="fa-IR"/>
        </w:rPr>
        <w:t>، و نتیجة تنجیزه انتفاء موضوع البراءة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تعارض بین البراءة عن الجزئیّة الظاهریّة، و بین تنجّز التکلیف الواقعیّ المقتضی عقلا للزوم الإعادة، و اللغویّة اللازمة من ذلک غیر لازم الفرار منها؛ لأنّها حاصلة من إطلاق حدیث الرفع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277" w:name="pg13177_117816"/>
    </w:p>
    <w:p>
      <w:pPr>
        <w:pStyle w:val="BookText"/>
        <w:rPr/>
      </w:pPr>
      <w:bookmarkEnd w:id="277"/>
      <w:r>
        <w:rPr>
          <w:rFonts w:ascii="IRNazanin" w:hAnsi="IRNazanin" w:eastAsia="IRNazanin"/>
          <w:color w:val="111111"/>
          <w:sz w:val="28"/>
          <w:sz w:val="28"/>
          <w:szCs w:val="28"/>
          <w:rtl w:val="true"/>
          <w:lang w:bidi="fa-IR"/>
        </w:rPr>
        <w:t>هذا مع أنّ المحرّر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أمارة تعبّدیة تکون حاکمة علی البراءة و لو کانت جاریة فی الشکّ السببیّ، کقیام البیّنة فی مورد الشکّ المسبّبی،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العمدة بعد الإذعان بجریان الاستصحاب عند التذکّر إلی نسیان الجزء، تقدّمه علی البراءة حسبما أبدعناه فی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الآتی إن شاء اللّه تعالی</w:t>
      </w:r>
      <w:r>
        <w:rPr>
          <w:rFonts w:eastAsia="IRNazanin" w:cs="IRNazanin"/>
          <w:color w:val="111111"/>
          <w:sz w:val="28"/>
          <w:szCs w:val="28"/>
          <w:rtl w:val="true"/>
          <w:lang w:bidi="fa-IR"/>
        </w:rPr>
        <w:t>.</w:t>
      </w:r>
    </w:p>
    <w:p>
      <w:pPr>
        <w:pStyle w:val="Heading6"/>
        <w:numPr>
          <w:ilvl w:val="5"/>
          <w:numId w:val="1"/>
        </w:numPr>
        <w:rPr/>
      </w:pPr>
      <w:bookmarkStart w:id="278" w:name="__RefHeading___Toc763760_3244359995"/>
      <w:bookmarkStart w:id="279" w:name="_Toc105"/>
      <w:bookmarkEnd w:id="278"/>
      <w:r>
        <w:rPr>
          <w:rtl w:val="true"/>
        </w:rPr>
        <w:t>ذنابة</w:t>
      </w:r>
      <w:r>
        <w:rPr>
          <w:rtl w:val="true"/>
        </w:rPr>
        <w:t xml:space="preserve">: </w:t>
      </w:r>
      <w:r>
        <w:rPr>
          <w:rtl w:val="true"/>
        </w:rPr>
        <w:t>حول التمسّک بحدیث الرفع لنفی جزئیّة المنسیّ</w:t>
      </w:r>
      <w:bookmarkEnd w:id="279"/>
    </w:p>
    <w:p>
      <w:pPr>
        <w:pStyle w:val="BookText"/>
        <w:rPr/>
      </w:pPr>
      <w:r>
        <w:rPr>
          <w:rFonts w:ascii="IRNazanin" w:hAnsi="IRNazanin" w:eastAsia="IRNazanin"/>
          <w:color w:val="111111"/>
          <w:sz w:val="28"/>
          <w:sz w:val="28"/>
          <w:szCs w:val="28"/>
          <w:rtl w:val="true"/>
          <w:lang w:bidi="fa-IR"/>
        </w:rPr>
        <w:t>من الغریب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جزئیّة الجزء المنسیّ بالنسبة إلی المأتی به، خارج عن مفاد دلیل الرفع؛ لأنّه فرد قد أتی به ناقصا، و دلیل الرفع ناظر إلی الطبیعة دون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ذهول عن أنّ مورد حدیث الرفع، طبیعة الجزء غیر المأتیّ به نسیانا، و حیث إنّ مقتضی إطلاق دلیله الجزئیّة الملازمة لبطلان المأتیّ به یمکن رفع هذا الإطلاق؛ إمّا واقعا کما هو التحقیق عندنا، أو ظاهرا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النظر إلی إثبات کون الباقی مصداقا، أو ذا صفة ثبوتیّة، أو عدمیّة، بل کلّ ذلک أمر واضح إلّا حصول الامتثال و سقوط الأمر، و حیث إنّ وجوب الامتثال و حصوله، من الآثار الثابتة للأعمّ من الحکم الواقعیّ و الظاهریّ، أو إنّ الشکّ فی حصول الامتثال، ناشئ من إطلاق الجزئیّة المقیّد بالحدیث، فلا یبقی بعد ذلک شکّ فی مرحلة الامتثال و الأمر، فلا وجه لتخیّل عدم شمول الحدیث لما نحن فیه</w:t>
      </w:r>
      <w:r>
        <w:rPr>
          <w:rFonts w:eastAsia="IRNazanin" w:cs="IRNazanin"/>
          <w:color w:val="111111"/>
          <w:sz w:val="28"/>
          <w:szCs w:val="28"/>
          <w:rtl w:val="true"/>
          <w:lang w:bidi="fa-IR"/>
        </w:rPr>
        <w:t>.</w:t>
      </w:r>
      <w:bookmarkStart w:id="280" w:name="pg13177_117817"/>
    </w:p>
    <w:p>
      <w:pPr>
        <w:pStyle w:val="BookText"/>
        <w:rPr/>
      </w:pPr>
      <w:bookmarkEnd w:id="280"/>
      <w:r>
        <w:rPr>
          <w:rFonts w:ascii="IRNazanin" w:hAnsi="IRNazanin" w:eastAsia="IRNazanin"/>
          <w:color w:val="111111"/>
          <w:sz w:val="28"/>
          <w:sz w:val="28"/>
          <w:szCs w:val="28"/>
          <w:rtl w:val="true"/>
          <w:lang w:bidi="fa-IR"/>
        </w:rPr>
        <w:t>و ما فی کلام العلّامة الأراکیّ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رفع الجزئیّة غیر معقول إلّا برفع الأمر عن الکلّ، ثمّ تعلّق الأمر الآخر بالباقی، و هذا خارج عن نصاب مفاد الحدیث</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خال من التحصیل؛ لإمکان جعل الجزئیّة و رفعها من غیر لزوم إشکال فی الأمر المتعلّق بالکلّ؛ و ذلک لما سیأتی من جریان الاستصحاب الحکمیّ الشخصیّ </w:t>
      </w:r>
      <w:r>
        <w:rPr>
          <w:rStyle w:val="FootnoteAnchor"/>
          <w:rtl w:val="true"/>
        </w:rPr>
        <w:footnoteReference w:id="290"/>
      </w:r>
      <w:r>
        <w:rPr>
          <w:rFonts w:ascii="IRNazanin" w:hAnsi="IRNazanin" w:eastAsia="IRNazanin"/>
          <w:color w:val="111111"/>
          <w:sz w:val="28"/>
          <w:sz w:val="28"/>
          <w:szCs w:val="28"/>
          <w:rtl w:val="true"/>
          <w:lang w:bidi="fa-IR"/>
        </w:rPr>
        <w:t>، و قد مرّ فی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القلیل و الکثیر لیس متعلّق الأمر النفسیّ، و أساس الأقلّ و الأکثر من الأغلاط</w:t>
      </w:r>
      <w:r>
        <w:rPr>
          <w:rStyle w:val="FootnoteAnchor"/>
          <w:rtl w:val="true"/>
        </w:rPr>
        <w:footnoteReference w:id="291"/>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Heading6"/>
        <w:numPr>
          <w:ilvl w:val="5"/>
          <w:numId w:val="1"/>
        </w:numPr>
        <w:rPr/>
      </w:pPr>
      <w:bookmarkStart w:id="281" w:name="__RefHeading___Toc763762_3244359995"/>
      <w:bookmarkStart w:id="282" w:name="_Toc106"/>
      <w:bookmarkEnd w:id="281"/>
      <w:r>
        <w:rPr>
          <w:rtl w:val="true"/>
        </w:rPr>
        <w:t>بقی شی‌ء</w:t>
      </w:r>
      <w:r>
        <w:rPr>
          <w:rtl w:val="true"/>
        </w:rPr>
        <w:t xml:space="preserve">: </w:t>
      </w:r>
      <w:r>
        <w:rPr>
          <w:rtl w:val="true"/>
        </w:rPr>
        <w:t>فی توهّم عدم جریان الاستصحاب فی المقام و دفعه</w:t>
      </w:r>
      <w:bookmarkEnd w:id="282"/>
    </w:p>
    <w:p>
      <w:pPr>
        <w:pStyle w:val="BookText"/>
        <w:rPr/>
      </w:pPr>
      <w:r>
        <w:rPr>
          <w:rFonts w:ascii="IRNazanin" w:hAnsi="IRNazanin" w:eastAsia="IRNazanin"/>
          <w:color w:val="111111"/>
          <w:sz w:val="28"/>
          <w:sz w:val="28"/>
          <w:szCs w:val="28"/>
          <w:rtl w:val="true"/>
          <w:lang w:bidi="fa-IR"/>
        </w:rPr>
        <w:t>إنّه لو کان دلیل المرکّب إطلاق، فالإعادة غیر لازمة حسب القواعد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لدلیل المرکّب إطلاق، فالبراءة عن أصل وجوب المرکّب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ینافی إطلاق دلیل الجزء؛ لأنّه بحکم القضیّة التعلیقیّة؛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السورة جزء علی تقدیر وجوب الصلاة عند الکسوف و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وجوبها عندهما فمحلّ شکّ، فلا تصل النوبة إلی الاستصحاب علی الإطلاق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یثبت وجوب المرکّب من باب الضرورة و الإجماع فی الجملة، مثلا وجوب الحجّ و العمرة، ربّما یکون واجبا بالإجماع عند اجتماع الشرائط، و صلاة الغداة و المغرب مثلهما، و لا یکون أصل الوجوب مورد الشکّ، و إنّما یکون لدلیل جزئیّة الطواف إطلاق، أو التشهّد و السورة، فعندئذ إذا نسی ثمّ تذکّر، یکون</w:t>
      </w:r>
      <w:bookmarkStart w:id="283" w:name="pg13177_117818"/>
    </w:p>
    <w:p>
      <w:pPr>
        <w:pStyle w:val="BookText"/>
        <w:rPr/>
      </w:pPr>
      <w:bookmarkEnd w:id="283"/>
      <w:r>
        <w:rPr>
          <w:rFonts w:ascii="IRNazanin" w:hAnsi="IRNazanin" w:eastAsia="IRNazanin"/>
          <w:color w:val="111111"/>
          <w:sz w:val="28"/>
          <w:sz w:val="28"/>
          <w:szCs w:val="28"/>
          <w:rtl w:val="true"/>
          <w:lang w:bidi="fa-IR"/>
        </w:rPr>
        <w:t>علی یقین بالوجوب النفسیّ، و یشکّ فی بقائه</w:t>
      </w:r>
      <w:r>
        <w:rPr>
          <w:rFonts w:eastAsia="IRNazanin" w:cs="IRNazanin"/>
          <w:color w:val="111111"/>
          <w:sz w:val="28"/>
          <w:szCs w:val="28"/>
          <w:rtl w:val="true"/>
          <w:lang w:bidi="fa-IR"/>
        </w:rPr>
        <w:t>.</w:t>
      </w:r>
    </w:p>
    <w:p>
      <w:pPr>
        <w:pStyle w:val="Heading6"/>
        <w:numPr>
          <w:ilvl w:val="5"/>
          <w:numId w:val="1"/>
        </w:numPr>
        <w:rPr/>
      </w:pPr>
      <w:bookmarkStart w:id="284" w:name="__RefHeading___Toc763764_3244359995"/>
      <w:bookmarkStart w:id="285" w:name="_Toc107"/>
      <w:bookmarkEnd w:id="284"/>
      <w:r>
        <w:rPr>
          <w:rtl w:val="true"/>
        </w:rPr>
        <w:t>تنبیه</w:t>
      </w:r>
      <w:r>
        <w:rPr>
          <w:rtl w:val="true"/>
        </w:rPr>
        <w:t xml:space="preserve">: </w:t>
      </w:r>
      <w:r>
        <w:rPr>
          <w:rtl w:val="true"/>
        </w:rPr>
        <w:t>حول حکم نسیان الجزء و الجزئیّة</w:t>
      </w:r>
      <w:bookmarkEnd w:id="285"/>
    </w:p>
    <w:p>
      <w:pPr>
        <w:pStyle w:val="BookText"/>
        <w:rPr/>
      </w:pPr>
      <w:r>
        <w:rPr>
          <w:rFonts w:ascii="IRNazanin" w:hAnsi="IRNazanin" w:eastAsia="IRNazanin"/>
          <w:color w:val="111111"/>
          <w:sz w:val="28"/>
          <w:sz w:val="28"/>
          <w:szCs w:val="28"/>
          <w:rtl w:val="true"/>
          <w:lang w:bidi="fa-IR"/>
        </w:rPr>
        <w:t>النسیان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بالنسبة إلی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بالنسبة إلی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فهو لا یجتمع مع التذکّر،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قبیل الأوّل، فیشکل جریان حدیث الرفع؛ لأنّ ترک السورة نسیانا لیس موضوع الحکم الشرعیّ، کما لو ترک الصلاة نسیانا فی مجموع الوقت، بخلاف نسیان الجزئیّة، فإنّه محطّ الرفع بالحدیث الشریف، و المفروض هو نسیان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نسیان السورة عین نسیان الجزء، فیشمله حدیث الرفع، فی غیر محلّه؛ لأنّه لم ینس إلّا ذات السورة، فیکون تارکا للسورة التی هی جزء عن نسیان، و ترک السورة نسیانا لیس موضوعا للحکم الشرعیّ، بل هو موضوع حکم العقل و هو البطلان؛ ضرورة أنّ المرکّب ینعدم بانعدام الجزء و الشرط و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النسیان بالوصف العنوانیّ للسورة، و هی صفة الجزء و الجزئیّة الانتزاعیّة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النسیان بذات السورة، و هی لیست موضوع الأثر، سواء قلنا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یرجع إلی ترک السورة نسیانا، فیکون النسیان واسطة،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یرجع إلی نسیان ذات السورة، و ذاتها لیست محطّ الحکم الوضعیّ، بل ما هو محطّ الحکم الوضعیّ بالقیاس إلی المرکّب جزئیّة السورة و أنّها جزء، و الشرع بدلیل غیریّ إرشادیّ اعتبر السورة جزء، فالجزء محمول و له الإطلاق، دون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من غیر فرق بین الجزء الثابت بعد الأمر بالمرکّب، أو الجزء الثابت حین الأمر بالمرکّب؛ ضرورة أنّ المقنّن یعتبر الذوات أجزاء المرکّب قهرا و طبعا، و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الوصف العنوانیّ للجزء، متأخّرا عن الأمر، أو السبب، أو الموضوع للحکم العقلائیّ، فلاحظ، و تفصیله فی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النسیان یرجع إلی حدیث رفع المنسیّ لا بعنوانه؛ لما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ترک السورة فهی منسیّة، و هو ما نسوه، فیکون النسیان علّة لرفع ذات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أنّه لو نسی الصلاة فی الوقت بتمامه فلا قضاء علیه إذا لم یتذکّر بعد الوقت؛ لأنّ الصلاة منسیّة، و لا قضاء علی ولیّه، و لا یخرج الحجّ من أصل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 حدیث الرفع غیر جائز،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أخطأوه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لیس إلّا رفع ما له الأثر الشرعیّ مباشرة، و المفروض أنّه نسی ذات السورة، و لم ینس الجزء؛ لأنّ نسیان الجزء عین نسیان الجزئیّة، و نسیان السورة و هی جزء غیر نسیان الجزء بعنوانه، فلاحظ جیّدا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نظرنا إلی نسیان حکم المیتة و شرب الخمر و حرمة القمار،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أکل و شرب و قامر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الأکل و الشرب و المیسر منسیّات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التعبیرین یجری حدیث الرفع، بخلاف ما إذا ترک السورة، فإنّه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السورة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الحدیث؛ لأنّ ترک السورة لا حکم له شرعا، بل بطلان المرکّب بترک الجزء حکم العقل و درکه، و إذا کانت السورة منسیّة یمکن توهّم الجریان</w:t>
      </w:r>
      <w:r>
        <w:rPr>
          <w:rFonts w:eastAsia="IRNazanin" w:cs="IRNazanin"/>
          <w:color w:val="111111"/>
          <w:sz w:val="28"/>
          <w:szCs w:val="28"/>
          <w:rtl w:val="true"/>
          <w:lang w:bidi="fa-IR"/>
        </w:rPr>
        <w:t>.</w:t>
      </w:r>
      <w:bookmarkStart w:id="286" w:name="pg13177_117820"/>
    </w:p>
    <w:p>
      <w:pPr>
        <w:pStyle w:val="BookText"/>
        <w:rPr/>
      </w:pPr>
      <w:bookmarkEnd w:id="286"/>
      <w:r>
        <w:rPr>
          <w:rFonts w:ascii="IRNazanin" w:hAnsi="IRNazanin" w:eastAsia="IRNazanin"/>
          <w:color w:val="111111"/>
          <w:sz w:val="28"/>
          <w:sz w:val="28"/>
          <w:szCs w:val="28"/>
          <w:rtl w:val="true"/>
          <w:lang w:bidi="fa-IR"/>
        </w:rPr>
        <w:t>مع أنّه أیضا غیر تامّ؛ لما اشیر إلیه من أنّ ما تناله ید الوضع، هو جعل السورة جزء علی الإهمال أو الإطلاق، و قد أشرنا آنفا إلی أنّ الجزء و الجزئیّة یعتبران من الأسباب و العقود و الإیقاعات و التذکیة، من غیر کونها مورد الأمر، فالأمر غیر دخیل فی اعتبار الجزء، بل الجزء یعتبر أوّلا للمرکّب المختلط من الأشیاء المختلفة، ثمّ یتعلّق به الأمر فی العبادیّات، أو یتعلّق به الارتضاء و الإمضاء فی الأسباب و الموضوعات لحکم العقلاء</w:t>
      </w:r>
      <w:r>
        <w:rPr>
          <w:rFonts w:eastAsia="IRNazanin" w:cs="IRNazanin"/>
          <w:color w:val="111111"/>
          <w:sz w:val="28"/>
          <w:szCs w:val="28"/>
          <w:rtl w:val="true"/>
          <w:lang w:bidi="fa-IR"/>
        </w:rPr>
        <w:t>.</w:t>
      </w:r>
    </w:p>
    <w:p>
      <w:pPr>
        <w:pStyle w:val="Heading6"/>
        <w:numPr>
          <w:ilvl w:val="5"/>
          <w:numId w:val="1"/>
        </w:numPr>
        <w:rPr/>
      </w:pPr>
      <w:bookmarkStart w:id="287" w:name="__RefHeading___Toc763766_3244359995"/>
      <w:bookmarkStart w:id="288" w:name="_Toc108"/>
      <w:bookmarkEnd w:id="287"/>
      <w:r>
        <w:rPr>
          <w:rtl w:val="true"/>
        </w:rPr>
        <w:t>الإیراد علی السیّد المحقّق الوالد</w:t>
      </w:r>
      <w:r>
        <w:rPr>
          <w:rtl w:val="true"/>
        </w:rPr>
        <w:t xml:space="preserve">- </w:t>
      </w:r>
      <w:r>
        <w:rPr>
          <w:rtl w:val="true"/>
        </w:rPr>
        <w:t>مدّ ظلّه</w:t>
      </w:r>
      <w:r>
        <w:rPr>
          <w:rtl w:val="true"/>
        </w:rPr>
        <w:t>-</w:t>
      </w:r>
      <w:bookmarkEnd w:id="288"/>
    </w:p>
    <w:p>
      <w:pPr>
        <w:pStyle w:val="BookText"/>
        <w:rPr/>
      </w:pPr>
      <w:r>
        <w:rPr>
          <w:rFonts w:ascii="IRNazanin" w:hAnsi="IRNazanin" w:eastAsia="IRNazanin"/>
          <w:color w:val="111111"/>
          <w:sz w:val="28"/>
          <w:sz w:val="28"/>
          <w:szCs w:val="28"/>
          <w:rtl w:val="true"/>
          <w:lang w:bidi="fa-IR"/>
        </w:rPr>
        <w:t>بقیت کلمة مع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 إن أتی بما هو قریب من افق التحقیق </w:t>
      </w:r>
      <w:r>
        <w:rPr>
          <w:rStyle w:val="FootnoteAnchor"/>
          <w:rtl w:val="true"/>
        </w:rPr>
        <w:footnoteReference w:id="293"/>
      </w:r>
      <w:r>
        <w:rPr>
          <w:rFonts w:ascii="IRNazanin" w:hAnsi="IRNazanin" w:eastAsia="IRNazanin"/>
          <w:color w:val="111111"/>
          <w:sz w:val="28"/>
          <w:sz w:val="28"/>
          <w:szCs w:val="28"/>
          <w:rtl w:val="true"/>
          <w:lang w:bidi="fa-IR"/>
        </w:rPr>
        <w:t>، إلّا أنّه یظهر الإشکال فیما أفاده بتفصیل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 النسیان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رفع ظاهریّ عند المشهور، و لیس من قبیل رفع الاضطرار و الإکراه، فإنّ الذاکر و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 فی الحکم الواقعیّ الأوّلی، و لذلک قالوا باعتبار الجزئیّة علی الإطلاق واقعا فی موارد جریان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الحکم فی مورد الناسی شأنیّا و إنشائیّا قانونیّا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النسیان إذا تعلّق بالجزء یکون له الأثر،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الجزء بما هو جزء الذی هو عین الجزئیّة، و لذلک کما یصحّ أن یعتبر الشرع فی الصلاة جزئیّة السورة، یصحّ أن یعتبر أنّ السورة جزء، فهما معنی واحد، و لیسا مورد النسیان، و إنّما النسیان تعلّق بذات الجزء، و لا حکم له بالنسبة إلی المرکّب، و قد</w:t>
      </w:r>
      <w:bookmarkStart w:id="289" w:name="pg13177_117821"/>
    </w:p>
    <w:p>
      <w:pPr>
        <w:pStyle w:val="BookText"/>
        <w:rPr/>
      </w:pPr>
      <w:bookmarkEnd w:id="289"/>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علی الإطلاق یعتبر ذا أجزاء أوّلا، ثمّ یمضی أو یؤمر به؛ حسب اختلاف المرکّبات المعاملیّة و العبادیّة، و هذا ممّا قد خفی علی جمع منهم؛ حتّی ذهبوا إلی 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فالبراءة الشرعیّة جاریة بالقیاس إلی نسیان الجزئیّة، و لا یتوجّه إلیها إشکالات القوم کما ظهر</w:t>
      </w:r>
      <w:r>
        <w:rPr>
          <w:rStyle w:val="FootnoteAnchor"/>
          <w:rtl w:val="true"/>
        </w:rPr>
        <w:footnoteReference w:id="294"/>
      </w:r>
      <w:r>
        <w:rPr>
          <w:rFonts w:ascii="IRNazanin" w:hAnsi="IRNazanin" w:eastAsia="IRNazanin"/>
          <w:color w:val="111111"/>
          <w:sz w:val="28"/>
          <w:sz w:val="28"/>
          <w:szCs w:val="28"/>
          <w:rtl w:val="true"/>
          <w:lang w:bidi="fa-IR"/>
        </w:rPr>
        <w:t>، و لا تجری بالقیاس إلی نسیان ذات السورة و التشهّد و غیر ذلک</w:t>
      </w:r>
      <w:r>
        <w:rPr>
          <w:rFonts w:eastAsia="IRNazanin" w:cs="IRNazanin"/>
          <w:color w:val="111111"/>
          <w:sz w:val="28"/>
          <w:szCs w:val="28"/>
          <w:rtl w:val="true"/>
          <w:lang w:bidi="fa-IR"/>
        </w:rPr>
        <w:t>.</w:t>
      </w:r>
    </w:p>
    <w:p>
      <w:pPr>
        <w:pStyle w:val="Heading6"/>
        <w:numPr>
          <w:ilvl w:val="5"/>
          <w:numId w:val="1"/>
        </w:numPr>
        <w:rPr/>
      </w:pPr>
      <w:bookmarkStart w:id="290" w:name="__RefHeading___Toc763768_3244359995"/>
      <w:bookmarkStart w:id="291" w:name="_Toc109"/>
      <w:bookmarkEnd w:id="290"/>
      <w:r>
        <w:rPr>
          <w:rtl w:val="true"/>
        </w:rPr>
        <w:t>تتمیم</w:t>
      </w:r>
      <w:r>
        <w:rPr>
          <w:rtl w:val="true"/>
        </w:rPr>
        <w:t xml:space="preserve">: </w:t>
      </w:r>
      <w:r>
        <w:rPr>
          <w:rtl w:val="true"/>
        </w:rPr>
        <w:t>فی تذکّر نسیان الجزء و الجزئیّة فی الوقت</w:t>
      </w:r>
      <w:bookmarkEnd w:id="291"/>
    </w:p>
    <w:p>
      <w:pPr>
        <w:pStyle w:val="BookText"/>
        <w:rPr/>
      </w:pPr>
      <w:r>
        <w:rPr>
          <w:rFonts w:ascii="IRNazanin" w:hAnsi="IRNazanin" w:eastAsia="IRNazanin"/>
          <w:color w:val="111111"/>
          <w:sz w:val="28"/>
          <w:sz w:val="28"/>
          <w:szCs w:val="28"/>
          <w:rtl w:val="true"/>
          <w:lang w:bidi="fa-IR"/>
        </w:rPr>
        <w:t>فی صورة جریان البراءة حال نسیان الجزء و الجزئیّة، فإن تذکّر فی الموقّتات بعد الوقت، فالقضاء یحتاج إلی الدلیل الآخر، و تفصیله فی مباحث القضاء</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صورة تذکّرة فی الوقت،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الرفع یورث التقیید الواقعیّ کما هو الأظهر، فلا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معنی لجریان الاستصحاب؛ لما لا شکّ فی بقاء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تقیید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بعد التذکّر بالنسبة إلی الجزئیّة للمأتیّ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هناک إلّا عدم استحقاق العقاب بالنسبة إلی المرکّب الناقص المأتیّ به بعنوان التشریع، و لا أثر آخر یترتّب علیه؛ لانحفاظ إطلاق دلیل الجزء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 المفروض إهمال دلیل المرکّب علی وجه لا ینافی العلم بالوجوب فی الجملة، أو إطلاق دلیل المرکّب، فاللازم هی الإعادة؛ حسب أنّ</w:t>
      </w:r>
    </w:p>
    <w:p>
      <w:pPr>
        <w:pStyle w:val="BookText"/>
        <w:rPr/>
      </w:pPr>
      <w:r>
        <w:rPr>
          <w:rFonts w:ascii="IRNazanin" w:hAnsi="IRNazanin" w:eastAsia="IRNazanin"/>
          <w:color w:val="111111"/>
          <w:sz w:val="28"/>
          <w:sz w:val="28"/>
          <w:szCs w:val="28"/>
          <w:rtl w:val="true"/>
          <w:lang w:bidi="fa-IR"/>
        </w:rPr>
        <w:t>إطلاق دلیل الجزء، یورث العلم ببطلان المرکّب المعلوم إجمالا و بالضرورة، أو لإطلاق دلیل المرکّب المحکوم بإطلاق دلیل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إهمال دلیل المرکّب، یوجب الشکّ فی أصل وجوب الصلاة عند الزلزلة غیر الموجبة للخوف، فإطلاق دلیل الجزء لا ینافی عدم وجوب أصل المرکّب، فما یظهر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إطلاق دلیل الجزء فی صورة عدم جریان حدیث الرفع، یستلزم الإعادة من غیر التفات إلی حال المرکّب </w:t>
      </w:r>
      <w:r>
        <w:rPr>
          <w:rStyle w:val="FootnoteAnchor"/>
          <w:rtl w:val="true"/>
        </w:rPr>
        <w:footnoteReference w:id="296"/>
      </w:r>
      <w:r>
        <w:rPr>
          <w:rFonts w:ascii="IRNazanin" w:hAnsi="IRNazanin" w:eastAsia="IRNazanin"/>
          <w:color w:val="111111"/>
          <w:sz w:val="28"/>
          <w:sz w:val="28"/>
          <w:szCs w:val="28"/>
          <w:rtl w:val="true"/>
          <w:lang w:bidi="fa-IR"/>
        </w:rPr>
        <w:t>، غیر صحیح؛ ضرورة أنّ إطلاق دلیل الجزء لا یستلزم وجوب الطبیعة مطلقا، فضلا عن الإعادة و القضاء،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قرّرناه و أسّسناه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مورد جریان حدیث الرفع لا یبقی الشکّ الاستصحابیّ؛ لأنّ التقیید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مورد عدم جریان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صورة نسیان ذات السورة؛ ضرورة أنّ ما للشرع التدخّل فیه هی جعل الجزئیّة و رفعها، و أمّا ذات السورة فهی أجنبیّة عن حدّ التشریع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مورد أیضا للاستصحاب؛ لضرورة العلم بوجوب صلاة الغداة، و بطلانها بترک الجزء، و هکذا فی سائر المرکبات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صورة إهمال دلیل المرکّب، و قیام العلم بوجوبه فی الجملة، مع إهمال دلیل الجزء، یجری الاستصحاب الحکمیّ علی الوجه المحرّر فی الأقلّ و الأکثر</w:t>
      </w:r>
      <w:r>
        <w:rPr>
          <w:rStyle w:val="FootnoteAnchor"/>
          <w:rtl w:val="true"/>
        </w:rPr>
        <w:footnoteReference w:id="297"/>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bookmarkStart w:id="292" w:name="pg13177_117823"/>
    </w:p>
    <w:p>
      <w:pPr>
        <w:pStyle w:val="Heading6"/>
        <w:numPr>
          <w:ilvl w:val="5"/>
          <w:numId w:val="1"/>
        </w:numPr>
        <w:rPr/>
      </w:pPr>
      <w:bookmarkStart w:id="293" w:name="__RefHeading___Toc763770_3244359995"/>
      <w:bookmarkStart w:id="294" w:name="_Toc110"/>
      <w:bookmarkEnd w:id="292"/>
      <w:bookmarkEnd w:id="293"/>
      <w:r>
        <w:rPr>
          <w:rtl w:val="true"/>
        </w:rPr>
        <w:t>خاتمة المسألة</w:t>
      </w:r>
      <w:r>
        <w:rPr>
          <w:rtl w:val="true"/>
        </w:rPr>
        <w:t xml:space="preserve">: </w:t>
      </w:r>
      <w:r>
        <w:rPr>
          <w:rtl w:val="true"/>
        </w:rPr>
        <w:t>حول نسیان الجزء بالنسبة إلی غیر المرکّبات العبادیّة</w:t>
      </w:r>
      <w:bookmarkEnd w:id="294"/>
    </w:p>
    <w:p>
      <w:pPr>
        <w:pStyle w:val="BookText"/>
        <w:rPr/>
      </w:pPr>
      <w:r>
        <w:rPr>
          <w:rFonts w:ascii="IRNazanin" w:hAnsi="IRNazanin" w:eastAsia="IRNazanin"/>
          <w:color w:val="111111"/>
          <w:sz w:val="28"/>
          <w:sz w:val="28"/>
          <w:szCs w:val="28"/>
          <w:rtl w:val="true"/>
          <w:lang w:bidi="fa-IR"/>
        </w:rPr>
        <w:t>کالعقود، و الإیقاعات السببیّة، و منها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فی صورة نسیان ما لا یضرّ بصدق المرکّب عرفا و شرعا علی المأتیّ به، و إلّا فإذا نسی الإیجاب، أو نسی القبول، و غیر ذلک ممّا یرجع إلی عدم صدق عنوان العقد علیه، فلا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تذکّر بعد مضیّ مدّة من نسیان کلمة فی الإیجاب، أو الإخلال بإعراب فی الإیقاع، فمقتضی الأصل الأوّلی فساد العقد و الإیقاع، و عدم حصول النقل و الانتقال، و عدم تحقّق التذکیة، و ما هو الموضوع عند الشرع و العقلاء للحکم بالملکیّة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الإشکال فی صورة نسیان الجزئیّة، کما مرّ فی باب الأوامر و المرکّبات التی یتعلّق بها الأمر التعبّدی أو التوصّلی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نسیان ذات الجزء فالحکم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نسیان الجزئیّة یرجع إلی الجهالة، فهو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ربّما یعتقد ناسی الجزئیّة مثلا للسورة مانعیّة السورة، أو یعتقد عدم الجزئیّة، فلا تشمله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ثمّ بعد إتیان المرکّب الناقص یتذکر جزئیّة شی‌ء ترکه و أخلّ به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بعد صدق المرکّب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المأتیّ به، و جریان حدیث الرفع الواقعیّ، فلا وجه لتوهّم إشکال إلّا ما مرّ فی المرکّبات</w:t>
      </w:r>
    </w:p>
    <w:p>
      <w:pPr>
        <w:pStyle w:val="BookText"/>
        <w:rPr/>
      </w:pPr>
      <w:r>
        <w:rPr>
          <w:rFonts w:ascii="Amiri" w:hAnsi="Amiri" w:eastAsia="Amiri" w:cs="Amiri"/>
          <w:color w:val="111111"/>
          <w:sz w:val="28"/>
          <w:sz w:val="28"/>
          <w:szCs w:val="28"/>
          <w:rtl w:val="true"/>
          <w:lang w:bidi="ar-SA"/>
        </w:rPr>
        <w:t>السابقة</w:t>
      </w:r>
      <w:r>
        <w:rPr>
          <w:rStyle w:val="FootnoteAnchor"/>
          <w:rtl w:val="true"/>
        </w:rPr>
        <w:footnoteReference w:id="300"/>
      </w:r>
      <w:r>
        <w:rPr>
          <w:rFonts w:ascii="IRNazanin" w:hAnsi="IRNazanin" w:eastAsia="IRNazanin"/>
          <w:color w:val="111111"/>
          <w:sz w:val="28"/>
          <w:sz w:val="28"/>
          <w:szCs w:val="28"/>
          <w:rtl w:val="true"/>
          <w:lang w:bidi="fa-IR"/>
        </w:rPr>
        <w:t>، و قد عرفت اندفاعه بحذافیره، فلا فرق بین أنحاء المرکّبات حسبما هو محطّ البحث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قضیّة جریان استصحاب الحکم النفسیّ فی الأقلّ و الأکثر هو الاشتغال، و مقتضی استصحاب عدم النقل و إن کان ذلک، إلّا أنّ هناک فرقا بین صورة إهمال دلیل المرکّب، و إطلاقه، فإنّ فی صورة الإهمال، و العلم بسببیّة المرکّب الکامل أو موضوعیّته، فلازم النسیان بطلانه، و فی صورة عدم العلم الخارجیّ بتلک السببیّة، عدم وجود الیقین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الإطلاق، و إطلاق دلیل الجزء، و جریان البراءة علی ما مرّ منّا، هو الصحّة من غیر کونه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دلیل الجزء مهملا، فمقتضی الإطلاق المذکور هی الصحّة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الفرار من إشکال المثبتیّة فی باب الأوامر، دون ما نحن فیه، بناء علی أنّ حدیث الرفع ظاهریّ؛ لأنّه لا بدّ من إثبات جهة فی الناقص و هی السببیّة، بخلاف مثل الصلاة، فإنّه هناک لا حاجة إلّا إلی رفع الجزئیّة، و إنّما الشکّ فی سقوط الأمر المسبّب من الشکّ فی الجزئیّة المرتفعة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ما یصدق عنوان المرکّب علی الباقی، فمعناه أنّه سبب عرفیّ، و إنّما الشکّ فی السببیّة الشرعیّة، و السببیّة الشرعیّة لیست مجعولة، بل المجعول هو اعتبار شرط فی العقد، أو جزء فی الإیقاع، و لا أمر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الفرق بین الشروط و الأجزاء، فی غیر محله کما هو الظاهر، بل المناط صدق المرکّب علی المأتیّ 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یجری فی صورة کون العقود و الإیقاعات موضوعات</w:t>
      </w:r>
    </w:p>
    <w:p>
      <w:pPr>
        <w:pStyle w:val="BookText"/>
        <w:rPr/>
      </w:pPr>
      <w:r>
        <w:rPr>
          <w:rFonts w:ascii="IRNazanin" w:hAnsi="IRNazanin" w:eastAsia="IRNazanin"/>
          <w:color w:val="111111"/>
          <w:sz w:val="28"/>
          <w:sz w:val="28"/>
          <w:szCs w:val="28"/>
          <w:rtl w:val="true"/>
          <w:lang w:bidi="fa-IR"/>
        </w:rPr>
        <w:t>عقلائیّة،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لدلیل المرکّب إطلاق، و لارتضاء الشرع بمطلق ما یصدق علیه المرکّب الناقص دلیل، و کان تقیید دلیل الشرط أو الجزء تقییدا ظاهریّا، یمکن تعارض إطلاق دلیل المرکّب و دلیل الجزء بعد التذکّر للنسیان، و یجری استصحاب سببیّة الموجود أو موضوعیّته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بمعزل عن التحقیق؛ لأنّه من الاستصحاب الموضوعیّ، و لا دلیل ینطبق علیه؛ للمعارضة المفروضة کما اشیر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إطلاق دلیل المرکّب محکوم بدلیل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مورد تعارض بین الإطلاقین، فلا تکون المسألة من موارد جریان الاستصحاب؛ للشکّ فی دخالة الجزء المذکور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ذلک علی فرض تعارضهما فی صورة التذکّر، یکون من 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جلیّ بین أنحاء المرکّبات إلّا من جهة ظهور المثبتیّة، و الاتفاق علیها فی باب العقود و الإیقاعات، دون المرکّبات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ما مرّ منّا من التقیید الواقعیّ المستتبع لتمامیّة السبب و الموضوع </w:t>
      </w:r>
      <w:r>
        <w:rPr>
          <w:rStyle w:val="FootnoteAnchor"/>
          <w:rtl w:val="true"/>
        </w:rPr>
        <w:footnoteReference w:id="301"/>
      </w:r>
      <w:r>
        <w:rPr>
          <w:rFonts w:ascii="IRNazanin" w:hAnsi="IRNazanin" w:eastAsia="IRNazanin"/>
          <w:color w:val="111111"/>
          <w:sz w:val="28"/>
          <w:sz w:val="28"/>
          <w:szCs w:val="28"/>
          <w:rtl w:val="true"/>
          <w:lang w:bidi="fa-IR"/>
        </w:rPr>
        <w:t>، کما أنّ الحقّ عدم المثبتیّة بالنسبة إلی نسیان ما لیس مقوّما للعقد من الشرط أو الجزء؛ لأنّ المقدار الثابت من ردع بناء العقلاء صورة عدم نسیان الشرط بعد انضمام حدیث الرفع إلی إطلاق دلیل الجزء و الشرط</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باب شروط العقود و الإیقاعات و أجزائها، ترجع کلّها إلی الشرطیّة و الجزئیّة الشرعیّة، و ما هو شرط عند العرف و جزء یکون مقوّما، و یلزم من النسیان خروجه عن محطّ النزاع، فاغتنم</w:t>
      </w:r>
      <w:r>
        <w:rPr>
          <w:rFonts w:eastAsia="IRNazanin" w:cs="IRNazanin"/>
          <w:color w:val="111111"/>
          <w:sz w:val="28"/>
          <w:szCs w:val="28"/>
          <w:rtl w:val="true"/>
          <w:lang w:bidi="fa-IR"/>
        </w:rPr>
        <w:t>.</w:t>
      </w:r>
      <w:bookmarkStart w:id="295" w:name="pg13177_117826"/>
    </w:p>
    <w:p>
      <w:pPr>
        <w:pStyle w:val="Heading6"/>
        <w:numPr>
          <w:ilvl w:val="5"/>
          <w:numId w:val="1"/>
        </w:numPr>
        <w:rPr/>
      </w:pPr>
      <w:bookmarkStart w:id="296" w:name="__RefHeading___Toc763772_3244359995"/>
      <w:bookmarkStart w:id="297" w:name="_Toc111"/>
      <w:bookmarkEnd w:id="295"/>
      <w:bookmarkEnd w:id="296"/>
      <w:r>
        <w:rPr>
          <w:rtl w:val="true"/>
        </w:rPr>
        <w:t>تتمّة</w:t>
      </w:r>
      <w:r>
        <w:rPr>
          <w:rtl w:val="true"/>
        </w:rPr>
        <w:t xml:space="preserve">: </w:t>
      </w:r>
      <w:r>
        <w:rPr>
          <w:rtl w:val="true"/>
        </w:rPr>
        <w:t>فی حکم الشکّ فی أنّ رفع نسیان الجزء واقعی أو ظاهری</w:t>
      </w:r>
      <w:bookmarkEnd w:id="297"/>
    </w:p>
    <w:p>
      <w:pPr>
        <w:pStyle w:val="BookText"/>
        <w:rPr/>
      </w:pPr>
      <w:r>
        <w:rPr>
          <w:rFonts w:ascii="IRNazanin" w:hAnsi="IRNazanin" w:eastAsia="IRNazanin"/>
          <w:color w:val="111111"/>
          <w:sz w:val="28"/>
          <w:sz w:val="28"/>
          <w:szCs w:val="28"/>
          <w:rtl w:val="true"/>
          <w:lang w:bidi="fa-IR"/>
        </w:rPr>
        <w:t>إذا شکّ فی أنّ حدیث الرفع فی مورد نسیان الجزء، رفع واقعیّ أو ظاهریّ، فإنّ فی الصورة الاولی لا إعادة و لا قضاء طبعا، و لا مثبتیّة، و فی الصورة الثانیة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و المحکّم إطلاق دلیل الجزء، إلّا علی وجه محرّر فی بحث الإجزاء، و تفصیله یطلب من محلّه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أصل التقیید قطعیّ، إلّا أنّه یشکّ فی جواز التمسّک بالإطلاق بعد التذکّر، و عندئذ یوجد الفرق بین أن یکون لدلیل المرکّب الواجب بالضرورة إطلاق، أو 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بعد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النوبة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تحصل صورة الشکّ فی البقاء و التمسّک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مخصوص بالمرکّبات المأمور بها بالأمر النفسیّ، دون مثل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یحصل أیضا فرق بین أدلّة المرکّبات التعبّدیة أو التوصّلیة ذات الأمر النفسیّ، و غیرها ممّا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العقود و الإیقاعات یکون استصحاب آخر جاریا عندهم، المنتهی إلی فساد النقل، و عدم تحقّق السبب، أو حکم العقلاء بالنقل و الانتقال، و حصول الفراق و الزواج، فلا تخلط</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فی بعض مواضع الکتاب، حدیث تقسیم الحکومة إلی الظاهریّة و الواقعیّة</w:t>
      </w:r>
      <w:r>
        <w:rPr>
          <w:rStyle w:val="FootnoteAnchor"/>
          <w:rtl w:val="true"/>
        </w:rPr>
        <w:footnoteReference w:id="303"/>
      </w:r>
      <w:r>
        <w:rPr>
          <w:rFonts w:ascii="IRNazanin" w:hAnsi="IRNazanin" w:eastAsia="IRNazanin"/>
          <w:color w:val="111111"/>
          <w:sz w:val="28"/>
          <w:sz w:val="28"/>
          <w:szCs w:val="28"/>
          <w:rtl w:val="true"/>
          <w:lang w:bidi="fa-IR"/>
        </w:rPr>
        <w:t>، و تحقیق مباحث فی العقود و الإیقاعات فی بعض مواضع</w:t>
      </w:r>
      <w:bookmarkStart w:id="298" w:name="pg13177_117827"/>
    </w:p>
    <w:p>
      <w:pPr>
        <w:pStyle w:val="BookText"/>
        <w:rPr/>
      </w:pPr>
      <w:bookmarkEnd w:id="298"/>
      <w:r>
        <w:rPr>
          <w:rFonts w:ascii="IRNazanin" w:hAnsi="IRNazanin" w:eastAsia="IRNazanin"/>
          <w:color w:val="111111"/>
          <w:sz w:val="28"/>
          <w:sz w:val="28"/>
          <w:szCs w:val="28"/>
          <w:rtl w:val="true"/>
          <w:lang w:bidi="fa-IR"/>
        </w:rPr>
        <w:t>اخر، 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الظاهریّ یرجع إلی أنّه بعد التذکّر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تقیید فی الحقیقة، و إنّما هو تخیّل التقیید؛ لانحفاظ الحکم الواقعیّ فی رتبة النسیان، کالجهل، فعلی هذا فی صورة الشکّ فی هذه المسألة الاصولیّة، یرجع إلی إطلاق دلیل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مسألتنا هذه من قبیل مسألة مرجعیّة الاستصحاب أو إطلاق العامّ؛ لأنّه بعد الذهول عن النسیان یشکّ فی أصل التقیید، فلا تغفل و اغتنم</w:t>
      </w:r>
      <w:r>
        <w:rPr>
          <w:rFonts w:eastAsia="IRNazanin" w:cs="IRNazanin"/>
          <w:color w:val="111111"/>
          <w:sz w:val="28"/>
          <w:szCs w:val="28"/>
          <w:rtl w:val="true"/>
          <w:lang w:bidi="fa-IR"/>
        </w:rPr>
        <w:t>.</w:t>
      </w:r>
    </w:p>
    <w:p>
      <w:pPr>
        <w:pStyle w:val="Heading6"/>
        <w:numPr>
          <w:ilvl w:val="5"/>
          <w:numId w:val="1"/>
        </w:numPr>
        <w:rPr/>
      </w:pPr>
      <w:bookmarkStart w:id="299" w:name="__RefHeading___Toc763774_3244359995"/>
      <w:bookmarkStart w:id="300" w:name="_Toc112"/>
      <w:bookmarkEnd w:id="299"/>
      <w:r>
        <w:rPr>
          <w:rtl w:val="true"/>
        </w:rPr>
        <w:t>تنبیه</w:t>
      </w:r>
      <w:r>
        <w:rPr>
          <w:rtl w:val="true"/>
        </w:rPr>
        <w:t xml:space="preserve">: </w:t>
      </w:r>
      <w:r>
        <w:rPr>
          <w:rtl w:val="true"/>
        </w:rPr>
        <w:t>فی نسیان المانعیة و القاطعیة</w:t>
      </w:r>
      <w:bookmarkEnd w:id="300"/>
    </w:p>
    <w:p>
      <w:pPr>
        <w:pStyle w:val="BookText"/>
        <w:rPr/>
      </w:pPr>
      <w:r>
        <w:rPr>
          <w:rFonts w:ascii="IRNazanin" w:hAnsi="IRNazanin" w:eastAsia="IRNazanin"/>
          <w:color w:val="111111"/>
          <w:sz w:val="28"/>
          <w:sz w:val="28"/>
          <w:szCs w:val="28"/>
          <w:rtl w:val="true"/>
          <w:lang w:bidi="fa-IR"/>
        </w:rPr>
        <w:t>فی موارد نسیان المانع و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المانع و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نسیان المانعیّة و القاطعیّة، دون نسیان ذات المانع و القاطع حسبما عرفت، فمقتضی تقیید دلیل المانع، و تحکیم دلیل رفع النسیان علی أدلّتهما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ذا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إشکال المثبتیّة علی فرض کون الحکومة واقعیّة و التقیید واقعیّا؛ لأنّه من قبیل تقیید المطلق بمقیّد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الحکومة الظاهریّة فإشکال المثبتیّة غیر قابل للدفع؛ ضرورة أنّ اعتبار المانع لا یعقل إلّا فی صورة انضمام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المقرونة معه فی الوجود لیست بصلاة، و تقیید إطلاق دلیل المانع بالنسبة إلی حال النسیان، لا یثبت أنّ ما أتی به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الحاجة إلیه فی ناحیة عدم مانعیّة الموجود، و إنّما نحتاج إلی الادعاء فی ناحیة اعتبار مانعیّة شی‌ء، و قد مرّ ما یتعلّق به فی السابق فلیراجع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مورد یکون القاطع قاطعا تکوینا و عرفا، کالرقص و القهقهة و الفصل الکثیر، فلا محلّ للتمسّک بحدیث الرفع، کما هو الواضح</w:t>
      </w:r>
      <w:r>
        <w:rPr>
          <w:rFonts w:eastAsia="IRNazanin" w:cs="IRNazanin"/>
          <w:color w:val="111111"/>
          <w:sz w:val="28"/>
          <w:szCs w:val="28"/>
          <w:rtl w:val="true"/>
          <w:lang w:bidi="fa-IR"/>
        </w:rPr>
        <w:t>.</w:t>
      </w:r>
      <w:bookmarkStart w:id="301" w:name="pg13177_117828"/>
    </w:p>
    <w:p>
      <w:pPr>
        <w:pStyle w:val="Heading6"/>
        <w:numPr>
          <w:ilvl w:val="5"/>
          <w:numId w:val="1"/>
        </w:numPr>
        <w:rPr/>
      </w:pPr>
      <w:bookmarkStart w:id="302" w:name="__RefHeading___Toc763776_3244359995"/>
      <w:bookmarkStart w:id="303" w:name="_Toc113"/>
      <w:bookmarkEnd w:id="301"/>
      <w:bookmarkEnd w:id="302"/>
      <w:r>
        <w:rPr>
          <w:rtl w:val="true"/>
        </w:rPr>
        <w:t>بقی شی‌ء</w:t>
      </w:r>
      <w:r>
        <w:rPr>
          <w:rtl w:val="true"/>
        </w:rPr>
        <w:t xml:space="preserve">: </w:t>
      </w:r>
      <w:r>
        <w:rPr>
          <w:rtl w:val="true"/>
        </w:rPr>
        <w:t>فی حکم الزیادة فی المرکّب نسیانا</w:t>
      </w:r>
      <w:bookmarkEnd w:id="303"/>
    </w:p>
    <w:p>
      <w:pPr>
        <w:pStyle w:val="BookText"/>
        <w:rPr/>
      </w:pPr>
      <w:r>
        <w:rPr>
          <w:rFonts w:ascii="IRNazanin" w:hAnsi="IRNazanin" w:eastAsia="IRNazanin"/>
          <w:color w:val="111111"/>
          <w:sz w:val="28"/>
          <w:sz w:val="28"/>
          <w:szCs w:val="28"/>
          <w:rtl w:val="true"/>
          <w:lang w:bidi="fa-IR"/>
        </w:rPr>
        <w:t>فی مورد النسیان بازدیاد شی‌ء فی المرکّب زیادة حقیقیّة أو عرفیّة، فإن لم یلزم من تلک الزیادة خلل فی ناحیة اخری فی المرکّب، و لم یکن مورد المنع أصل الازدیاد بما هو هو، فلا أثر لصورة عمدها، فضلا عن نسیانها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استلزم الإخلال بشی‌ء آخر فیه حسبما عرفت </w:t>
      </w:r>
      <w:r>
        <w:rPr>
          <w:rStyle w:val="FootnoteAnchor"/>
          <w:rtl w:val="true"/>
        </w:rPr>
        <w:footnoteReference w:id="304"/>
      </w:r>
      <w:r>
        <w:rPr>
          <w:rFonts w:ascii="IRNazanin" w:hAnsi="IRNazanin" w:eastAsia="IRNazanin"/>
          <w:color w:val="111111"/>
          <w:sz w:val="28"/>
          <w:sz w:val="28"/>
          <w:szCs w:val="28"/>
          <w:rtl w:val="true"/>
          <w:lang w:bidi="fa-IR"/>
        </w:rPr>
        <w:t>، فإن استلزم عدم صدق المرکّب علی المأتیّ به، فیلزم الخروج عن محطّ النزاع، و لا ینفع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فی طهوره شیئا لا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یعتبر و لا ینتزع عنه عنوان العبودیّة و هکذا، فإنّه معلوم بطلانه و لو کان عن نسیان؛ لأنّ النسیان تعلّق بالزیادة و استلزم الإخلال بالمرکّب، و هذا خارج عن مفاد دلیل رفع النسیان و ما نسوه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و تشهّد فی الرکعة الاولی التشهّد الکبیر المخلّ بالموالاة، أو نسی و سجد سجدة طویلة فی الصلاة، أو أحدث نسیانا حال الوضوء، أو غیر ذلک فی موارد إمکان الزیادة عن نسیان المستلزمة للإخلال بشی‌ء آخر فیه، فإنّ مثل التشریع حال النسیان غیر متصوّر؛ فإنّ ما هو مورد النسیان لا أثر له، و ما هو ذو أثر غیر متعلّق به النسیان، فلا تغفل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 النسیان بإتیان التشهّد مثلا أو الحدث فی الرکعة الاولی أو حال الوضوء، نسیان الاختلال و تلک النقیصة و الشرط، و لکنّه غیر تامّ یظهر بأدنی تدبّر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صورة عدم قیام الدلیل علی مبطلیّة الزیادة</w:t>
      </w:r>
    </w:p>
    <w:p>
      <w:pPr>
        <w:pStyle w:val="BookText"/>
        <w:rPr/>
      </w:pP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قام دلیل علیها بالنسبة إلی مرکّب من المرکّبات، کما فی الصلاة و بعض أفعال الحجّ مثلا، و لم تکن الزیادة مضرّة عرفا بصدق المرکّب علی المأتیّ به، فالحدیث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ناظر إلی نفس الطبیعة بما هی هی، و أمّا ما فی الخارج فهو غیر ناظر إلیه کما مرّ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الطبیعة تکون بنفسها فی الخارج، و هی بعد تحقّقها مأمور بها، إلّا أنّ الأمر ساقط و توصف هی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دعوی أنّ الحدیث ناظر إلی ما فی الخارج، و أنّ ما اتی به نسیانا، و کان 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التشریع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مورد الرفع امتنانا، و لذلک ورد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أخطأوا و ما نسوه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علی ما ببالی، فإذا نسی و أکل المیتة و شرب الخمر، فهو محکوم بالعدم مثلا؛ أی مرفوع ادعاء بلحاظ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المرکّبات الموقّتة و غیر الموقّتة، فلو نسی و أتی بسجدة زائدة فی صلاة الزلزلة، فالنسیان مرفوع حسب الادعاء؛ أی لا یضرّ ما أتی به نسیانا؛ لا ضررا اخرویّا، و لا دنیویّا کی تجب الإعادة، أو القضاء، أو غیر ذلک، فلا تغفل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ینبغی أن یختفی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بما هی زیادة، لا توجب البطلان و لو ورد فی دلیل؛ و ذلک لأنّ إیجاب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تأسیسا و تکلیفا جدیدا، بل هو یکشف عن عدم الإتیان بالمأمور به بجمیع قیوده و شرائطه، فالأمر بالإعادة إمّا لأجل اعتبار قاطعیّة الزیادة، أو مانعیّتها، أو اشتراط عدمها، أو دعوی</w:t>
      </w:r>
      <w:bookmarkStart w:id="304" w:name="pg13177_117830"/>
    </w:p>
    <w:p>
      <w:pPr>
        <w:pStyle w:val="BookText"/>
        <w:rPr/>
      </w:pPr>
      <w:bookmarkEnd w:id="304"/>
      <w:r>
        <w:rPr>
          <w:rFonts w:ascii="IRNazanin" w:hAnsi="IRNazanin" w:eastAsia="IRNazanin"/>
          <w:color w:val="111111"/>
          <w:sz w:val="28"/>
          <w:sz w:val="28"/>
          <w:szCs w:val="28"/>
          <w:rtl w:val="true"/>
          <w:lang w:bidi="fa-IR"/>
        </w:rPr>
        <w:t>أنّ المرکّب المقرون بها، لیس بصلاة أو حجّ أو غیر ذلک، کما عرفت فی کیفیّة تصویر المانعیّة،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نظریّة بالنسبة إلی مثبتیّة حدیث الرفع، و نظریّة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المثبتیّة،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نسیان الذات، و الجزء بما هو جزء، و فی مورد جریان الحدیث لا تصل النوبة إلی المعارض؛ و هو استصحاب الحکم بعد التذکّر، أو مطلقا؛ نظرا إلی أنّ المجتهد نائب فی إجرائه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بالقیاس إلی الذاکر، و الولد الأکبر، و القضاء علی وجه، فلا مورد للبحث عن تقدّمه علی الحدیث، أو العکس، أو التفصیل بین کونه رفعا واقعیّا أو ظاهریّا فی مورد النسیان، کما قالوا به فی مورد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الحدیث فی مورد نسیان جزء المرکّب غیر العبادیّ، و هکذا جریانه بالنسبة إلی نسیان المانعیّة و القاطعیّة، أو الإتیان بالزائد نسیانا</w:t>
      </w:r>
      <w:r>
        <w:rPr>
          <w:rFonts w:eastAsia="IRNazanin" w:cs="IRNazanin"/>
          <w:color w:val="111111"/>
          <w:sz w:val="28"/>
          <w:szCs w:val="28"/>
          <w:rtl w:val="true"/>
          <w:lang w:bidi="fa-IR"/>
        </w:rPr>
        <w:t>.</w:t>
      </w:r>
    </w:p>
    <w:p>
      <w:pPr>
        <w:pStyle w:val="Heading6"/>
        <w:numPr>
          <w:ilvl w:val="5"/>
          <w:numId w:val="1"/>
        </w:numPr>
        <w:rPr/>
      </w:pPr>
      <w:bookmarkStart w:id="305" w:name="__RefHeading___Toc763778_3244359995"/>
      <w:bookmarkStart w:id="306" w:name="_Toc114"/>
      <w:bookmarkEnd w:id="305"/>
      <w:r>
        <w:rPr>
          <w:rtl w:val="true"/>
        </w:rPr>
        <w:t>المبحث الثانی</w:t>
      </w:r>
      <w:r>
        <w:rPr>
          <w:rtl w:val="true"/>
        </w:rPr>
        <w:t xml:space="preserve">: </w:t>
      </w:r>
      <w:r>
        <w:rPr>
          <w:rtl w:val="true"/>
        </w:rPr>
        <w:t>حول مقتضی الأصل العملیّ فی صورة العجز عن الإتیان بالجزء عجزا عقلیّا</w:t>
      </w:r>
      <w:bookmarkEnd w:id="306"/>
    </w:p>
    <w:p>
      <w:pPr>
        <w:pStyle w:val="Heading6"/>
        <w:numPr>
          <w:ilvl w:val="5"/>
          <w:numId w:val="1"/>
        </w:numPr>
        <w:rPr/>
      </w:pPr>
      <w:bookmarkStart w:id="307" w:name="__RefHeading___Toc763780_3244359995"/>
      <w:bookmarkStart w:id="308" w:name="_Toc115"/>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سواء کان جزء صوریّا، أو تحلیلیّا کالشرط و القید، و سواء فیه المرکّب العبادیّ، و غیر العبادیّ، بعد کون محطّ النزاع صدق المرکّب علی ما وراء الجزء المتعذّر، فلو عجز عن معظم الأجزاء، أو عن الجزء المقوّم العرفیّ أو الشرعیّ، فهو خارج عن محطّ هذا البحث المتمسّک فیه بالاستصحاب و غیره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 وجود القدرة حین التکلیف، فلو کان عاجزا ثمّ بلغ وقت التکلیف، فلا مرجعیّة للاستصحاب الآتی، بل هو حسب القاعدة محطّ البراءة، أو لا شکّ لمجری البراءة؛ لأنّ إطلاق دلیل الجزء و رکنیّته، یقتضی</w:t>
      </w:r>
      <w:bookmarkStart w:id="309" w:name="pg13177_117831"/>
    </w:p>
    <w:p>
      <w:pPr>
        <w:pStyle w:val="BookText"/>
        <w:rPr/>
      </w:pPr>
      <w:bookmarkEnd w:id="309"/>
      <w:r>
        <w:rPr>
          <w:rFonts w:ascii="IRNazanin" w:hAnsi="IRNazanin" w:eastAsia="IRNazanin"/>
          <w:color w:val="111111"/>
          <w:sz w:val="28"/>
          <w:sz w:val="28"/>
          <w:szCs w:val="28"/>
          <w:rtl w:val="true"/>
          <w:lang w:bidi="fa-IR"/>
        </w:rPr>
        <w:t xml:space="preserve">عدم الشکّ فی فساد المرکّب الفاقد له تعبّدا، و لازم هذا الدلیل انتفاء موضوع البراءة، فلا مجری لها، خلافا لما یظهر من القوم </w:t>
      </w:r>
      <w:r>
        <w:rPr>
          <w:rStyle w:val="FootnoteAnchor"/>
          <w:rtl w:val="true"/>
        </w:rPr>
        <w:footnoteReference w:id="307"/>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Heading6"/>
        <w:numPr>
          <w:ilvl w:val="5"/>
          <w:numId w:val="1"/>
        </w:numPr>
        <w:rPr/>
      </w:pPr>
      <w:bookmarkStart w:id="310" w:name="__RefHeading___Toc763782_3244359995"/>
      <w:bookmarkStart w:id="311" w:name="_Toc116"/>
      <w:bookmarkEnd w:id="310"/>
      <w:r>
        <w:rPr>
          <w:rtl w:val="true"/>
        </w:rPr>
        <w:t>بقی شی‌ء</w:t>
      </w:r>
      <w:r>
        <w:rPr>
          <w:rtl w:val="true"/>
        </w:rPr>
        <w:t xml:space="preserve">: </w:t>
      </w:r>
      <w:r>
        <w:rPr>
          <w:rtl w:val="true"/>
        </w:rPr>
        <w:t>فی وجه استفادة رفع ما لا یقدرون من حدیث الرفع</w:t>
      </w:r>
      <w:bookmarkEnd w:id="311"/>
    </w:p>
    <w:p>
      <w:pPr>
        <w:pStyle w:val="BookText"/>
        <w:rPr/>
      </w:pPr>
      <w:r>
        <w:rPr>
          <w:rFonts w:ascii="IRNazanin" w:hAnsi="IRNazanin" w:eastAsia="IRNazanin"/>
          <w:color w:val="111111"/>
          <w:sz w:val="28"/>
          <w:sz w:val="28"/>
          <w:szCs w:val="28"/>
          <w:rtl w:val="true"/>
          <w:lang w:bidi="fa-IR"/>
        </w:rPr>
        <w:t>إنّ قبل الإشارة إلی محتملات الاستصحاب الحکمیّ، 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جزئیّة الجزء المعجوز عنه؛ و ذلک لأنّ ما لا یطاق أعمّ ممّا لا یقدر علیه عقلا، أو کان الإتیان به حرجیّا، أو کان فیه المشقّة الکثیرة و تحمّل الشدّة و التعب، و لو کانت الطاقة و رفعها فی الحدیث الشریف ظاهرا فی رفع المشقّة، دون مورد العجز العقلیّ، و لکن لنا دعوی فهم العرف منه و الأولویّة القطعیّة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امتنان علی هذه الأمّة فی مورد العجز؛ لأنّه لا تکلیف مع العجز فی هذه الأمّة و غیرها، فالکلّ مشترک فی صحّة الاعتذار بالعجز فی صورة ترک المأمور به، أو لا أمر فی صورة العجز</w:t>
      </w:r>
      <w:r>
        <w:rPr>
          <w:rStyle w:val="FootnoteAnchor"/>
          <w:rtl w:val="true"/>
        </w:rPr>
        <w:footnoteReference w:id="308"/>
      </w:r>
      <w:r>
        <w:rPr>
          <w:rFonts w:ascii="Amiri" w:hAnsi="Amiri" w:eastAsia="Amiri" w:cs="Amiri"/>
          <w:color w:val="111111"/>
          <w:sz w:val="28"/>
          <w:sz w:val="28"/>
          <w:szCs w:val="28"/>
          <w:rtl w:val="true"/>
          <w:lang w:bidi="ar-SA"/>
        </w:rPr>
        <w:t xml:space="preserve">، فهو فی غیر محلّه کما مرّ فی المجلّد الأوّل </w:t>
      </w:r>
      <w:r>
        <w:rPr>
          <w:rStyle w:val="FootnoteAnchor"/>
          <w:rtl w:val="true"/>
        </w:rPr>
        <w:footnoteReference w:id="309"/>
      </w:r>
      <w:r>
        <w:rPr>
          <w:rFonts w:ascii="IRNazanin" w:hAnsi="IRNazanin" w:eastAsia="IRNazanin"/>
          <w:color w:val="111111"/>
          <w:sz w:val="28"/>
          <w:sz w:val="28"/>
          <w:szCs w:val="28"/>
          <w:rtl w:val="true"/>
          <w:lang w:bidi="fa-IR"/>
        </w:rPr>
        <w:t xml:space="preserve">ضرورة أنّه فی صورة رفع التکلیف حال العجز بوجه ادعائیّ کما فی سائر الفقرات، فلازمه البراءة عند الشکّ فی القدرة؛ لأنّه یرجع إلی التمسّک بالعامّ فی الشبهة المصداقیّة للمخصّص اللفظیّ، و هو عندهم ممنوع </w:t>
      </w:r>
      <w:r>
        <w:rPr>
          <w:rStyle w:val="FootnoteAnchor"/>
          <w:rtl w:val="true"/>
        </w:rPr>
        <w:footnoteReference w:id="310"/>
      </w:r>
      <w:r>
        <w:rPr>
          <w:rFonts w:ascii="IRNazanin" w:hAnsi="IRNazanin" w:eastAsia="IRNazanin"/>
          <w:color w:val="111111"/>
          <w:sz w:val="28"/>
          <w:sz w:val="28"/>
          <w:szCs w:val="28"/>
          <w:rtl w:val="true"/>
          <w:lang w:bidi="fa-IR"/>
        </w:rPr>
        <w:t>، بخلاف المخصّص</w:t>
      </w:r>
    </w:p>
    <w:p>
      <w:pPr>
        <w:pStyle w:val="BookText"/>
        <w:rPr/>
      </w:pPr>
      <w:r>
        <w:rPr>
          <w:rFonts w:ascii="Amiri" w:hAnsi="Amiri" w:eastAsia="Amiri" w:cs="Amiri"/>
          <w:color w:val="111111"/>
          <w:sz w:val="28"/>
          <w:sz w:val="28"/>
          <w:szCs w:val="28"/>
          <w:rtl w:val="true"/>
          <w:lang w:bidi="ar-SA"/>
        </w:rPr>
        <w:t xml:space="preserve">اللبّی علی الوجه المحرّر فی محلّه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أنّه لو کان إطلاق دلیل الجزء مقیّدا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الناقص، و فیه الامتنان جدّا، فإذا طرأ علیه القدرة فی الوقت فلا شی‌ء علیه، بخلاف ما لو طرأت علیه القدرة، و الوقت باق، فإنّه علیه التمام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جری الحدیث الشریف بوجه کما عرفت، فلا تصل النوبة إلی الاستصحاب کما عرفت فیما سبق </w:t>
      </w:r>
      <w:r>
        <w:rPr>
          <w:rStyle w:val="FootnoteAnchor"/>
          <w:rtl w:val="true"/>
        </w:rPr>
        <w:footnoteReference w:id="312"/>
      </w:r>
      <w:r>
        <w:rPr>
          <w:rFonts w:ascii="IRNazanin" w:hAnsi="IRNazanin" w:eastAsia="IRNazanin"/>
          <w:color w:val="111111"/>
          <w:sz w:val="28"/>
          <w:sz w:val="28"/>
          <w:szCs w:val="28"/>
          <w:rtl w:val="true"/>
          <w:lang w:bidi="fa-IR"/>
        </w:rPr>
        <w:t>لأنّه لا شکّ بعد ما یکون التقیید و الحکومة واقعیّة؛ و أنّه مع العجز عن جزء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عبادیّا کان، أو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جزئیّة له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لأجل عدم القدرة علی الجزء لا قدرة له علی الکلّ، فالحدیث یرفع الکلّ، و هو أولی، و فیه الامتنان الأکثر، فی غیر محلّه؛ ضرورة أنّه أوّلا و بالذات عاجز عن الجزء، و إلّا فلو کان العجز عن الکلّ صحیحا لما کان وجه لتوهّم الاستصحاب التکلیفیّ الآتی المحتاج إلی القدرة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رفع جزئیّة الجزء امتنان بالقیاس إلی العقود و الإیقاعات، و هکذا شرطیّة الشرط، بخلاف رفع الکلّ،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صحّة استناد العجز و عدم الطاقة بالنسبة إلی الواجب غیر المباشریّ؛ لإمکان إیکال الأمر إلی غیره،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قادر علی التامّ و الفرد الکامل بالواسطة، و لکنّه یستند إلیه عدم القدرة و الطاقة بالنسبة إلی جزء المرکّب و شرطه عرفا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امتناع تکلیف العاجز، و عن</w:t>
      </w:r>
    </w:p>
    <w:p>
      <w:pPr>
        <w:pStyle w:val="BookText"/>
        <w:rPr/>
      </w:pPr>
      <w:r>
        <w:rPr>
          <w:rFonts w:ascii="IRNazanin" w:hAnsi="IRNazanin" w:eastAsia="IRNazanin"/>
          <w:color w:val="111111"/>
          <w:sz w:val="28"/>
          <w:sz w:val="28"/>
          <w:szCs w:val="28"/>
          <w:rtl w:val="true"/>
          <w:lang w:bidi="fa-IR"/>
        </w:rPr>
        <w:t>وجود القرینة الحافّة الصارفة للإطلاقات و العمومات، و عن بطلان حدیث قانونیّة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ربّما یتصوّر الحکم الوضعیّ بالنسبة إلی العاجز؛ و أنّه لا قبح فی خطاب الغافل و الناسی و العاجز بالنسبة إلی الإرشاد إلی الشرطیّة و الجزئیّة، فیکون الإطلاق فی هذه المرحلة محفوظا، کما صرّح به جمع من القوم قبال تفصیل الوحید البهبهانیّ رحمه اللّه علی ما مرّ</w:t>
      </w:r>
      <w:r>
        <w:rPr>
          <w:rStyle w:val="FootnoteAnchor"/>
          <w:rtl w:val="true"/>
        </w:rPr>
        <w:footnoteReference w:id="313"/>
      </w:r>
      <w:r>
        <w:rPr>
          <w:rFonts w:ascii="IRNazanin" w:hAnsi="IRNazanin" w:eastAsia="IRNazanin"/>
          <w:color w:val="111111"/>
          <w:sz w:val="28"/>
          <w:sz w:val="28"/>
          <w:szCs w:val="28"/>
          <w:rtl w:val="true"/>
          <w:lang w:bidi="fa-IR"/>
        </w:rPr>
        <w:t>، فالرفع المذکور لازم بالنسبة إلی هذه المرحلة من الإطلاقات و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بین طائفة کشف الملاک التامّ فی موارد العجز؛ لدعوی العلم بعدم الخصوصیّة، و إطلاق الهیئة و إن امتنع، و لکنّه لا یستلزم امتناع إطلاق المادة</w:t>
      </w:r>
      <w:r>
        <w:rPr>
          <w:rStyle w:val="FootnoteAnchor"/>
          <w:rtl w:val="true"/>
        </w:rPr>
        <w:footnoteReference w:id="314"/>
      </w:r>
      <w:r>
        <w:rPr>
          <w:rFonts w:ascii="IRNazanin" w:hAnsi="IRNazanin" w:eastAsia="IRNazanin"/>
          <w:color w:val="111111"/>
          <w:sz w:val="28"/>
          <w:sz w:val="28"/>
          <w:szCs w:val="28"/>
          <w:rtl w:val="true"/>
          <w:lang w:bidi="fa-IR"/>
        </w:rPr>
        <w:t xml:space="preserve">، فعندئذ ربّما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هذه المقالة؛ ضرورة بطلانها کما تحرّر مرارا، بخلاف ما إذا کان الحکم فعلیّا بالنسبة إلی العاجز، فعدم ذکر هذه الفقرة لا یکشف عن بطلان قانونیّة الخطابات الإلهیّة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یترتّب علیه ثمرة جواز التمسّک بها عند الشکّ فی القدرة، و للمسألة موقف آخر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إطلاق دلیل الجزء، ثابت عند الفریقین بالنسبة إلی العاجز و القادر، فإذا عجز عقلا، أو کان الإتیان به خروجا عن الطاقة، یجوز تقیید ذلک الإطلاق فقط، دون عموم المرکّب و إطلاقه فی الوضعیّات و التکلیفیّات، فیکون الناقص مجزیا عن التامّ؛ بمعنی أنّه المأمور به واقعا، فلا تصل النوبة إلی الشکّ فی بقاء الأمر النفسیّ کی یستصحب، کما فی مورد نسیان الجزء، أو جهالة جزئیّة شی‌ء، و إن کان فی المورد الثانی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للجریان فی حدّ</w:t>
      </w:r>
      <w:bookmarkStart w:id="312" w:name="pg13177_117834"/>
    </w:p>
    <w:p>
      <w:pPr>
        <w:pStyle w:val="BookText"/>
        <w:rPr/>
      </w:pPr>
      <w:bookmarkEnd w:id="312"/>
      <w:r>
        <w:rPr>
          <w:rFonts w:ascii="IRNazanin" w:hAnsi="IRNazanin" w:eastAsia="IRNazanin"/>
          <w:color w:val="111111"/>
          <w:sz w:val="28"/>
          <w:sz w:val="28"/>
          <w:szCs w:val="28"/>
          <w:rtl w:val="true"/>
          <w:lang w:bidi="fa-IR"/>
        </w:rPr>
        <w:t>ذاته، لولا المناقشة من جهة اختصاص الاستصحاب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إطلاق دلیل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بالاستصحاب الکلّی من القسم الثالث، و تفصیله فی محلّه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مثل ما نحن فیه غیر جار، و إن کان یحتمل حدوث التکلیف الآخر عند زوال التکلیف الأوّل المتعلّق بالکلّ غیر المتعذّرة أجزاؤه و شرائطه</w:t>
      </w:r>
      <w:r>
        <w:rPr>
          <w:rFonts w:eastAsia="IRNazanin" w:cs="IRNazanin"/>
          <w:color w:val="111111"/>
          <w:sz w:val="28"/>
          <w:szCs w:val="28"/>
          <w:rtl w:val="true"/>
          <w:lang w:bidi="fa-IR"/>
        </w:rPr>
        <w:t>.</w:t>
      </w:r>
    </w:p>
    <w:p>
      <w:pPr>
        <w:pStyle w:val="Heading6"/>
        <w:numPr>
          <w:ilvl w:val="5"/>
          <w:numId w:val="1"/>
        </w:numPr>
        <w:rPr/>
      </w:pPr>
      <w:bookmarkStart w:id="313" w:name="__RefHeading___Toc763784_3244359995"/>
      <w:bookmarkStart w:id="314" w:name="_Toc117"/>
      <w:bookmarkEnd w:id="313"/>
      <w:r>
        <w:rPr>
          <w:rtl w:val="true"/>
        </w:rPr>
        <w:t>تتمّة الکلام</w:t>
      </w:r>
      <w:r>
        <w:rPr>
          <w:rtl w:val="true"/>
        </w:rPr>
        <w:t xml:space="preserve">: </w:t>
      </w:r>
      <w:r>
        <w:rPr>
          <w:rtl w:val="true"/>
        </w:rPr>
        <w:t>فی تقدم البراءة عن أصل وجوب الطبیعة علی الاستصحاب</w:t>
      </w:r>
      <w:bookmarkEnd w:id="314"/>
    </w:p>
    <w:p>
      <w:pPr>
        <w:pStyle w:val="BookText"/>
        <w:rPr/>
      </w:pPr>
      <w:r>
        <w:rPr>
          <w:rFonts w:ascii="IRNazanin" w:hAnsi="IRNazanin" w:eastAsia="IRNazanin"/>
          <w:color w:val="111111"/>
          <w:sz w:val="28"/>
          <w:sz w:val="28"/>
          <w:szCs w:val="28"/>
          <w:rtl w:val="true"/>
          <w:lang w:bidi="fa-IR"/>
        </w:rPr>
        <w:t>حول ما إذا لم یکن لدلیل الجزء أو الشرط إطلاق، و لا لدلیل الطبیعة، بعد العلم خارجا بأصل الوجوب أو الصحّة الوضعیّة؛ لوجود القدرة علی القدر المتیقّن من الماهیّة، فإنّه عندئذ یصحّ توهّم استصحاب صحّة العقد و نفوذه، و وجوب الصلاة، و ندب الأذان، و غیر ذلک من قبیل سببیّة التذکیة، أو موضوعیّة الإیقاع و العقد، استصحابا فعلیّا، أو تعلیقیّا،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هنا، بعینه الاستصحاب الجاری للاشتغال فی الأقلّ و الأکثر، أو الجاری بالنسبة إلی حال النسیان من قبل المجتهد، أو شخص المکلّف بعد التذکّر، فلو لم یکن لدلیل الجزء إطلاق، و هکذا لدلیل الطبیعة، تجری البراءة الحاکمة عندهم علی الاستصحاب؛ لأنّ الشکّ فی بقاء الأمر المتیقّن بعد البلوغ أو دخول الوقت، ناشئ عن الشکّ فی إطلاق الجزئیّة؛ و أنّ المتعذّر و المعجوز عنه حال العجز جزء أم لا، فإذا رفعت الجزئیة حال العجز فلا حاجة إلی الاستصحاب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الجزء إمّا له الإطلاق، فهو المرجع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w:t>
      </w:r>
      <w:bookmarkStart w:id="315" w:name="pg13177_117835"/>
    </w:p>
    <w:p>
      <w:pPr>
        <w:pStyle w:val="BookText"/>
        <w:rPr/>
      </w:pPr>
      <w:bookmarkEnd w:id="315"/>
      <w:r>
        <w:rPr>
          <w:rFonts w:ascii="IRNazanin" w:hAnsi="IRNazanin" w:eastAsia="IRNazanin"/>
          <w:color w:val="111111"/>
          <w:sz w:val="28"/>
          <w:sz w:val="28"/>
          <w:szCs w:val="28"/>
          <w:rtl w:val="true"/>
          <w:lang w:bidi="fa-IR"/>
        </w:rPr>
        <w:t>الطبیعة إن کان له الإطلاق دون الجزء، فلا حاجة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الإطلاق، فالبراءة عن أصل وجوب الطبیعة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معنی لفرض الحاجة إلی دخول زمان حصل الیقین؛ لأنّه لا یعقل مع إهمال دلیل الجزء بوجوب الطبیعة الکاملة، و مع إطلاقه لا معنی للاستصحاب و الشکّ، فلا یبقی مورد یحصل الیقین بوجوب الطبیعة؛ علی وجه نحتاج إلی الاستصحاب مطلقا، بل إمّا تجری البراءة عن أصل وجوب الطبیعة، أو عن الجزئیّة حال العجز، من غیر حاجة إلی فرض دخول زمان التکلیف، کما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الأخیرة هی صورة العلم بوجوب الأقلّ، و هی الطبیعة المتقیّدة بالجزء حال القدرة، و یشکّ فی الجزئیّة حال العجز، و حدیث البراءة و الاستصحاب عندئذ هو ما مرّ فی الأقلّ و الأکثر، و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إمّا هو الکلّی فی القسم الثانی، أو من القسم الثالث، أو الفرد المردّد، أو الشخصیّ، علی اختلاف تقاریر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الثانی و الثالث غیر صحیح، و الاحتمال الأوّل عندنا غیر بعید، و الاحتمال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التقریب الذی مضی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فی محطّ النزاع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وجه تقدّم البراءة علیه، و وجه جریانه من غیر کونه محکومها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علی تقدیر کونهما عرضیّین، و یکون الشکّ الاستصحابیّ مسبّبا عن الشکّ الذی هو موضوع البراءة، یکون عندی تقدّم الاستصحاب قویّا</w:t>
      </w:r>
      <w:r>
        <w:rPr>
          <w:rFonts w:eastAsia="IRNazanin" w:cs="IRNazanin"/>
          <w:color w:val="111111"/>
          <w:sz w:val="28"/>
          <w:szCs w:val="28"/>
          <w:rtl w:val="true"/>
          <w:lang w:bidi="fa-IR"/>
        </w:rPr>
        <w:t>.</w:t>
      </w:r>
    </w:p>
    <w:p>
      <w:pPr>
        <w:pStyle w:val="Heading6"/>
        <w:numPr>
          <w:ilvl w:val="5"/>
          <w:numId w:val="1"/>
        </w:numPr>
        <w:rPr/>
      </w:pPr>
      <w:bookmarkStart w:id="316" w:name="__RefHeading___Toc763786_3244359995"/>
      <w:bookmarkStart w:id="317" w:name="_Toc118"/>
      <w:bookmarkEnd w:id="316"/>
      <w:r>
        <w:rPr>
          <w:rtl w:val="true"/>
        </w:rPr>
        <w:t>فذلکة البحث</w:t>
      </w:r>
      <w:bookmarkEnd w:id="3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الممکن تقیید إطلاق دلیل الجزء و الشرط حال العجز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کسائر الحالات التی یقع التقیید علیها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عن الجزء عجز عن الکلّ عقلا، إلّا أنّه لا یوجب سقوط الکلّ عرفا، کما أنّ نسیان الجزء عجز حال النسیان عن الکلّ، و لا یوجب سقوط الأمر عن الکلّ؛ حسب الجمع بین دلیل المرکّب و دلیل الرفع الحاکم علی دلیل الجزء و الشرط، الذی هو أیضا حاکم علی دلیل الطبیعة، و مقدّم علیه لولاه، فلا حاجة إلی الاستصحاب و الأدلّة الثانویّة، کی یقال حوله ما قد قیل، أو یمکن أن یقال،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المبحوث عنها هنا؛ هی صورة العجز عن الجزء و الشرط، و الاضطرار و الإکراه علی تقدیر کما مرّ، فیکون المفروض إطلاق دلیل الجزء، و علی هذا لا تصل النوبة إلی الاستصحاب؛ ضرورة أنّ معنی الإطلاق المذکور رکنیّة الجزء و الشرط، و معناها بطلان المرکّب بفقدهما، و سقوط أمر الطبیعة بمقتضی الدلیل الاجتهادیّ، فلا 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إهمال دلیل الجزء و الطبیعة، فالبراءة عن أصل وجوب الطبیعة أوّلا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العلم بوجوبها الإجمالیّ، فالاستصحاب المذکور هو الاستصحاب السابق الجاری عندنا فی الأقلّ و الأکثر، و لا حاجة عندئذ إلی التکرار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جریان هذا الاستصحاب بل لازمه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دعوی العلم بوجوب الباقی أیضا فتأمّل، و کون القضاء تابعا للأداء من غیر حاجة إلی الأمر الجدید؛ لأنّ</w:t>
      </w:r>
    </w:p>
    <w:p>
      <w:pPr>
        <w:pStyle w:val="BookText"/>
        <w:rPr/>
      </w:pPr>
      <w:r>
        <w:rPr>
          <w:rFonts w:ascii="IRNazanin" w:hAnsi="IRNazanin" w:eastAsia="IRNazanin"/>
          <w:color w:val="111111"/>
          <w:sz w:val="28"/>
          <w:sz w:val="28"/>
          <w:szCs w:val="28"/>
          <w:rtl w:val="true"/>
          <w:lang w:bidi="fa-IR"/>
        </w:rPr>
        <w:t>مع العجز عن الجزء الخارجیّ إذا أمکن الاستصحاب، فالقول بجریانه حال العجز عن الجزء التحلیلیّ یکون أولی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تصویر الاستصحاب بالنسبة إلی خروج الوقت و مضیّه واضح، بخلاف الجزء الخارجیّ کما مرّ</w:t>
      </w:r>
      <w:r>
        <w:rPr>
          <w:rStyle w:val="FootnoteAnchor"/>
          <w:rtl w:val="true"/>
        </w:rPr>
        <w:footnoteReference w:id="318"/>
      </w:r>
      <w:r>
        <w:rPr>
          <w:rFonts w:ascii="IRNazanin" w:hAnsi="IRNazanin" w:eastAsia="IRNazanin"/>
          <w:color w:val="111111"/>
          <w:sz w:val="28"/>
          <w:sz w:val="28"/>
          <w:szCs w:val="28"/>
          <w:rtl w:val="true"/>
          <w:lang w:bidi="fa-IR"/>
        </w:rPr>
        <w:t>، و هو العجز عن السورة و الرکوع و غیرهما، و هکذا الجزء التحلیلیّ المعجوز عنه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صورتی العجز السابق و الطارئ فی مفروض الکلام؛ و ذلک لأنّ مع إطلاق دلیل الجزء یکون البطلان معلوما، و مع إهماله تکون البراءة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فرض العلم الخارجیّ بوجوب الطبیعة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باب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العجز الطارئ العلم السابق بوجوب الأکثر المعجوز جزؤه، إلّا أنّ ذلک العلم الخارجیّ الثابت من الضرورة فی الإسلام، باق أیضا بالنسبة إلی حال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إطلاق دلیل الجزء فی برهة من الوقت دون برهة، من التسویلات الباطلة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عندنا بین موارد التکالیف و الأحکام الوضعیّة إذا کان الاستصحاب المذکور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سیمرّ علیک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حقیقة الاستصحاب لیست إلّا التعبّد بالیقین السابق بما له من الآثار، من غیر النظر إلی التعبّد الاستقلالیّ بنفس تلک الآثار و المتیقّنات السابقة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لو کان قادرا علی تمام أجزاء السبب، یکون علی یقین من سببیّة</w:t>
      </w:r>
    </w:p>
    <w:p>
      <w:pPr>
        <w:pStyle w:val="BookText"/>
        <w:rPr/>
      </w:pPr>
      <w:r>
        <w:rPr>
          <w:rFonts w:ascii="IRNazanin" w:hAnsi="IRNazanin" w:eastAsia="IRNazanin"/>
          <w:color w:val="111111"/>
          <w:sz w:val="28"/>
          <w:sz w:val="28"/>
          <w:szCs w:val="28"/>
          <w:rtl w:val="true"/>
          <w:lang w:bidi="fa-IR"/>
        </w:rPr>
        <w:t>البیع و النکاح و غیرهما، أو یکون علی یقین من موضوعیّة الإجارة و التذکیة، و غیر ذلک علی اختلاف التعابیر، فإن کان العجز عن الجزء و الشرط مخلّا بالاسم عرفا، فلا استصحاب هنا، و لا فی باب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مضرّا بالاسم عرفا، فالتعبّد ببقاء الیقین بالسببیّة الإمضائیّة کاف لترتّب الآثار، فضلا عمّا إذا قلنا بالموضوعیّة، کما ذهب إلیه بعض، و یمیل إلیه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کونه من الأصل المثبت ممنوع کبرویّا، و إن لم یکن إنکاره صغرویّا ممکنا،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الاستصحاب یکون علی نعت أنّ سببیّة بیع هذه الدار مثلا کانت معلومة، فإذا عجز عن التلفّظ بحرف من حروف الصیغة، و لم یکن ذلک موجبا للشکّ فی صدق البیع، أو العلم بانتفائه، یجری الاستصحاب، و هکذا فی استصحاب سببیّة التذکیة لحلّیة هذه الشاة مثلا، و لا یعتبر کونه قادرا فی برهة؛ لعدم اعتبار الأثر فی ظرف الیقین بالنسبة إلیه شخصیّا، بل المجتهد یجری الاستصحاب علی نعت کلّی،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بعضهم کما هو صریح شیخ مشایخنا و جدّ أولادی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الجهة المبحوث عنها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مقتضی القاعدة عند العجز عن الجزء و الشرط، مع عدم إطلاق دلیل المرکّب و دلیلهما، هل هو سقوط التکلیف، أم لا؟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واضح الاشتباه و المنع؛ ضرورة أنّ فی مفروضه تلزم البراءة عن أصل</w:t>
      </w:r>
    </w:p>
    <w:p>
      <w:pPr>
        <w:pStyle w:val="BookText"/>
        <w:rPr/>
      </w:pPr>
      <w:r>
        <w:rPr>
          <w:rFonts w:ascii="IRNazanin" w:hAnsi="IRNazanin" w:eastAsia="IRNazanin"/>
          <w:color w:val="111111"/>
          <w:sz w:val="28"/>
          <w:sz w:val="28"/>
          <w:szCs w:val="28"/>
          <w:rtl w:val="true"/>
          <w:lang w:bidi="fa-IR"/>
        </w:rPr>
        <w:t>المرکّب،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فرض العلم الخارجیّ بوجوب الطبیعة الإجمالیّة، و هذا لا یوجب وصول النوبة إلی الأصل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للاستصحاب هنا زائدا علی ما مرّ فی الأقلّ و الأکثر الجاریة فیه البراءة؛ حسبما ذهب إلیه المشهور</w:t>
      </w:r>
      <w:r>
        <w:rPr>
          <w:rStyle w:val="FootnoteAnchor"/>
          <w:rtl w:val="true"/>
        </w:rPr>
        <w:footnoteReference w:id="321"/>
      </w:r>
      <w:r>
        <w:rPr>
          <w:rFonts w:ascii="IRNazanin" w:hAnsi="IRNazanin" w:eastAsia="IRNazanin"/>
          <w:color w:val="111111"/>
          <w:sz w:val="28"/>
          <w:sz w:val="28"/>
          <w:szCs w:val="28"/>
          <w:rtl w:val="true"/>
          <w:lang w:bidi="fa-IR"/>
        </w:rPr>
        <w:t>، و غیر جار عندنا حسبما تحرّر منّا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المناقشة فی جریان الاستصحاب هنا، المناقشة فی جریانه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تلک المسألة یکون المفروض وجوب الأقلّ، و هو الثابت بالقدر المتیقّن، و یشکّ سقوط أمره بإتیان الأقلّ، و فیما نحن فیه یکون المفروض جزئیّة الجزء، مع العجز عن إتیانه بما هو جزء، فلا 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الشکّ فی جزئیّته حال العجز، تکون المسألة من صغریات الأقلّ و الأکثر أیضا الجاری فیه الاستصحاب الشخصیّ، و لا سیّما علی القول بالوجوب الضمنیّ الباطل عندنا کما مرّ</w:t>
      </w:r>
      <w:r>
        <w:rPr>
          <w:rStyle w:val="FootnoteAnchor"/>
          <w:rtl w:val="true"/>
        </w:rPr>
        <w:footnoteReference w:id="323"/>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جریان الاستصحاب الکلّی من القسم الثالث؛ بلحاظ أنّ العجز عن الجزء بعد العلم بالکلّ لا ینافی احتمال حدوث الوجوب المتعلّق بالأقلّ المعلوم وجوبه ضمنیّا أو غیریّا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أساس للوجوبین المذکورین ثبوتا و إثباتا</w:t>
      </w:r>
      <w:r>
        <w:rPr>
          <w:rFonts w:eastAsia="IRNazanin" w:cs="IRNazanin"/>
          <w:color w:val="111111"/>
          <w:sz w:val="28"/>
          <w:szCs w:val="28"/>
          <w:rtl w:val="true"/>
          <w:lang w:bidi="fa-IR"/>
        </w:rPr>
        <w:t>.</w:t>
      </w:r>
      <w:bookmarkStart w:id="318" w:name="pg13177_117840"/>
    </w:p>
    <w:p>
      <w:pPr>
        <w:pStyle w:val="Heading6"/>
        <w:numPr>
          <w:ilvl w:val="5"/>
          <w:numId w:val="1"/>
        </w:numPr>
        <w:rPr/>
      </w:pPr>
      <w:bookmarkStart w:id="319" w:name="__RefHeading___Toc763788_3244359995"/>
      <w:bookmarkStart w:id="320" w:name="_Toc119"/>
      <w:bookmarkEnd w:id="318"/>
      <w:bookmarkEnd w:id="319"/>
      <w:r>
        <w:rPr>
          <w:rtl w:val="true"/>
        </w:rPr>
        <w:t>المبحث الثالث</w:t>
      </w:r>
      <w:r>
        <w:rPr>
          <w:rtl w:val="true"/>
        </w:rPr>
        <w:t xml:space="preserve">: </w:t>
      </w:r>
      <w:r>
        <w:rPr>
          <w:rtl w:val="true"/>
        </w:rPr>
        <w:t>حول مقتضی القواعد الثانویّة فیما إذا طرأ العجز عن إتیان بعض المأمور به جزء أو شرطا</w:t>
      </w:r>
      <w:bookmarkEnd w:id="320"/>
    </w:p>
    <w:p>
      <w:pPr>
        <w:pStyle w:val="Heading6"/>
        <w:numPr>
          <w:ilvl w:val="5"/>
          <w:numId w:val="1"/>
        </w:numPr>
        <w:rPr/>
      </w:pPr>
      <w:bookmarkStart w:id="321" w:name="__RefHeading___Toc763790_3244359995"/>
      <w:bookmarkStart w:id="322" w:name="_Toc120"/>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و قبل الإشارة إلیها، لا بأس بالإیماء إلی أنّ من المحتمل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انحلال إطلاق الأدلّة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لدلیل الجزء و الشرط إطلاق،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امتثال المرتبة التالیة المقدورة؛ و ذلک بمقایسة الأقلّ و الأکثر الارتباطیّین بالاستقلالیّین؛ ضرورة أنّه إذا ورد الأمر بالصدقة أو بأداء الدین، ینحلّ ذلک حسب مراتبهما، فیکون الأمر بالصلاة و أشباهها أیضا کذلک؛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المراتب المقدورة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یمکن الالتزام بأوامر عرضیة فی الأقلّ و الأکثر الارتباطیّین، بل و الاستقلالیّین کما مرّ منّا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قیام الدلیل العقلیّ علی الانحلال المذکور، لا یمنع من انحلال صحیح عقلائیّ؛ و هو الطولیّ و فی صورة التعذّر عن الأکثر، و قد تحرّر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الانحلال یستتبع مقدار الحاجة العقلائیّة إلیه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دارا مشترکة بین خمسة أنفار، یکون البیع قابلا للانحلال إلی الخمسة، و أمّا انحلال بیع الدار غیر المشترکة حسب أجزائها الفکّیة، أو العقلیّة و الکسریّة، فهو غلط، و إنّما ینحلّ فی صورة الحاجة بمقدار الاحتیاج عرفا عند العقلاء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 واجدا للماء یبعثه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Style w:val="FootnoteAnchor"/>
          <w:rtl w:val="true"/>
        </w:rPr>
        <w:footnoteReference w:id="326"/>
      </w:r>
      <w:r>
        <w:rPr>
          <w:rFonts w:ascii="IRNazanin" w:hAnsi="IRNazanin" w:eastAsia="IRNazanin"/>
          <w:color w:val="111111"/>
          <w:sz w:val="28"/>
          <w:sz w:val="28"/>
          <w:szCs w:val="28"/>
          <w:rtl w:val="true"/>
          <w:lang w:bidi="fa-IR"/>
        </w:rPr>
        <w:t>إلی المائیّة،</w:t>
      </w:r>
    </w:p>
    <w:p>
      <w:pPr>
        <w:pStyle w:val="BookText"/>
        <w:rPr/>
      </w:pPr>
      <w:r>
        <w:rPr>
          <w:rFonts w:ascii="IRNazanin" w:hAnsi="IRNazanin" w:eastAsia="IRNazanin"/>
          <w:color w:val="111111"/>
          <w:sz w:val="28"/>
          <w:sz w:val="28"/>
          <w:szCs w:val="28"/>
          <w:rtl w:val="true"/>
          <w:lang w:bidi="fa-IR"/>
        </w:rPr>
        <w:t>و من کان فاقدا له یبعثه إلی الترابیّة، و من کان عاجزا عن الجزء أو الشرط یبعثه إلی البقیّة؛ بعد کونها صلاة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دلیل الجزء بطلان الصلاة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بالنسبة إلی الأمر الأوّل الثابت للطبیعة الجامعة، فإنّ مقتضی الأمر بالجزء علی الإطلاق رکنیّة الجزء لها، و فقد الأمر بها بعد العجز عنه و بطلانها؛ لفقد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العجز، و فقد الأمر بالنسبة إلیها، فیکون أمر تأسیسیّ نفسیّ آخر بالنسبة إلی بقیّة الأجزاء؛ لکونها صلاة مقدورة، و قضیّة الإطلاق أنّها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المتعذّر جزؤها مورد الأمر الفعلیّ؛ لإمکانه و لو کان عاجزا کما هو الحقّ، و لکن لا بأس حینئذ بالانحلال؛ لعدم کونه معذورا بالنسبة إلی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ذکرنا، غیر ما مرّ فی أوائل بحث الإخلال بالمرکّب عمدا مع توهّم صحّته </w:t>
      </w:r>
      <w:r>
        <w:rPr>
          <w:rStyle w:val="FootnoteAnchor"/>
          <w:rtl w:val="true"/>
        </w:rPr>
        <w:footnoteReference w:id="327"/>
      </w:r>
      <w:r>
        <w:rPr>
          <w:rFonts w:ascii="IRNazanin" w:hAnsi="IRNazanin" w:eastAsia="IRNazanin"/>
          <w:color w:val="111111"/>
          <w:sz w:val="28"/>
          <w:sz w:val="28"/>
          <w:szCs w:val="28"/>
          <w:rtl w:val="true"/>
          <w:lang w:bidi="fa-IR"/>
        </w:rPr>
        <w:t xml:space="preserve">، کما احتمله المحقّق التقیّ الشیرازیّ </w:t>
      </w:r>
      <w:r>
        <w:rPr>
          <w:rStyle w:val="FootnoteAnchor"/>
          <w:rtl w:val="true"/>
        </w:rPr>
        <w:footnoteReference w:id="328"/>
      </w:r>
      <w:r>
        <w:rPr>
          <w:rFonts w:ascii="Amiri" w:hAnsi="Amiri" w:eastAsia="Amiri" w:cs="Amiri"/>
          <w:color w:val="111111"/>
          <w:sz w:val="28"/>
          <w:sz w:val="28"/>
          <w:szCs w:val="28"/>
          <w:rtl w:val="true"/>
          <w:lang w:bidi="ar-SA"/>
        </w:rPr>
        <w:t>، و صحّحه المحقّق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فلا تخلط، و عرفت امتناعه و عدم صحّته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عدم وجود الإطلاق لأدلّة التشریع الأوّلیة کما مرّ</w:t>
      </w:r>
      <w:r>
        <w:rPr>
          <w:rStyle w:val="FootnoteAnchor"/>
          <w:rtl w:val="true"/>
        </w:rPr>
        <w:footnoteReference w:id="331"/>
      </w:r>
      <w:r>
        <w:rPr>
          <w:rFonts w:ascii="IRNazanin" w:hAnsi="IRNazanin" w:eastAsia="IRNazanin"/>
          <w:color w:val="111111"/>
          <w:sz w:val="28"/>
          <w:sz w:val="28"/>
          <w:szCs w:val="28"/>
          <w:rtl w:val="true"/>
          <w:lang w:bidi="fa-IR"/>
        </w:rPr>
        <w:t xml:space="preserve">، فغیر تامّ؛ لاختلاف موارد تلک الأدلّة کما مضی </w:t>
      </w:r>
      <w:r>
        <w:rPr>
          <w:rStyle w:val="FootnoteAnchor"/>
          <w:rtl w:val="true"/>
        </w:rPr>
        <w:footnoteReference w:id="332"/>
      </w:r>
      <w:r>
        <w:rPr>
          <w:rFonts w:ascii="IRNazanin" w:hAnsi="IRNazanin" w:eastAsia="IRNazanin"/>
          <w:color w:val="111111"/>
          <w:sz w:val="28"/>
          <w:sz w:val="28"/>
          <w:szCs w:val="28"/>
          <w:rtl w:val="true"/>
          <w:lang w:bidi="fa-IR"/>
        </w:rPr>
        <w:t>، و مجرّد ذهاب بعض أرکان الفضیلة أو جلّ</w:t>
      </w:r>
      <w:bookmarkStart w:id="323" w:name="pg13177_117842"/>
    </w:p>
    <w:p>
      <w:pPr>
        <w:pStyle w:val="BookText"/>
        <w:rPr/>
      </w:pPr>
      <w:bookmarkEnd w:id="323"/>
      <w:r>
        <w:rPr>
          <w:rFonts w:ascii="IRNazanin" w:hAnsi="IRNazanin" w:eastAsia="IRNazanin"/>
          <w:color w:val="111111"/>
          <w:sz w:val="28"/>
          <w:sz w:val="28"/>
          <w:szCs w:val="28"/>
          <w:rtl w:val="true"/>
          <w:lang w:bidi="fa-IR"/>
        </w:rPr>
        <w:t>المتأخّرین إلی فقد إطلاقها غیر مضرّ،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فی موارد الإطلاق البدلیّ یکون التقریب المذکور أظهر، و فی موارد العمومات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333"/>
      </w:r>
      <w:r>
        <w:rPr>
          <w:rFonts w:ascii="IRNazanin" w:hAnsi="IRNazanin" w:eastAsia="IRNazanin"/>
          <w:color w:val="111111"/>
          <w:sz w:val="28"/>
          <w:sz w:val="28"/>
          <w:szCs w:val="28"/>
          <w:rtl w:val="true"/>
          <w:lang w:bidi="fa-IR"/>
        </w:rPr>
        <w:t>یکون التمسّک لسببیّة العقد العرفیّ المعجوز عن قیده الشرعیّ علی ما أسّسناه أوضح</w:t>
      </w:r>
      <w:r>
        <w:rPr>
          <w:rFonts w:eastAsia="IRNazanin" w:cs="IRNazanin"/>
          <w:color w:val="111111"/>
          <w:sz w:val="28"/>
          <w:szCs w:val="28"/>
          <w:rtl w:val="true"/>
          <w:lang w:bidi="fa-IR"/>
        </w:rPr>
        <w:t>.</w:t>
      </w:r>
    </w:p>
    <w:p>
      <w:pPr>
        <w:pStyle w:val="Heading6"/>
        <w:numPr>
          <w:ilvl w:val="5"/>
          <w:numId w:val="1"/>
        </w:numPr>
        <w:rPr/>
      </w:pPr>
      <w:bookmarkStart w:id="324" w:name="__RefHeading___Toc763792_3244359995"/>
      <w:bookmarkStart w:id="325" w:name="_Toc121"/>
      <w:bookmarkEnd w:id="324"/>
      <w:r>
        <w:rPr>
          <w:rtl w:val="true"/>
        </w:rPr>
        <w:t xml:space="preserve">حول التمسّک بحدیث </w:t>
      </w:r>
      <w:r>
        <w:rPr>
          <w:rtl w:val="true"/>
        </w:rPr>
        <w:t>«</w:t>
      </w:r>
      <w:r>
        <w:rPr>
          <w:rtl w:val="true"/>
        </w:rPr>
        <w:t>المیسور</w:t>
      </w:r>
      <w:r>
        <w:rPr>
          <w:rtl w:val="true"/>
        </w:rPr>
        <w:t xml:space="preserve">» </w:t>
      </w:r>
      <w:r>
        <w:rPr>
          <w:rtl w:val="true"/>
        </w:rPr>
        <w:t xml:space="preserve">و </w:t>
      </w:r>
      <w:r>
        <w:rPr>
          <w:rtl w:val="true"/>
        </w:rPr>
        <w:t>«</w:t>
      </w:r>
      <w:r>
        <w:rPr>
          <w:rtl w:val="true"/>
        </w:rPr>
        <w:t xml:space="preserve">ما لا یدرک </w:t>
      </w:r>
      <w:r>
        <w:rPr>
          <w:rtl w:val="true"/>
        </w:rPr>
        <w:t xml:space="preserve">...» </w:t>
      </w:r>
      <w:r>
        <w:rPr>
          <w:rtl w:val="true"/>
        </w:rPr>
        <w:t xml:space="preserve">و </w:t>
      </w:r>
      <w:r>
        <w:rPr>
          <w:rtl w:val="true"/>
        </w:rPr>
        <w:t>«</w:t>
      </w:r>
      <w:r>
        <w:rPr>
          <w:rtl w:val="true"/>
        </w:rPr>
        <w:t xml:space="preserve">إذا أمرتکم </w:t>
      </w:r>
      <w:r>
        <w:rPr>
          <w:rtl w:val="true"/>
        </w:rPr>
        <w:t xml:space="preserve">...» </w:t>
      </w:r>
      <w:r>
        <w:rPr>
          <w:rtl w:val="true"/>
        </w:rPr>
        <w:t>لإثبات وجوب الباقی</w:t>
      </w:r>
      <w:bookmarkEnd w:id="325"/>
    </w:p>
    <w:p>
      <w:pPr>
        <w:pStyle w:val="BookText"/>
        <w:rPr/>
      </w:pPr>
      <w:r>
        <w:rPr>
          <w:rFonts w:ascii="IRNazanin" w:hAnsi="IRNazanin" w:eastAsia="IRNazanin"/>
          <w:color w:val="111111"/>
          <w:sz w:val="28"/>
          <w:sz w:val="28"/>
          <w:szCs w:val="28"/>
          <w:rtl w:val="true"/>
          <w:lang w:bidi="fa-IR"/>
        </w:rPr>
        <w:t>إذا عرفت ذلک، فلا حاجة فی الحقیقة إلی القواعد الثلاث المعروفة المتمسّک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بحسب السند ممنوعة الحجّیة؛ ضرورة 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أمرتکم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موجودا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دون کتب أصحابنا إلّا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إلّا أنّه غیر کاف بعد کون الراوی أبا هریرة عن خطبة فی حجّة الوداع، فربّما تکون المرسلتان العلویّتان أقوی من هذا المسند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فی الکتب الأوّلیة، إلّا أنّهما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جمهور</w:t>
      </w:r>
      <w:r>
        <w:rPr>
          <w:rStyle w:val="FootnoteAnchor"/>
          <w:rtl w:val="true"/>
        </w:rPr>
        <w:footnoteReference w:id="338"/>
      </w:r>
      <w:r>
        <w:rPr>
          <w:rFonts w:ascii="IRNazanin" w:hAnsi="IRNazanin" w:eastAsia="IRNazanin"/>
          <w:color w:val="111111"/>
          <w:sz w:val="28"/>
          <w:sz w:val="28"/>
          <w:szCs w:val="28"/>
          <w:rtl w:val="true"/>
          <w:lang w:bidi="fa-IR"/>
        </w:rPr>
        <w:t>و هو محمّد بن إبراهیم بن أبی جمهور الذی یعدّ أحیانا عن مشایخ</w:t>
      </w:r>
    </w:p>
    <w:p>
      <w:pPr>
        <w:pStyle w:val="BookText"/>
        <w:rPr/>
      </w:pPr>
      <w:r>
        <w:rPr>
          <w:rFonts w:ascii="IRNazanin" w:hAnsi="IRNazanin" w:eastAsia="IRNazanin"/>
          <w:color w:val="111111"/>
          <w:sz w:val="28"/>
          <w:sz w:val="28"/>
          <w:szCs w:val="28"/>
          <w:rtl w:val="true"/>
          <w:lang w:bidi="fa-IR"/>
        </w:rPr>
        <w:t xml:space="preserve">المحقّق الکرکیّ رحمه اللّه و قد حکاهما النراقیّ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النوریّ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و لا یکون جمیع مستندات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عندنا؛ حسبما ذکرناه فی حواشینا علی الفائدة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w:t>
      </w:r>
      <w:r>
        <w:rPr>
          <w:rStyle w:val="FootnoteAnchor"/>
          <w:rtl w:val="true"/>
        </w:rPr>
        <w:footnoteReference w:id="341"/>
      </w:r>
      <w:r>
        <w:rPr>
          <w:rFonts w:ascii="IRNazanin" w:hAnsi="IRNazanin" w:eastAsia="IRNazanin"/>
          <w:color w:val="111111"/>
          <w:sz w:val="28"/>
          <w:sz w:val="28"/>
          <w:szCs w:val="28"/>
          <w:rtl w:val="true"/>
          <w:lang w:bidi="fa-IR"/>
        </w:rPr>
        <w:t>، و لا یکفی ما ذکره رحمه اللّه لإتمام الحجّیة اللازم عقلا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أسانیدها غیر نقیّة بحسب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بحسب الشهرة الجابرة فهی أیضا ممنوعة؛ لاشتهارها بین المتأخّرین، و من لا یعتنی بالشهرة بینهم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استفادة حجّیة کلّ مشهور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لمّا حققنا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w:t>
      </w:r>
      <w:r>
        <w:rPr>
          <w:rStyle w:val="FootnoteAnchor"/>
          <w:rtl w:val="true"/>
        </w:rPr>
        <w:footnoteReference w:id="343"/>
      </w:r>
      <w:r>
        <w:rPr>
          <w:rFonts w:ascii="IRNazanin" w:hAnsi="IRNazanin" w:eastAsia="IRNazanin"/>
          <w:color w:val="111111"/>
          <w:sz w:val="28"/>
          <w:sz w:val="28"/>
          <w:szCs w:val="28"/>
          <w:rtl w:val="true"/>
          <w:lang w:bidi="fa-IR"/>
        </w:rPr>
        <w:t>، و إذا کان مجرّد الاشتهار العرفیّ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العناوین العرفیّة المأخوذة فی سائر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للاعتماد علی هذه الثلاثة وجه، إلّا أنّه غیر وجیه فلیتأمّل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قانون کلّی یعالج به الخبران المتعارضان، و یستنبط منه حجّیة المشهور، و لا یختصّ بعلاج الخبرین،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الشهرة الفتوائیّة المتقدّمة، و الخبر المشهور بین المتأخّرین، المؤیّد فی الجملة بفتوی القوم و الأخبار الخاصّة</w:t>
      </w:r>
      <w:r>
        <w:rPr>
          <w:rFonts w:eastAsia="IRNazanin" w:cs="IRNazanin"/>
          <w:color w:val="111111"/>
          <w:sz w:val="28"/>
          <w:szCs w:val="28"/>
          <w:rtl w:val="true"/>
          <w:lang w:bidi="fa-IR"/>
        </w:rPr>
        <w:t>.</w:t>
      </w:r>
      <w:bookmarkStart w:id="326" w:name="pg13177_117844"/>
    </w:p>
    <w:p>
      <w:pPr>
        <w:pStyle w:val="BookText"/>
        <w:rPr/>
      </w:pPr>
      <w:bookmarkEnd w:id="326"/>
      <w:r>
        <w:rPr>
          <w:rFonts w:ascii="IRNazanin" w:hAnsi="IRNazanin" w:eastAsia="IRNazanin"/>
          <w:color w:val="111111"/>
          <w:sz w:val="28"/>
          <w:sz w:val="28"/>
          <w:szCs w:val="28"/>
          <w:rtl w:val="true"/>
          <w:lang w:bidi="fa-IR"/>
        </w:rPr>
        <w:t>و التعلیل المذکور هنا کقوله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ضرر و لا ضرار</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من التعلیل بالقانون الإسلامیّ العامّ و لو کان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حول مفادها، و لا بأس بالإشارة الإجمالیّة إلی المحتملات البدویّة، و ما هو المحتمل الأوسع نطاقا، و ما هو المحتمل الأضیق انطباقا، و ما بینهما یتبیّن طبعا، و یکون فیها الإیکال علی القارئ المعظّم</w:t>
      </w:r>
      <w:r>
        <w:rPr>
          <w:rFonts w:eastAsia="IRNazanin" w:cs="IRNazanin"/>
          <w:color w:val="111111"/>
          <w:sz w:val="28"/>
          <w:szCs w:val="28"/>
          <w:rtl w:val="true"/>
          <w:lang w:bidi="fa-IR"/>
        </w:rPr>
        <w:t>:</w:t>
      </w:r>
    </w:p>
    <w:p>
      <w:pPr>
        <w:pStyle w:val="Heading6"/>
        <w:numPr>
          <w:ilvl w:val="5"/>
          <w:numId w:val="1"/>
        </w:numPr>
        <w:rPr/>
      </w:pPr>
      <w:bookmarkStart w:id="327" w:name="__RefHeading___Toc763794_3244359995"/>
      <w:bookmarkStart w:id="328" w:name="_Toc122"/>
      <w:bookmarkEnd w:id="327"/>
      <w:r>
        <w:rPr>
          <w:rtl w:val="true"/>
        </w:rPr>
        <w:t xml:space="preserve">التعرض لحدیث </w:t>
      </w:r>
      <w:r>
        <w:rPr>
          <w:rtl w:val="true"/>
        </w:rPr>
        <w:t>«</w:t>
      </w:r>
      <w:r>
        <w:rPr>
          <w:rtl w:val="true"/>
        </w:rPr>
        <w:t xml:space="preserve">إذا أمرتکم </w:t>
      </w:r>
      <w:r>
        <w:rPr>
          <w:rtl w:val="true"/>
        </w:rPr>
        <w:t>...»</w:t>
      </w:r>
      <w:bookmarkEnd w:id="328"/>
    </w:p>
    <w:p>
      <w:pPr>
        <w:pStyle w:val="BookText"/>
        <w:rPr/>
      </w:pPr>
      <w:r>
        <w:rPr>
          <w:rFonts w:ascii="IRNazanin" w:hAnsi="IRNazanin" w:eastAsia="IRNazanin"/>
          <w:color w:val="111111"/>
          <w:sz w:val="28"/>
          <w:sz w:val="28"/>
          <w:szCs w:val="28"/>
          <w:rtl w:val="true"/>
          <w:lang w:bidi="fa-IR"/>
        </w:rPr>
        <w:t>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 و إذا نهیتکم عن شی‌ء فاجتنبوه</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فیحتمل أن یکون الأمر أعمّ من النفسیّ الإیجابیّ، و الندبیّ، و الأوامر الإلزامیّة الوضعیّة، مثل أَوْفُوا بِالْعُقُودِ و نحوه، و یکون تمسّکهم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الأمر موضوع للندب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محلّه؛ فإنّما یستفاد الرخصة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المورد،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الْآمِرُونَ بِالْمَعْرُوفِ </w:t>
      </w:r>
      <w:r>
        <w:rPr>
          <w:rStyle w:val="FootnoteAnchor"/>
          <w:rtl w:val="true"/>
        </w:rPr>
        <w:footnoteReference w:id="348"/>
      </w:r>
      <w:r>
        <w:rPr>
          <w:rFonts w:ascii="IRNazanin" w:hAnsi="IRNazanin" w:eastAsia="IRNazanin"/>
          <w:color w:val="111111"/>
          <w:sz w:val="28"/>
          <w:sz w:val="28"/>
          <w:szCs w:val="28"/>
          <w:rtl w:val="true"/>
          <w:lang w:bidi="fa-IR"/>
        </w:rPr>
        <w:t>فإنّه بالنسبة إلی المعروف الندبیّ یکون الأمر به ندبیّا؛ للقرینة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اختصاص الحدیث بمسائل خاصّة یأمر بها النبیّ صلّی اللّه علیه و اله و سلّم لمکان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أحکام اللّه تعالی، مندفع بما هو المذکور فی مورد الحدیث و هو الحجّ؛ و أنّ أحکام اللّه تنسب إلیه صلّی اللّه علیه و اله و سلّم بوجه صحیح عند أهله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الأصل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التبعیض، فیشمل المرکّب الذی یکون من</w:t>
      </w:r>
    </w:p>
    <w:p>
      <w:pPr>
        <w:pStyle w:val="BookText"/>
        <w:rPr/>
      </w:pPr>
      <w:r>
        <w:rPr>
          <w:rFonts w:ascii="IRNazanin" w:hAnsi="IRNazanin" w:eastAsia="IRNazanin"/>
          <w:color w:val="111111"/>
          <w:sz w:val="28"/>
          <w:sz w:val="28"/>
          <w:szCs w:val="28"/>
          <w:rtl w:val="true"/>
          <w:lang w:bidi="fa-IR"/>
        </w:rPr>
        <w:t>قبیل الأقلّ و الأکثر الاستقلالی، و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شموله لنفس الطبیعة التی یکون بعض أفرادها مورد العجز إشکال؛ لامتناع الجمع بینهما، و لزوم الاستعمال فی الأکثر، و هو بعید فی القوانین العامّة الملقاة للعمل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ادعاء أنّ شموله للأقلّ و الأکثر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الرتبة الناقصة مصداقا آخر لطبیعة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یسهّل شموله للأفراد حسب النظر العرفیّ؛ نظرا إلی أنّ الطبیعة ساریة فی الأفراد، فیکون الفرد المعجوز عنه بعضها بلحاظ سریانها، و الفرد المقدور علیه بعضها،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جمیع الصور الثلاث؛ بلحاظ أنّه کنایة عن موارد الأمر سواء کانت کلّا، أو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و أنّ مسألة سریان الطبیعة من الأباطیل، و أنّ حدیث التطبیق لا یرجع إلی 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تستعمل فی الجزء تستعمل فی الجزئیّ، 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الحیوان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أَوْلی بِبَعْضٍ </w:t>
      </w:r>
      <w:r>
        <w:rPr>
          <w:rStyle w:val="FootnoteAnchor"/>
          <w:rtl w:val="true"/>
        </w:rPr>
        <w:footnoteReference w:id="349"/>
      </w:r>
      <w:r>
        <w:rPr>
          <w:rFonts w:ascii="Amiri" w:hAnsi="Amiri" w:eastAsia="Amiri" w:cs="Amiri"/>
          <w:color w:val="111111"/>
          <w:sz w:val="28"/>
          <w:sz w:val="28"/>
          <w:szCs w:val="28"/>
          <w:rtl w:val="true"/>
          <w:lang w:bidi="ar-SA"/>
        </w:rPr>
        <w:t>و بَعْضُکُمْ لِبَعْضٍ عَدُوٌّ</w:t>
      </w:r>
      <w:r>
        <w:rPr>
          <w:rStyle w:val="FootnoteAnchor"/>
          <w:rtl w:val="true"/>
        </w:rPr>
        <w:footnoteReference w:id="350"/>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لذلک البعض الموضوع بوضع واحد لمعنی واحد، و إنّما یستفاد خصوصیّة الجزء و الجزئیّة من القرائن الحافّة، و ما هو المعنی الجامع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طائفة من الأجزاء، أو من الأفراد، و أمّا الطائفة فهی موضوعة لمعنی وسیع یصدق علی القلیل و الکثیر،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تصدق علی واحد</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فلیتأمّل جیّدا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وجه ضعف امتناع تصویر الجامع بین الأجزاء و الکلّ،</w:t>
      </w:r>
      <w:bookmarkStart w:id="329" w:name="pg13177_117846"/>
    </w:p>
    <w:p>
      <w:pPr>
        <w:pStyle w:val="BookText"/>
        <w:rPr/>
      </w:pPr>
      <w:bookmarkEnd w:id="329"/>
      <w:r>
        <w:rPr>
          <w:rFonts w:ascii="Amiri" w:hAnsi="Amiri" w:eastAsia="Amiri" w:cs="Amiri"/>
          <w:color w:val="111111"/>
          <w:sz w:val="28"/>
          <w:sz w:val="28"/>
          <w:szCs w:val="28"/>
          <w:rtl w:val="true"/>
          <w:lang w:bidi="ar-SA"/>
        </w:rPr>
        <w:t>و الجزئیّات و الکلّی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الغریب ما فی کلامی العلمین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المورد یوجب قصورا فی الإطلاق؛ إمّا لأجل الصرف و صلاحیته للقرینة، و إمّا لأجل فقد شرط الإطلاق؛ لوجود القدر المتیقّن فی مقام التخاطب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غیر لائق بهما بعد عدم اعتبار الشرط المذکور، و أنّه یلزم فقد إطلاق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جمیع المطلقات الواردة علی نعت القانون، و لا سیّما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دعوی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من الکلّ، أقوی من دعوی صارفیّة المورد و قرینیّته کما لا یخفی، فلا تغفل</w:t>
      </w:r>
      <w:r>
        <w:rPr>
          <w:rFonts w:eastAsia="IRNazanin" w:cs="IRNazanin"/>
          <w:color w:val="111111"/>
          <w:sz w:val="28"/>
          <w:szCs w:val="28"/>
          <w:rtl w:val="true"/>
          <w:lang w:bidi="fa-IR"/>
        </w:rPr>
        <w:t>.</w:t>
      </w:r>
    </w:p>
    <w:p>
      <w:pPr>
        <w:pStyle w:val="Heading6"/>
        <w:numPr>
          <w:ilvl w:val="5"/>
          <w:numId w:val="1"/>
        </w:numPr>
        <w:rPr/>
      </w:pPr>
      <w:bookmarkStart w:id="330" w:name="__RefHeading___Toc763796_3244359995"/>
      <w:bookmarkStart w:id="331" w:name="_Toc123"/>
      <w:bookmarkEnd w:id="330"/>
      <w:r>
        <w:rPr>
          <w:rtl w:val="true"/>
        </w:rPr>
        <w:t>بقی شی‌ء</w:t>
      </w:r>
      <w:r>
        <w:rPr>
          <w:rtl w:val="true"/>
        </w:rPr>
        <w:t xml:space="preserve">: </w:t>
      </w:r>
      <w:r>
        <w:rPr>
          <w:rtl w:val="true"/>
        </w:rPr>
        <w:t xml:space="preserve">فی ابتناء المسألة علی المراد من کلمة </w:t>
      </w:r>
      <w:r>
        <w:rPr>
          <w:rtl w:val="true"/>
        </w:rPr>
        <w:t>«</w:t>
      </w:r>
      <w:r>
        <w:rPr>
          <w:rtl w:val="true"/>
        </w:rPr>
        <w:t>من</w:t>
      </w:r>
      <w:r>
        <w:rPr>
          <w:rtl w:val="true"/>
        </w:rPr>
        <w:t xml:space="preserve">» </w:t>
      </w:r>
      <w:r>
        <w:rPr>
          <w:rtl w:val="true"/>
        </w:rPr>
        <w:t>فی الحدیث</w:t>
      </w:r>
      <w:bookmarkEnd w:id="331"/>
    </w:p>
    <w:p>
      <w:pPr>
        <w:pStyle w:val="BookText"/>
        <w:rPr/>
      </w:pPr>
      <w:r>
        <w:rPr>
          <w:rFonts w:ascii="IRNazanin" w:hAnsi="IRNazanin" w:eastAsia="IRNazanin"/>
          <w:color w:val="111111"/>
          <w:sz w:val="28"/>
          <w:sz w:val="28"/>
          <w:szCs w:val="28"/>
          <w:rtl w:val="true"/>
          <w:lang w:bidi="fa-IR"/>
        </w:rPr>
        <w:t>یظهر من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مبتنیة علی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للموصول، فتفید لما نحن فیه، أو زمانیّة مصدریّة فلا تنفع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هناک احتمالا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کونها موصوفة نکرة، و لا ترتبط مسألتنا بهذه المسألة، فلو کان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فیلزم شمول الأمر بالإتیان أیضا أعمّ، سواء کان المقدور بعض الکلّ، أو فردا من الکلّی فی وقت الاقتدار و الاستطاعة، فالمسألة تدور حول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هل تختصّ بالجزء، فیلزم الإجمال، أو هی للأعمّ،</w:t>
      </w:r>
    </w:p>
    <w:p>
      <w:pPr>
        <w:pStyle w:val="BookText"/>
        <w:rPr/>
      </w:pPr>
      <w:r>
        <w:rPr>
          <w:rFonts w:ascii="IRNazanin" w:hAnsi="IRNazanin" w:eastAsia="IRNazanin"/>
          <w:color w:val="111111"/>
          <w:sz w:val="28"/>
          <w:sz w:val="28"/>
          <w:szCs w:val="28"/>
          <w:rtl w:val="true"/>
          <w:lang w:bidi="fa-IR"/>
        </w:rPr>
        <w:t>فیلزم دلالته علی المطلوب؟</w:t>
      </w:r>
    </w:p>
    <w:p>
      <w:pPr>
        <w:pStyle w:val="BookText"/>
        <w:rPr/>
      </w:pPr>
      <w:r>
        <w:rPr>
          <w:rFonts w:ascii="IRNazanin" w:hAnsi="IRNazanin" w:eastAsia="IRNazanin"/>
          <w:color w:val="111111"/>
          <w:sz w:val="28"/>
          <w:sz w:val="28"/>
          <w:szCs w:val="28"/>
          <w:rtl w:val="true"/>
          <w:lang w:bidi="fa-IR"/>
        </w:rPr>
        <w:t>بقیت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غیر متعدّیة حسب المتعارف فی الاستعمالات، و عندئذ لا بدّ من أسباب التعدّی و هی مفقودة، و لیست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للتعدیة، و عند ذلک تکون هذه الکلّیة فاقدة لشرائط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کون الراوی أبا هریرة الجعّال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هذه الشبهة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الإفعال، فیکون مفعوله إمّا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عندئذ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زمانیّة، أو یکون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کون الجارّ و المجرور مفعولا به،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موصوفة نکرة، أو موصولة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النحاة إلی إمکان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التبعیضیّة مبتدأ، و قالوا و منه قول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منقول کفضل و أسد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حیث إنّ التبعیضیّة معنی حرفیّ لا یتمّ ما ذکر، فیلزم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به؛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الإتیان من المأمور به مقدار مقدورکم و مستطاعکم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تأتی لازمة تأتی متعدّیة،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یَأْتِینَ الْفاحِشَةَ مِنْ نِسائِکُمْ </w:t>
      </w:r>
      <w:r>
        <w:rPr>
          <w:rStyle w:val="FootnoteAnchor"/>
          <w:rtl w:val="true"/>
        </w:rPr>
        <w:footnoteReference w:id="356"/>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لَتَأْتُونَ الرِّجالَ </w:t>
      </w:r>
      <w:r>
        <w:rPr>
          <w:rStyle w:val="FootnoteAnchor"/>
          <w:rtl w:val="true"/>
        </w:rPr>
        <w:footnoteReference w:id="357"/>
      </w:r>
      <w:r>
        <w:rPr>
          <w:rFonts w:ascii="IRNazanin" w:hAnsi="IRNazanin" w:eastAsia="IRNazanin"/>
          <w:color w:val="111111"/>
          <w:sz w:val="28"/>
          <w:sz w:val="28"/>
          <w:szCs w:val="28"/>
          <w:rtl w:val="true"/>
          <w:lang w:bidi="fa-IR"/>
        </w:rPr>
        <w:t xml:space="preserve">و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غیره </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أتی لازم متعدّ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تکون الهمزة همزة</w:t>
      </w:r>
      <w:bookmarkStart w:id="332" w:name="pg13177_117848"/>
    </w:p>
    <w:p>
      <w:pPr>
        <w:pStyle w:val="BookText"/>
        <w:rPr/>
      </w:pPr>
      <w:bookmarkEnd w:id="332"/>
      <w:r>
        <w:rPr>
          <w:rFonts w:ascii="IRNazanin" w:hAnsi="IRNazanin" w:eastAsia="IRNazanin"/>
          <w:color w:val="111111"/>
          <w:sz w:val="28"/>
          <w:sz w:val="28"/>
          <w:szCs w:val="28"/>
          <w:rtl w:val="true"/>
          <w:lang w:bidi="fa-IR"/>
        </w:rPr>
        <w:t>وصل کما هو المشهور، و عندئذ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اختلاف الکتب الناقلة للحدیث فی نقله،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بالشی‌ء فخذوا به ما استطعتم</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فلا یلزم الأخذ به؛ لإجماله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اعتباره هو اشتهاره علی الوجه الذی عرفت منّا، و القدر المسلّم هو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هذا هو المساعد للاعتبار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تدبّر فی مورد الحدیث و نفسه، یحصل له الوثوق أحیانا بأنّه قریب صدوره عنه صلّی اللّه علیه و اله و سلّم و اللّه هو العالم</w:t>
      </w:r>
      <w:r>
        <w:rPr>
          <w:rFonts w:eastAsia="IRNazanin" w:cs="IRNazanin"/>
          <w:color w:val="111111"/>
          <w:sz w:val="28"/>
          <w:szCs w:val="28"/>
          <w:rtl w:val="true"/>
          <w:lang w:bidi="fa-IR"/>
        </w:rPr>
        <w:t>.</w:t>
      </w:r>
    </w:p>
    <w:p>
      <w:pPr>
        <w:pStyle w:val="Heading6"/>
        <w:numPr>
          <w:ilvl w:val="5"/>
          <w:numId w:val="1"/>
        </w:numPr>
        <w:rPr/>
      </w:pPr>
      <w:bookmarkStart w:id="333" w:name="__RefHeading___Toc763798_3244359995"/>
      <w:bookmarkStart w:id="334" w:name="_Toc124"/>
      <w:bookmarkEnd w:id="333"/>
      <w:r>
        <w:rPr>
          <w:rtl w:val="true"/>
        </w:rPr>
        <w:t>تتمّة</w:t>
      </w:r>
      <w:r>
        <w:rPr>
          <w:rtl w:val="true"/>
        </w:rPr>
        <w:t xml:space="preserve">: </w:t>
      </w:r>
      <w:r>
        <w:rPr>
          <w:rtl w:val="true"/>
        </w:rPr>
        <w:t>حول دعوی نظر الحدیث إلی الفرد و الکلّی لا العموم المجموعی و المرکّب</w:t>
      </w:r>
      <w:bookmarkEnd w:id="334"/>
    </w:p>
    <w:p>
      <w:pPr>
        <w:pStyle w:val="BookText"/>
        <w:rPr/>
      </w:pPr>
      <w:r>
        <w:rPr>
          <w:rFonts w:ascii="IRNazanin" w:hAnsi="IRNazanin" w:eastAsia="IRNazanin"/>
          <w:color w:val="111111"/>
          <w:sz w:val="28"/>
          <w:sz w:val="28"/>
          <w:szCs w:val="28"/>
          <w:rtl w:val="true"/>
          <w:lang w:bidi="fa-IR"/>
        </w:rPr>
        <w:t>یستظهر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حدیث ناظر إلی بقاء المأمور به بما هو مأمور به بالأمر الأوّلی، و لیس متصدّیا لأمر جدید، و هذا یناسب الفرد و الکلّی، سواء کان بنحو الإطلاق البدلیّ، أو العموم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 المجموعیّ و المرکّب، فلا یعقل بقاء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تشخّص الأمر بمتعلقه، فیلزم سقوطه کما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حدیث مشرّع فی مورد، و ناظر فی مورد، غیر مسموعة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هیئة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للبعث، کسائر موارد استعمالها،</w:t>
      </w:r>
      <w:bookmarkStart w:id="335" w:name="pg13177_117849"/>
    </w:p>
    <w:p>
      <w:pPr>
        <w:pStyle w:val="BookText"/>
        <w:rPr/>
      </w:pPr>
      <w:bookmarkEnd w:id="335"/>
      <w:r>
        <w:rPr>
          <w:rFonts w:ascii="IRNazanin" w:hAnsi="IRNazanin" w:eastAsia="IRNazanin"/>
          <w:color w:val="111111"/>
          <w:sz w:val="28"/>
          <w:sz w:val="28"/>
          <w:szCs w:val="28"/>
          <w:rtl w:val="true"/>
          <w:lang w:bidi="fa-IR"/>
        </w:rPr>
        <w:t>و إنّما اختلاف الوضع و التکلیف و التشریع و التأکید و الإیجاب و الندب و النفسیّة و الإرشادیّة، کلّها لامور تستفاد من اللواحق الحافّة، و من موارد الإضافة و المضافات، فاغتنم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إطلاق الروایة وجوب بعض الأجزاء و لو کان تکبیرة الافتتاح، فاسد؛ فإنّ المفروض محفوظیّة ما هو المأمور به، ضرورة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أو الموصول إلی الضمیر المحذوف؛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مثلا بالصلاة فأتوا منها ما استطعتم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تکبیرة الافتتاح من الصلاة إلّا فی صورة لحوق معظم الأجزاء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أمرتم بالتذکیة؛ نظرا إلی حلّیة أکل لحم الحیوان و غیره، فإذا عجزتم عن بعض الأجزاء فأتوا بالمقدور منه؛ بشرط صدق کونه هو المستطاع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علی فرض کون التذکیة من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الضمیر المحذوف 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مثلا، یکون المراد بالضرورة أنّ المأتیّ به المستطاع من المأمور به المعجوز جزؤه، أو فرده، أو أفراد منه</w:t>
      </w:r>
      <w:r>
        <w:rPr>
          <w:rFonts w:eastAsia="IRNazanin" w:cs="IRNazanin"/>
          <w:color w:val="111111"/>
          <w:sz w:val="28"/>
          <w:szCs w:val="28"/>
          <w:rtl w:val="true"/>
          <w:lang w:bidi="fa-IR"/>
        </w:rPr>
        <w:t>.</w:t>
      </w:r>
    </w:p>
    <w:p>
      <w:pPr>
        <w:pStyle w:val="Heading6"/>
        <w:numPr>
          <w:ilvl w:val="5"/>
          <w:numId w:val="1"/>
        </w:numPr>
        <w:rPr/>
      </w:pPr>
      <w:bookmarkStart w:id="336" w:name="__RefHeading___Toc763800_3244359995"/>
      <w:bookmarkStart w:id="337" w:name="_Toc125"/>
      <w:bookmarkEnd w:id="336"/>
      <w:r>
        <w:rPr>
          <w:rtl w:val="true"/>
        </w:rPr>
        <w:t>التعرض لحدیث المیسور</w:t>
      </w:r>
      <w:bookmarkEnd w:id="3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فکما یحتمل أن یکون المراد میسور المأمور به، أو میسور الطبیعة، أو میسور الملاک و المصلحة، أو المیسور علی الإطلاق؛ حسب موارد المعسور بحسب عسر الأفراد، أو المرتبة الکاملة، أو المرکّب التامّ، یحتمل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إخباریّة بداعی الإنشاء، أو النهی، أو</w:t>
      </w:r>
    </w:p>
    <w:p>
      <w:pPr>
        <w:pStyle w:val="BookText"/>
        <w:rPr/>
      </w:pPr>
      <w:r>
        <w:rPr>
          <w:rFonts w:ascii="IRNazanin" w:hAnsi="IRNazanin" w:eastAsia="IRNazanin"/>
          <w:color w:val="111111"/>
          <w:sz w:val="28"/>
          <w:sz w:val="28"/>
          <w:szCs w:val="28"/>
          <w:rtl w:val="true"/>
          <w:lang w:bidi="fa-IR"/>
        </w:rPr>
        <w:t>الجحد؛ أی المیسور فی الأزمنة و المستقبلة لا یسقط بالمعسور فی الزمان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یحتمل أن یکون تأسیسا بالنسبة إلی المیسور، فلا یشمل موارد لا نحتاج إلیه؛ لحکم العقل، کما فی مثل الأفراد و الکلّی المعسور بعض أفراده، یحتمل أن یکون المنظور أنّ المیسور من موارد الأوامر الإلهیّة، لا یسقط بموارد العجز عن الطبیعة الاخری، فالقادر علی الصلاة دون الحجّ، لا یصحّ أن یحتجّ بعجزه عن الحجّ لترک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الفعل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لاحتمال کونه إخبارا محضا کما توهّم؛ ضرورة سقوط الأمر الأوّل بطروّ العجز، لأنّه متشخّص بمتعلّقه، و إلّا فلا حاجة عندهم إلی الدلیل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إخبار عن المطلوب الثانی الفانی فی المطلوب الأوّل،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إخبار و کاشف عن انحلال الأدلّة الأوّلیة عند العجز، کما أسّسناه </w:t>
      </w:r>
      <w:r>
        <w:rPr>
          <w:rStyle w:val="FootnoteAnchor"/>
          <w:rtl w:val="true"/>
        </w:rPr>
        <w:footnoteReference w:id="364"/>
      </w:r>
      <w:r>
        <w:rPr>
          <w:rFonts w:ascii="Amiri" w:hAnsi="Amiri" w:eastAsia="Amiri" w:cs="Amiri"/>
          <w:color w:val="111111"/>
          <w:sz w:val="28"/>
          <w:sz w:val="28"/>
          <w:szCs w:val="28"/>
          <w:rtl w:val="true"/>
          <w:lang w:bidi="ar-SA"/>
        </w:rPr>
        <w:t>، أو إخبار عن صحّة مقالة التقیّ النقیّ الشیرازیّ رحمه اللّه إلّا أنّها باطلة عندنا قطعا کما مرّ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روایة صادرة بصدد إفادة أمر جدید فی الشریعة، فتکون تشریعا و تأسیسا علی خلاف متعارف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أنّها نفی بداعی النهی، و هو کنایة عن إفادة الأمر الثانی، أو أنّ المرتبة الناقصة مطلوبة، و المناقشات المذکورة فی الحدیث الأوّل تندفع بما ذکرناه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أولی بالدلالة علی أنّ میسور السبب فی باب الأسباب و المسبّبات، لا یسقط عن السببیّة بالمعسور، و میسور الموضوع لا یسقط عن الموضوعیّة و هکذا، و میسور المکلّف به و المطلوب لا یسقط عن المطلوبیّة و الموضوعیّة للحکم</w:t>
      </w:r>
      <w:bookmarkStart w:id="338" w:name="pg13177_117851"/>
    </w:p>
    <w:p>
      <w:pPr>
        <w:pStyle w:val="BookText"/>
        <w:rPr/>
      </w:pPr>
      <w:bookmarkEnd w:id="338"/>
      <w:r>
        <w:rPr>
          <w:rFonts w:ascii="IRNazanin" w:hAnsi="IRNazanin" w:eastAsia="IRNazanin"/>
          <w:color w:val="111111"/>
          <w:sz w:val="28"/>
          <w:sz w:val="28"/>
          <w:szCs w:val="28"/>
          <w:rtl w:val="true"/>
          <w:lang w:bidi="fa-IR"/>
        </w:rPr>
        <w:t>التکلیفیّ الجدید، و هذا لا ینافی کونه متکفّلا لإحداث الأمر الجدید، أو لاعتبار بقاء الأمر الأوّل فی الادعاء؛ نظرا إلی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إتیان المکلّف و ترتیب آثاره علیه، فحصر هذا فی الکلّی أو الأقلّ و الأکثر الاستقلالیّین خلاف ظاهره، بل الأقلّ و الأکثر الارتباطی هو القدر المتیقّن منه، و مقتضی إطلاقه الأعمّ، فافهم</w:t>
      </w:r>
      <w:r>
        <w:rPr>
          <w:rFonts w:eastAsia="IRNazanin" w:cs="IRNazanin"/>
          <w:color w:val="111111"/>
          <w:sz w:val="28"/>
          <w:szCs w:val="28"/>
          <w:rtl w:val="true"/>
          <w:lang w:bidi="fa-IR"/>
        </w:rPr>
        <w:t>.</w:t>
      </w:r>
    </w:p>
    <w:p>
      <w:pPr>
        <w:pStyle w:val="Heading6"/>
        <w:numPr>
          <w:ilvl w:val="5"/>
          <w:numId w:val="1"/>
        </w:numPr>
        <w:rPr/>
      </w:pPr>
      <w:bookmarkStart w:id="339" w:name="__RefHeading___Toc763802_3244359995"/>
      <w:bookmarkStart w:id="340" w:name="_Toc126"/>
      <w:bookmarkEnd w:id="339"/>
      <w:r>
        <w:rPr>
          <w:rtl w:val="true"/>
        </w:rPr>
        <w:t xml:space="preserve">التعرض لحدیث </w:t>
      </w:r>
      <w:r>
        <w:rPr>
          <w:rtl w:val="true"/>
        </w:rPr>
        <w:t>«</w:t>
      </w:r>
      <w:r>
        <w:rPr>
          <w:rtl w:val="true"/>
        </w:rPr>
        <w:t xml:space="preserve">ما لا یدرک </w:t>
      </w:r>
      <w:r>
        <w:rPr>
          <w:rtl w:val="true"/>
        </w:rPr>
        <w:t>...»</w:t>
      </w:r>
      <w:bookmarkEnd w:id="340"/>
    </w:p>
    <w:p>
      <w:pPr>
        <w:pStyle w:val="BookText"/>
        <w:rPr/>
      </w:pP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بعد عدم کونه مثالا عربیّا کما توهّم، فیتمّ الاستدلال به علی ما نحن فیه من جهة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المضافة إلی المعارف و أشباهها تقوم مقام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 إذا اضیفت إلی النکرة تفید الاستغراق، أو التکثیر و الانحلال،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کلّ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الصید فی جوف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الطَّعامِ کانَ حِلًّا </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فی العامّ المجموعیّ و المرکّبات ذات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یتوجّه إشکال الشیخ رحمه اللّه </w:t>
      </w:r>
      <w:r>
        <w:rPr>
          <w:rStyle w:val="FootnoteAnchor"/>
          <w:rtl w:val="true"/>
        </w:rPr>
        <w:footnoteReference w:id="368"/>
      </w:r>
      <w:r>
        <w:rPr>
          <w:rFonts w:ascii="IRNazanin" w:hAnsi="IRNazanin" w:eastAsia="IRNazanin"/>
          <w:color w:val="111111"/>
          <w:sz w:val="28"/>
          <w:sz w:val="28"/>
          <w:szCs w:val="28"/>
          <w:rtl w:val="true"/>
          <w:lang w:bidi="fa-IR"/>
        </w:rPr>
        <w:t>و لا توهّم کونه دائرا بین الکلّی و الأفراد، أو الکلّ و الأجزاء</w:t>
      </w:r>
      <w:r>
        <w:rPr>
          <w:rStyle w:val="FootnoteAnchor"/>
          <w:rtl w:val="true"/>
        </w:rPr>
        <w:footnoteReference w:id="369"/>
      </w:r>
      <w:r>
        <w:rPr>
          <w:rFonts w:ascii="IRNazanin" w:hAnsi="IRNazanin" w:eastAsia="IRNazanin"/>
          <w:color w:val="111111"/>
          <w:sz w:val="28"/>
          <w:sz w:val="28"/>
          <w:szCs w:val="28"/>
          <w:rtl w:val="true"/>
          <w:lang w:bidi="fa-IR"/>
        </w:rPr>
        <w:t xml:space="preserve">، و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حقیقیّا، و لیس فی تلوها نکرة، کی تفید العموم علی ما قیل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سواء کانت موصولة، أو نکرة موصوفة کما هو الأظهر عندنا، فهی أعمّ من الواجب و المستحبّ، بل و من الوضع و التکلیف؛ ضرورة أنّ</w:t>
      </w:r>
    </w:p>
    <w:p>
      <w:pPr>
        <w:pStyle w:val="BookText"/>
        <w:rPr/>
      </w:pPr>
      <w:r>
        <w:rPr>
          <w:rFonts w:ascii="IRNazanin" w:hAnsi="IRNazanin" w:eastAsia="IRNazanin"/>
          <w:color w:val="111111"/>
          <w:sz w:val="28"/>
          <w:sz w:val="28"/>
          <w:szCs w:val="28"/>
          <w:rtl w:val="true"/>
          <w:lang w:bidi="fa-IR"/>
        </w:rPr>
        <w:t>الشرع یعتبر إلزاما وجود العقد التامّ الأجزاء و الشرائط لأن یعتبر النقل و الانتقال و الحلّیة و الملکیّة، و هذا النحو من الإلزام یکفی لجواز انطباق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فی التسبّب إلی ترتّب المسبّب، أو فی التسبّب إلی سقوط أمر الصلاة و الحجّ، أو أمر الأذان و الإقامة،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تکون نفیا، أو نهیا، أو جحدا معلوما، أو مجهولا، فتقرأ علی وجوه کما لا یخفی، إلّا أنّ الأشبه إلی ذوق الأدب ما هو المشهور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عموم الموصول و شموله للمندوب،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المقدور، و معارضة الصدر و الذیل، و رجوع الخبر إمّا إلی الإجمال، أو مندوبیّة المقدور</w:t>
      </w:r>
      <w:r>
        <w:rPr>
          <w:rStyle w:val="FootnoteAnchor"/>
          <w:rtl w:val="true"/>
        </w:rPr>
        <w:footnoteReference w:id="371"/>
      </w:r>
      <w:r>
        <w:rPr>
          <w:rFonts w:ascii="IRNazanin" w:hAnsi="IRNazanin" w:eastAsia="IRNazanin"/>
          <w:color w:val="111111"/>
          <w:sz w:val="28"/>
          <w:sz w:val="28"/>
          <w:szCs w:val="28"/>
          <w:rtl w:val="true"/>
          <w:lang w:bidi="fa-IR"/>
        </w:rPr>
        <w:t xml:space="preserve">، فلا یفید لما نحن فیه، فقد عرفت فساده بما لا مزید علیه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إمکان کون الباقی المقدور مندوبا، لا یکفی لسقوط الحدیث عن الدلالة بعد مساعدة المورد للقرینیّة، أفلا تری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w:t>
      </w:r>
      <w:r>
        <w:rPr>
          <w:rStyle w:val="FootnoteAnchor"/>
          <w:rtl w:val="true"/>
        </w:rPr>
        <w:footnoteReference w:id="373"/>
      </w:r>
      <w:r>
        <w:rPr>
          <w:rFonts w:ascii="IRNazanin" w:hAnsi="IRNazanin" w:eastAsia="IRNazanin"/>
          <w:color w:val="111111"/>
          <w:sz w:val="28"/>
          <w:sz w:val="28"/>
          <w:szCs w:val="28"/>
          <w:rtl w:val="true"/>
          <w:lang w:bidi="fa-IR"/>
        </w:rPr>
        <w:t>یورث الحرمة التکلیفیّة و الوضعیّة؛ لاختلاف القرائن، و اقتضاء مناسبة الحکم و الموضوع، کما عرفت ذلک فی عموم الأمر بالمعروف و النهی عن المنکر</w:t>
      </w:r>
      <w:r>
        <w:rPr>
          <w:rStyle w:val="FootnoteAnchor"/>
          <w:rtl w:val="true"/>
        </w:rPr>
        <w:footnoteReference w:id="374"/>
      </w:r>
      <w:r>
        <w:rPr>
          <w:rFonts w:ascii="IRNazanin" w:hAnsi="IRNazanin" w:eastAsia="IRNazanin"/>
          <w:color w:val="111111"/>
          <w:sz w:val="28"/>
          <w:sz w:val="28"/>
          <w:szCs w:val="28"/>
          <w:rtl w:val="true"/>
          <w:lang w:bidi="fa-IR"/>
        </w:rPr>
        <w:t>، مع اختلاف موارد الوجوب و الندب باختلاف المعروف الواجب و المندوب، فاغتنم</w:t>
      </w:r>
      <w:r>
        <w:rPr>
          <w:rFonts w:eastAsia="IRNazanin" w:cs="IRNazanin"/>
          <w:color w:val="111111"/>
          <w:sz w:val="28"/>
          <w:szCs w:val="28"/>
          <w:rtl w:val="true"/>
          <w:lang w:bidi="fa-IR"/>
        </w:rPr>
        <w:t>.</w:t>
      </w:r>
      <w:bookmarkStart w:id="341" w:name="pg13177_117853"/>
    </w:p>
    <w:p>
      <w:pPr>
        <w:pStyle w:val="Heading6"/>
        <w:numPr>
          <w:ilvl w:val="5"/>
          <w:numId w:val="1"/>
        </w:numPr>
        <w:rPr/>
      </w:pPr>
      <w:bookmarkStart w:id="342" w:name="__RefHeading___Toc763804_3244359995"/>
      <w:bookmarkStart w:id="343" w:name="_Toc127"/>
      <w:bookmarkEnd w:id="341"/>
      <w:bookmarkEnd w:id="342"/>
      <w:r>
        <w:rPr>
          <w:rtl w:val="true"/>
        </w:rPr>
        <w:t>بقی شی‌ء</w:t>
      </w:r>
      <w:r>
        <w:rPr>
          <w:rtl w:val="true"/>
        </w:rPr>
        <w:t xml:space="preserve">: </w:t>
      </w:r>
      <w:r>
        <w:rPr>
          <w:rtl w:val="true"/>
        </w:rPr>
        <w:t>حول دلالة الأحادیث الثلاثة علی وجوب الباقی</w:t>
      </w:r>
      <w:bookmarkEnd w:id="343"/>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النزاع فی المسألة ما إذا کان المعسور جزء أو بعض الأجزاء غیر المضرّة بصدق الطبیعة؛ نظرا إلی إمکان تصحیح المقدور بالأدلّة الأوّلیة علی الوجهین الأوّلین، و إلی الاستصحاب اللازم فیه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القواعد الثانویّة، فیمکن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إطلاقها لزوم المقدور و لو کان جزء، کما هو کذلک فی الأقلّ و الأکثر الاستقلالی، و فی خصوص الصلاة؛ لقیام الدلیل علی صلاة الغرقی، فلولا الأدلّة المخالفة لإطلاق هذه الأحادیث، فالأظهر جواز التمسّک بها فی خصوص الجزء المقدور و لو کان یسیرا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الباقی مورد الأمر الأوّلی، فهو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ظاهر فی إمکان ادعاء بقاء الأمر الأوّلیّ، أو ظاهر فی أنّ الباقی یصدق علیه أسم المأمور به، فکلّه غلط، و یکفی مجرّد کونه قابلا لأن تنضمّ إلیه بقیّة الأجزاء فی صدق الاسم و تعلّق الأمر، و کلّ ذلک لأجل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منه ما استطعتم إیّاه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کالنصّ فی لزوم المقدور من المأمور به الذی لو انضمّ إلیه المعجوز یکون تمام المأمور به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معنی لصرف إطلاقه إلی المیسور من الصلاة، أو المأمور به،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المیسور من الملاک،</w:t>
      </w:r>
      <w:bookmarkStart w:id="344" w:name="pg13177_117854"/>
    </w:p>
    <w:p>
      <w:pPr>
        <w:pStyle w:val="BookText"/>
        <w:rPr/>
      </w:pPr>
      <w:bookmarkEnd w:id="344"/>
      <w:r>
        <w:rPr>
          <w:rFonts w:ascii="IRNazanin" w:hAnsi="IRNazanin" w:eastAsia="IRNazanin"/>
          <w:color w:val="111111"/>
          <w:sz w:val="28"/>
          <w:sz w:val="28"/>
          <w:szCs w:val="28"/>
          <w:rtl w:val="true"/>
          <w:lang w:bidi="fa-IR"/>
        </w:rPr>
        <w:t>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نفس طبیعة المیسور و طبیعة المعسور؛ بالقیاس إلی أحوال المکلّفین العاجزین المختلفة مراحل عجزهم، و لیس المراد میسور الملاک بالخصوص، أو میسور المطلوب، أو المرکّب، کی تختلف الآثار؛ فمن کان قادرا علی معظم الأجزاء فعلیه المعظم، و من کان عاجزا عن معظم الأجزاء فعلیه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یتقوّم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عنوان، کی نحتاج إلی الاستظهار، أو یرجع الحدیث إلی الإجمال، بل هو قانون کلّی یندرج تحته جمیع الاحتمالات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أولی بالدلالة علی وجوب الأقلّ من القلیل، کصلاة الغرقی، أو الأقلّ منها</w:t>
      </w:r>
      <w:r>
        <w:rPr>
          <w:rFonts w:eastAsia="IRNazanin" w:cs="IRNazanin"/>
          <w:color w:val="111111"/>
          <w:sz w:val="28"/>
          <w:szCs w:val="28"/>
          <w:rtl w:val="true"/>
          <w:lang w:bidi="fa-IR"/>
        </w:rPr>
        <w:t>.</w:t>
      </w:r>
    </w:p>
    <w:p>
      <w:pPr>
        <w:pStyle w:val="Heading6"/>
        <w:numPr>
          <w:ilvl w:val="5"/>
          <w:numId w:val="1"/>
        </w:numPr>
        <w:rPr/>
      </w:pPr>
      <w:bookmarkStart w:id="345" w:name="__RefHeading___Toc763806_3244359995"/>
      <w:bookmarkStart w:id="346" w:name="_Toc128"/>
      <w:bookmarkEnd w:id="345"/>
      <w:r>
        <w:rPr>
          <w:rtl w:val="true"/>
        </w:rPr>
        <w:t>شبهة و حلّ</w:t>
      </w:r>
      <w:bookmarkEnd w:id="34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أنّه مقتضی الصدر؛ أنّ المفروض العجز عن العامّ المجموعیّ و المرکّب، و مقتضی الذیل هو وجوب الإتیان بمقدار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لم یترک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عجز عن السورة فلا یجب علیه بقیّة الأجزاء بتمامها، بل لا بدّ من إتیان بعض منها، و أنّه یکفی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یترک مجموع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المقصود؛ ضرورة أنّ المطلوب هو إیجاب الکلّ الباقی المقدور، لا بعض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لدفعها فهم العرف،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الشبهة ترد علی الحدیث الثانی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الثلاثة جواز الأقلّ المقدور مکرّرا؛ أی إتیان بعضه، ثمّ إتیان البعض الآخر منفردا أو منضمّا و هکذا، و لکن العرف ببابک، و العرب بحیالک</w:t>
      </w:r>
      <w:r>
        <w:rPr>
          <w:rFonts w:eastAsia="IRNazanin" w:cs="IRNazanin"/>
          <w:color w:val="111111"/>
          <w:sz w:val="28"/>
          <w:szCs w:val="28"/>
          <w:rtl w:val="true"/>
          <w:lang w:bidi="fa-IR"/>
        </w:rPr>
        <w:t>.</w:t>
      </w:r>
      <w:bookmarkStart w:id="347" w:name="pg13177_117855"/>
    </w:p>
    <w:p>
      <w:pPr>
        <w:pStyle w:val="Heading6"/>
        <w:numPr>
          <w:ilvl w:val="5"/>
          <w:numId w:val="1"/>
        </w:numPr>
        <w:rPr/>
      </w:pPr>
      <w:bookmarkStart w:id="348" w:name="__RefHeading___Toc763808_3244359995"/>
      <w:bookmarkStart w:id="349" w:name="_Toc129"/>
      <w:bookmarkEnd w:id="347"/>
      <w:bookmarkEnd w:id="348"/>
      <w:r>
        <w:rPr>
          <w:rtl w:val="true"/>
        </w:rPr>
        <w:t>تنبیه</w:t>
      </w:r>
      <w:r>
        <w:rPr>
          <w:rtl w:val="true"/>
        </w:rPr>
        <w:t xml:space="preserve">: </w:t>
      </w:r>
      <w:r>
        <w:rPr>
          <w:rtl w:val="true"/>
        </w:rPr>
        <w:t>حول مقتضی القواعد الأوّلیة و الثانویة بالنسبة إلی وجوب الباقی</w:t>
      </w:r>
      <w:bookmarkEnd w:id="349"/>
    </w:p>
    <w:p>
      <w:pPr>
        <w:pStyle w:val="Heading6"/>
        <w:numPr>
          <w:ilvl w:val="5"/>
          <w:numId w:val="1"/>
        </w:numPr>
        <w:rPr/>
      </w:pPr>
      <w:bookmarkStart w:id="350" w:name="__RefHeading___Toc763810_3244359995"/>
      <w:bookmarkStart w:id="351" w:name="_Toc130"/>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الکلام کان حول العجز عن جزء المأمور به و لو کان یطرأ علیه العجز بالنسبة إلی أحد طرفی الواجب التخییریّ، أو طرأ علیه بالنسبة إلی أوّل زمان الواجب الموقّت، أو بعض ذلک الزمان، أو طرأ علیه فی زمان متوسّط بین زمانی الوجوب و الواجب؛ بناء علی إمکان الوجوب المعلّق، و لا سیّما علی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ظرف الوجوب یوم الأربعاء، و ظرف الواجب یوم الجمعة، و کان هو عاجزا فی یوم الأربعاء، فهل مقتضی القواعد الأوّلیة هو الوجوب؟</w:t>
      </w:r>
    </w:p>
    <w:p>
      <w:pPr>
        <w:pStyle w:val="BookText"/>
        <w:rPr/>
      </w:pPr>
      <w:r>
        <w:rPr>
          <w:rFonts w:ascii="IRNazanin" w:hAnsi="IRNazanin" w:eastAsia="IRNazanin"/>
          <w:color w:val="111111"/>
          <w:sz w:val="28"/>
          <w:sz w:val="28"/>
          <w:szCs w:val="28"/>
          <w:rtl w:val="true"/>
          <w:lang w:bidi="fa-IR"/>
        </w:rPr>
        <w:t>و علی تقدیر خلافه، فهل تجری القواعد الثانویّة فی أمثالها؟</w:t>
      </w:r>
    </w:p>
    <w:p>
      <w:pPr>
        <w:pStyle w:val="Heading6"/>
        <w:numPr>
          <w:ilvl w:val="5"/>
          <w:numId w:val="1"/>
        </w:numPr>
        <w:rPr/>
      </w:pPr>
      <w:bookmarkStart w:id="352" w:name="__RefHeading___Toc763812_3244359995"/>
      <w:bookmarkStart w:id="353" w:name="_Toc131"/>
      <w:bookmarkEnd w:id="352"/>
      <w:r>
        <w:rPr>
          <w:rtl w:val="true"/>
        </w:rPr>
        <w:t>أمّا مقتضی القواعد الأوّلیة</w:t>
      </w:r>
      <w:bookmarkEnd w:id="353"/>
    </w:p>
    <w:p>
      <w:pPr>
        <w:pStyle w:val="BookText"/>
        <w:rPr/>
      </w:pPr>
      <w:r>
        <w:rPr>
          <w:rFonts w:ascii="IRNazanin" w:hAnsi="IRNazanin" w:eastAsia="IRNazanin"/>
          <w:color w:val="111111"/>
          <w:sz w:val="28"/>
          <w:sz w:val="28"/>
          <w:szCs w:val="28"/>
          <w:rtl w:val="true"/>
          <w:lang w:bidi="fa-IR"/>
        </w:rPr>
        <w:t>ففی مثل الواجب التخییریّ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یرجع إلی العینیّ کما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فلا شبهة فی وجوب الفرد المقدور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رجع إلی الواجب المشروط أو الحصّة المقیّدة فیشکل؛ لأنّه لا معنی لأن یعتبر الشرع وجوب الصیام عند ترک العتق، أو إذا ترک العتق؛ لأنّه مورد العجز، و الأدلّة الأوّلیة تقتضی کون الطرف مقدورا، کی یکون الطرف الآخر واجبا عند</w:t>
      </w:r>
    </w:p>
    <w:p>
      <w:pPr>
        <w:pStyle w:val="BookText"/>
        <w:rPr/>
      </w:pPr>
      <w:r>
        <w:rPr>
          <w:rFonts w:ascii="IRNazanin" w:hAnsi="IRNazanin" w:eastAsia="IRNazanin"/>
          <w:color w:val="111111"/>
          <w:sz w:val="28"/>
          <w:sz w:val="28"/>
          <w:szCs w:val="28"/>
          <w:rtl w:val="true"/>
          <w:lang w:bidi="fa-IR"/>
        </w:rPr>
        <w:t>الترک، و هذا هو مختار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الأراکیّ </w:t>
      </w:r>
      <w:r>
        <w:rPr>
          <w:rStyle w:val="FootnoteAnchor"/>
          <w:rtl w:val="true"/>
        </w:rPr>
        <w:footnoteReference w:id="378"/>
      </w:r>
      <w:r>
        <w:rPr>
          <w:rFonts w:ascii="IRNazanin" w:hAnsi="IRNazanin" w:eastAsia="IRNazanin"/>
          <w:color w:val="111111"/>
          <w:sz w:val="28"/>
          <w:sz w:val="28"/>
          <w:szCs w:val="28"/>
          <w:rtl w:val="true"/>
          <w:lang w:bidi="fa-IR"/>
        </w:rPr>
        <w:t xml:space="preserve">و النائینیّ رحمهما اللّه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التخییریّ نوع وجوب آخر غیر الوجوب التعیینیّ، أو المشروط و المعلّق، فلازمه سقوط الأمر؛ لتشخّص الأمر المذکور بالطرفین، ضرورة أنّه إیجاب واحد تخییریّ، فإذا عجز أحد الطرفین فلا یعقل بقاء ذلک الوجوب التخییریّ، و هذا هو الذی ذهبنا إلیه تبعا للعلمین الاستاذین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Style w:val="FootnoteAnchor"/>
          <w:rtl w:val="true"/>
        </w:rPr>
        <w:footnoteReference w:id="380"/>
      </w:r>
      <w:r>
        <w:rPr>
          <w:rFonts w:ascii="IRNazanin" w:hAnsi="IRNazanin" w:eastAsia="IRNazanin"/>
          <w:color w:val="111111"/>
          <w:sz w:val="28"/>
          <w:sz w:val="28"/>
          <w:szCs w:val="28"/>
          <w:rtl w:val="true"/>
          <w:lang w:bidi="fa-IR"/>
        </w:rPr>
        <w:t xml:space="preserve">و الوالد المحقّق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الواجبات الموقّتة الموسّعة، فمقتضی القاعدة عدم وجوب شی‌ء علیه؛ لأنّ ما هو المجعول أوّلا هو الصلاة مثلا من أوّل الوقت إلی آخره، و هذا هو المعجوز علیه، و ما هو المقدور علیه لیس مورد الجعل الأوّلی، و لا دلیل علی وجود الأمر بعد حصول القدرة، و لا علی القضاء بعد قصور المقتضی إلّا بدلیل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کفایة القدرة فی برهة من الزمان لإیجاب الموسّع </w:t>
      </w:r>
      <w:r>
        <w:rPr>
          <w:rStyle w:val="FootnoteAnchor"/>
          <w:rtl w:val="true"/>
        </w:rPr>
        <w:footnoteReference w:id="382"/>
      </w:r>
      <w:r>
        <w:rPr>
          <w:rFonts w:ascii="IRNazanin" w:hAnsi="IRNazanin" w:eastAsia="IRNazanin"/>
          <w:color w:val="111111"/>
          <w:sz w:val="28"/>
          <w:sz w:val="28"/>
          <w:szCs w:val="28"/>
          <w:rtl w:val="true"/>
          <w:lang w:bidi="fa-IR"/>
        </w:rPr>
        <w:t>، فاسد؛ ضرورة قبح الخطاب فی أوّل الوقت، أو أخذ أوّل الوقت قیدا مع العجز فی برهة منه، و المفروض خطاب شخصیّ و إیجاب جزئیّ؛ علی وجه یکون قابلا للانطباق علی المحدود بحدّی الظهر و الغروب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الواجب المعلّق المذکور، فلا یکفی مجرّد الاقتدار فی ظرف الامتثال؛ بعد کون الوجوب فی زمان خاصّ، و أنّه لا توصف العبادة و لا الفعل</w:t>
      </w:r>
    </w:p>
    <w:p>
      <w:pPr>
        <w:pStyle w:val="BookText"/>
        <w:rPr/>
      </w:pPr>
      <w:r>
        <w:rPr>
          <w:rFonts w:ascii="IRNazanin" w:hAnsi="IRNazanin" w:eastAsia="IRNazanin"/>
          <w:color w:val="111111"/>
          <w:sz w:val="28"/>
          <w:sz w:val="28"/>
          <w:szCs w:val="28"/>
          <w:rtl w:val="true"/>
          <w:lang w:bidi="fa-IR"/>
        </w:rPr>
        <w:t>بالوجوب إلّا بعد إمکان توجیه الخطاب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الوجوب ظرفه موسّعا إلی حال القدرة و ظرف الامتثال فهو، و لکنّ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ذلک یتمّ علی القول بالخطابات الشخصیّة، دون القانونیّة کما تحرّر</w:t>
      </w:r>
      <w:r>
        <w:rPr>
          <w:rStyle w:val="FootnoteAnchor"/>
          <w:rtl w:val="true"/>
        </w:rPr>
        <w:footnoteReference w:id="383"/>
      </w:r>
      <w:r>
        <w:rPr>
          <w:rFonts w:ascii="IRNazanin" w:hAnsi="IRNazanin" w:eastAsia="IRNazanin"/>
          <w:color w:val="111111"/>
          <w:sz w:val="28"/>
          <w:sz w:val="28"/>
          <w:szCs w:val="28"/>
          <w:rtl w:val="true"/>
          <w:lang w:bidi="fa-IR"/>
        </w:rPr>
        <w:t>، فإنّه علیها یجوز خطاب العاجز فی جمیع عمره، فضلا عن العجز فی برهة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تامّ، و لکنّه کما یقید إطلاق الأدلّة الأوّلیة بفقرات حدیث الرفع إلّا بعضا منها، یقیّد بقوله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w:t>
      </w:r>
      <w:r>
        <w:rPr>
          <w:rStyle w:val="FootnoteAnchor"/>
          <w:rtl w:val="true"/>
        </w:rPr>
        <w:footnoteReference w:id="384"/>
      </w:r>
      <w:r>
        <w:rPr>
          <w:rFonts w:ascii="IRNazanin" w:hAnsi="IRNazanin" w:eastAsia="IRNazanin"/>
          <w:color w:val="111111"/>
          <w:sz w:val="28"/>
          <w:sz w:val="28"/>
          <w:szCs w:val="28"/>
          <w:rtl w:val="true"/>
          <w:lang w:bidi="fa-IR"/>
        </w:rPr>
        <w:t>و ذلک إمّا لأجل أنّ العاجز فاقد الطاقة عنوانا، أو لأجل الأولویّة العقلائیّة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المعجوز علیه فی المثال الأوّل هو الوجوب التخییریّ فیرفع، و هکذا فی الموسّع و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الأدلّة الأوّلیة فی خصوص المثال الثالث أوضح؛ لأنّ لازم عموم شمول الدلیل الأوّلی لمثله، عدم انطباق العنوان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الصوم یوم السبت، فإنّه لو قدر علیه یوم الخمیس فلا یجب علیه صوم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 المأخوذ بلحاظ حال الامتثال دون حال الخطاب فی مثله؛ لعدم دخالته فی المطلوب، و عدم قبحه حین العجز یوم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مقتضی القاعدة الأوّلیة؛ هو وجوب المعلّق و لو طرأ العجز حین الإیجاب علی جمیع المسالک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بعض المسالک فی الوجوب التخییریّ، و عدم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المقام، فإن قلنا بالخطاب القانونیّ، فمقتضی القاعدة الأوّلیة أیضا وجوب الطرف و الواجب الموسّع؛ لأنّ العجز لیس عذرا إلّا فی صورة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بالخطاب الشخصیّ، فلا بدّ حسب الصناعة من القول بسقوط الواجب و إن لا یساعده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بالخطاب القانونی، کما هو التحقیق، و جریان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الحقیق بالتصدیق، فالمعجوز علیه فی مثل الواجب الموسّع لیس الأمر النفسیّ، بل الأمر الغیریّ و الجزئیّة المطلقة، و تصیر بحدیث الرفع مقیدة، و یجب علیه الصلاة فی المقدار من الوقت المقدورة فیه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یتوهّم کما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إیجاب الموسّع علی العاجز مثلا فی أوّل الوقت إلی برهة من أوّل الظهر إلی الغروب، و لا تنافی بین فعلیّة التکلیف مع العجز المذکور، کما عن بعض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إمکان اعتبار شی‌ء جزء و لو کان معجوزا عنه مطلقا؛ ضرورة أنّ مسألتی الوضع و التکلیف مختلفتان فی القبح و الحسن فی المقام، کما مرّ فی السابق، و فی إبطال تفصیل الوحید البهبهانیّ رحمه اللّه </w:t>
      </w:r>
      <w:r>
        <w:rPr>
          <w:rStyle w:val="FootnoteAnchor"/>
          <w:rtl w:val="true"/>
        </w:rPr>
        <w:footnoteReference w:id="386"/>
      </w:r>
      <w:r>
        <w:rPr>
          <w:rFonts w:ascii="IRNazanin" w:hAnsi="IRNazanin" w:eastAsia="IRNazanin"/>
          <w:color w:val="111111"/>
          <w:sz w:val="28"/>
          <w:sz w:val="28"/>
          <w:szCs w:val="28"/>
          <w:rtl w:val="true"/>
          <w:lang w:bidi="fa-IR"/>
        </w:rPr>
        <w:t xml:space="preserve">و إن لم یصدّقه الوالد المحقّق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العجز عن الجزء الزمانیّ و الجزء الذی هو نفس الزمان، مثلین فی هذه المسألة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الجزء الزمانیّ غیر الجزء الذی هو زمان؛ فإنّ الأوّل یستتبع</w:t>
      </w:r>
      <w:bookmarkStart w:id="354" w:name="pg13177_117859"/>
    </w:p>
    <w:p>
      <w:pPr>
        <w:pStyle w:val="BookText"/>
        <w:rPr/>
      </w:pPr>
      <w:bookmarkEnd w:id="354"/>
      <w:r>
        <w:rPr>
          <w:rFonts w:ascii="IRNazanin" w:hAnsi="IRNazanin" w:eastAsia="IRNazanin"/>
          <w:color w:val="111111"/>
          <w:sz w:val="28"/>
          <w:sz w:val="28"/>
          <w:szCs w:val="28"/>
          <w:rtl w:val="true"/>
          <w:lang w:bidi="fa-IR"/>
        </w:rPr>
        <w:t>سقوط الأمر حسب الخطابات الشخصیّة، و الجزء الذی هو الزمان ارید به وجود الأمر التکلیفیّ فی أوّل الظهر؛ للقدرة علی الواجب المتأخّر، کما فی الواجب المعلّق، و هذا غیر صحیح؛ لقبح التکلیف الفعلیّ فی أوّل الزوال مع عجزه عن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العجز عن سورة فی الصلاة، مع تمکّنه من سورة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المقرّر عندنا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الزمان اخذ فی الاعتبار حینا للصلاة، و تکون القضیّة حینیّة فی الاعتبار و التعبّد، لا تقییدیّة و إن کانت تقییدا فی الثبوت؛ لامتناع القضایا الحینیّة فی الاعتباریّات </w:t>
      </w:r>
      <w:r>
        <w:rPr>
          <w:rStyle w:val="FootnoteAnchor"/>
          <w:rtl w:val="true"/>
        </w:rPr>
        <w:footnoteReference w:id="388"/>
      </w:r>
      <w:r>
        <w:rPr>
          <w:rFonts w:ascii="IRNazanin" w:hAnsi="IRNazanin" w:eastAsia="IRNazanin"/>
          <w:color w:val="111111"/>
          <w:sz w:val="28"/>
          <w:sz w:val="28"/>
          <w:szCs w:val="28"/>
          <w:rtl w:val="true"/>
          <w:lang w:bidi="fa-IR"/>
        </w:rPr>
        <w:t>، و من توهّم خلاف ذلک فلعدم اطلاعه علی المسائل العلمیّة الاعتباریّة و المنطقیّة، و لأجله أجرینا استصحاب الحکم الأدائیّ بعد مضیّ ذلک الحین؛ و هو وقت الصلاة</w:t>
      </w:r>
      <w:r>
        <w:rPr>
          <w:rFonts w:eastAsia="IRNazanin" w:cs="IRNazanin"/>
          <w:color w:val="111111"/>
          <w:sz w:val="28"/>
          <w:szCs w:val="28"/>
          <w:rtl w:val="true"/>
          <w:lang w:bidi="fa-IR"/>
        </w:rPr>
        <w:t>.</w:t>
      </w:r>
    </w:p>
    <w:p>
      <w:pPr>
        <w:pStyle w:val="Heading6"/>
        <w:numPr>
          <w:ilvl w:val="5"/>
          <w:numId w:val="1"/>
        </w:numPr>
        <w:rPr/>
      </w:pPr>
      <w:bookmarkStart w:id="355" w:name="__RefHeading___Toc763814_3244359995"/>
      <w:bookmarkStart w:id="356" w:name="_Toc132"/>
      <w:bookmarkEnd w:id="355"/>
      <w:r>
        <w:rPr>
          <w:rtl w:val="true"/>
        </w:rPr>
        <w:t>و أمّا مقتضی القواعد الثانویة</w:t>
      </w:r>
      <w:bookmarkEnd w:id="356"/>
    </w:p>
    <w:p>
      <w:pPr>
        <w:pStyle w:val="BookText"/>
        <w:rPr/>
      </w:pPr>
      <w:r>
        <w:rPr>
          <w:rFonts w:ascii="IRNazanin" w:hAnsi="IRNazanin" w:eastAsia="IRNazanin"/>
          <w:color w:val="111111"/>
          <w:sz w:val="28"/>
          <w:sz w:val="28"/>
          <w:szCs w:val="28"/>
          <w:rtl w:val="true"/>
          <w:lang w:bidi="fa-IR"/>
        </w:rPr>
        <w:t>و هو جریان القواعد الثانویّة فی هذه الأمثلة، فحیث إنّه لا حاجة إلیها فی المثال الثالث، و لا بأس بجریانها فی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کون القضیّة اعتباریّة، جریان الاستصحاب لو کان قادرا فی أوّل الوقت، و عاجزا فی آخره، و جریان القواعد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القضیّة اعتباریّة تمنع عن جریانها،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الکلام فی المثال الأوّل؛ لأجنبیّة الطرف المقدور علیه عن الطرف المعجوز عنه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عن بعض الطرفین ینافی بقاء الوجوب التخییریّ، و لا جعل آخر غیره، و أمّا لو عجز عن بعض الأطراف الثلاثة و الأربعة فلا ینافیه، فهو فی غیر محلّه؛ لأنّه وجوب واحد تخییریّ بین الأطراف الثلاثة، أو الأربعة، أو الستّة، و لا</w:t>
      </w:r>
      <w:bookmarkStart w:id="357" w:name="pg13177_117860"/>
    </w:p>
    <w:p>
      <w:pPr>
        <w:pStyle w:val="BookText"/>
        <w:rPr/>
      </w:pPr>
      <w:bookmarkEnd w:id="357"/>
      <w:r>
        <w:rPr>
          <w:rFonts w:ascii="IRNazanin" w:hAnsi="IRNazanin" w:eastAsia="IRNazanin"/>
          <w:color w:val="111111"/>
          <w:sz w:val="28"/>
          <w:sz w:val="28"/>
          <w:szCs w:val="28"/>
          <w:rtl w:val="true"/>
          <w:lang w:bidi="fa-IR"/>
        </w:rPr>
        <w:t>یعقل بقاء الواحد مع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بمقدار العجز؛ نظرا إلی إمکان تقیید إطلاق الأدلّة الأوّلیة بمثله تقییدا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الطرف الآخر میسور الواجب التخییریّ، من غیر النظر إلی أجنبیّة المقدور عن المعجوز بحسب الوجود و العنوان، فاغتنم</w:t>
      </w:r>
      <w:r>
        <w:rPr>
          <w:rFonts w:eastAsia="IRNazanin" w:cs="IRNazanin"/>
          <w:color w:val="111111"/>
          <w:sz w:val="28"/>
          <w:szCs w:val="28"/>
          <w:rtl w:val="true"/>
          <w:lang w:bidi="fa-IR"/>
        </w:rPr>
        <w:t>.</w:t>
      </w:r>
    </w:p>
    <w:p>
      <w:pPr>
        <w:pStyle w:val="Heading6"/>
        <w:numPr>
          <w:ilvl w:val="5"/>
          <w:numId w:val="1"/>
        </w:numPr>
        <w:rPr/>
      </w:pPr>
      <w:bookmarkStart w:id="358" w:name="__RefHeading___Toc763816_3244359995"/>
      <w:bookmarkStart w:id="359" w:name="_Toc133"/>
      <w:bookmarkEnd w:id="358"/>
      <w:r>
        <w:rPr>
          <w:rtl w:val="true"/>
        </w:rPr>
        <w:t>المبحث الرابع</w:t>
      </w:r>
      <w:r>
        <w:rPr>
          <w:rtl w:val="true"/>
        </w:rPr>
        <w:t xml:space="preserve">: </w:t>
      </w:r>
      <w:r>
        <w:rPr>
          <w:rtl w:val="true"/>
        </w:rPr>
        <w:t>فیما لو تردّدت حال شی‌ء بین کونه جزء أو شرطا، و بین کونه مانعا أو قاطعا</w:t>
      </w:r>
      <w:bookmarkEnd w:id="359"/>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الأمر بین وجوب إتیان شی‌ء جزء أو شرطا، و بین وجوب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یعلم إجمالا بأنّ وجود شی‌ء إمّا مبطل و زیادة، أو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وصف فی المرکّب واجب فعله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الأمر بین الوصفین اللذین لا ثالث لهما، کالجهر و الإخفات، و أنّه یعلم إجمالا بوجوب أحدهما، و حرمة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رحمهم اللّه قد وقعوا فی حیص و بیص بین العنوان و مثاله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الأصحاب رحمهم اللّه بین تارک لهذه المسألة،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 المسألة مندرجة فی مسألة المتباینین، و امتناع المخالفة القطعیّة لا ینافی وجوب الموافقة القطعیّة، و بین ذاکر لها إجمالا،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و العلّامة</w:t>
      </w:r>
    </w:p>
    <w:p>
      <w:pPr>
        <w:pStyle w:val="BookText"/>
        <w:rPr/>
      </w:pPr>
      <w:r>
        <w:rPr>
          <w:rFonts w:ascii="IRNazanin" w:hAnsi="IRNazanin" w:eastAsia="IRNazanin"/>
          <w:color w:val="111111"/>
          <w:sz w:val="28"/>
          <w:sz w:val="28"/>
          <w:szCs w:val="28"/>
          <w:rtl w:val="true"/>
          <w:lang w:bidi="fa-IR"/>
        </w:rPr>
        <w:t xml:space="preserve">الأراکیّ رحمه اللّه نظرا إلی العلم الإجمالیّ علی الإطلاق </w:t>
      </w:r>
      <w:r>
        <w:rPr>
          <w:rStyle w:val="FootnoteAnchor"/>
          <w:rtl w:val="true"/>
        </w:rPr>
        <w:footnoteReference w:id="391"/>
      </w:r>
      <w:r>
        <w:rPr>
          <w:rFonts w:ascii="IRNazanin" w:hAnsi="IRNazanin" w:eastAsia="IRNazanin"/>
          <w:color w:val="111111"/>
          <w:sz w:val="28"/>
          <w:sz w:val="28"/>
          <w:szCs w:val="28"/>
          <w:rtl w:val="true"/>
          <w:lang w:bidi="fa-IR"/>
        </w:rPr>
        <w:t xml:space="preserve">، و بین مفصّل بین صور المسألة، کالعلّامة النائینیّ </w:t>
      </w:r>
      <w:r>
        <w:rPr>
          <w:rStyle w:val="FootnoteAnchor"/>
          <w:rtl w:val="true"/>
        </w:rPr>
        <w:footnoteReference w:id="392"/>
      </w:r>
      <w:r>
        <w:rPr>
          <w:rFonts w:ascii="IRNazanin" w:hAnsi="IRNazanin" w:eastAsia="IRNazanin"/>
          <w:color w:val="111111"/>
          <w:sz w:val="28"/>
          <w:sz w:val="28"/>
          <w:szCs w:val="28"/>
          <w:rtl w:val="true"/>
          <w:lang w:bidi="fa-IR"/>
        </w:rPr>
        <w:t>، غافلا عن أنّ المسألة فی التوصّلیات من المرکّبات و إن کانت من المتباینین، إلّا أنّ المفروض عنده هی الملازمة بین وجوب الموافقة القطعیّة و حرمة المخالفة القطعیّة، فلو لم یتمکّن من المخالفة القطعیّة لا تجب الموافقة القطعیّة، و لا شبهة فی أنّه عندئذ لا یجب الاحتیاط؛ لانتفاء الملازمة المذکورة فی تنجیز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فی بادئ النظر أنّ شیخنا العلّامة الأنصاریّ رحمه اللّه اختار البراءة؛ لعدم جواز العقاب علی ترک الکلّ بترک الجزء بعد إتیان عدمه المحتملة شرطیّته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الفرض المذکور ترجع المسألة إلی أنّه یعلم إجمالا بوجوب الصلاة المتقیّدة بالقنوت، أو وجوبها المتقیّد بعدمه، و لا فرق حینئذ بین المسألة و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ترک القنوت غیر قاصد للقربة، فیکون مخالفة قطعیّة فی المرکّب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بحسب العنوان و الأمثلة، لیست کما ینبغی؛ لعدم مورد یکون الأمر فیه دائرا بین الشرطیّة و الجزئیّة، و بین المانعیّة و القاطعیّة الاصطلاحیّة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الأولی بالعنوان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یدور الأمر بین کون الشی‌ء واجبا غیریّا أو نفسیا، و بین کونه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الأمثلة المذکورة، کالحمد حین الشکّ فی الإتیان به و هو فی السورة مثلا، أو الجهر و الاخفات؛ بأن یکون الجهر مبطلا، و عدمه واجبا غیریّا، و کالاستتار بالثوب المتنجّس، و کالسلام بعد الفراغ من التشهّد الأوّل فیما لو دار الأمر بین القصر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توجّه فی أثناء الصلاة مثلا إلی أنّه نسی السجدة الواحدة من الصلاة السابقة، أو التفت إلی نسیان سجدتی السهو، و کرّر السلام، بل و قضاء التشهّد و السجدة فی الرکعة المتأخّرة؛ باحتمال کونه واجبا نفسیّا أو مبطلا؛ لقصور الأدلّة عن تعیین الوظیفة، و هذا أمر کثیر الدور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العلم الإجمالیّ لا یکون منجّزا بالنسبة إلی مورده؛ ضرورة أنّ الوجوب الغیریّ لا یستتبع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بحرمة إبطال المرکّب المذکور، فیکون العلم الإجمالیّ مستلزما لترک المبطل، و یکون بیانا علی صحّة العقوبة علی المرکّب الفاقد؛ لمعلومیّة الأمر به تفصیلا، و مشکوکیّة الاجتزاء بما أتی به، مع عدم دلیل علی جواز الاجتزاء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لیست من قبیل دوران الأمر بین المحذورین؛ لإمکان المخالفة القطعیّة و الموافقة القطعیّة حتّی فی التوصّلیات؛ لعدم صحّة الأمر الغیریّ بالنسبة إلی الأجزاء الداخلیّة، کی یقال عند ترک أصل المرکّب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الأمر قطعیّا، و النهی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لجریان البراءة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 قبیل الأقلّ و الأکثر؛ للعلم بالاشتغال، و الشکّ فی سقوط الأمر، و تمامیّة الحجّة علی صحّة العقوبة علی الاکتفاء بالأقلّ أو بالإخفات؛ فیما إذا کان الأمر دائرا بین وجوبه و وجوب الجهر، فیکون خارجا عن عنوان المسألة، فلا بدّ من الاحتیاط حسب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تحرّر عندنا جریان البراءة الشرعیّة فی مجموع أطراف العلم الإجمالیّ </w:t>
      </w:r>
      <w:r>
        <w:rPr>
          <w:rStyle w:val="FootnoteAnchor"/>
          <w:rtl w:val="true"/>
        </w:rPr>
        <w:footnoteReference w:id="394"/>
      </w:r>
      <w:r>
        <w:rPr>
          <w:rFonts w:ascii="IRNazanin" w:hAnsi="IRNazanin" w:eastAsia="IRNazanin"/>
          <w:color w:val="111111"/>
          <w:sz w:val="28"/>
          <w:sz w:val="28"/>
          <w:szCs w:val="28"/>
          <w:rtl w:val="true"/>
          <w:lang w:bidi="fa-IR"/>
        </w:rPr>
        <w:t xml:space="preserve">، و قضیّة حدیث الرفع رفع الوجوب و المبطلیّة، و عندئذ یجوز الاجتزاء بالمصداق الواحد، و یظهر ممّا تحرّر حدود ضعف کلمات القوم القائلین بالبراءة و الاشتغال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لو دار الأمر بین وجوبه النفسیّ و المبطلیّة الوضعیّة المحضة، أو المبطلیّة المقرونة بالحرمة التکلیفیّة، فمقتضی استصحاب الصحّة علی الوجه المحرّر جواز الإتیان بالمبطل المذکور؛ لعدم لزوم المخالفة العملیّة مع العلم المزبور، فلیتأمّل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وجوبه النفسیّ الفوریّ، و مبطلیّته التفصیلیّة، فتندرج المسألة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أنّ حرمة الإبطال لا تزاحم وجوبه الفوریّ؛ حسبما یستظهر من موارد جواز الإبطال، فتأمّل</w:t>
      </w:r>
      <w:r>
        <w:rPr>
          <w:rFonts w:eastAsia="IRNazanin" w:cs="IRNazanin"/>
          <w:color w:val="111111"/>
          <w:sz w:val="28"/>
          <w:szCs w:val="28"/>
          <w:rtl w:val="true"/>
          <w:lang w:bidi="fa-IR"/>
        </w:rPr>
        <w:t>.</w:t>
      </w:r>
      <w:bookmarkStart w:id="360" w:name="pg13177_117865"/>
    </w:p>
    <w:p>
      <w:pPr>
        <w:pStyle w:val="Heading4"/>
        <w:numPr>
          <w:ilvl w:val="3"/>
          <w:numId w:val="1"/>
        </w:numPr>
        <w:rPr/>
      </w:pPr>
      <w:bookmarkStart w:id="361" w:name="__RefHeading___Toc763818_3244359995"/>
      <w:bookmarkStart w:id="362" w:name="_Toc134"/>
      <w:bookmarkEnd w:id="360"/>
      <w:bookmarkEnd w:id="361"/>
      <w:r>
        <w:rPr>
          <w:rtl w:val="true"/>
        </w:rPr>
        <w:t>ختام فی شرائط الاحتیاط و البراءات الثلاث العقلیّة، و العقلائیّة، و الشرعیّة</w:t>
      </w:r>
      <w:bookmarkEnd w:id="362"/>
    </w:p>
    <w:p>
      <w:pPr>
        <w:pStyle w:val="Heading5"/>
        <w:numPr>
          <w:ilvl w:val="4"/>
          <w:numId w:val="1"/>
        </w:numPr>
        <w:rPr/>
      </w:pPr>
      <w:bookmarkStart w:id="363" w:name="__RefHeading___Toc763820_3244359995"/>
      <w:bookmarkStart w:id="364" w:name="_Toc135"/>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و سبب تعرّضهم لذلک ذهابهم إلی البراءة فی موارد، و الاحتیاط فی اخری فی مباحث الشکّ فی التکلیف و المکلّف به، و تمام الکلام فی مقامین</w:t>
      </w:r>
      <w:r>
        <w:rPr>
          <w:rFonts w:eastAsia="IRNazanin" w:cs="IRNazanin"/>
          <w:color w:val="111111"/>
          <w:sz w:val="28"/>
          <w:szCs w:val="28"/>
          <w:rtl w:val="true"/>
          <w:lang w:bidi="fa-IR"/>
        </w:rPr>
        <w:t>:</w:t>
      </w:r>
    </w:p>
    <w:p>
      <w:pPr>
        <w:pStyle w:val="Heading5"/>
        <w:numPr>
          <w:ilvl w:val="4"/>
          <w:numId w:val="1"/>
        </w:numPr>
        <w:rPr/>
      </w:pPr>
      <w:bookmarkStart w:id="365" w:name="__RefHeading___Toc763822_3244359995"/>
      <w:bookmarkStart w:id="366" w:name="_Toc136"/>
      <w:bookmarkEnd w:id="365"/>
      <w:r>
        <w:rPr>
          <w:rtl w:val="true"/>
        </w:rPr>
        <w:t>المقام الأوّل</w:t>
      </w:r>
      <w:r>
        <w:rPr>
          <w:rtl w:val="true"/>
        </w:rPr>
        <w:t xml:space="preserve">: </w:t>
      </w:r>
      <w:r>
        <w:rPr>
          <w:rtl w:val="true"/>
        </w:rPr>
        <w:t>فی الاحتیاط</w:t>
      </w:r>
      <w:bookmarkEnd w:id="366"/>
    </w:p>
    <w:p>
      <w:pPr>
        <w:pStyle w:val="Heading6"/>
        <w:numPr>
          <w:ilvl w:val="5"/>
          <w:numId w:val="1"/>
        </w:numPr>
        <w:rPr/>
      </w:pPr>
      <w:bookmarkStart w:id="367" w:name="__RefHeading___Toc763824_3244359995"/>
      <w:bookmarkStart w:id="368" w:name="_Toc137"/>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و البحث حوله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حسنه من غیر النظر إلی شرائطه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الاحتیاط بالقیاس إلی موارده اللازمة و غیر اللازمة، کموارد العلم الإجمالیّ و ما بحکمه، و موارد الشکّ فی التکلیف و ما بحکمه، فإنّ تلک الموارد لأجل اختلافها ربّما تختلف شرائطها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الشبهة البدویّة</w:t>
      </w:r>
      <w:r>
        <w:rPr>
          <w:rFonts w:eastAsia="IRNazanin" w:cs="IRNazanin"/>
          <w:color w:val="111111"/>
          <w:sz w:val="28"/>
          <w:szCs w:val="28"/>
          <w:rtl w:val="true"/>
          <w:lang w:bidi="fa-IR"/>
        </w:rPr>
        <w:t>.</w:t>
      </w:r>
      <w:bookmarkStart w:id="369" w:name="pg13177_117866"/>
    </w:p>
    <w:p>
      <w:pPr>
        <w:pStyle w:val="BookText"/>
        <w:rPr/>
      </w:pPr>
      <w:bookmarkEnd w:id="36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المقرونة بالعلم الإجمالیّ الکبیر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التمکّن من حلّ العلم الإجمالیّ حقیقة أو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6"/>
        <w:numPr>
          <w:ilvl w:val="5"/>
          <w:numId w:val="1"/>
        </w:numPr>
        <w:rPr/>
      </w:pPr>
      <w:bookmarkStart w:id="370" w:name="__RefHeading___Toc763826_3244359995"/>
      <w:bookmarkStart w:id="371" w:name="_Toc138"/>
      <w:bookmarkEnd w:id="370"/>
      <w:r>
        <w:rPr>
          <w:rtl w:val="true"/>
        </w:rPr>
        <w:t>الجهة الاولی</w:t>
      </w:r>
      <w:r>
        <w:rPr>
          <w:rtl w:val="true"/>
        </w:rPr>
        <w:t xml:space="preserve">: </w:t>
      </w:r>
      <w:r>
        <w:rPr>
          <w:rtl w:val="true"/>
        </w:rPr>
        <w:t>فی حدّ حسن الاحتیاط</w:t>
      </w:r>
      <w:bookmarkEnd w:id="371"/>
    </w:p>
    <w:p>
      <w:pPr>
        <w:pStyle w:val="BookText"/>
        <w:rPr/>
      </w:pPr>
      <w:r>
        <w:rPr>
          <w:rFonts w:ascii="IRNazanin" w:hAnsi="IRNazanin" w:eastAsia="IRNazanin"/>
          <w:color w:val="111111"/>
          <w:sz w:val="28"/>
          <w:sz w:val="28"/>
          <w:szCs w:val="28"/>
          <w:rtl w:val="true"/>
          <w:lang w:bidi="fa-IR"/>
        </w:rPr>
        <w:t>قد اشتهر درک العقل حسن الاحتیاط</w:t>
      </w:r>
      <w:r>
        <w:rPr>
          <w:rStyle w:val="FootnoteAnchor"/>
          <w:rtl w:val="true"/>
        </w:rPr>
        <w:footnoteReference w:id="396"/>
      </w:r>
      <w:r>
        <w:rPr>
          <w:rFonts w:ascii="IRNazanin" w:hAnsi="IRNazanin" w:eastAsia="IRNazanin"/>
          <w:color w:val="111111"/>
          <w:sz w:val="28"/>
          <w:sz w:val="28"/>
          <w:szCs w:val="28"/>
          <w:rtl w:val="true"/>
          <w:lang w:bidi="fa-IR"/>
        </w:rPr>
        <w:t>، و لکن حیث لا یمکن درک العقل حسن شی‌ء إلّا بعد الإحاطة بجمیع شرائط درکه، فإذا احتمل أنّ الاحتیاط ینتهی إلی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کاختلال النظام و السیاسة البدنیّة و الروحیّة و المنزلیّة و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یتمکّن من درک حسنه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مع جهله بذلک احتیاط، ناشئ من قلّة العقل؛ لأنّه احتیاط بالقیاس إلی احتمال أمر المولی، و لکنّه لا یدرک حسنه؛ لاحتمال انتهائه إلی مبغوض المولی، أو إلی الوسواس الذی هو أیضا مبغوضه، أو مع احتمال کونه مورد البغض لا یمکن درک حسنه، فلا طریق عقلیّ إلی وجود شرط درک العقل حسنه حتّی بالنسبة إلی امتثاله الواقعیّ للأمر؛ لإمکان مبغوضیّة الاحتیاط لأجل جهة من الجهات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لأنّ مقصود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حسن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العمل الخارجیّ الواقع احتیاطا حسن بالحمل الشائع، و إلّا فبالحمل الأوّلی لیس الاحتیاط حسنا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نقاش فی صغری ما اشتهر من درک العقل حسن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إفاضة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العقل کما یدرک حسن الاحتیاط، یدرک حسن الصبر و الصلاة، و حسن الشجاعة و الجهاد و هکذا، و لا یعقل أن یکون نسبة الحسن إلی هذه المتباینات نسبة حقیقیّة؛ لامتناع انتزاع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المختلفات و المتکثّرات بما هی مختلفة و کثیرة، و لا شبهة فی أنّ الحسن مفهوم واحد مشترک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الحسن و یدرک العقل حسنه أمر واحد شریک بینها، و إنّما هو موضوع الحسن، دون الاحتیاط و الصبر و السخاوة و هکذا، و نسبة الحسن إلیها مجاز عقلیّ و حقیقة عرفیّة، و لأجله اشتهر حسن شی‌ء واحد و هو العدل، و قبح شی‌ء واحد و هو الظلم، و ترجع المحسّنات و المقبّحات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الاحتیاط حسن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الأکاذیب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یدرک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الأباطیل البرهانیّة،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مفهوم الاحتیاط فی الأفعال المأتیّ بها احتیاطا، ینتزع منها حین الاقتران بقصد معلوم، و أمّا فی التروک فکیف یعقل أن یقع الترک عن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واقعیّة للعدم و التروک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احتیاط و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یعقل توصیف الترک به، إلّا أنّه یوصف المنزجر عن المبغوض الاحتمالیّ مثلا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حومة العقل الأمر کما تحرّر، و لکن فی حومة العقلاء الأمر کما حرّره القوم</w:t>
      </w:r>
      <w:r>
        <w:rPr>
          <w:rFonts w:eastAsia="IRNazanin" w:cs="IRNazanin"/>
          <w:color w:val="111111"/>
          <w:sz w:val="28"/>
          <w:szCs w:val="28"/>
          <w:rtl w:val="true"/>
          <w:lang w:bidi="fa-IR"/>
        </w:rPr>
        <w:t>.</w:t>
      </w:r>
      <w:bookmarkStart w:id="372" w:name="pg13177_117868"/>
    </w:p>
    <w:p>
      <w:pPr>
        <w:pStyle w:val="BookText"/>
        <w:rPr/>
      </w:pPr>
      <w:bookmarkEnd w:id="372"/>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للعدم المضاف حظّا من الوجود، فی غیر محلّه، و لو وقع فی الکتب العقلیّة</w:t>
      </w:r>
      <w:r>
        <w:rPr>
          <w:rStyle w:val="FootnoteAnchor"/>
          <w:rtl w:val="true"/>
        </w:rPr>
        <w:footnoteReference w:id="397"/>
      </w:r>
      <w:r>
        <w:rPr>
          <w:rFonts w:ascii="IRNazanin" w:hAnsi="IRNazanin" w:eastAsia="IRNazanin"/>
          <w:color w:val="111111"/>
          <w:sz w:val="28"/>
          <w:sz w:val="28"/>
          <w:szCs w:val="28"/>
          <w:rtl w:val="true"/>
          <w:lang w:bidi="fa-IR"/>
        </w:rPr>
        <w:t>فهو لأجل التعلیم،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امتثال النهی لیس شی‌ء یعدّ ممتثلا به، کذلک فی المقام، و لا یعتبر أزید من ذلک فی حصول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 و الامتثال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التروک الخاصّة و الانزجار، فلیلاحظ</w:t>
      </w:r>
      <w:r>
        <w:rPr>
          <w:rFonts w:eastAsia="IRNazanin" w:cs="IRNazanin"/>
          <w:color w:val="111111"/>
          <w:sz w:val="28"/>
          <w:szCs w:val="28"/>
          <w:rtl w:val="true"/>
          <w:lang w:bidi="fa-IR"/>
        </w:rPr>
        <w:t>.</w:t>
      </w:r>
    </w:p>
    <w:p>
      <w:pPr>
        <w:pStyle w:val="Heading6"/>
        <w:numPr>
          <w:ilvl w:val="5"/>
          <w:numId w:val="1"/>
        </w:numPr>
        <w:rPr/>
      </w:pPr>
      <w:bookmarkStart w:id="373" w:name="__RefHeading___Toc763828_3244359995"/>
      <w:bookmarkStart w:id="374" w:name="_Toc139"/>
      <w:bookmarkEnd w:id="373"/>
      <w:r>
        <w:rPr>
          <w:rtl w:val="true"/>
        </w:rPr>
        <w:t>الجهة الثانیة</w:t>
      </w:r>
      <w:r>
        <w:rPr>
          <w:rtl w:val="true"/>
        </w:rPr>
        <w:t xml:space="preserve">: </w:t>
      </w:r>
      <w:r>
        <w:rPr>
          <w:rtl w:val="true"/>
        </w:rPr>
        <w:t>فی منع جواز الاحتیاط علی الإطلاق</w:t>
      </w:r>
      <w:bookmarkEnd w:id="374"/>
    </w:p>
    <w:p>
      <w:pPr>
        <w:pStyle w:val="BookText"/>
        <w:rPr/>
      </w:pPr>
      <w:r>
        <w:rPr>
          <w:rFonts w:ascii="IRNazanin" w:hAnsi="IRNazanin" w:eastAsia="IRNazanin"/>
          <w:color w:val="111111"/>
          <w:sz w:val="28"/>
          <w:sz w:val="28"/>
          <w:szCs w:val="28"/>
          <w:rtl w:val="true"/>
          <w:lang w:bidi="fa-IR"/>
        </w:rPr>
        <w:t>یمکن المناقشة فی جواز الاحتیاط علی الإطلاق؛ و ذلک إمّا لأجل کونه مقدّمة للمبغوض و الهرج و المرج و اختلال النظام فی صورة العلم بمقدّمیته، أو فی صورة کونه من الأسباب التولیدیّة للمبغوض، کالاختلال و التوسوس، و لو قلنا بجواز 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العقوبة علی الأسباب التولیدیّة حسبما مرّ فی المجلد الأوّل، و علیه بعض الأفاضل و الأعلام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صحیح؛ لأنّ المحرّم هو المسبّب، و مقدوریّة السبب التولیدیّ تکفی لتعلّق النهی بالمسبّب، و لا یجوز علی هذا صرف النظر عن الدلیل و التصرّف فیه؛ بتوهّم امتناعه، کما تحرّر فی محلّه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375" w:name="pg13177_117869"/>
    </w:p>
    <w:p>
      <w:pPr>
        <w:pStyle w:val="Heading6"/>
        <w:numPr>
          <w:ilvl w:val="5"/>
          <w:numId w:val="1"/>
        </w:numPr>
        <w:rPr/>
      </w:pPr>
      <w:bookmarkStart w:id="376" w:name="__RefHeading___Toc763830_3244359995"/>
      <w:bookmarkStart w:id="377" w:name="_Toc140"/>
      <w:bookmarkEnd w:id="375"/>
      <w:bookmarkEnd w:id="376"/>
      <w:r>
        <w:rPr>
          <w:rtl w:val="true"/>
        </w:rPr>
        <w:t>الجهة الثالثة</w:t>
      </w:r>
      <w:r>
        <w:rPr>
          <w:rtl w:val="true"/>
        </w:rPr>
        <w:t xml:space="preserve">: </w:t>
      </w:r>
      <w:r>
        <w:rPr>
          <w:rtl w:val="true"/>
        </w:rPr>
        <w:t>فی حکم الاحتیاط فی الشبهات البدویّة التوصلیة و التعبدیّة</w:t>
      </w:r>
      <w:bookmarkEnd w:id="377"/>
    </w:p>
    <w:p>
      <w:pPr>
        <w:pStyle w:val="Heading6"/>
        <w:numPr>
          <w:ilvl w:val="5"/>
          <w:numId w:val="1"/>
        </w:numPr>
        <w:rPr/>
      </w:pPr>
      <w:bookmarkStart w:id="378" w:name="__RefHeading___Toc763832_3244359995"/>
      <w:bookmarkStart w:id="379" w:name="_Toc141"/>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فی موارد الشبهات البدویّة بعد الفحص یجوز الاحتیاط، و احتمال حرمته منفیّ بالاصول الثلاثة، و هکذا احتمال حرمة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عدّه احتیاطا منع مرّ وجهه، إلّا إذا کان المعوّل بناء العقلاء، ففی جمیع التوصّلیات و المعاملات یجوز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العبادات، فما دام لم یکن من قصده التشریع، أو لم یکن تشریعا و بدعة عند المتشرّعة حسب صورته و إن لم یکن قاصدا لذلک، فالأشبه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بصلاة خماسیّة الرکعة، أو بصلاة إلی غیر القبلة و هو قائم، أو بالحجّ فی غیر أیّام الحجّ؛ بتوهّم لزومه، أو بالاعتکاف فی مسجد المحلّة، أو فی المسجد الاتخاذیّ؛ بتوهّم لزومه، فالأظهر أنّه بدعة عرفیّة، فتکون حراما و إن لم یکن من قصده الابتداع،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أتی بالتمام فی السفر، أو العکس، أو أتت الحائض بالصلاة؛ بتوهّم لزومها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أبواب من یصحّ منه الصوم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ضعیفا،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لنا أن نفعل إلّا ما امرنا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یستشمّ منه ممنوعیّة العبادة إلّا فی صورة وجود الأمر، و فی صورة الشکّ و الجهل لا تجوز العبادة، فتأمّل</w:t>
      </w:r>
      <w:r>
        <w:rPr>
          <w:rFonts w:eastAsia="IRNazanin" w:cs="IRNazanin"/>
          <w:color w:val="111111"/>
          <w:sz w:val="28"/>
          <w:szCs w:val="28"/>
          <w:rtl w:val="true"/>
          <w:lang w:bidi="fa-IR"/>
        </w:rPr>
        <w:t>.</w:t>
      </w:r>
      <w:bookmarkStart w:id="380" w:name="pg13177_117870"/>
    </w:p>
    <w:p>
      <w:pPr>
        <w:pStyle w:val="BookText"/>
        <w:rPr/>
      </w:pPr>
      <w:bookmarkEnd w:id="380"/>
      <w:r>
        <w:rPr>
          <w:rFonts w:ascii="IRNazanin" w:hAnsi="IRNazanin" w:eastAsia="IRNazanin"/>
          <w:color w:val="111111"/>
          <w:sz w:val="28"/>
          <w:sz w:val="28"/>
          <w:szCs w:val="28"/>
          <w:rtl w:val="true"/>
          <w:lang w:bidi="fa-IR"/>
        </w:rPr>
        <w:t>کما یستظهر أحیانا ممّا ورد فی عدّه صلّی اللّه علیه و اله و سلّم جهلة العامّة من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عصاة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البدعة غیر متقوّمة بالقصد؛ لکونهم معتقدین أمر اللّه تعالی بوظیفتهم، فمجرّد احتمال الأمر غیر کاف لصحّة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الکلام لا ینبغی أن یخفی؛ و هو أنّ الاحتیاط فی صورة احتمال التکلیف اللزومیّ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إذا کان فی ترکه الاحتیاط، أو ترکه لازما، فلا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منه إسقاط الأمر المحتمل، فربّما لا یحصل له ذلک؛ لاحتمال دخالة شی‌ء فی سقوطه، و هو جاهل به، و غیر واصل إلیه ذلک الشی‌ء، فالانقیاد بمعناه الإطلاقیّ غیر حاصل، و بمعناه الاحتمالیّ مشترک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الوقائع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بحسب الفرض و التصوّر یمکن الاحتیاط، کما هو الواضح</w:t>
      </w:r>
      <w:r>
        <w:rPr>
          <w:rFonts w:eastAsia="IRNazanin" w:cs="IRNazanin"/>
          <w:color w:val="111111"/>
          <w:sz w:val="28"/>
          <w:szCs w:val="28"/>
          <w:rtl w:val="true"/>
          <w:lang w:bidi="fa-IR"/>
        </w:rPr>
        <w:t>.</w:t>
      </w:r>
    </w:p>
    <w:p>
      <w:pPr>
        <w:pStyle w:val="Heading6"/>
        <w:numPr>
          <w:ilvl w:val="5"/>
          <w:numId w:val="1"/>
        </w:numPr>
        <w:rPr/>
      </w:pPr>
      <w:bookmarkStart w:id="381" w:name="__RefHeading___Toc763834_3244359995"/>
      <w:bookmarkStart w:id="382" w:name="_Toc142"/>
      <w:bookmarkEnd w:id="381"/>
      <w:r>
        <w:rPr>
          <w:rtl w:val="true"/>
        </w:rPr>
        <w:t>تنبیه</w:t>
      </w:r>
      <w:r>
        <w:rPr>
          <w:rtl w:val="true"/>
        </w:rPr>
        <w:t xml:space="preserve">: </w:t>
      </w:r>
      <w:r>
        <w:rPr>
          <w:rtl w:val="true"/>
        </w:rPr>
        <w:t>توهّم عدم إمکان الاحتیاط فی العبادات و ما فیه</w:t>
      </w:r>
      <w:bookmarkEnd w:id="382"/>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موارد العبادات لا یمکن الاحتیاط؛ لأنّه لا معنی للانبعاث عن الأمر المحتمل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الاحتیاط کما فی العبادات، متقوّمة بالانقیاد، و هو لا یحصل إلّا فی صورة الالتفات إلی الأمر، فلا یحصل فرق بین التعبّدی و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سقوط الأمر التوصّلی من غیر التفات، غیر الاحتیاط فی التوصّلیات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تقوّم الانبعاث بالبعث المعلوم إجمالا أو تفصیلا، فهو ممنوع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 مرّ فی مواضع من هذا الکتاب </w:t>
      </w:r>
      <w:r>
        <w:rPr>
          <w:rStyle w:val="FootnoteAnchor"/>
          <w:rtl w:val="true"/>
        </w:rPr>
        <w:footnoteReference w:id="403"/>
      </w:r>
      <w:r>
        <w:rPr>
          <w:rFonts w:ascii="IRNazanin" w:hAnsi="IRNazanin" w:eastAsia="IRNazanin"/>
          <w:color w:val="111111"/>
          <w:sz w:val="28"/>
          <w:sz w:val="28"/>
          <w:szCs w:val="28"/>
          <w:rtl w:val="true"/>
          <w:lang w:bidi="fa-IR"/>
        </w:rPr>
        <w:t>فإنّ میزان عبادیّة العبادة</w:t>
      </w:r>
      <w:bookmarkStart w:id="383" w:name="pg13177_117871"/>
    </w:p>
    <w:p>
      <w:pPr>
        <w:pStyle w:val="BookText"/>
        <w:rPr/>
      </w:pPr>
      <w:bookmarkEnd w:id="383"/>
      <w:r>
        <w:rPr>
          <w:rFonts w:ascii="IRNazanin" w:hAnsi="IRNazanin" w:eastAsia="IRNazanin"/>
          <w:color w:val="111111"/>
          <w:sz w:val="28"/>
          <w:sz w:val="28"/>
          <w:szCs w:val="28"/>
          <w:rtl w:val="true"/>
          <w:lang w:bidi="fa-IR"/>
        </w:rPr>
        <w:t>لیس الانبعاث عن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حصّلناه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میزان عبادیّة العبادة الانبعاث عن البعث المعلوم، ففی صورة احتمال الأمر هو أقوی و آکد، و تصیر النتیجة صیرورة التوصّلیات تعبّدیة فی صورة الإتیان بها احتیاطا؛ لأنّ التوصّلی المأتیّ به احتیاطا هو المقارن للانبعاث عن البعث الإلزامیّ، فلیتدبّر، و اغتنم جیّدا</w:t>
      </w:r>
      <w:r>
        <w:rPr>
          <w:rFonts w:eastAsia="IRNazanin" w:cs="IRNazanin"/>
          <w:color w:val="111111"/>
          <w:sz w:val="28"/>
          <w:szCs w:val="28"/>
          <w:rtl w:val="true"/>
          <w:lang w:bidi="fa-IR"/>
        </w:rPr>
        <w:t>.</w:t>
      </w:r>
    </w:p>
    <w:p>
      <w:pPr>
        <w:pStyle w:val="Heading6"/>
        <w:numPr>
          <w:ilvl w:val="5"/>
          <w:numId w:val="1"/>
        </w:numPr>
        <w:rPr/>
      </w:pPr>
      <w:bookmarkStart w:id="384" w:name="__RefHeading___Toc763836_3244359995"/>
      <w:bookmarkStart w:id="385" w:name="_Toc143"/>
      <w:bookmarkEnd w:id="384"/>
      <w:r>
        <w:rPr>
          <w:rtl w:val="true"/>
        </w:rPr>
        <w:t>ذنابة</w:t>
      </w:r>
      <w:r>
        <w:rPr>
          <w:rtl w:val="true"/>
        </w:rPr>
        <w:t xml:space="preserve">: </w:t>
      </w:r>
      <w:r>
        <w:rPr>
          <w:rtl w:val="true"/>
        </w:rPr>
        <w:t>فی استواء الاحتیاط و ترکه بلحاظ العقل</w:t>
      </w:r>
      <w:bookmarkEnd w:id="385"/>
    </w:p>
    <w:p>
      <w:pPr>
        <w:pStyle w:val="BookText"/>
        <w:rPr/>
      </w:pPr>
      <w:r>
        <w:rPr>
          <w:rFonts w:ascii="IRNazanin" w:hAnsi="IRNazanin" w:eastAsia="IRNazanin"/>
          <w:color w:val="111111"/>
          <w:sz w:val="28"/>
          <w:sz w:val="28"/>
          <w:szCs w:val="28"/>
          <w:rtl w:val="true"/>
          <w:lang w:bidi="fa-IR"/>
        </w:rPr>
        <w:t>قضیّة ما حصّلناه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یتمکّن العقل من درک حسن الاحتیاط، و لا یمکن العلم بحصول الامتثال القطعیّ فی موارد احتمال الأمر، ففی جمیع موارد الاحتیاط لا فرق بین الاحتیاط و ترکه؛ لاحتمال کون کلّ من الفعل و الترک انقیادا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تصوّر الاحتیاط، و هو غیر الاحتیاط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بالشبهات البدویّة، جمیع الموارد التی لا یجب فیها الاحتیاط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الآمرة بالاحتیاط، فإن اخذ بها لکونها منجّزة للواقع، فیکون الاحتیاط واجبا، و إن اخذ بها لکونه ممدوحا و مندوبا، ففی تحقّق موضوعه إشکال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ناظرة إلی الموارد التی تکون احتیاطا عرفا، و إن لم تکن احتیاطا حسب الاحتمال العقلیّ، کما لیس ببعید</w:t>
      </w:r>
      <w:r>
        <w:rPr>
          <w:rFonts w:eastAsia="IRNazanin" w:cs="IRNazanin"/>
          <w:color w:val="111111"/>
          <w:sz w:val="28"/>
          <w:szCs w:val="28"/>
          <w:rtl w:val="true"/>
          <w:lang w:bidi="fa-IR"/>
        </w:rPr>
        <w:t>.</w:t>
      </w:r>
    </w:p>
    <w:p>
      <w:pPr>
        <w:pStyle w:val="Heading6"/>
        <w:numPr>
          <w:ilvl w:val="5"/>
          <w:numId w:val="1"/>
        </w:numPr>
        <w:rPr/>
      </w:pPr>
      <w:bookmarkStart w:id="386" w:name="__RefHeading___Toc763838_3244359995"/>
      <w:bookmarkStart w:id="387" w:name="_Toc144"/>
      <w:bookmarkEnd w:id="386"/>
      <w:r>
        <w:rPr>
          <w:rtl w:val="true"/>
        </w:rPr>
        <w:t>بقی شی‌ء</w:t>
      </w:r>
      <w:r>
        <w:rPr>
          <w:rtl w:val="true"/>
        </w:rPr>
        <w:t xml:space="preserve">: </w:t>
      </w:r>
      <w:r>
        <w:rPr>
          <w:rtl w:val="true"/>
        </w:rPr>
        <w:t>حول استلزام الاحتیاط للتکرار فی الشبهات البدویة</w:t>
      </w:r>
      <w:bookmarkEnd w:id="3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یلزم التکرار فی الشبهات البدویّة حتّی فی العبادات، کما إذا قامت الحجّة علی أنّ القبلة إلی الجانب الخاصّ، فإنّه بالنسبة إلی ذلک الجانب یتعیّن عقلا، و أمّا بالنسبة إلی الجوانب الاخر فیلزم تکرار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یشکل علیه تجویزه فی</w:t>
      </w:r>
      <w:bookmarkStart w:id="388" w:name="pg13177_117872"/>
    </w:p>
    <w:p>
      <w:pPr>
        <w:pStyle w:val="BookText"/>
        <w:rPr/>
      </w:pPr>
      <w:bookmarkEnd w:id="388"/>
      <w:r>
        <w:rPr>
          <w:rFonts w:ascii="IRNazanin" w:hAnsi="IRNazanin" w:eastAsia="IRNazanin"/>
          <w:color w:val="111111"/>
          <w:sz w:val="28"/>
          <w:sz w:val="28"/>
          <w:szCs w:val="28"/>
          <w:rtl w:val="true"/>
          <w:lang w:bidi="fa-IR"/>
        </w:rPr>
        <w:t>موارد العلم الإجمالیّ، 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جوازه هنا ممّا لا بأس به؛ فإنّه لیس بتارک طریقی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من الإشکالات المانعة قد مرّ فی البحوث السابقة</w:t>
      </w:r>
      <w:r>
        <w:rPr>
          <w:rStyle w:val="FootnoteAnchor"/>
          <w:rtl w:val="true"/>
        </w:rPr>
        <w:footnoteReference w:id="404"/>
      </w:r>
      <w:r>
        <w:rPr>
          <w:rFonts w:ascii="IRNazanin" w:hAnsi="IRNazanin" w:eastAsia="IRNazanin"/>
          <w:color w:val="111111"/>
          <w:sz w:val="28"/>
          <w:sz w:val="28"/>
          <w:szCs w:val="28"/>
          <w:rtl w:val="true"/>
          <w:lang w:bidi="fa-IR"/>
        </w:rPr>
        <w:t>، کما أنّ ما استشکلناه فی کونه احتیاطا موضوعا ممّا لا یخفی، فلیلاحظ</w:t>
      </w:r>
      <w:r>
        <w:rPr>
          <w:rFonts w:eastAsia="IRNazanin" w:cs="IRNazanin"/>
          <w:color w:val="111111"/>
          <w:sz w:val="28"/>
          <w:szCs w:val="28"/>
          <w:rtl w:val="true"/>
          <w:lang w:bidi="fa-IR"/>
        </w:rPr>
        <w:t>.</w:t>
      </w:r>
    </w:p>
    <w:p>
      <w:pPr>
        <w:pStyle w:val="Heading6"/>
        <w:numPr>
          <w:ilvl w:val="5"/>
          <w:numId w:val="1"/>
        </w:numPr>
        <w:rPr/>
      </w:pPr>
      <w:bookmarkStart w:id="389" w:name="__RefHeading___Toc763840_3244359995"/>
      <w:bookmarkStart w:id="390" w:name="_Toc145"/>
      <w:bookmarkEnd w:id="389"/>
      <w:r>
        <w:rPr>
          <w:rtl w:val="true"/>
        </w:rPr>
        <w:t>الجهة الرابعة</w:t>
      </w:r>
      <w:r>
        <w:rPr>
          <w:rtl w:val="true"/>
        </w:rPr>
        <w:t xml:space="preserve">: </w:t>
      </w:r>
      <w:r>
        <w:rPr>
          <w:rtl w:val="true"/>
        </w:rPr>
        <w:t>حول الاحتیاط مع عدم التمکن من حلّ العلم الإجمالی</w:t>
      </w:r>
      <w:bookmarkEnd w:id="390"/>
    </w:p>
    <w:p>
      <w:pPr>
        <w:pStyle w:val="BookText"/>
        <w:rPr/>
      </w:pPr>
      <w:r>
        <w:rPr>
          <w:rFonts w:ascii="IRNazanin" w:hAnsi="IRNazanin" w:eastAsia="IRNazanin"/>
          <w:color w:val="111111"/>
          <w:sz w:val="28"/>
          <w:sz w:val="28"/>
          <w:szCs w:val="28"/>
          <w:rtl w:val="true"/>
          <w:lang w:bidi="fa-IR"/>
        </w:rPr>
        <w:t>فی موارد وجوب الاحتیاط عقلا للعلم الإجمالیّ سواء کان متجزّیا فی الاحتیاط الواجب، أو مستوفیا لجمیع الأطراف، إذا کان غیر متمکّن من حلّ العلم الإجمالیّ حلّا حقیقیّا، أو حکمیّا کالاجتهاد أو التقلید، فلا یلزم إشکال فی التوصّلیات، و لا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امتناع الاحتیاط موضوعا؛ من جهة أنّ اللعب و إن لم یکن قصدیّا، و لکنّه انتزاعیّ و قهریّ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ما کان العرف مطّلعا علی اللزوم المذکور، لا ینتزع اللعب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عرفت من کبری حدیث اللعب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جریان الاصول الشرعیّة فی مجموع الأطراف، فلا یکون الاحتیاط لازما عقلیّا، فتکون کموارد الشبهة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کلام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Style w:val="FootnoteAnchor"/>
          <w:rtl w:val="true"/>
        </w:rPr>
        <w:footnoteReference w:id="406"/>
      </w:r>
      <w:r>
        <w:rPr>
          <w:rFonts w:ascii="IRNazanin" w:hAnsi="IRNazanin" w:eastAsia="IRNazanin"/>
          <w:color w:val="111111"/>
          <w:sz w:val="28"/>
          <w:sz w:val="28"/>
          <w:szCs w:val="28"/>
          <w:rtl w:val="true"/>
          <w:lang w:bidi="fa-IR"/>
        </w:rPr>
        <w:t xml:space="preserve">، و البهبهانیّ </w:t>
      </w:r>
      <w:r>
        <w:rPr>
          <w:rStyle w:val="FootnoteAnchor"/>
          <w:rtl w:val="true"/>
        </w:rPr>
        <w:footnoteReference w:id="407"/>
      </w:r>
      <w:r>
        <w:rPr>
          <w:rFonts w:ascii="IRNazanin" w:hAnsi="IRNazanin" w:eastAsia="IRNazanin"/>
          <w:color w:val="111111"/>
          <w:sz w:val="28"/>
          <w:sz w:val="28"/>
          <w:szCs w:val="28"/>
          <w:rtl w:val="true"/>
          <w:lang w:bidi="fa-IR"/>
        </w:rPr>
        <w:t>الذاهبین إلی جواز المخالفة القطعیّة، محمول علی خصوص هذه</w:t>
      </w:r>
    </w:p>
    <w:p>
      <w:pPr>
        <w:pStyle w:val="BookText"/>
        <w:rPr/>
      </w:pPr>
      <w:r>
        <w:rPr>
          <w:rFonts w:ascii="IRNazanin" w:hAnsi="IRNazanin" w:eastAsia="IRNazanin"/>
          <w:color w:val="111111"/>
          <w:sz w:val="28"/>
          <w:sz w:val="28"/>
          <w:szCs w:val="28"/>
          <w:rtl w:val="true"/>
          <w:lang w:bidi="fa-IR"/>
        </w:rPr>
        <w:t>الصورة، و لا یلزم ترک طریقی الاجتهاد و التقلید حتّی فی مورد واحد؛ لأنّ الاجتهاد ینتهی إلی جریانها حولها فی خصوص صورة امتناع حلّ العلم، إلّا فی موارد خاصّة اللازم فیها الموافقة الاحتمالیّة، أو القطعیّة، کباب دوران الأمر بین القصر و التمام، و لم یکن یجری الاستصحاب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التفصیلیّ قید فی المأمور به، و إلّا فلا معنی لأن یقدّم، و حکم العقلاء بتقدّمه لو کان صحیحا، لا بدّ و أن یرجع إلی قیدیّته فی متعلّق الأمر بالجعل الثانویّ اللبّی، أو اللفظیّ، فعلیه یلزم عجز المکلّف عن الامتثال الإجمالیّ، کشرطیّة قصد الوجه و التمییز، و فی مورد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الأمر، إلّا إذا کان لدلیل المرکّب إطلاق، و لم یکن لدلیل القید إطلاق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یلزم أن یکون العبد معذورا، و لا یلزم علی القول بالخطابات الشخصیّة مخالفة قطعیّة؛ لسقوط الأمر بعجز العبد، أو علی القول بتقیید الخطابات القانونیّة و تقییدها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الدلیل علی تقدّمه فی صورة العجز؛ لأنّ دلیل القید لبّی،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المناقشة علی القول باعتبار قصد الوجه و التمییز، فإنّ دلیله لو کان فهو لبّی أیضا، و القدر المتیقّن صورة القدرة لا العجز، فیرفع احتمال دخالته بدلیل البراءة، لکونه من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قصد الوجه ممکن، و لکنّه غیر معتبر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ذکرناه یجری فی التوصّلی و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مع غض النظر عمّا ذکرناه فی أطراف العلم الإجمالیّ، لا أساس لسائر ما قیل أو یمکن أن یقال، و قد</w:t>
      </w:r>
      <w:bookmarkStart w:id="391" w:name="pg13177_117874"/>
    </w:p>
    <w:p>
      <w:pPr>
        <w:pStyle w:val="BookText"/>
        <w:rPr/>
      </w:pPr>
      <w:bookmarkEnd w:id="391"/>
      <w:r>
        <w:rPr>
          <w:rFonts w:ascii="IRNazanin" w:hAnsi="IRNazanin" w:eastAsia="IRNazanin"/>
          <w:color w:val="111111"/>
          <w:sz w:val="28"/>
          <w:sz w:val="28"/>
          <w:szCs w:val="28"/>
          <w:rtl w:val="true"/>
          <w:lang w:bidi="fa-IR"/>
        </w:rPr>
        <w:t>أشبعنا البیان تشحیذا للأذهان،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شرط فی هذه الصورة للاحتیاط، و لا یلزم منه عدم الاحتیاط</w:t>
      </w:r>
      <w:r>
        <w:rPr>
          <w:rFonts w:eastAsia="IRNazanin" w:cs="IRNazanin"/>
          <w:color w:val="111111"/>
          <w:sz w:val="28"/>
          <w:szCs w:val="28"/>
          <w:rtl w:val="true"/>
          <w:lang w:bidi="fa-IR"/>
        </w:rPr>
        <w:t>.</w:t>
      </w:r>
    </w:p>
    <w:p>
      <w:pPr>
        <w:pStyle w:val="Heading6"/>
        <w:numPr>
          <w:ilvl w:val="5"/>
          <w:numId w:val="1"/>
        </w:numPr>
        <w:rPr/>
      </w:pPr>
      <w:bookmarkStart w:id="392" w:name="__RefHeading___Toc763842_3244359995"/>
      <w:bookmarkStart w:id="393" w:name="_Toc146"/>
      <w:bookmarkEnd w:id="392"/>
      <w:r>
        <w:rPr>
          <w:rtl w:val="true"/>
        </w:rPr>
        <w:t>الجهة الخامسة</w:t>
      </w:r>
      <w:r>
        <w:rPr>
          <w:rtl w:val="true"/>
        </w:rPr>
        <w:t xml:space="preserve">: </w:t>
      </w:r>
      <w:r>
        <w:rPr>
          <w:rtl w:val="true"/>
        </w:rPr>
        <w:t>حول الاحتیاط فی مورد العلم الإجمالی مع التمکّن من حلّه</w:t>
      </w:r>
      <w:bookmarkEnd w:id="393"/>
    </w:p>
    <w:p>
      <w:pPr>
        <w:pStyle w:val="Heading6"/>
        <w:numPr>
          <w:ilvl w:val="5"/>
          <w:numId w:val="1"/>
        </w:numPr>
        <w:rPr/>
      </w:pPr>
      <w:bookmarkStart w:id="394" w:name="__RefHeading___Toc763844_3244359995"/>
      <w:bookmarkStart w:id="395" w:name="_Toc147"/>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فی مورد العلم الإجمالیّ مع التمکّن من حلّه حقیقة أو حکما، فالذی هو التحقیق جوازه، و حدیث اللعب و قیدیّة قصد الوجه و التمییز، ممّا لا یرجع إلی محصّل صغرویّ فی الأوّل، و کبرویّ فی الثانی و إن کان ممکنا تحصیله، و فی الثالث و إن لا یمکن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العبادة مع کونها مورد انتزاع اللعب عرفا، فهی عندنا ممنوعة؛ لاغتراس الأفهام الشرعیّة قیدیّة کونها صالحة للعبودیّة و التقرّب، و هذا مع کونه مورد انتزاع المحرّم محلّ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الشأن عدم انتزاع اللعب بعد کونه قاصدا لإتیان المأمور 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کونه غیر صالح لانتزاع العبودیّة و المقرّبیة مطلقا؛ من جهة احتمال حرمة الزائد، سواء کان عملا مستقلّا کصلاة علی حدة، أو جزء و شرطا، فی غیر محلّه، لأنّ احتمال الحرمة المدفوع بالبراءة فی صورة التمکّن، کاحتمال حرمته فی صورة حلّ العلم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ذلک للزم ممنوعیّة تکرار طرف العلم بعد الانحلال الحکمیّ؛ لأنّ بإتیانه بعد اتباع الطریق، یعدّ العمل الأوّل دخیلا فی أخذ عنوان اللعب من الثانی، فیکون غیر صالح لأن یتعبّد به و یتقرّب به منه تعالی، کما هو کذلک فی الوسواسیّ الباطل عمله الأوّل، فإنّه لأجل دخالته فی تحقّق عنوان</w:t>
      </w:r>
    </w:p>
    <w:p>
      <w:pPr>
        <w:pStyle w:val="BookText"/>
        <w:rPr/>
      </w:pPr>
      <w:r>
        <w:rPr>
          <w:rFonts w:ascii="IRNazanin" w:hAnsi="IRNazanin" w:eastAsia="IRNazanin"/>
          <w:color w:val="111111"/>
          <w:sz w:val="28"/>
          <w:sz w:val="28"/>
          <w:szCs w:val="28"/>
          <w:rtl w:val="true"/>
          <w:lang w:bidi="fa-IR"/>
        </w:rPr>
        <w:t>التوسوس یکون باطلا، و لکنّ الفارق هو 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التکرار موجبا لانتزاع اللعب، أو الزیادة دخیلة فی سقوط صلاحیة العمل عن انتزاع عنوان المقرّبیة، فلا فرق بین الصور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و الشهرة المدّعاة علی اعتبار قصد الوجه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الرضیّ رحمه اللّه تحت عنوان بطلان صلاة من لا یعلم أحکامها</w:t>
      </w:r>
      <w:r>
        <w:rPr>
          <w:rStyle w:val="FootnoteAnchor"/>
          <w:rtl w:val="true"/>
        </w:rPr>
        <w:footnoteReference w:id="409"/>
      </w:r>
      <w:r>
        <w:rPr>
          <w:rFonts w:ascii="IRNazanin" w:hAnsi="IRNazanin" w:eastAsia="IRNazanin"/>
          <w:color w:val="111111"/>
          <w:sz w:val="28"/>
          <w:sz w:val="28"/>
          <w:szCs w:val="28"/>
          <w:rtl w:val="true"/>
          <w:lang w:bidi="fa-IR"/>
        </w:rPr>
        <w:t>،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عن الطوسیّ رحمه اللّه من أنّه لا یستحقّ الثواب علی العبادة إلّا فی صورة نیّة الوجه </w:t>
      </w:r>
      <w:r>
        <w:rPr>
          <w:rStyle w:val="FootnoteAnchor"/>
          <w:rtl w:val="true"/>
        </w:rPr>
        <w:footnoteReference w:id="410"/>
      </w:r>
      <w:r>
        <w:rPr>
          <w:rFonts w:ascii="IRNazanin" w:hAnsi="IRNazanin" w:eastAsia="IRNazanin"/>
          <w:color w:val="111111"/>
          <w:sz w:val="28"/>
          <w:sz w:val="28"/>
          <w:szCs w:val="28"/>
          <w:rtl w:val="true"/>
          <w:lang w:bidi="fa-IR"/>
        </w:rPr>
        <w:t>،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فیهما من التعلیل و الضعف لعدم إحراز کونهما تعبّدیین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أجنبیّان عن هذه المسألة؛ لأنّ المحتاط ربّما یکون عالما بأحکام الصلاة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محطّ البحث أعمّ من الصلاة، و لو صحّ إلغاء خصوصیّة الصلاة یجوز إلغاء خصوصیّة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معنونة فی کتاب التقلید عندنا</w:t>
      </w:r>
      <w:r>
        <w:rPr>
          <w:rStyle w:val="FootnoteAnchor"/>
          <w:rtl w:val="true"/>
        </w:rPr>
        <w:footnoteReference w:id="411"/>
      </w:r>
      <w:r>
        <w:rPr>
          <w:rFonts w:ascii="IRNazanin" w:hAnsi="IRNazanin" w:eastAsia="IRNazanin"/>
          <w:color w:val="111111"/>
          <w:sz w:val="28"/>
          <w:sz w:val="28"/>
          <w:szCs w:val="28"/>
          <w:rtl w:val="true"/>
          <w:lang w:bidi="fa-IR"/>
        </w:rPr>
        <w:t xml:space="preserve">، و قد ذکر الأصحاب رحمهم اللّه لزوم العلم بأحکام الشریعة المبتلی بها عادة و نوعا، أو مطلقا؛ نظرا إلی ابتلاء المکلّف فی أثناء الصلاة، و هی أحکام الصلاة من السهو و الشکّ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الاستحقاق أجنبیّ عن الشریعة</w:t>
      </w:r>
      <w:r>
        <w:rPr>
          <w:rStyle w:val="FootnoteAnchor"/>
          <w:rtl w:val="true"/>
        </w:rPr>
        <w:footnoteReference w:id="413"/>
      </w:r>
      <w:r>
        <w:rPr>
          <w:rFonts w:ascii="IRNazanin" w:hAnsi="IRNazanin" w:eastAsia="IRNazanin"/>
          <w:color w:val="111111"/>
          <w:sz w:val="28"/>
          <w:sz w:val="28"/>
          <w:szCs w:val="28"/>
          <w:rtl w:val="true"/>
          <w:lang w:bidi="fa-IR"/>
        </w:rPr>
        <w:t>، فی غیر محلّه؛ لإمکان وجود الإجماع علی أنّ قید الوجه دخیل فی الاستحقاق شرعا، کقیدیّة الإیمان فی القبول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یلزم من الإجماع المذکور لزوم قصد الوجه؛ لإمکان عدم تشهّی</w:t>
      </w:r>
      <w:bookmarkStart w:id="396" w:name="pg13177_117876"/>
    </w:p>
    <w:p>
      <w:pPr>
        <w:pStyle w:val="BookText"/>
        <w:rPr/>
      </w:pPr>
      <w:bookmarkEnd w:id="396"/>
      <w:r>
        <w:rPr>
          <w:rFonts w:ascii="IRNazanin" w:hAnsi="IRNazanin" w:eastAsia="IRNazanin"/>
          <w:color w:val="111111"/>
          <w:sz w:val="28"/>
          <w:sz w:val="28"/>
          <w:szCs w:val="28"/>
          <w:rtl w:val="true"/>
          <w:lang w:bidi="fa-IR"/>
        </w:rPr>
        <w:t>المکلّف لاستحقاق الثواب، فیکون أجنبیّا عن الجهة المبحوث عنها، فلا یلزم حلّ العلم الإجمالیّ حقیقة أو حکما</w:t>
      </w:r>
      <w:r>
        <w:rPr>
          <w:rFonts w:eastAsia="IRNazanin" w:cs="IRNazanin"/>
          <w:color w:val="111111"/>
          <w:sz w:val="28"/>
          <w:szCs w:val="28"/>
          <w:rtl w:val="true"/>
          <w:lang w:bidi="fa-IR"/>
        </w:rPr>
        <w:t>.</w:t>
      </w:r>
    </w:p>
    <w:p>
      <w:pPr>
        <w:pStyle w:val="Heading6"/>
        <w:numPr>
          <w:ilvl w:val="5"/>
          <w:numId w:val="1"/>
        </w:numPr>
        <w:rPr/>
      </w:pPr>
      <w:bookmarkStart w:id="397" w:name="__RefHeading___Toc763846_3244359995"/>
      <w:bookmarkStart w:id="398" w:name="_Toc148"/>
      <w:bookmarkEnd w:id="397"/>
      <w:r>
        <w:rPr>
          <w:rtl w:val="true"/>
        </w:rPr>
        <w:t>بقی شی‌ء آخر</w:t>
      </w:r>
      <w:r>
        <w:rPr>
          <w:rtl w:val="true"/>
        </w:rPr>
        <w:t xml:space="preserve">: </w:t>
      </w:r>
      <w:r>
        <w:rPr>
          <w:rtl w:val="true"/>
        </w:rPr>
        <w:t>فی وجوب حلّ العلم الإجمالی بناء علی القول بالاشتغال فی الأقلّ و الأکثر</w:t>
      </w:r>
      <w:bookmarkEnd w:id="398"/>
    </w:p>
    <w:p>
      <w:pPr>
        <w:pStyle w:val="BookText"/>
        <w:rPr/>
      </w:pPr>
      <w:r>
        <w:rPr>
          <w:rFonts w:ascii="IRNazanin" w:hAnsi="IRNazanin" w:eastAsia="IRNazanin"/>
          <w:color w:val="111111"/>
          <w:sz w:val="28"/>
          <w:sz w:val="28"/>
          <w:szCs w:val="28"/>
          <w:rtl w:val="true"/>
          <w:lang w:bidi="fa-IR"/>
        </w:rPr>
        <w:t>و هو أنّ مقتضی القول بالاشتغال فی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حلّ العلم الإجمالیّ؛ کی یتبیّن له المأمور به، و بعد ما تبیّن مقتضی احتمال دخالة تقدیم ما قام العلم و الحجّة علی الطرف، فالاحتیاط المذکور فی هذه المسألة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أنّ قضیّة إطلاق دلیل المرکّب العبادیّ و 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احتمال قیدیّة قصد الوجه و التمییز بل و التقدیم المذکور بعید غایته؛ لابتلاء الناس به کثیرا، و لا سیّما فی بعض الموارد، فما یظهر من الاصولیّین من الاشتغال هنا لو قلنا به فی الأقلّ و الأکثر</w:t>
      </w:r>
      <w:r>
        <w:rPr>
          <w:rStyle w:val="FootnoteAnchor"/>
          <w:rtl w:val="true"/>
        </w:rPr>
        <w:footnoteReference w:id="414"/>
      </w:r>
      <w:r>
        <w:rPr>
          <w:rFonts w:ascii="IRNazanin" w:hAnsi="IRNazanin" w:eastAsia="IRNazanin"/>
          <w:color w:val="111111"/>
          <w:sz w:val="28"/>
          <w:sz w:val="28"/>
          <w:szCs w:val="28"/>
          <w:rtl w:val="true"/>
          <w:lang w:bidi="fa-IR"/>
        </w:rPr>
        <w:t>، فی غیر محلّه، فاغتنم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الاحتیاط و لو تمکّن من حلّ العلم الإجمالیّ أمر خلاف الاحتیاط، کی یکون شرطا للاحتیاط؛ لا فی التوصّلی، و لا فی التعبّدی، و قضیّته القول بالاشتغال حتّی علی مذهب الشیخ رحمه اللّه المنکر لجواز التقیّد بما یأتی من قبل الأمر</w:t>
      </w:r>
      <w:r>
        <w:rPr>
          <w:rStyle w:val="FootnoteAnchor"/>
          <w:rtl w:val="true"/>
        </w:rPr>
        <w:footnoteReference w:id="415"/>
      </w:r>
      <w:r>
        <w:rPr>
          <w:rFonts w:ascii="IRNazanin" w:hAnsi="IRNazanin" w:eastAsia="IRNazanin"/>
          <w:color w:val="111111"/>
          <w:sz w:val="28"/>
          <w:sz w:val="28"/>
          <w:szCs w:val="28"/>
          <w:rtl w:val="true"/>
          <w:lang w:bidi="fa-IR"/>
        </w:rPr>
        <w:t>لأنّ مثل قصد الوجه و التمییز لیس ممّا یکاد یحتمل اختفاؤه علی الرواة و أهل الفضل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الإطلاق المقامیّ ربّما یکفی لرفع الشکّ هنا، کما یتمسّک به علی القول بالأخصّ فی الصحیح و الأعمّ، فافهم</w:t>
      </w:r>
      <w:r>
        <w:rPr>
          <w:rFonts w:eastAsia="IRNazanin" w:cs="IRNazanin"/>
          <w:color w:val="111111"/>
          <w:sz w:val="28"/>
          <w:szCs w:val="28"/>
          <w:rtl w:val="true"/>
          <w:lang w:bidi="fa-IR"/>
        </w:rPr>
        <w:t>.</w:t>
      </w:r>
      <w:bookmarkStart w:id="399" w:name="pg13177_117877"/>
    </w:p>
    <w:p>
      <w:pPr>
        <w:pStyle w:val="Heading6"/>
        <w:numPr>
          <w:ilvl w:val="5"/>
          <w:numId w:val="1"/>
        </w:numPr>
        <w:rPr/>
      </w:pPr>
      <w:bookmarkStart w:id="400" w:name="__RefHeading___Toc763848_3244359995"/>
      <w:bookmarkStart w:id="401" w:name="_Toc149"/>
      <w:bookmarkEnd w:id="399"/>
      <w:bookmarkEnd w:id="400"/>
      <w:r>
        <w:rPr>
          <w:rtl w:val="true"/>
        </w:rPr>
        <w:t>عدم اعتبار قصد الوجه بناء علی الاحتیاط فی الأقل و الأکثر</w:t>
      </w:r>
      <w:bookmarkEnd w:id="401"/>
    </w:p>
    <w:p>
      <w:pPr>
        <w:pStyle w:val="BookText"/>
        <w:rPr/>
      </w:pPr>
      <w:r>
        <w:rPr>
          <w:rFonts w:ascii="IRNazanin" w:hAnsi="IRNazanin" w:eastAsia="IRNazanin"/>
          <w:color w:val="111111"/>
          <w:sz w:val="28"/>
          <w:sz w:val="28"/>
          <w:szCs w:val="28"/>
          <w:rtl w:val="true"/>
          <w:lang w:bidi="fa-IR"/>
        </w:rPr>
        <w:t>ثمّ إنّه فی الاحتیاط فی الأقلّ و الأکثر، مع فرض التمکّن من حلّ العلم الإجمالیّ فی تعبیر، أو مع فرض رفع الجهالة فی التعبیر الأصحّ، لا معنی لقصد الوجه؛ لعدم وجود الأمر علی الإطلاق بالنسبة إلی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التمییز یمکن دعوی عدم تشخّص حدّ المأمور به عند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المأمور به حقیقة هی الصلاة الفانیة فیها الأجزاء، و الصلاة بعنوانها مشخّصة، و بالنسبة إلی اللعب لو تحقّق یشکل الاجتزاء؛ لما عرفت من أنّ الرقص الیسیر لا یلائم عبودیّة الصلاة، و مقرّبیة المأمور به المعتبر فیه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متحقّق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الإجماعات المحکیّة عن السیّدین و أرباب الکلام </w:t>
      </w:r>
      <w:r>
        <w:rPr>
          <w:rStyle w:val="FootnoteAnchor"/>
          <w:rtl w:val="true"/>
        </w:rPr>
        <w:footnoteReference w:id="416"/>
      </w:r>
      <w:r>
        <w:rPr>
          <w:rFonts w:ascii="IRNazanin" w:hAnsi="IRNazanin" w:eastAsia="IRNazanin"/>
          <w:color w:val="111111"/>
          <w:sz w:val="28"/>
          <w:sz w:val="28"/>
          <w:szCs w:val="28"/>
          <w:rtl w:val="true"/>
          <w:lang w:bidi="fa-IR"/>
        </w:rPr>
        <w:t>، بل و عن الحلّی حتّی فی صورة عدم التمکّن من حلّ العلم الإجمالیّ فی باب اشتباه الثوب النجس و الطاهر</w:t>
      </w:r>
      <w:r>
        <w:rPr>
          <w:rStyle w:val="FootnoteAnchor"/>
          <w:rtl w:val="true"/>
        </w:rPr>
        <w:footnoteReference w:id="417"/>
      </w:r>
      <w:r>
        <w:rPr>
          <w:rFonts w:ascii="IRNazanin" w:hAnsi="IRNazanin" w:eastAsia="IRNazanin"/>
          <w:color w:val="111111"/>
          <w:sz w:val="28"/>
          <w:sz w:val="28"/>
          <w:szCs w:val="28"/>
          <w:rtl w:val="true"/>
          <w:lang w:bidi="fa-IR"/>
        </w:rPr>
        <w:t>، لا ترجع إلی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 الحلّی رحمه اللّه إلی حرمة الصلاة فی النجس، کحرمتها الذاتیّة بلا وضوء، کما قد یستظهر من بعض الأخبار، فعندئذ یصلّی عاریا، و هذا خروج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اعتبار قصد الوجه، و لم یتمّ البیان السابق لنفیه حتّی بعد تلک الإجماعات الباطلة، فالمرجع إطلاق دلیل المرکّب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عند انتفائه لا بدّ من حلّ العلم الإجمالیّ بالاجتهاد أو التقلید، أو حلّه الحقیقیّ فی موارد إمکانه؛ نظرا إلی ما مرّ فی الأقلّ و الأکثر</w:t>
      </w:r>
      <w:r>
        <w:rPr>
          <w:rStyle w:val="FootnoteAnchor"/>
          <w:rtl w:val="true"/>
        </w:rPr>
        <w:footnoteReference w:id="418"/>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402" w:name="pg13177_117878"/>
    </w:p>
    <w:p>
      <w:pPr>
        <w:pStyle w:val="Heading6"/>
        <w:numPr>
          <w:ilvl w:val="5"/>
          <w:numId w:val="1"/>
        </w:numPr>
        <w:rPr/>
      </w:pPr>
      <w:bookmarkStart w:id="403" w:name="__RefHeading___Toc763850_3244359995"/>
      <w:bookmarkStart w:id="404" w:name="_Toc150"/>
      <w:bookmarkEnd w:id="402"/>
      <w:bookmarkEnd w:id="403"/>
      <w:r>
        <w:rPr>
          <w:rtl w:val="true"/>
        </w:rPr>
        <w:t>تتمیم</w:t>
      </w:r>
      <w:r>
        <w:rPr>
          <w:rtl w:val="true"/>
        </w:rPr>
        <w:t xml:space="preserve">: </w:t>
      </w:r>
      <w:r>
        <w:rPr>
          <w:rtl w:val="true"/>
        </w:rPr>
        <w:t>فی استحالة قصد الوجه و التمییز فی موارد الانحلال بالحجّة</w:t>
      </w:r>
      <w:bookmarkEnd w:id="404"/>
    </w:p>
    <w:p>
      <w:pPr>
        <w:pStyle w:val="BookText"/>
        <w:rPr/>
      </w:pPr>
      <w:r>
        <w:rPr>
          <w:rFonts w:ascii="IRNazanin" w:hAnsi="IRNazanin" w:eastAsia="IRNazanin"/>
          <w:color w:val="111111"/>
          <w:sz w:val="28"/>
          <w:sz w:val="28"/>
          <w:szCs w:val="28"/>
          <w:rtl w:val="true"/>
          <w:lang w:bidi="fa-IR"/>
        </w:rPr>
        <w:t>إنّ قصد الوجه و التمییز غیر معقول فی موارد انحلال العلم الإجمالی بالحجّة؛ ضرورة امتناع حصول القصد التکوینیّ و الإرادة الخارجیّة العینیّة بالنسبة إلی وجوب شی‌ء، مع عدم العلم الوجدانیّ بوجوبه، فعلی هذا تنتفی بحسب المتعارف شرطیّة قصد الوجه 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الخطور بالبال و تصوّر الوجوب و التمییز، غیر حدیث قصد وجوب الشی‌ء مع الشکّ التکوینیّ بوجه و إن قامت الحجّة علیه، فاغتنم</w:t>
      </w:r>
      <w:r>
        <w:rPr>
          <w:rFonts w:eastAsia="IRNazanin" w:cs="IRNazanin"/>
          <w:color w:val="111111"/>
          <w:sz w:val="28"/>
          <w:szCs w:val="28"/>
          <w:rtl w:val="true"/>
          <w:lang w:bidi="fa-IR"/>
        </w:rPr>
        <w:t>.</w:t>
      </w:r>
    </w:p>
    <w:p>
      <w:pPr>
        <w:pStyle w:val="Heading6"/>
        <w:numPr>
          <w:ilvl w:val="5"/>
          <w:numId w:val="1"/>
        </w:numPr>
        <w:rPr/>
      </w:pPr>
      <w:bookmarkStart w:id="405" w:name="__RefHeading___Toc763852_3244359995"/>
      <w:bookmarkStart w:id="406" w:name="_Toc151"/>
      <w:bookmarkEnd w:id="405"/>
      <w:r>
        <w:rPr>
          <w:rtl w:val="true"/>
        </w:rPr>
        <w:t>تتمّة</w:t>
      </w:r>
      <w:r>
        <w:rPr>
          <w:rtl w:val="true"/>
        </w:rPr>
        <w:t xml:space="preserve">: </w:t>
      </w:r>
      <w:r>
        <w:rPr>
          <w:rtl w:val="true"/>
        </w:rPr>
        <w:t>حول المراتب الأربع للامتثال و الطاعة</w:t>
      </w:r>
      <w:bookmarkEnd w:id="406"/>
    </w:p>
    <w:p>
      <w:pPr>
        <w:pStyle w:val="BookText"/>
        <w:rPr/>
      </w:pPr>
      <w:r>
        <w:rPr>
          <w:rFonts w:ascii="IRNazanin" w:hAnsi="IRNazanin" w:eastAsia="IRNazanin"/>
          <w:color w:val="111111"/>
          <w:sz w:val="28"/>
          <w:sz w:val="28"/>
          <w:szCs w:val="28"/>
          <w:rtl w:val="true"/>
          <w:lang w:bidi="fa-IR"/>
        </w:rPr>
        <w:t>فی کلام بعض من عاصرناه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الامتثال و الإطاعة ذو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العلم التفصیلیّ، و مرتبة العلم الإجمالیّ، و مرتبة الظنّ علی الکشف، و مرتبة الاحتمال</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مقصوده التمسّک لإثباته بقاعدة الاشتغال؛ ضرورة أنّه یرجع إلی الشکّ فی الثبوت، لا السقوط حسب نظراتهم؛ لأنّه یشکّ فی تقیید المأمور به بکونه معلوما تفصیلا، فتندرج المسألة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نظره إلی التشبّث بحکم العقل و درکه، و حکم العقلاء و المتشرّعة، أو إلی أنّ الإطاعة لا تنتزع فی صورة التمکّن، و الامتثال لا یتحقّق عرفا فی هذه الصورة، کما أنّ مجرّد استحسان العقل و العقلاء لا یکفی، بل لا بدّ من دعوی لزومه العقلیّ، و حکم العقلاء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سریانه إلی التوصّلیات، کما لا یخفی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یتوجّه إلیه عدم دخالة الأمر فی القربة؛ لدخالته فی الطاعة</w:t>
      </w:r>
      <w:bookmarkStart w:id="407" w:name="pg13177_117879"/>
    </w:p>
    <w:p>
      <w:pPr>
        <w:pStyle w:val="BookText"/>
        <w:rPr/>
      </w:pPr>
      <w:bookmarkEnd w:id="407"/>
      <w:r>
        <w:rPr>
          <w:rFonts w:ascii="IRNazanin" w:hAnsi="IRNazanin" w:eastAsia="IRNazanin"/>
          <w:color w:val="111111"/>
          <w:sz w:val="28"/>
          <w:sz w:val="28"/>
          <w:szCs w:val="28"/>
          <w:rtl w:val="true"/>
          <w:lang w:bidi="fa-IR"/>
        </w:rPr>
        <w:t>و الامتثال بالنسبة إلی الأمر المعلوم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الشکّ فی تحقّق الإطاعة هو الاشتغال؛ بناء علی اعتبار الإطاعة و الامتثال زائدا علی القربة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فی أنّ کلّ ذلک من الدعاوی بلا بیّنة و برهان؛ فإنّ الواجب إتیان المأمور به قربة إلی اللّه؛ من غیر صحّة تقسیم الأمر إلی التوصّلی و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یلزم أن یکون للامتثال مراتب کثیرة، بل مراحل غیر متناهیة؛ و ذلک لتقدّم العلم التکوینیّ علی العلم التعبّدی النظامیّ، و تقدّم العلم بالحجّة و الأمارة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تقدّم الحجّة الأقوی الموجبة للاطمئنان علی ما لا توجبه، و تقدّم ما توجب الاطمئنان القویّ علی ما توجب الاطمئنان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تمکّن من العلم الوجدانیّ بالمیقات، یکون هو مقدّما علی الحجّة، و تکون البیّنة الکثیرة المتشکّلة من العدول الموجبة لحصول الوثوق و الاطمئنان بالأقلّ منه و هکذا، و تکون الأمارة متقدّمة علی استصحاب محاذاة محلّ شک فی محاذاته علی الأمارة، و هکذا الظنّ الأقوی علی الأضعف حسب 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یصل إلی الاحتمال 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یکفیک ذلک فسادا لمقالة العلّامة النائینیّ رحمه اللّه و غیره </w:t>
      </w:r>
      <w:r>
        <w:rPr>
          <w:rStyle w:val="FootnoteAnchor"/>
          <w:rtl w:val="true"/>
        </w:rPr>
        <w:footnoteReference w:id="420"/>
      </w:r>
      <w:r>
        <w:rPr>
          <w:rFonts w:ascii="IRNazanin" w:hAnsi="IRNazanin" w:eastAsia="IRNazanin"/>
          <w:color w:val="111111"/>
          <w:sz w:val="28"/>
          <w:sz w:val="28"/>
          <w:szCs w:val="28"/>
          <w:rtl w:val="true"/>
          <w:lang w:bidi="fa-IR"/>
        </w:rPr>
        <w:t>، و الضرورة قاضیة بکفایة کون المأتیّ به هو المأمور به حذوا بحذو</w:t>
      </w:r>
      <w:r>
        <w:rPr>
          <w:rFonts w:eastAsia="IRNazanin" w:cs="IRNazanin"/>
          <w:color w:val="111111"/>
          <w:sz w:val="28"/>
          <w:szCs w:val="28"/>
          <w:rtl w:val="true"/>
          <w:lang w:bidi="fa-IR"/>
        </w:rPr>
        <w:t>.</w:t>
      </w:r>
    </w:p>
    <w:p>
      <w:pPr>
        <w:pStyle w:val="Heading6"/>
        <w:numPr>
          <w:ilvl w:val="5"/>
          <w:numId w:val="1"/>
        </w:numPr>
        <w:rPr/>
      </w:pPr>
      <w:bookmarkStart w:id="408" w:name="__RefHeading___Toc763854_3244359995"/>
      <w:bookmarkStart w:id="409" w:name="_Toc152"/>
      <w:bookmarkEnd w:id="408"/>
      <w:r>
        <w:rPr>
          <w:rtl w:val="true"/>
        </w:rPr>
        <w:t>ذنابة</w:t>
      </w:r>
      <w:r>
        <w:rPr>
          <w:rtl w:val="true"/>
        </w:rPr>
        <w:t xml:space="preserve">: </w:t>
      </w:r>
      <w:r>
        <w:rPr>
          <w:rtl w:val="true"/>
        </w:rPr>
        <w:t>فی بطلان تکرار العبادة مع إمکان حلّ العلم الإجمالی بسهولة</w:t>
      </w:r>
      <w:bookmarkEnd w:id="40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یکون حلّ العلم الإجمالیّ خفیف المؤونة جدّا، فتکرار العبادة عندئذ ربّما یعدّ شیئا آخر عرفا و سخریة، مثلا یغمض عینه فی المسجد الحرام، و یعلم إجمالا أنّ الکعبة إمّا قدّامه، أو خلفه، فیصلّی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الخلف،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القدّام، فإنّه ربّما یشکل الأمر حسب الموازین العرفیّة فی امتثال أوامر المولی، و فی التقرّب</w:t>
      </w:r>
      <w:bookmarkStart w:id="410" w:name="pg13177_117880"/>
    </w:p>
    <w:p>
      <w:pPr>
        <w:pStyle w:val="BookText"/>
        <w:rPr/>
      </w:pPr>
      <w:bookmarkEnd w:id="410"/>
      <w:r>
        <w:rPr>
          <w:rFonts w:ascii="IRNazanin" w:hAnsi="IRNazanin" w:eastAsia="IRNazanin"/>
          <w:color w:val="111111"/>
          <w:sz w:val="28"/>
          <w:sz w:val="28"/>
          <w:szCs w:val="28"/>
          <w:rtl w:val="true"/>
          <w:lang w:bidi="fa-IR"/>
        </w:rPr>
        <w:t>و القربة بمثل هذه الصلاة، و إن کان آتیا بجمیع ما یعتبر، إلّا أنّ صلاحیة الصلاة للتعبّد بها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w:t>
      </w:r>
      <w:r>
        <w:rPr>
          <w:rStyle w:val="FootnoteAnchor"/>
          <w:rtl w:val="true"/>
        </w:rPr>
        <w:footnoteReference w:id="421"/>
      </w:r>
      <w:r>
        <w:rPr>
          <w:rFonts w:ascii="IRNazanin" w:hAnsi="IRNazanin" w:eastAsia="IRNazanin"/>
          <w:color w:val="111111"/>
          <w:sz w:val="28"/>
          <w:sz w:val="28"/>
          <w:szCs w:val="28"/>
          <w:rtl w:val="true"/>
          <w:lang w:bidi="fa-IR"/>
        </w:rPr>
        <w:t>دلیل علی أن تکون المقرّبات صالحة لأن یتعبّد بها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الآیة الشریفة علی إیجاب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الاعتکاف،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ظاهرها، بل الآیة تشرد إلی أنّ تلک المقرّبات الشرعیّة تکون عبادة عرفیّة، و صالحة لانتزاع عنوان العبودیة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مسألة بطلان الصلاة بالفعل الکثیر لا دلیل علیه إلّا ذلک، و إلّا فصلاتهم عند البیت صلاة، و لکنّها مُکاءً وَ تَصْدِیَةً</w:t>
      </w:r>
      <w:r>
        <w:rPr>
          <w:rStyle w:val="FootnoteAnchor"/>
          <w:rtl w:val="true"/>
        </w:rPr>
        <w:footnoteReference w:id="422"/>
      </w:r>
      <w:r>
        <w:rPr>
          <w:rFonts w:ascii="IRNazanin" w:hAnsi="IRNazanin" w:eastAsia="IRNazanin"/>
          <w:color w:val="111111"/>
          <w:sz w:val="28"/>
          <w:sz w:val="28"/>
          <w:szCs w:val="28"/>
          <w:rtl w:val="true"/>
          <w:lang w:bidi="fa-IR"/>
        </w:rPr>
        <w:t>لأنّه لا تلاؤم بینها و بین هذه الامور، و اللّه العالم</w:t>
      </w:r>
      <w:r>
        <w:rPr>
          <w:rFonts w:eastAsia="IRNazanin" w:cs="IRNazanin"/>
          <w:color w:val="111111"/>
          <w:sz w:val="28"/>
          <w:szCs w:val="28"/>
          <w:rtl w:val="true"/>
          <w:lang w:bidi="fa-IR"/>
        </w:rPr>
        <w:t>.</w:t>
      </w:r>
    </w:p>
    <w:p>
      <w:pPr>
        <w:pStyle w:val="Heading6"/>
        <w:numPr>
          <w:ilvl w:val="5"/>
          <w:numId w:val="1"/>
        </w:numPr>
        <w:rPr/>
      </w:pPr>
      <w:bookmarkStart w:id="411" w:name="__RefHeading___Toc763856_3244359995"/>
      <w:bookmarkStart w:id="412" w:name="_Toc153"/>
      <w:bookmarkEnd w:id="411"/>
      <w:r>
        <w:rPr>
          <w:rtl w:val="true"/>
        </w:rPr>
        <w:t>توهّم دوران الأمر بین التعیین و التخییر عند التمکن من حلّ العلم و دفعه</w:t>
      </w:r>
      <w:bookmarkEnd w:id="412"/>
    </w:p>
    <w:p>
      <w:pPr>
        <w:pStyle w:val="BookText"/>
        <w:rPr/>
      </w:pPr>
      <w:r>
        <w:rPr>
          <w:rFonts w:ascii="IRNazanin" w:hAnsi="IRNazanin" w:eastAsia="IRNazanin"/>
          <w:color w:val="111111"/>
          <w:sz w:val="28"/>
          <w:sz w:val="28"/>
          <w:szCs w:val="28"/>
          <w:rtl w:val="true"/>
          <w:lang w:bidi="fa-IR"/>
        </w:rPr>
        <w:t>ورد فی تقریرات العلّامة الکاظمیّ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فی المسألة یدور بین التعیین و التخییر، و قد مرّ أنّه یقتضی الاحتیاط، و فیما نحن فیه لا تجری البراءة؛ لعدم الجامع بین التفصیلیّ و الإجمالیّ من الامتثال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ما سلک فی المجلّد الأوّل فی بیان الوجوب التخییریّ من رجوعه إلی الواجب المشروط</w:t>
      </w:r>
      <w:r>
        <w:rPr>
          <w:rStyle w:val="FootnoteAnchor"/>
          <w:rtl w:val="true"/>
        </w:rPr>
        <w:footnoteReference w:id="424"/>
      </w:r>
      <w:r>
        <w:rPr>
          <w:rFonts w:ascii="IRNazanin" w:hAnsi="IRNazanin" w:eastAsia="IRNazanin"/>
          <w:color w:val="111111"/>
          <w:sz w:val="28"/>
          <w:sz w:val="28"/>
          <w:szCs w:val="28"/>
          <w:rtl w:val="true"/>
          <w:lang w:bidi="fa-IR"/>
        </w:rPr>
        <w:t>هو البراءة، و مقتضی ما ذکرناه هو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ذلک فی الواجبات النفسیّة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الواجبات الغیریّة علی فرض صحّتها، فالبراءة محکّمة علی القول به فی الأقلّ و الأکثر؛ ضرورة أنّه لو تردّد الأمر فی أنّ الواجب سورة الجمعة فی یوم</w:t>
      </w:r>
      <w:bookmarkStart w:id="413" w:name="pg13177_117881"/>
    </w:p>
    <w:p>
      <w:pPr>
        <w:pStyle w:val="BookText"/>
        <w:rPr/>
      </w:pPr>
      <w:bookmarkEnd w:id="413"/>
      <w:r>
        <w:rPr>
          <w:rFonts w:ascii="IRNazanin" w:hAnsi="IRNazanin" w:eastAsia="IRNazanin"/>
          <w:color w:val="111111"/>
          <w:sz w:val="28"/>
          <w:sz w:val="28"/>
          <w:szCs w:val="28"/>
          <w:rtl w:val="true"/>
          <w:lang w:bidi="fa-IR"/>
        </w:rPr>
        <w:t>الجمعة فی صلاة الظهر، أم هو مخیّر، تکون البراءة عن خصوصیّة السورة واضحة و لو شکّ فی أنّه متعیّن علیه الامتثال التفصیلیّ؛ أی معلومیّة المکلّف به تفصیلا، أم معلومیّته الإجمالیّة، فأصل اعتبار المعلومیّة مثلا معتبر، و التفصیلیّة مرتفعة بالأصل، و لا ینبغی الغور حول هذه المطالب لأمثالنا إلّا حرمة للأفاضل، غفر اللّه لنا 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التمکّن من حلّ العلم الإجمالیّ الکبیر أو الصغیر فی الأحکام و الموضوعات، و فی الشبهات الحکمیّة و الموضوعیّة، و حتّی فی صورة الشبهة البدویّة قبل الفحص، کان القول بعدم حلّه أولی و أحسن من القول بلزوم حلّه أو بلزوم الرجوع للاطلاع علی المأمور به؛ ضرورة أنّ العبد المتحرّک بالأمر الاحتمالیّ أشدّ عبودیّة و انقیادا، و یستکشف أنّه أکثر إطاعة، و أطوع من غیره</w:t>
      </w:r>
      <w:r>
        <w:rPr>
          <w:rFonts w:eastAsia="IRNazanin" w:cs="IRNazanin"/>
          <w:color w:val="111111"/>
          <w:sz w:val="28"/>
          <w:szCs w:val="28"/>
          <w:rtl w:val="true"/>
          <w:lang w:bidi="fa-IR"/>
        </w:rPr>
        <w:t>.</w:t>
      </w:r>
    </w:p>
    <w:p>
      <w:pPr>
        <w:pStyle w:val="Heading6"/>
        <w:numPr>
          <w:ilvl w:val="5"/>
          <w:numId w:val="1"/>
        </w:numPr>
        <w:rPr/>
      </w:pPr>
      <w:bookmarkStart w:id="414" w:name="__RefHeading___Toc763858_3244359995"/>
      <w:bookmarkStart w:id="415" w:name="_Toc154"/>
      <w:bookmarkEnd w:id="414"/>
      <w:r>
        <w:rPr>
          <w:rtl w:val="true"/>
        </w:rPr>
        <w:t>الجهة السادسة</w:t>
      </w:r>
      <w:r>
        <w:rPr>
          <w:rtl w:val="true"/>
        </w:rPr>
        <w:t xml:space="preserve">: </w:t>
      </w:r>
      <w:r>
        <w:rPr>
          <w:rtl w:val="true"/>
        </w:rPr>
        <w:t>فی بقاء موضوع الاحتیاط عند الانحلال الحکمی</w:t>
      </w:r>
      <w:bookmarkEnd w:id="415"/>
    </w:p>
    <w:p>
      <w:pPr>
        <w:pStyle w:val="Heading6"/>
        <w:numPr>
          <w:ilvl w:val="5"/>
          <w:numId w:val="1"/>
        </w:numPr>
        <w:rPr/>
      </w:pPr>
      <w:bookmarkStart w:id="416" w:name="__RefHeading___Toc763860_3244359995"/>
      <w:bookmarkStart w:id="417" w:name="_Toc155"/>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فی موارد انحلال العلم، إن انحلّ العلم الإجمالیّ حقیقة فلا موضوع للاحتیاط؛ لعدم وجود احتمال الأمر و النهی، ضرورة أنّ حقیقة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محلّه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متقوّمة باحتمال الأمر الإلزامیّ، أو النهی الإلزامیّ، و أمّا مع احتمال الأمر الندبیّ فلا معنی للاحتیاط، خلافا لما فی تقریرات بعض الأعلام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انحلّ العلم الإجمالیّ بقیام الحجّة علی أحد الأطراف متعیّنا، أو علی الأقلّ فی الأقلّ و الأکثر، فإن کانت الحجّة مثل الاستصحاب فموضوع الاحتیاط باق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حقیقة الاستصحاب هی التعبّد بالعلم الوجدانیّ، و لازم</w:t>
      </w:r>
    </w:p>
    <w:p>
      <w:pPr>
        <w:pStyle w:val="BookText"/>
        <w:rPr/>
      </w:pPr>
      <w:r>
        <w:rPr>
          <w:rFonts w:ascii="IRNazanin" w:hAnsi="IRNazanin" w:eastAsia="IRNazanin"/>
          <w:color w:val="111111"/>
          <w:sz w:val="28"/>
          <w:sz w:val="28"/>
          <w:szCs w:val="28"/>
          <w:rtl w:val="true"/>
          <w:lang w:bidi="fa-IR"/>
        </w:rPr>
        <w:t>ذلک إلغاء الاحتمال بأثره و هو الاحتیاط، فیکون موضوع الاحتیاط محکوما بالعدم، فلا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أدلّة الاستصحاب أعمّ من العلم الوجدانیّ، و الحکمیّ النظامیّ، فإن کان من القسم الأوّل فلا موضوع له، بخلاف الفرض الثانی؛ لعدم إلغاء الاحتمال فی مورد قیام الحجّة العقلائیّة الممضاة، و لا الحجّة الشرعیّة؛ لعدم نظر دلیلها إلی إلغاء الاحتمال بإلغاء أثره، فتلزم حکومة دلیل الاستصحاب عندئذ علی دلیل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الحجّة مثل الأمارات الممضاة، فمعناها إلغاء الاحتمال، و عدم الاعتناء به فی مقام العمل، و لازمه انتفاء موضوعه بالحکومة، و لا یستحسن الاحتیاط مقدّما علی مقتضی الحجّة، و لا مؤخّرا، بل لا معنی له فی حومة الشرع بحسب العمل، فما فی کلام بعضهم من التفصیل </w:t>
      </w:r>
      <w:r>
        <w:rPr>
          <w:rStyle w:val="FootnoteAnchor"/>
          <w:rtl w:val="true"/>
        </w:rPr>
        <w:footnoteReference w:id="427"/>
      </w:r>
      <w:r>
        <w:rPr>
          <w:rFonts w:ascii="IRNazanin" w:hAnsi="IRNazanin" w:eastAsia="IRNazanin"/>
          <w:color w:val="111111"/>
          <w:sz w:val="28"/>
          <w:sz w:val="28"/>
          <w:szCs w:val="28"/>
          <w:rtl w:val="true"/>
          <w:lang w:bidi="fa-IR"/>
        </w:rPr>
        <w:t>ضعیف جدّا، مع ذهابه إلی إلغاء الاحتمال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الأمارة التعبّدیة، کرأی المجتهد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الورود علی بعض التقاریب کما فی حاشیة العلّامة الأصفهانیّ قدّس سرّه </w:t>
      </w:r>
      <w:r>
        <w:rPr>
          <w:rStyle w:val="FootnoteAnchor"/>
          <w:rtl w:val="true"/>
        </w:rPr>
        <w:footnoteReference w:id="428"/>
      </w:r>
      <w:r>
        <w:rPr>
          <w:rFonts w:ascii="IRNazanin" w:hAnsi="IRNazanin" w:eastAsia="IRNazanin"/>
          <w:color w:val="111111"/>
          <w:sz w:val="28"/>
          <w:sz w:val="28"/>
          <w:szCs w:val="28"/>
          <w:rtl w:val="true"/>
          <w:lang w:bidi="fa-IR"/>
        </w:rPr>
        <w:t>فی غیر محلّه؛ لعدم انتفاء الاحتمال الواقعیّ علی کلّ تقریب فی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الحجّة حدیث الرفع فی الشبهات البدویّة، أو فی الأقلّ و الأکثر،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تقیید کما حرّرناه </w:t>
      </w:r>
      <w:r>
        <w:rPr>
          <w:rStyle w:val="FootnoteAnchor"/>
          <w:rtl w:val="true"/>
        </w:rPr>
        <w:footnoteReference w:id="429"/>
      </w:r>
      <w:r>
        <w:rPr>
          <w:rFonts w:ascii="IRNazanin" w:hAnsi="IRNazanin" w:eastAsia="IRNazanin"/>
          <w:color w:val="111111"/>
          <w:sz w:val="28"/>
          <w:sz w:val="28"/>
          <w:szCs w:val="28"/>
          <w:rtl w:val="true"/>
          <w:lang w:bidi="fa-IR"/>
        </w:rPr>
        <w:t>، فیکون موضوع الاحتیاط منتفیا، فیلزم وروده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الرفع ادعائیّا، فلا وجوب بحسب الادعاء کی یلزم صحّة الاحتیاط</w:t>
      </w:r>
      <w:r>
        <w:rPr>
          <w:rFonts w:eastAsia="IRNazanin" w:cs="IRNazanin"/>
          <w:color w:val="111111"/>
          <w:sz w:val="28"/>
          <w:szCs w:val="28"/>
          <w:rtl w:val="true"/>
          <w:lang w:bidi="fa-IR"/>
        </w:rPr>
        <w:t>.</w:t>
      </w:r>
      <w:bookmarkStart w:id="418" w:name="pg13177_117883"/>
    </w:p>
    <w:p>
      <w:pPr>
        <w:pStyle w:val="BookText"/>
        <w:rPr/>
      </w:pPr>
      <w:bookmarkEnd w:id="418"/>
      <w:r>
        <w:rPr>
          <w:rFonts w:ascii="IRNazanin" w:hAnsi="IRNazanin" w:eastAsia="IRNazanin"/>
          <w:color w:val="111111"/>
          <w:sz w:val="28"/>
          <w:sz w:val="28"/>
          <w:szCs w:val="28"/>
          <w:rtl w:val="true"/>
          <w:lang w:bidi="fa-IR"/>
        </w:rPr>
        <w:t>و إن کانت الحجّة البراءة العقلیّة و العقلائیّة، فالاحتیاط له الموضوع؛ لاحتمال الأمر الإلزامیّ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جمیع التقادیر موضوع الاحتیاط باق؛ و ذلک لأنّ حجّیة الأمارات الإمضائیّة لیست متضمنّة لإلغاء الاحتمال أصلا، حتّی یتوهّم أنّ الاهتمام بشأن الاحتیاط خلاف الاحتیاط، و لا سیّما فی صورة تقدیم العمل الاحتیاطیّ علی ما قامت علیه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لو کان معناها ذلک، فلیس مفاد الأدلّة إلّا نفی لزوم الاحتیاط، فیکون الأمر المحتمل المنجّز منتفیا بتلک الحجج، لا الأمر المحتمل الإلزامیّ غیر المنجّز؛ لأنّه أمر مغفول عن أذهان کافّة العقلاء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تقیید الأدلّة الأوّلیة بحدیث الرفع یمکن انتفاء الأمر، و لکن مع ذلک یحتمل بطلان مبنی التقیید، أو عدم صدور أخبار البراءة و حدیث الرفع، فعندئذ یبقی للاحتیاط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حسن کیفیّة البحث و الاحتیاط، و تظهر مواقف ضعف کلمات الأساتذة عفی عنهم</w:t>
      </w:r>
      <w:r>
        <w:rPr>
          <w:rFonts w:eastAsia="IRNazanin" w:cs="IRNazanin"/>
          <w:color w:val="111111"/>
          <w:sz w:val="28"/>
          <w:szCs w:val="28"/>
          <w:rtl w:val="true"/>
          <w:lang w:bidi="fa-IR"/>
        </w:rPr>
        <w:t>.</w:t>
      </w:r>
    </w:p>
    <w:p>
      <w:pPr>
        <w:pStyle w:val="Heading6"/>
        <w:numPr>
          <w:ilvl w:val="5"/>
          <w:numId w:val="1"/>
        </w:numPr>
        <w:rPr/>
      </w:pPr>
      <w:bookmarkStart w:id="419" w:name="__RefHeading___Toc763862_3244359995"/>
      <w:bookmarkStart w:id="420" w:name="_Toc156"/>
      <w:bookmarkEnd w:id="419"/>
      <w:r>
        <w:rPr>
          <w:rtl w:val="true"/>
        </w:rPr>
        <w:t>تنبیه</w:t>
      </w:r>
      <w:r>
        <w:rPr>
          <w:rtl w:val="true"/>
        </w:rPr>
        <w:t xml:space="preserve">: </w:t>
      </w:r>
      <w:r>
        <w:rPr>
          <w:rtl w:val="true"/>
        </w:rPr>
        <w:t>فی جریان شرط الاحتیاط فی النواهی التعبدیة</w:t>
      </w:r>
      <w:bookmarkEnd w:id="42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ربّما یتخیّل من أنّ شرط الاحتیاط، یجری فی ناحیة النواهی لو کانت تعبّدیة، مثلا فی محرّمات الإحرام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التروک راجعة إلی حرمة فعل أشیاء، و لیست التروک واجبة، و إنّما تحرم و تکون الحرمة التعبّدیة مورد العلم الإجمالیّ، أو مورد الحجّة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الاحتیاط موجود؛ و هو</w:t>
      </w:r>
      <w:bookmarkStart w:id="421" w:name="pg13177_117884"/>
    </w:p>
    <w:p>
      <w:pPr>
        <w:pStyle w:val="BookText"/>
        <w:rPr/>
      </w:pPr>
      <w:bookmarkEnd w:id="421"/>
      <w:r>
        <w:rPr>
          <w:rFonts w:ascii="IRNazanin" w:hAnsi="IRNazanin" w:eastAsia="IRNazanin"/>
          <w:color w:val="111111"/>
          <w:sz w:val="28"/>
          <w:sz w:val="28"/>
          <w:szCs w:val="28"/>
          <w:rtl w:val="true"/>
          <w:lang w:bidi="fa-IR"/>
        </w:rPr>
        <w:t>الانزجار عن النهی التعبّدی التحریمیّ؛ لإمکانه کما عرفت فی الأوامر</w:t>
      </w:r>
      <w:r>
        <w:rPr>
          <w:rStyle w:val="FootnoteAnchor"/>
          <w:rtl w:val="true"/>
        </w:rPr>
        <w:footnoteReference w:id="430"/>
      </w:r>
      <w:r>
        <w:rPr>
          <w:rFonts w:ascii="IRNazanin" w:hAnsi="IRNazanin" w:eastAsia="IRNazanin"/>
          <w:color w:val="111111"/>
          <w:sz w:val="28"/>
          <w:sz w:val="28"/>
          <w:szCs w:val="28"/>
          <w:rtl w:val="true"/>
          <w:lang w:bidi="fa-IR"/>
        </w:rPr>
        <w:t>، و الأمر سهل نعتذر من إطالته</w:t>
      </w:r>
      <w:r>
        <w:rPr>
          <w:rFonts w:eastAsia="IRNazanin" w:cs="IRNazanin"/>
          <w:color w:val="111111"/>
          <w:sz w:val="28"/>
          <w:szCs w:val="28"/>
          <w:rtl w:val="true"/>
          <w:lang w:bidi="fa-IR"/>
        </w:rPr>
        <w:t>.</w:t>
      </w:r>
    </w:p>
    <w:p>
      <w:pPr>
        <w:pStyle w:val="Heading6"/>
        <w:numPr>
          <w:ilvl w:val="5"/>
          <w:numId w:val="1"/>
        </w:numPr>
        <w:rPr/>
      </w:pPr>
      <w:bookmarkStart w:id="422" w:name="__RefHeading___Toc763864_3244359995"/>
      <w:bookmarkStart w:id="423" w:name="_Toc157"/>
      <w:bookmarkEnd w:id="422"/>
      <w:r>
        <w:rPr>
          <w:rtl w:val="true"/>
        </w:rPr>
        <w:t>الجهة السابعة</w:t>
      </w:r>
      <w:r>
        <w:rPr>
          <w:rtl w:val="true"/>
        </w:rPr>
        <w:t xml:space="preserve">: </w:t>
      </w:r>
      <w:r>
        <w:rPr>
          <w:rtl w:val="true"/>
        </w:rPr>
        <w:t>حول الاحتیاط قبل الفحص</w:t>
      </w:r>
      <w:bookmarkEnd w:id="423"/>
    </w:p>
    <w:p>
      <w:pPr>
        <w:pStyle w:val="BookText"/>
        <w:rPr/>
      </w:pPr>
      <w:r>
        <w:rPr>
          <w:rFonts w:ascii="IRNazanin" w:hAnsi="IRNazanin" w:eastAsia="IRNazanin"/>
          <w:color w:val="111111"/>
          <w:sz w:val="28"/>
          <w:sz w:val="28"/>
          <w:szCs w:val="28"/>
          <w:rtl w:val="true"/>
          <w:lang w:bidi="fa-IR"/>
        </w:rPr>
        <w:t>و قد اتفقت الآراء علی صحّته إلّا من القائل بعدم جواز سلوک سبیل الاجتهاد و التقلید مطلقا، و المسألة بتفصیلها فی مباحث الاجتهاد و التقلید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مورد نظری هنا، توضیح إشکال علی الاحتیاط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حجّیة الاجتهاد و التقلید و معذّریتهما، ممّا لا ریب فیها حسب الفقه استدلالا بالکتاب و السنّة، أو الإجماع و العقل و السیرة، و أمّا حجّیة الاحتیاط فی مورد الإتیان بما یحتمل وجوبه، فلا دلیل علیها إلّا بحسب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 سیمرّ علیک من وجوب الفحص </w:t>
      </w:r>
      <w:r>
        <w:rPr>
          <w:rStyle w:val="FootnoteAnchor"/>
          <w:rtl w:val="true"/>
        </w:rPr>
        <w:footnoteReference w:id="431"/>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الإسلامیّة الواقعیّة یشترک فیها العالم و الجاهل، وضعیّة کانت، أو تکلیفیّة، فلو أتی المجتهد أو المقلّد بالصلاة القائم علی وجوبها الحجّة، و کانت هی مثلا ذات أجزاء عشرة حسب الاجتهاد و رأی المقلّد، و لکن تبیّن بعد ذلک أنّها أکثر أجزاء من ذلک، یصحّ لها الاعتذار بالاجتهاد و التقلید؛ لأنّهما الحجّة الإلهیة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المحتاط الواقف علی موارد الاحتیاط؛ حسب المحتملات الموجودة فی نفسه، إذا أتی بتلک العبادة و ذلک العمل، ثمّ تبیّن خلافه بحسب الواقع، فهل یصحّ له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احتاط، مع أنّه کان یتمکّن من أن یقلّد أو یجتهد، و یکون ذا حجّة قطعیّة ظاهریّة، أم لا؛ لعدم حجّیة الاحتیاط؟</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أخبار الاحتیاط حجّیة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أنّها لا تکون ناظرة إلی تعذیر العبد عند ترک الاجتهاد و التقلید، بل هی إمّا إیجاب، أو إرشاد إلی حسنه المجتمع مع کونه مجتهدا و مقلّدا، فلیلاحظ ما سبق، و لیس مفادها جعل الاحتیاط عذرا عند التخلّف بالضرورة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التمکّن من الاجتهاد و التقلید فالاحتیاط بالفعل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جامعا للمحتملات المنقدحة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حجّة و عذرا، و لا یستحسن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نظر القائلین بممنوعیّة ترک سلوک سبیلی الاجتهاد و التقلید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الأمر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شبهة فی جواز ردّ السلام بالنسبة إلی شخص، و لکن لمکان احتمال وجوبه احتاط قبل الفحص و الاجتهاد، یمکن إجراء الإشکال المذکور؛ لما مرّ من أنّ حجّیة العلم لیست ذاتیّة، و لیست عذرا</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بعد الالتفات إلی ما ذکرناه لا یبقی له العلم کی یعتذر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إجراء الإشکال المذکور إلی المجتهد و المقلّد المحتاطین بعد الاجتهاد و التقلید فی خصوص مورد، فإنّه یستند عملهما فی خصوص ذلک المورد إلی الاحتیاط طبعا، و هو غیر قابل لأن یعتذر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أتی بعمل حسب الاجتهاد و التقلید، و بالطرف الآخر حسب الاحتیاط، یعدّ معتذرا بالنسبة إلی ترک الواقع؛ لاستناده إلی ما هو الحجّة الإلهیّة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تصوّر ذلک فی الأقلّ و الأکثر أکثر إشکالا من تقدیم الطرف علی ما قامت علیه</w:t>
      </w:r>
      <w:bookmarkStart w:id="424" w:name="pg13177_117886"/>
    </w:p>
    <w:p>
      <w:pPr>
        <w:pStyle w:val="BookText"/>
        <w:rPr/>
      </w:pPr>
      <w:bookmarkEnd w:id="424"/>
      <w:r>
        <w:rPr>
          <w:rFonts w:ascii="IRNazanin" w:hAnsi="IRNazanin" w:eastAsia="IRNazanin"/>
          <w:color w:val="111111"/>
          <w:sz w:val="28"/>
          <w:sz w:val="28"/>
          <w:szCs w:val="28"/>
          <w:rtl w:val="true"/>
          <w:lang w:bidi="fa-IR"/>
        </w:rPr>
        <w:t>الحجّة،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الاحتیاط مقتضی الاجتهاد و التقلید فلا بأس به، و أمّا الاحتیاط غیر الراجع إلیه ففیه الإشکال المذکور؛ حسب کون الناس مشترکین فی الأحکام الأوّلیة الإسلامیّة الإلهیّة</w:t>
      </w:r>
      <w:r>
        <w:rPr>
          <w:rFonts w:eastAsia="IRNazanin" w:cs="IRNazanin"/>
          <w:color w:val="111111"/>
          <w:sz w:val="28"/>
          <w:szCs w:val="28"/>
          <w:rtl w:val="true"/>
          <w:lang w:bidi="fa-IR"/>
        </w:rPr>
        <w:t>.</w:t>
      </w:r>
    </w:p>
    <w:p>
      <w:pPr>
        <w:pStyle w:val="Heading6"/>
        <w:numPr>
          <w:ilvl w:val="5"/>
          <w:numId w:val="1"/>
        </w:numPr>
        <w:rPr/>
      </w:pPr>
      <w:bookmarkStart w:id="425" w:name="__RefHeading___Toc763866_3244359995"/>
      <w:bookmarkStart w:id="426" w:name="_Toc158"/>
      <w:bookmarkEnd w:id="425"/>
      <w:r>
        <w:rPr>
          <w:rtl w:val="true"/>
        </w:rPr>
        <w:t>و هم و دفع</w:t>
      </w:r>
      <w:bookmarkEnd w:id="426"/>
    </w:p>
    <w:p>
      <w:pPr>
        <w:pStyle w:val="BookText"/>
        <w:rPr/>
      </w:pPr>
      <w:r>
        <w:rPr>
          <w:rFonts w:ascii="IRNazanin" w:hAnsi="IRNazanin" w:eastAsia="IRNazanin"/>
          <w:color w:val="111111"/>
          <w:sz w:val="28"/>
          <w:sz w:val="28"/>
          <w:szCs w:val="28"/>
          <w:rtl w:val="true"/>
          <w:lang w:bidi="fa-IR"/>
        </w:rPr>
        <w:t>بعد ما کان المفروض خطأ الاجتهاد و التقلید و الاحتیاط، فلا وجه لکونهما عذرا دونه؛ لاشتراک المکلّف فی الفروض الثلاثة بالنسبة إلی ترک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الصورتین الاولیین، یکون معذورا بالنسبة إلی التخلّف، دون الثالثة، کما ربّما لا یعدّ فی الاولیین متجرّئا بخلافها، و ذلک نظیر ترک إنقاذ الغریقین، أو صرف قدرته فی إنقاذ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الاجتهاد و التقلید المنتهی إلیه طبعا، یمکن الالتزام بتقیید الأدلّة الأوّلیة بالنسبة إلی الجاهل القاصر أو المقصّر؛ نظرا إلی إطلاق دلیل الرفع، فلا حکم فعلیّ بالنسبة إلیهما، بخلاف الفرض الثالث، فإنّ الأحکام الأوّلیة الإسلامیّة غیر القائمة علی خلافها الطرق و الاصول، منجّزة بالنسبة إلی کافّة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الاحتمال، کما یأتی تحقیقه </w:t>
      </w:r>
      <w:r>
        <w:rPr>
          <w:rStyle w:val="FootnoteAnchor"/>
          <w:rtl w:val="true"/>
        </w:rPr>
        <w:footnoteReference w:id="43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فالمحصول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حجّة کالاجتهاد و التقلید، صحیح لو تحقّق، و لکنّه غیر ممکن صغرویّا، فما اشتهر من ممنوعیّة ترک طریقی الاجتهاد و التقلید، غیر بعید عن الصواب</w:t>
      </w:r>
      <w:r>
        <w:rPr>
          <w:rFonts w:eastAsia="IRNazanin" w:cs="IRNazanin"/>
          <w:color w:val="111111"/>
          <w:sz w:val="28"/>
          <w:szCs w:val="28"/>
          <w:rtl w:val="true"/>
          <w:lang w:bidi="fa-IR"/>
        </w:rPr>
        <w:t>.</w:t>
      </w:r>
      <w:bookmarkStart w:id="427" w:name="pg13177_117887"/>
    </w:p>
    <w:p>
      <w:pPr>
        <w:pStyle w:val="Heading6"/>
        <w:numPr>
          <w:ilvl w:val="5"/>
          <w:numId w:val="1"/>
        </w:numPr>
        <w:rPr/>
      </w:pPr>
      <w:bookmarkStart w:id="428" w:name="__RefHeading___Toc763868_3244359995"/>
      <w:bookmarkStart w:id="429" w:name="_Toc159"/>
      <w:bookmarkEnd w:id="427"/>
      <w:bookmarkEnd w:id="428"/>
      <w:r>
        <w:rPr>
          <w:rtl w:val="true"/>
        </w:rPr>
        <w:t>تنبیه</w:t>
      </w:r>
      <w:r>
        <w:rPr>
          <w:rtl w:val="true"/>
        </w:rPr>
        <w:t xml:space="preserve">: </w:t>
      </w:r>
      <w:r>
        <w:rPr>
          <w:rtl w:val="true"/>
        </w:rPr>
        <w:t>فی جریان المناقشة الصغرویة فی الاحتیاط حتّی فی الشبهات البدویة</w:t>
      </w:r>
      <w:bookmarkEnd w:id="429"/>
    </w:p>
    <w:p>
      <w:pPr>
        <w:pStyle w:val="BookText"/>
        <w:rPr/>
      </w:pPr>
      <w:r>
        <w:rPr>
          <w:rFonts w:ascii="IRNazanin" w:hAnsi="IRNazanin" w:eastAsia="IRNazanin"/>
          <w:color w:val="111111"/>
          <w:sz w:val="28"/>
          <w:sz w:val="28"/>
          <w:szCs w:val="28"/>
          <w:rtl w:val="true"/>
          <w:lang w:bidi="fa-IR"/>
        </w:rPr>
        <w:t>ما ذکرناه من المناقشة فی جواز الاحتیاط، لا یختصّ بمورد العلم الإجمالیّ الصغیر، أو الکبیر المنحلّ، أو غیر المنحلّ، بل یأتی فی الشبهة البدویّة؛ لاحتمال عدم إطاعته و إسقاط الأمر مع الاحتیاط، و حیث لا دلیل علی حجّیته بعنوانه، یکون الأمر المذکور حجّة علیه؛ لأنّ المفروض أنّه یرید الاحتیاط قبل الفحص، و الواقع بالاحتمال منجّز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الجاهل القاصر معذور سواء احتاط، أم ترکه</w:t>
      </w:r>
      <w:r>
        <w:rPr>
          <w:rFonts w:eastAsia="IRNazanin" w:cs="IRNazanin"/>
          <w:color w:val="111111"/>
          <w:sz w:val="28"/>
          <w:szCs w:val="28"/>
          <w:rtl w:val="true"/>
          <w:lang w:bidi="fa-IR"/>
        </w:rPr>
        <w:t>.</w:t>
      </w:r>
    </w:p>
    <w:p>
      <w:pPr>
        <w:pStyle w:val="Heading5"/>
        <w:numPr>
          <w:ilvl w:val="4"/>
          <w:numId w:val="1"/>
        </w:numPr>
        <w:rPr/>
      </w:pPr>
      <w:bookmarkStart w:id="430" w:name="__RefHeading___Toc763870_3244359995"/>
      <w:bookmarkStart w:id="431" w:name="_Toc160"/>
      <w:bookmarkEnd w:id="430"/>
      <w:r>
        <w:rPr>
          <w:rtl w:val="true"/>
        </w:rPr>
        <w:t>المقام الثانی</w:t>
      </w:r>
      <w:r>
        <w:rPr>
          <w:rtl w:val="true"/>
        </w:rPr>
        <w:t xml:space="preserve">: </w:t>
      </w:r>
      <w:r>
        <w:rPr>
          <w:rtl w:val="true"/>
        </w:rPr>
        <w:t>فی شروط البراءة العقلیّة و النقلیّة</w:t>
      </w:r>
      <w:bookmarkEnd w:id="431"/>
    </w:p>
    <w:p>
      <w:pPr>
        <w:pStyle w:val="Heading6"/>
        <w:numPr>
          <w:ilvl w:val="5"/>
          <w:numId w:val="1"/>
        </w:numPr>
        <w:rPr/>
      </w:pPr>
      <w:bookmarkStart w:id="432" w:name="__RefHeading___Toc763872_3244359995"/>
      <w:bookmarkStart w:id="433" w:name="_Toc161"/>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البراءة قبل الفحص علی وجه کلّی؛ بحیث ینتهی إلی ترک مطلق ما یحتمل وجوبه، و إتیان مطلق ما یحتمل حرمته و ممنوعیّته، غیر جائز بالضرورة القطعیّة، و لا یرخّصه أحد قطعا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إطالة الکلام بالتمسّک بالإجماع، و الکتاب، و السنّة، و العقل، و تقریر وجوه العلم الإجمالیّ، کی یلزم جواز إجرائها إذا نوقش فی تلک الأدلّة، فإنّه و إن نوقش فیها و فی کلّ واحد منها، إلّا أنّ المناقش غیر ملتزم بالضرورة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حاصل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بعدم جریانها قبل الفحص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الصناعات الخمس علی المشهور</w:t>
      </w:r>
      <w:r>
        <w:rPr>
          <w:rStyle w:val="FootnoteAnchor"/>
          <w:rtl w:val="true"/>
        </w:rPr>
        <w:footnoteReference w:id="436"/>
      </w:r>
      <w:r>
        <w:rPr>
          <w:rFonts w:ascii="IRNazanin" w:hAnsi="IRNazanin" w:eastAsia="IRNazanin"/>
          <w:color w:val="111111"/>
          <w:sz w:val="28"/>
          <w:sz w:val="28"/>
          <w:szCs w:val="28"/>
          <w:rtl w:val="true"/>
          <w:lang w:bidi="fa-IR"/>
        </w:rPr>
        <w:t>و الثلاث علی ما أبدعناه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 الشعر إلی الخطابة، و الجدل و المغالطة إلی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بعد وجود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ما أبدعناه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تحرّر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حدیث العقاب بلا بیان غیر صحیح </w:t>
      </w:r>
      <w:r>
        <w:rPr>
          <w:rStyle w:val="FootnoteAnchor"/>
          <w:rtl w:val="true"/>
        </w:rPr>
        <w:footnoteReference w:id="438"/>
      </w:r>
      <w:r>
        <w:rPr>
          <w:rFonts w:ascii="IRNazanin" w:hAnsi="IRNazanin" w:eastAsia="IRNazanin"/>
          <w:color w:val="111111"/>
          <w:sz w:val="28"/>
          <w:sz w:val="28"/>
          <w:szCs w:val="28"/>
          <w:rtl w:val="true"/>
          <w:lang w:bidi="fa-IR"/>
        </w:rPr>
        <w:t>، بل الأمر یرجع إلی امتناع صدور الجزاف منه تعالی، أو إلی قبح صدور کلّ شی‌ء جزافا منه تعالی، فیعدّ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العقلیّة،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کان الإسلام عقیدة و نظاما ذا مقرّرات اجتماعیّة و فردیّة، إلزامیّة تحریمیّة و إیجابیّة، فالجزاف ممنوع بالنسبة إلی عقابه تعالی، من غیر النظر إلی العلم الإجمالیّ، بل نفس ذلک یوجب عدم کونه غیر جزاف، و عند ذلک یدرک العقل سدّ باب احتمال العقوبة بعد بنائه علی الفرار منها بنحو عامّ و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یشترک فیه جمیع العقائد و الأنظمة الصحیحة و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الجاهل القاصر المرکّب بأنّ الإسلام لیس إلّا الشهادتین، و لا یکون وراءه شی‌ء، یعدّ معذورا عقلا کالعجز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عذریّة الجهل القصوریّ لیست کعذریّة العجز، فإنّه یمکن أن یکون من المقرّرات الإسلامیّة عدم کون الجهل مطلقا عذرا؛ لأنّه غیر عاجز عن الإتیان، لانتهاء الجهل القصوریّ المرکّب إلی شی‌ء من الامور الاختیاریّة و المقدّمات و لو کانت بعیدة، کما یجوز أن لا یکون العجز الاختیاریّ عذرا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الکلام ثانیا و ثالثا حول العلم الإجمالیّ الکبیر القابل لأن یقول أحد بعدم منجّزیته رأسا، أو بانحلاله، مع أنّ الدعوی أعمّ، و التمسّک به، أو بأنّ الاحتمال منجّز؛ للاقتران بالعلم، فی غیر محلّه؛ ضرورة أنّه من الواضحات</w:t>
      </w:r>
    </w:p>
    <w:p>
      <w:pPr>
        <w:pStyle w:val="BookText"/>
        <w:rPr/>
      </w:pPr>
      <w:r>
        <w:rPr>
          <w:rFonts w:ascii="IRNazanin" w:hAnsi="IRNazanin" w:eastAsia="IRNazanin"/>
          <w:color w:val="111111"/>
          <w:sz w:val="28"/>
          <w:sz w:val="28"/>
          <w:szCs w:val="28"/>
          <w:rtl w:val="true"/>
          <w:lang w:bidi="fa-IR"/>
        </w:rPr>
        <w:t>الغنیّة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جریان البراءة الشرعیّة، انتفاء جمیع أحکام الإسلام؛ لإطلاق حدیث الرفع، و لا یعتبر العلم بحدیث الرفع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التمسّک بأدلّة وجوب التفقّه فی الإسلام و تعلّم الأحکام، غیر کاف؛ لأنّه مورد البراءة بعد احتمال وجوبه، و الشکّ فیه، و جریان حدیث الرفع و البراءة العقلیّة و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دلالة تلک الأدلّة علی الوجوب النفسیّ، محلّ تردّد جدّا، فما نسب </w:t>
      </w:r>
      <w:r>
        <w:rPr>
          <w:rStyle w:val="FootnoteAnchor"/>
          <w:rtl w:val="true"/>
        </w:rPr>
        <w:footnoteReference w:id="439"/>
      </w:r>
      <w:r>
        <w:rPr>
          <w:rFonts w:ascii="IRNazanin" w:hAnsi="IRNazanin" w:eastAsia="IRNazanin"/>
          <w:color w:val="111111"/>
          <w:sz w:val="28"/>
          <w:sz w:val="28"/>
          <w:szCs w:val="28"/>
          <w:rtl w:val="true"/>
          <w:lang w:bidi="fa-IR"/>
        </w:rPr>
        <w:t xml:space="preserve">إلی مثل الأردبیلیّ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ظاهر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غیر بعید اعتباره؛ لکونه عن المفید، عن القولویّ، عن الحمیریّ، عن أبیه، عن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و قد سئل عن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کنت عالما؟ فإن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کنت جاهلا،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فیخصمه، فتلک الحجّة البالغة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فیها إلی العمل،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أخبار وجوب التفقّه علی البراءة الشرعیّة</w:t>
      </w:r>
      <w:r>
        <w:rPr>
          <w:rStyle w:val="FootnoteAnchor"/>
          <w:rtl w:val="true"/>
        </w:rPr>
        <w:footnoteReference w:id="442"/>
      </w:r>
      <w:r>
        <w:rPr>
          <w:rFonts w:ascii="IRNazanin" w:hAnsi="IRNazanin" w:eastAsia="IRNazanin"/>
          <w:color w:val="111111"/>
          <w:sz w:val="28"/>
          <w:sz w:val="28"/>
          <w:szCs w:val="28"/>
          <w:rtl w:val="true"/>
          <w:lang w:bidi="fa-IR"/>
        </w:rPr>
        <w:t>، لا یخلو من غرابة، فإنّها تأمر بالتفقّه، فإن تفقّه فی الدین فیلزم ورودها علی البراءة الشرعیّة؛ حسبما حرّره من أنّ المراد</w:t>
      </w:r>
      <w:bookmarkStart w:id="434" w:name="pg13177_117890"/>
    </w:p>
    <w:p>
      <w:pPr>
        <w:pStyle w:val="BookText"/>
        <w:rPr/>
      </w:pPr>
      <w:bookmarkEnd w:id="434"/>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و إن لم یتفقّه فی الدین فهو جاهل یشمله إطلاق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أساس المسألة عدم الإطلاق بالنسبة إلی قبل الفحص؛ لأنّ الفحص لازم بالنسبة إلی المجتهد، و المجتهد المقصّر لو کان شمول الحدیث یلزم صلاحیة الإطلاق لهدم الإسلام؛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 واقعیّ، أو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ذلک یستظهر تعیّن الحدیث بالنسبة إلی الشبهة الموضوعیّة، کسائر فقراته، فاغتنم</w:t>
      </w:r>
      <w:r>
        <w:rPr>
          <w:rFonts w:eastAsia="IRNazanin" w:cs="IRNazanin"/>
          <w:color w:val="111111"/>
          <w:sz w:val="28"/>
          <w:szCs w:val="28"/>
          <w:rtl w:val="true"/>
          <w:lang w:bidi="fa-IR"/>
        </w:rPr>
        <w:t>.</w:t>
      </w:r>
    </w:p>
    <w:p>
      <w:pPr>
        <w:pStyle w:val="Heading6"/>
        <w:numPr>
          <w:ilvl w:val="5"/>
          <w:numId w:val="1"/>
        </w:numPr>
        <w:rPr/>
      </w:pPr>
      <w:bookmarkStart w:id="435" w:name="__RefHeading___Toc763874_3244359995"/>
      <w:bookmarkStart w:id="436" w:name="_Toc162"/>
      <w:bookmarkEnd w:id="435"/>
      <w:r>
        <w:rPr>
          <w:rtl w:val="true"/>
        </w:rPr>
        <w:t>تنبیه</w:t>
      </w:r>
      <w:r>
        <w:rPr>
          <w:rtl w:val="true"/>
        </w:rPr>
        <w:t xml:space="preserve">: </w:t>
      </w:r>
      <w:r>
        <w:rPr>
          <w:rtl w:val="true"/>
        </w:rPr>
        <w:t>فی أنّ ترک الفحص لیس ظلما</w:t>
      </w:r>
      <w:bookmarkEnd w:id="436"/>
    </w:p>
    <w:p>
      <w:pPr>
        <w:pStyle w:val="BookText"/>
        <w:rPr/>
      </w:pPr>
      <w:r>
        <w:rPr>
          <w:rFonts w:ascii="IRNazanin" w:hAnsi="IRNazanin" w:eastAsia="IRNazanin"/>
          <w:color w:val="111111"/>
          <w:sz w:val="28"/>
          <w:sz w:val="28"/>
          <w:szCs w:val="28"/>
          <w:rtl w:val="true"/>
          <w:lang w:bidi="fa-IR"/>
        </w:rPr>
        <w:t>بناء العرف و العقلاء و درک العقل علی عدم جریان البراءات الثلاث، و لو فرضنا وجود الإطلاق لخصوص حدیث الرفع و أشباهه، فالأشبه عدم کفایة أمثال هذه الإطلاقات لصرف السیرة العقلائیّة و دیدن الامّة و أرباب العقائد و الأنظمة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تخیّل العلّامة الأصفهانیّ المحشّی رحمه اللّه أنّ ترک الفحص خروج عن زیّ العبودیّة و الرقّیة و ظلم، فیکون ممنوعا، فإنّه لا یرجع إلّا إلی تنجّز الواقع، و إلّا فکونه ظلما محلّ منع؛ لاحتمال کونه بعد الفحص ظالما واقعا و آتیا بمبغوض المولی و متجاوزا؛ لاحتمال تخلّف الطریق و تفقّهه بعد الفحص، فلیلاحظ جیّدا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إطلاق حدیث الرفع یهدم کونه ظلما و خروجا عن زیّ العبودیّة و الرقّیة</w:t>
      </w:r>
      <w:r>
        <w:rPr>
          <w:rFonts w:eastAsia="IRNazanin" w:cs="IRNazanin"/>
          <w:color w:val="111111"/>
          <w:sz w:val="28"/>
          <w:szCs w:val="28"/>
          <w:rtl w:val="true"/>
          <w:lang w:bidi="fa-IR"/>
        </w:rPr>
        <w:t>.</w:t>
      </w:r>
    </w:p>
    <w:p>
      <w:pPr>
        <w:pStyle w:val="Heading6"/>
        <w:numPr>
          <w:ilvl w:val="5"/>
          <w:numId w:val="1"/>
        </w:numPr>
        <w:rPr/>
      </w:pPr>
      <w:bookmarkStart w:id="437" w:name="__RefHeading___Toc763876_3244359995"/>
      <w:bookmarkStart w:id="438" w:name="_Toc163"/>
      <w:bookmarkEnd w:id="437"/>
      <w:r>
        <w:rPr>
          <w:rtl w:val="true"/>
        </w:rPr>
        <w:t>مشکلة عدم إدراک العقل وجوب الفحص و التفقّه و جوابها</w:t>
      </w:r>
      <w:bookmarkEnd w:id="4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المکلّفون و المسلمون قبل الفحص تارکون لامور، و فاعلون لامور اخری،</w:t>
      </w:r>
    </w:p>
    <w:p>
      <w:pPr>
        <w:pStyle w:val="BookText"/>
        <w:rPr/>
      </w:pPr>
      <w:r>
        <w:rPr>
          <w:rFonts w:ascii="IRNazanin" w:hAnsi="IRNazanin" w:eastAsia="IRNazanin"/>
          <w:color w:val="111111"/>
          <w:sz w:val="28"/>
          <w:sz w:val="28"/>
          <w:szCs w:val="28"/>
          <w:rtl w:val="true"/>
          <w:lang w:bidi="fa-IR"/>
        </w:rPr>
        <w:t>و یحتمل کون الترک و الفعل موافقا لغرض المولی، و یحتمل کونه مخالفا، و هذا بعینه یجری بعد الفحص؛ لأنّ کثیرا من الطرق تتخلّف عن المولی، فیکون تفقّهه موجبا لترک الواجب، و إتیان المبغوض، و لا سیّما بعد مراعاة حالنا هذه بالنسبة إلی الطرق المتخلّفة إلی الطرق الناهضة، الإخباریّة عن مسائل قبل ألف سنة و أکثر، فکیف یدرک العقل لزوم الفحص و التفقّه فی الدین، مع أن التارک و الفاعل قبل الفحص و بعده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بالنسبة إلی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فرضنا لأحد العلم الوجدانیّ بتلک الأحکام، فلنا احتمال تخلّف علمه عن الواقع و إن لا یحتمل هو بنفسه،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تنحلّ بما عرفت من کون أحدهما صاحب الحجّة، دون الآخر، کما فی الابتلاء بالغریقین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قیاس الطرق المهتمّ بها سلفا بما فی عصرنا،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الطرق یوجد الإصابة فیها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مقتضی السیاسة الإسلامیّة فتح باب الاجتهاد، و منع إجراء البراءة قبل الفحص؛ ضرورة أنّ هذه الحوزات العلمیّة المنتشرة فی أوساط البلاد الإسلامیّة، مرهونة بلزوم الفحص و الاجتهاد، و أنّ الحفاظ علی اصول العقائد الحقّة فی الأجیال و الخلوف و النسل القادم، من تبعات تلک الجهود و الاجتهادات فی الفروع و الأحکام، من غیر النظر إلی الإصابة و اللاإصابة، بعد وضوح اصول الفروع الإسلامیّة بالسیرة الواضحة فی الجملة، و هذا ممّا لا ینبغی أن یخفی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ینبغی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سدّ باب الاحتیاط فتح باب الخیرات و البرکات، و أنّ فی الاحتیاط تعطیل القوی و تضییع الأوقات، و أنّ الفقیه کلّ الفقیه من یعرّف الإسلام بأنّه دین سهل سمح،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الشریعة السهلة السمحة</w:t>
      </w:r>
      <w:r>
        <w:rPr>
          <w:rFonts w:eastAsia="IRNazanin" w:cs="IRNazanin"/>
          <w:color w:val="111111"/>
          <w:sz w:val="28"/>
          <w:szCs w:val="28"/>
          <w:rtl w:val="true"/>
          <w:lang w:bidi="fa-IR"/>
        </w:rPr>
        <w:t>»</w:t>
      </w:r>
      <w:r>
        <w:rPr>
          <w:rStyle w:val="FootnoteAnchor"/>
          <w:rtl w:val="true"/>
        </w:rPr>
        <w:footnoteReference w:id="444"/>
      </w:r>
      <w:bookmarkStart w:id="439" w:name="pg13177_117892"/>
    </w:p>
    <w:p>
      <w:pPr>
        <w:pStyle w:val="BookText"/>
        <w:rPr/>
      </w:pPr>
      <w:bookmarkEnd w:id="439"/>
      <w:r>
        <w:rPr>
          <w:rFonts w:ascii="IRNazanin" w:hAnsi="IRNazanin" w:eastAsia="IRNazanin"/>
          <w:color w:val="111111"/>
          <w:sz w:val="28"/>
          <w:sz w:val="28"/>
          <w:szCs w:val="28"/>
          <w:rtl w:val="true"/>
          <w:lang w:bidi="fa-IR"/>
        </w:rPr>
        <w:t>فربّما یعدّ الاحتیاط خلاف الاحتیاط جدّا</w:t>
      </w:r>
      <w:r>
        <w:rPr>
          <w:rFonts w:eastAsia="IRNazanin" w:cs="IRNazanin"/>
          <w:color w:val="111111"/>
          <w:sz w:val="28"/>
          <w:szCs w:val="28"/>
          <w:rtl w:val="true"/>
          <w:lang w:bidi="fa-IR"/>
        </w:rPr>
        <w:t>.</w:t>
      </w:r>
    </w:p>
    <w:p>
      <w:pPr>
        <w:pStyle w:val="Heading6"/>
        <w:numPr>
          <w:ilvl w:val="5"/>
          <w:numId w:val="1"/>
        </w:numPr>
        <w:rPr/>
      </w:pPr>
      <w:bookmarkStart w:id="440" w:name="__RefHeading___Toc763878_3244359995"/>
      <w:bookmarkStart w:id="441" w:name="_Toc164"/>
      <w:bookmarkEnd w:id="440"/>
      <w:r>
        <w:rPr>
          <w:rtl w:val="true"/>
        </w:rPr>
        <w:t>ذنابة</w:t>
      </w:r>
      <w:r>
        <w:rPr>
          <w:rtl w:val="true"/>
        </w:rPr>
        <w:t xml:space="preserve">: </w:t>
      </w:r>
      <w:r>
        <w:rPr>
          <w:rtl w:val="true"/>
        </w:rPr>
        <w:t xml:space="preserve">فی بیان المراد من </w:t>
      </w:r>
      <w:r>
        <w:rPr>
          <w:rtl w:val="true"/>
        </w:rPr>
        <w:t>«</w:t>
      </w:r>
      <w:r>
        <w:rPr>
          <w:rtl w:val="true"/>
        </w:rPr>
        <w:t>الفحص</w:t>
      </w:r>
      <w:r>
        <w:rPr>
          <w:rtl w:val="true"/>
        </w:rPr>
        <w:t xml:space="preserve">» </w:t>
      </w:r>
      <w:r>
        <w:rPr>
          <w:rtl w:val="true"/>
        </w:rPr>
        <w:t>و حدوده</w:t>
      </w:r>
      <w:bookmarkEnd w:id="441"/>
    </w:p>
    <w:p>
      <w:pPr>
        <w:pStyle w:val="BookText"/>
        <w:rPr/>
      </w:pPr>
      <w:r>
        <w:rPr>
          <w:rFonts w:ascii="IRNazanin" w:hAnsi="IRNazanin" w:eastAsia="IRNazanin"/>
          <w:color w:val="111111"/>
          <w:sz w:val="28"/>
          <w:sz w:val="28"/>
          <w:szCs w:val="28"/>
          <w:rtl w:val="true"/>
          <w:lang w:bidi="fa-IR"/>
        </w:rPr>
        <w:t xml:space="preserve">مقتضی ما تحرّر عدم جریان البراءة قبل الفحص، فالفحص شرطه بالضرورة، و إنّما الکلام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شبهة فی أنّه لیس دأب المکاتب الإسلامیّة و غیرها إبلاغ الحکم إلی أبواب المکلّفین، و تطویق حلق بیوتهم؛ فإنّ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کالکعبة یزار و لا یزور</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 عندئذ لا بدّ من قیام الرسل و خلفائهم بنشر الأحکام و بسطها حسب المتعارف و الجدّ و الجهد فی توزیع المسائل الإلهیّة علی ما هو المضبوط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المجتهد یبذل جهده و کدّه فی الوصول إلیه؛ علی ما هو المکتوب فی الدفاتر و الاصول و الکتب الکبیرة و الصغیرة البالغة إلینا، و إعمال الاجتهاد حسب المتعارف علی أن یقف علی النسخ القدیمة و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الرسالة و خلفائها، و جانب الحکّام و أمنائهم علی الحلال و الحرام، یحصل ما هو المقصود الأعلی السیاسیّ و المأمول المنظور الأساسیّ، کی یحافظ علی النظام الفردیّ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تنجّز قبل إبلاغ الجانب الأوّل و لو کان الحکم مخزونا فی خزانة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براءة بعد الإبلاغ حسب المتعارف عقلیّة و غیر عقلیّة، إلّا بعد الجانب الثانی و هو الفحص</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فالإیصال و الوصول معتبران، لا بمعنی خارج عن العادة، و إن لم یکن الحکم</w:t>
      </w:r>
    </w:p>
    <w:p>
      <w:pPr>
        <w:pStyle w:val="BookText"/>
        <w:rPr/>
      </w:pPr>
      <w:r>
        <w:rPr>
          <w:rFonts w:ascii="IRNazanin" w:hAnsi="IRNazanin" w:eastAsia="IRNazanin"/>
          <w:color w:val="111111"/>
          <w:sz w:val="28"/>
          <w:sz w:val="28"/>
          <w:szCs w:val="28"/>
          <w:rtl w:val="true"/>
          <w:lang w:bidi="fa-IR"/>
        </w:rPr>
        <w:t>بدون الوصول الجزئیّ و الخاصّ قابلا للتحریک و الباعثیّة، بل بمعنی الإیصال و الوصول المعلوم عند کافّة الفقهاء رحمهم اللّه و أمّا حدیث التحریک الفعلیّ، فلا یعتبر فی التنجیز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القابلیّة للتحریک، فهی حاصلة بعد إبلاغ الرسل و خلفائهم، و أمّا فی صورة وجودها فی المخازن فلا قابلیّة؛ إمّا لعدم الإنشاء فلا حکم، أو لعدم شرط الإبلاغ، فلا 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الأوّل إذا تمّ الأمر، فلا یعتبر شی‌ء أزید من إتمام الحجّة، و هو حاصل بمجرّد الاحتمال و لو لم یکن مقرونا بالعلم،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غیر منجّز، فعندئذ یلزم الفحص؛ سدّا لباب جواز کون صدور العقاب غیر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جمیع التقاریب، یلزم المناقشة فی التمسّک بقاعدة امتناع العقاب جزافا، أو قبح العقاب بلا بیان فی صورة الشکّ فی وجود البیان، بل فی صورة الشکّ فی إصابة الحجّة، إلّا علی تقریب 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لا بدّ من دعوی درک العقل أنّ الحجّة علی الکبری تامّة، و لا تجری قاعدة قبح العقاب فی الشبهة الموضوعیّة، و لازمه هو الاحتیاط، کما اختاره سیّدنا الاستاذ العلّامة البروجردیّ قدّس سرّه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یدرک فی خصوص المسألة وجود السیرة و المرام العقلائیّ و حکم العقل بسدّ باب الاحتمال؛ لحجّیة الاحتمال، و هو یوجب عدم کون العقاب جزافا و بلا بیان</w:t>
      </w:r>
      <w:r>
        <w:rPr>
          <w:rFonts w:eastAsia="IRNazanin" w:cs="IRNazanin"/>
          <w:color w:val="111111"/>
          <w:sz w:val="28"/>
          <w:szCs w:val="28"/>
          <w:rtl w:val="true"/>
          <w:lang w:bidi="fa-IR"/>
        </w:rPr>
        <w:t>.</w:t>
      </w:r>
      <w:bookmarkStart w:id="442" w:name="pg13177_117894"/>
    </w:p>
    <w:p>
      <w:pPr>
        <w:pStyle w:val="Heading6"/>
        <w:numPr>
          <w:ilvl w:val="5"/>
          <w:numId w:val="1"/>
        </w:numPr>
        <w:rPr/>
      </w:pPr>
      <w:bookmarkStart w:id="443" w:name="__RefHeading___Toc763880_3244359995"/>
      <w:bookmarkStart w:id="444" w:name="_Toc165"/>
      <w:bookmarkEnd w:id="442"/>
      <w:bookmarkEnd w:id="443"/>
      <w:r>
        <w:rPr>
          <w:rtl w:val="true"/>
        </w:rPr>
        <w:t>تذنیب</w:t>
      </w:r>
      <w:r>
        <w:rPr>
          <w:rtl w:val="true"/>
        </w:rPr>
        <w:t xml:space="preserve">: </w:t>
      </w:r>
      <w:r>
        <w:rPr>
          <w:rtl w:val="true"/>
        </w:rPr>
        <w:t>فی عدم وجوب الفحص فی الشبهات الموضوعیة و وجوبه فی بعض الموضوعات</w:t>
      </w:r>
      <w:bookmarkEnd w:id="444"/>
    </w:p>
    <w:p>
      <w:pPr>
        <w:pStyle w:val="BookText"/>
        <w:rPr/>
      </w:pPr>
      <w:r>
        <w:rPr>
          <w:rFonts w:ascii="IRNazanin" w:hAnsi="IRNazanin" w:eastAsia="IRNazanin"/>
          <w:color w:val="111111"/>
          <w:sz w:val="28"/>
          <w:sz w:val="28"/>
          <w:szCs w:val="28"/>
          <w:rtl w:val="true"/>
          <w:lang w:bidi="fa-IR"/>
        </w:rPr>
        <w:t>قد مرّ حدیث جریان البراءة العقلیّة فی الشبهات الموضوعیّة</w:t>
      </w:r>
      <w:r>
        <w:rPr>
          <w:rStyle w:val="FootnoteAnchor"/>
          <w:rtl w:val="true"/>
        </w:rPr>
        <w:footnoteReference w:id="447"/>
      </w:r>
      <w:r>
        <w:rPr>
          <w:rFonts w:ascii="IRNazanin" w:hAnsi="IRNazanin" w:eastAsia="IRNazanin"/>
          <w:color w:val="111111"/>
          <w:sz w:val="28"/>
          <w:sz w:val="28"/>
          <w:szCs w:val="28"/>
          <w:rtl w:val="true"/>
          <w:lang w:bidi="fa-IR"/>
        </w:rPr>
        <w:t>، و أنّ مجرّد العلم بالکبریات الشرعیّة تفصیلا مثلا غیر کاف، سواء قلنا بجریان الشکل الأوّل فی الأحکام الشرعیّة، أو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القول به و تصدیق تقریبه لا یلزم فرق بین المرامین، و من شاء المسألة فلیراجع بحوث البراءة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یجب الفحص فی طائفة من الموضوعات، کالمجتهد الجامع للشرائط بالنسبة إلی العامّی، و کالاستطاعة، و فی باب الزکاة و الخمس، و بعض المسائل الاخر، و المسألة تطلب من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فی الشبهات الموضوعیّة، جاریة بعد الفحص و الظفر بالکبری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کون المشکوک مجری البراءة حتّی بعد الظفر یکفی لجریانها؛ لعدم دخالة الظفر بالکبری فی خصوص مورد الشکّ، لأنّه علی تقدیر الظفر بها لا یجب الاحتیاط مطلقا،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محلّ منع، فلیتدبّر</w:t>
      </w:r>
      <w:r>
        <w:rPr>
          <w:rFonts w:eastAsia="Amiri" w:cs="Amiri" w:ascii="Amiri" w:hAnsi="Amiri"/>
          <w:color w:val="111111"/>
          <w:sz w:val="28"/>
          <w:szCs w:val="28"/>
          <w:rtl w:val="true"/>
          <w:lang w:bidi="ar-SA"/>
        </w:rPr>
        <w:t>.</w:t>
      </w:r>
      <w:bookmarkStart w:id="445" w:name="pg13177_117895"/>
    </w:p>
    <w:p>
      <w:pPr>
        <w:pStyle w:val="Heading6"/>
        <w:numPr>
          <w:ilvl w:val="5"/>
          <w:numId w:val="1"/>
        </w:numPr>
        <w:rPr/>
      </w:pPr>
      <w:bookmarkStart w:id="446" w:name="__RefHeading___Toc763882_3244359995"/>
      <w:bookmarkStart w:id="447" w:name="_Toc166"/>
      <w:bookmarkEnd w:id="445"/>
      <w:bookmarkEnd w:id="446"/>
      <w:r>
        <w:rPr>
          <w:rtl w:val="true"/>
        </w:rPr>
        <w:t>توضیح و تنقیح</w:t>
      </w:r>
      <w:r>
        <w:rPr>
          <w:rtl w:val="true"/>
        </w:rPr>
        <w:t xml:space="preserve">: </w:t>
      </w:r>
      <w:r>
        <w:rPr>
          <w:rtl w:val="true"/>
        </w:rPr>
        <w:t>حول عدم جریان البراءة الشرعیة قبل الفحص مطلقا</w:t>
      </w:r>
      <w:bookmarkEnd w:id="447"/>
    </w:p>
    <w:p>
      <w:pPr>
        <w:pStyle w:val="BookText"/>
        <w:rPr/>
      </w:pPr>
      <w:r>
        <w:rPr>
          <w:rFonts w:ascii="IRNazanin" w:hAnsi="IRNazanin" w:eastAsia="IRNazanin"/>
          <w:color w:val="111111"/>
          <w:sz w:val="28"/>
          <w:sz w:val="28"/>
          <w:szCs w:val="28"/>
          <w:rtl w:val="true"/>
          <w:lang w:bidi="fa-IR"/>
        </w:rPr>
        <w:t>الفحص عن الأدلّة و الکتاب و السنّة وظیفة من لا یجوز له التقلید، و لا یرخّص الاحتیاط، أو لا یتمکّن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فحص عن الأدلّة، و کان مجتهدا فی کافّة المسائل المبتلی بها علی جمیع مراحلها، و اتفق له الشبهة بالنسبة إلی موضوع فی حکمه، و کان لا یدری، و یحتمل وجود الدلیل، فهل فی مثل هذه الصورة یجب الفحص، و یکون الاحتمال حجّة، أم تجری البراءة الشرعیّة و العقلیّة؛ لما لا یلزم من إنکار لزومه المفاسد المذکورة بالنسبة إلی ترکه عموما؟</w:t>
      </w:r>
    </w:p>
    <w:p>
      <w:pPr>
        <w:pStyle w:val="BookText"/>
        <w:rPr/>
      </w:pPr>
      <w:r>
        <w:rPr>
          <w:rFonts w:ascii="IRNazanin" w:hAnsi="IRNazanin" w:eastAsia="IRNazanin"/>
          <w:color w:val="111111"/>
          <w:sz w:val="28"/>
          <w:sz w:val="28"/>
          <w:szCs w:val="28"/>
          <w:rtl w:val="true"/>
          <w:lang w:bidi="fa-IR"/>
        </w:rPr>
        <w:t>و إنکار إطلاق أدلّة البراءة الشرعیّة بالنسبة إلی ترک الفحص المطلق، لا ینافی ثبوته بالنسبة إلی هذه الصورة الجزئیّة المفروض اتفاقها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إنّ أدلّة وجوب التفقّه و الاحتیاط و غیرهما،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الْبالِغَةُ</w:t>
      </w:r>
      <w:r>
        <w:rPr>
          <w:rStyle w:val="FootnoteAnchor"/>
          <w:rtl w:val="true"/>
        </w:rPr>
        <w:footnoteReference w:id="450"/>
      </w:r>
      <w:r>
        <w:rPr>
          <w:rFonts w:ascii="IRNazanin" w:hAnsi="IRNazanin" w:eastAsia="IRNazanin"/>
          <w:color w:val="111111"/>
          <w:sz w:val="28"/>
          <w:sz w:val="28"/>
          <w:szCs w:val="28"/>
          <w:rtl w:val="true"/>
          <w:lang w:bidi="fa-IR"/>
        </w:rPr>
        <w:t xml:space="preserve">و إن کان غیر کافیة لأصل المسألة؛ لإمکان کون نفس وجوب التفقّه و الاحتیاط و غیرهما مورد الشبهة و الشکّ، و لکن بعد العثور علیها، و استفادة کون التفقّه و الاحتیاط لیسا واجبین نفسیّین، أو علی تقدیر ذلک، یستفاد منها تنجّز التکالیف الواقعیّة زائدا علی هذا التکلیف بعد إمکان إیجاب الاحتیاط مثلا، أو بعد کون الجاهل المقصّر مورد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دون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وجوب التفقّه حجّة فی المسألة المذکورة و تلک الصورة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المقصّر أولی بأن یکون مورد حدیث الرفع الامتنانیّ، و خروج مطلق الجاهل عنه أو عدم إطلاق له بالنسبة إلیه، لا ینافی الإطلاق بالنسبة</w:t>
      </w:r>
    </w:p>
    <w:p>
      <w:pPr>
        <w:pStyle w:val="BookText"/>
        <w:rPr/>
      </w:pPr>
      <w:r>
        <w:rPr>
          <w:rFonts w:ascii="IRNazanin" w:hAnsi="IRNazanin" w:eastAsia="IRNazanin"/>
          <w:color w:val="111111"/>
          <w:sz w:val="28"/>
          <w:sz w:val="28"/>
          <w:szCs w:val="28"/>
          <w:rtl w:val="true"/>
          <w:lang w:bidi="fa-IR"/>
        </w:rPr>
        <w:t>إلی هذه الفروض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تقدّم حدیث الرفع علی أدلّة التفقّه </w:t>
      </w:r>
      <w:r>
        <w:rPr>
          <w:rStyle w:val="FootnoteAnchor"/>
          <w:rtl w:val="true"/>
        </w:rPr>
        <w:footnoteReference w:id="452"/>
      </w:r>
      <w:r>
        <w:rPr>
          <w:rFonts w:ascii="IRNazanin" w:hAnsi="IRNazanin" w:eastAsia="IRNazanin"/>
          <w:color w:val="111111"/>
          <w:sz w:val="28"/>
          <w:sz w:val="28"/>
          <w:szCs w:val="28"/>
          <w:rtl w:val="true"/>
          <w:lang w:bidi="fa-IR"/>
        </w:rPr>
        <w:t>لأنّ وجوب التفقّه قابل للعصیان، أو طریق صرف إلی إفادة تنجّز الواقعیّات، فإذا لم یسلک الطریق عالما عامدا یکون جاهلا بالنسبة إلی الأحکام الواقعیّة، و هی مرفوعة، أو مرفوع عقابها، و هذا مقدّم عرفا علی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دلیل التفقّه حجّة علی الواقع، أو حجّة علی حجّیة دلیل الواقع، و حدیث الرفع ناظر إلی رفع ما لا حجّة علیه، فهو و إن استلزم الورود لا الحکومة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مرّ فی محلّه عدم تمامیّة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عدم الوجدان و من لا حجّة له </w:t>
      </w:r>
      <w:r>
        <w:rPr>
          <w:rStyle w:val="FootnoteAnchor"/>
          <w:rtl w:val="true"/>
        </w:rPr>
        <w:footnoteReference w:id="453"/>
      </w:r>
      <w:r>
        <w:rPr>
          <w:rFonts w:ascii="IRNazanin" w:hAnsi="IRNazanin" w:eastAsia="IRNazanin"/>
          <w:color w:val="111111"/>
          <w:sz w:val="28"/>
          <w:sz w:val="28"/>
          <w:szCs w:val="28"/>
          <w:rtl w:val="true"/>
          <w:lang w:bidi="fa-IR"/>
        </w:rPr>
        <w:t>، و لکن لا یقاس ما نحن فیه ببعض موارد اخر، کما تحرّر فی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التفقّه فی الدین متعمّدا، فمقتضی أدلّة التفقّه فی الدین استحقاق العقاب و تنجّز الواقع لولا حدیث الرفع، و مجری حدیث الرفع مخصوص بصورة تنجّز الواقع و استحقاق العقاب؛ لأنّه حدیث الامتنان، فحدیث الرفع یهدم موضوع دلیل التفقّه، أو ینفی تبعة دلیل الواقع و هو العقاب، فعندئذ یقع التعارض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الأخذ بإطلاق دلیل الرفع علی الإطلاق بالضرورة، و لکنّه یمکن الأخذ به فی تلک الصورة؛ لعدم ترتّب المفاسد المذکورة علیه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العقلیّة و العقلائیّة و إن کان ممنوعا، و لکن جریان البراءة النقلیّة غیر ممنوع؛ لأنّ دلیل التفقّه فی الدین یوجب التفقّه فیه، و دلیل الرفع حاکم بأنّه لا دین کی یجب التفقّه فیه بالنسبة إلی تلک الصورة، بل وارد، لا</w:t>
      </w:r>
      <w:bookmarkStart w:id="448" w:name="pg13177_117897"/>
    </w:p>
    <w:p>
      <w:pPr>
        <w:pStyle w:val="BookText"/>
        <w:rPr/>
      </w:pPr>
      <w:bookmarkEnd w:id="448"/>
      <w:r>
        <w:rPr>
          <w:rFonts w:ascii="IRNazanin" w:hAnsi="IRNazanin" w:eastAsia="IRNazanin"/>
          <w:color w:val="111111"/>
          <w:sz w:val="28"/>
          <w:sz w:val="28"/>
          <w:szCs w:val="28"/>
          <w:rtl w:val="true"/>
          <w:lang w:bidi="fa-IR"/>
        </w:rPr>
        <w:t>مطلقا حتّی یلزم هدم الإسلام به، فالفحص علی الإطلاق ممنوعة شرطیّته بالنسبة إلی جریانها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أدلّة الاحتیاط ناظرة إلی إیجابه قبل الفحص، یکون دلیل الرفع أیضا هادما لموضوع الاحتیاط، و هو احتمال الأمر أو النهی الإلزامیّین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إعراض الأصحاب عن إطلاق دلیل الرفع لشمول الجهالة قبل الفحص، عدم جریانه قبله علی الإطلاق، و إلّا فالتمسّک بدلیل التفقّه فی الدین و الاحتیاط هنا، کالتمسّک بدلیل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أرضا توبق بدینک</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لعدم جواز السکون فی الأرض الموجب للبدل الاضطراریّ، أو العجز مطلقا، فإنّه علی فرض الدخول لا دین کی یلزم ممنوعیّة السکون فی تلک الأرض،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ثبوت الدین فی صورة العجز عن الصوم فی بعض الأماکن حسب الخطابات القانونیّة، یندفع بما مرّ من تقیید الأدلّة العامّة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علی التقریبین المحرّرین فی محلّهما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763884_3244359995"/>
      <w:bookmarkStart w:id="450" w:name="_Toc167"/>
      <w:bookmarkEnd w:id="449"/>
      <w:r>
        <w:rPr>
          <w:rtl w:val="true"/>
        </w:rPr>
        <w:t>بقی شی‌ء</w:t>
      </w:r>
      <w:r>
        <w:rPr>
          <w:rtl w:val="true"/>
        </w:rPr>
        <w:t xml:space="preserve">: </w:t>
      </w:r>
      <w:r>
        <w:rPr>
          <w:rtl w:val="true"/>
        </w:rPr>
        <w:t>حول مختار الوالد المحقق</w:t>
      </w:r>
      <w:r>
        <w:rPr>
          <w:rtl w:val="true"/>
        </w:rPr>
        <w:t xml:space="preserve">- </w:t>
      </w:r>
      <w:r>
        <w:rPr>
          <w:rtl w:val="true"/>
        </w:rPr>
        <w:t>مدّ ظلّه</w:t>
      </w:r>
      <w:r>
        <w:rPr>
          <w:rtl w:val="true"/>
        </w:rPr>
        <w:t xml:space="preserve">- </w:t>
      </w:r>
      <w:r>
        <w:rPr>
          <w:rtl w:val="true"/>
        </w:rPr>
        <w:t>من عدم معذوریة الغافل التارک للفحص</w:t>
      </w:r>
      <w:bookmarkEnd w:id="4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معذوریّة الغافل و غیر الملتفت؛ إذا کان جاهلا بالحکم و غیر فاحص عنه، و لکنّه کان بحیث لو فحص عن حکم الصلاة یوم الجمعة، لظفر علی حکم الصلاة عند رؤیة الهلال و وجوبها، مستدلّا بأنّ میزان</w:t>
      </w:r>
    </w:p>
    <w:p>
      <w:pPr>
        <w:pStyle w:val="BookText"/>
        <w:rPr/>
      </w:pPr>
      <w:r>
        <w:rPr>
          <w:rFonts w:ascii="IRNazanin" w:hAnsi="IRNazanin" w:eastAsia="IRNazanin"/>
          <w:color w:val="111111"/>
          <w:sz w:val="28"/>
          <w:sz w:val="28"/>
          <w:szCs w:val="28"/>
          <w:rtl w:val="true"/>
          <w:lang w:bidi="fa-IR"/>
        </w:rPr>
        <w:t>فعلیّة الأحکام کون الحکم بالغا فی الکتب المدوّنة، و کان بید الإجراء، کما مرّ تفصیله فی تقسیم الأحکام إلی الإنشائیّة و الفعلیّة</w:t>
      </w:r>
      <w:r>
        <w:rPr>
          <w:rStyle w:val="FootnoteAnchor"/>
          <w:rtl w:val="true"/>
        </w:rPr>
        <w:footnoteReference w:id="457"/>
      </w:r>
      <w:r>
        <w:rPr>
          <w:rFonts w:ascii="IRNazanin" w:hAnsi="IRNazanin" w:eastAsia="IRNazanin"/>
          <w:color w:val="111111"/>
          <w:sz w:val="28"/>
          <w:sz w:val="28"/>
          <w:szCs w:val="28"/>
          <w:rtl w:val="true"/>
          <w:lang w:bidi="fa-IR"/>
        </w:rPr>
        <w:t>، فإذا کانت الأحکام فعلیّة فلا بدّ من العذر، قیاسا لهذه المسألة بتعجیز العبد و أنّه لیس ذلک عذرا، کما أنّه لیس الاضطرار بسوء الاختیار عذرا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فعلیّة الأحکام أمر، و حدیث تنجّزها أمر آخر، و مجرّد کونها فعلیّة غیر کاف، و إلّا ففی موارد الطرق الناهضة علی خلافها یلزم صحّة العقوبة، فما هو السبب الوحید لتنجّز الحکم؛ إمّا الاحتمال غیر المقرون بالمؤمّن حتّی فی مورد العلم الإجمالیّ، أو الاحتمال قبل الفحص و العلم الإجمالیّ، فمع الغفلة لا تجوز العقوبة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المثال المذکور، لا یکون مجرّد العجز و الاضطرار و عدم الطاقة و الجهالة عذرا، فإذا کان بسوء الاختیار، و من غیر باغ و لا عاد، یعدّ عذرا حتّی إذا تعدّی إلی طریق أکل لحم الهرّة، و صادف ضیاع الهرّة فوجدت میّتة، لا یکون معذورا بالنسبة إلی أکل المیتة؛ لأنّه بحسب الواقع یکون باغیا و عادیا بالنسبة إلی ارتکاب أکل تلک المیتة، و قد مرّ وجه فعلیّة الحکم و انصراف دلیل رفع الاضطرار عن العجز الحاصل بسوء الاختیار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لو کانت الجهالة بسوء الاختیار، و بلع الحبوب المورثة لها، مع الالتفات إلیه و احتماله بالنسبة إلی الأحکام، فلا تعدّ عذرا، و یکون دلیل الرفع منصرفا؛ لکونه بحکم الأدلّة الثانویّة، و الواقعیّ الثانویّ الموجود مورده الحکم الفعلیّ حتّی فی صورة شموله و تقیید الواقع؛ لأنّ المولی ربّما یضرب أمثال هذه</w:t>
      </w:r>
      <w:bookmarkStart w:id="451" w:name="pg13177_117899"/>
    </w:p>
    <w:p>
      <w:pPr>
        <w:pStyle w:val="BookText"/>
        <w:rPr/>
      </w:pPr>
      <w:bookmarkEnd w:id="451"/>
      <w:r>
        <w:rPr>
          <w:rFonts w:ascii="IRNazanin" w:hAnsi="IRNazanin" w:eastAsia="IRNazanin"/>
          <w:color w:val="111111"/>
          <w:sz w:val="28"/>
          <w:sz w:val="28"/>
          <w:szCs w:val="28"/>
          <w:rtl w:val="true"/>
          <w:lang w:bidi="fa-IR"/>
        </w:rPr>
        <w:t>القوانین تسهیلا علی العباد، فیکون الملاک موجودا، فاغتنم</w:t>
      </w:r>
      <w:r>
        <w:rPr>
          <w:rFonts w:eastAsia="IRNazanin" w:cs="IRNazanin"/>
          <w:color w:val="111111"/>
          <w:sz w:val="28"/>
          <w:szCs w:val="28"/>
          <w:rtl w:val="true"/>
          <w:lang w:bidi="fa-IR"/>
        </w:rPr>
        <w:t>.</w:t>
      </w:r>
    </w:p>
    <w:p>
      <w:pPr>
        <w:pStyle w:val="Heading6"/>
        <w:numPr>
          <w:ilvl w:val="5"/>
          <w:numId w:val="1"/>
        </w:numPr>
        <w:rPr/>
      </w:pPr>
      <w:bookmarkStart w:id="452" w:name="__RefHeading___Toc763886_3244359995"/>
      <w:bookmarkStart w:id="453" w:name="_Toc168"/>
      <w:bookmarkEnd w:id="452"/>
      <w:r>
        <w:rPr>
          <w:rtl w:val="true"/>
        </w:rPr>
        <w:t>ختام الکلام فی المقام</w:t>
      </w:r>
      <w:r>
        <w:rPr>
          <w:rtl w:val="true"/>
        </w:rPr>
        <w:t xml:space="preserve">: </w:t>
      </w:r>
      <w:r>
        <w:rPr>
          <w:rtl w:val="true"/>
        </w:rPr>
        <w:t>حول استحقاق العقاب علی ترک الفحص و التعلم</w:t>
      </w:r>
      <w:bookmarkEnd w:id="453"/>
    </w:p>
    <w:p>
      <w:pPr>
        <w:pStyle w:val="Heading6"/>
        <w:numPr>
          <w:ilvl w:val="5"/>
          <w:numId w:val="1"/>
        </w:numPr>
        <w:rPr/>
      </w:pPr>
      <w:bookmarkStart w:id="454" w:name="__RefHeading___Toc763888_3244359995"/>
      <w:bookmarkStart w:id="455" w:name="_Toc169"/>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 xml:space="preserve">لا وجه لتوهّم جواز العقوبة علی غیر ترک الواقع، بعد کونه منجّزا إمّا بالعلم أو الاحتمال، و قد مرّ حکم التجرّی </w:t>
      </w:r>
      <w:r>
        <w:rPr>
          <w:rStyle w:val="FootnoteAnchor"/>
          <w:rtl w:val="true"/>
        </w:rPr>
        <w:footnoteReference w:id="460"/>
      </w:r>
      <w:r>
        <w:rPr>
          <w:rFonts w:ascii="IRNazanin" w:hAnsi="IRNazanin" w:eastAsia="IRNazanin"/>
          <w:color w:val="111111"/>
          <w:sz w:val="28"/>
          <w:sz w:val="28"/>
          <w:szCs w:val="28"/>
          <w:rtl w:val="true"/>
          <w:lang w:bidi="fa-IR"/>
        </w:rPr>
        <w:t>، فلو ترک الفحص، و کان لو یفحص یصل إلی دلیل یوافق الواقع، و قد تخلّف عن الواقع، یصحّ العقوبة علی الاحتمال المذکور غیر المقرون بالمؤمّن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الفحص، و کان لو یفحص یصل إلی دلیل علی خلاف الواقع، فلا تصحّ العقوبة إلّا من باب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بوجوب التعلّم نفسیّا، ففی هذه الصورة لیس إلّا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ترک الفحص، و کان لو یفحص یصل إلی دلیل ینتهی إلی مبغوض المولی، فلا شی‌ء زائدا علی التجرّی، و ما فی تقریرات العلّامة النائینیّ رحمه اللّه </w:t>
      </w:r>
      <w:r>
        <w:rPr>
          <w:rStyle w:val="FootnoteAnchor"/>
          <w:rtl w:val="true"/>
        </w:rPr>
        <w:footnoteReference w:id="461"/>
      </w:r>
      <w:r>
        <w:rPr>
          <w:rFonts w:ascii="IRNazanin" w:hAnsi="IRNazanin" w:eastAsia="IRNazanin"/>
          <w:color w:val="111111"/>
          <w:sz w:val="28"/>
          <w:sz w:val="28"/>
          <w:szCs w:val="28"/>
          <w:rtl w:val="true"/>
          <w:lang w:bidi="fa-IR"/>
        </w:rPr>
        <w:t xml:space="preserve">و ینسب إلی الأردبیلیّ و تلمیذه </w:t>
      </w:r>
      <w:r>
        <w:rPr>
          <w:rStyle w:val="FootnoteAnchor"/>
          <w:rtl w:val="true"/>
        </w:rPr>
        <w:footnoteReference w:id="462"/>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غیر راجع إلی محصّل، إمّا مطلقا، أو فی بعض الصور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الفحص و التعلّم لیس واجبا عینیا طریقیّا أو نفسیّا؛ لجواز التقلید، و لیس واجبا نفسیّا کما مرّ</w:t>
      </w:r>
      <w:r>
        <w:rPr>
          <w:rStyle w:val="FootnoteAnchor"/>
          <w:rtl w:val="true"/>
        </w:rPr>
        <w:footnoteReference w:id="463"/>
      </w:r>
      <w:r>
        <w:rPr>
          <w:rFonts w:ascii="IRNazanin" w:hAnsi="IRNazanin" w:eastAsia="IRNazanin"/>
          <w:color w:val="111111"/>
          <w:sz w:val="28"/>
          <w:sz w:val="28"/>
          <w:szCs w:val="28"/>
          <w:rtl w:val="true"/>
          <w:lang w:bidi="fa-IR"/>
        </w:rPr>
        <w:t>، فإذا کان الفحص لازما حسبما مرّ، فهو فی مورد یبتلی به إمّا عملا، أو افتاء، و فی غیر هاتین الصورتین لا تجری البراءة، و لا دلیل وجوب الفحص و التعلّم، فالفحص اللازم یختصّ بمورد یصحّ التمسّک بالبراءات</w:t>
      </w:r>
    </w:p>
    <w:p>
      <w:pPr>
        <w:pStyle w:val="BookText"/>
        <w:rPr/>
      </w:pPr>
      <w:r>
        <w:rPr>
          <w:rFonts w:ascii="IRNazanin" w:hAnsi="IRNazanin" w:eastAsia="IRNazanin"/>
          <w:color w:val="111111"/>
          <w:sz w:val="28"/>
          <w:sz w:val="28"/>
          <w:szCs w:val="28"/>
          <w:rtl w:val="true"/>
          <w:lang w:bidi="fa-IR"/>
        </w:rPr>
        <w:t>الثلاث، فلو لم یکن الحکم مورد الابتلاء لا معنی لاحتمال العقاب المنجّز، کی یقال بوجوب الفحص و التعلّم، و جریان البراءة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تظهر قضیّة ترک الفحص فی مورد الواجب المشروط و الموقّت، سواء کان الواجبان معلومین، و شکّ فی شرطیّة شی‌ء لهما أو حدّ الوقت، أو کان أصل الواجبین غیر معلومین، و لکنّه یعلم أنّه لو کان واجبا یحتمل شرطیّة شی‌ء له؛ بمعنی شرطیّة شی‌ء لمادّته، أو یعلم بأنّ له حدّا و وقتا، فإنّه علی تقدیر العلم بالابتلاء، أو العلم بأصل الواجب المشروط و الموقّت، فمقتضی ما مرّ فی أصل وجوب الفحص </w:t>
      </w:r>
      <w:r>
        <w:rPr>
          <w:rStyle w:val="FootnoteAnchor"/>
          <w:rtl w:val="true"/>
        </w:rPr>
        <w:footnoteReference w:id="464"/>
      </w:r>
      <w:r>
        <w:rPr>
          <w:rFonts w:ascii="IRNazanin" w:hAnsi="IRNazanin" w:eastAsia="IRNazanin"/>
          <w:color w:val="111111"/>
          <w:sz w:val="28"/>
          <w:sz w:val="28"/>
          <w:szCs w:val="28"/>
          <w:rtl w:val="true"/>
          <w:lang w:bidi="fa-IR"/>
        </w:rPr>
        <w:t>، عدم جریان البراءة عن الشرطیّة و حدّ الوقت و قید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الصناعة عدم وجوب الفحص فی صورة ضیق الوقت، کما هو ظاهر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للإشکال؛ و ذلک لأنّه لا یزید علی صورة العجز عن الشرط فی الوقت، فإنّه قبل الوقت لا معنی لوجوبه، و بعده لا معنی لإمکان إیجابه؛ لعجزه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تأخیره بسوء الاختیار، و قلنا بصدق القاعدة فی صورة صعوبة الفحص، فیستحقّ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غیر مسموعة؛ لما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وجه صحّة العقوبة هو منجّزیة الاحتمال </w:t>
      </w:r>
      <w:r>
        <w:rPr>
          <w:rStyle w:val="FootnoteAnchor"/>
          <w:rtl w:val="true"/>
        </w:rPr>
        <w:footnoteReference w:id="466"/>
      </w:r>
      <w:r>
        <w:rPr>
          <w:rFonts w:ascii="IRNazanin" w:hAnsi="IRNazanin" w:eastAsia="IRNazanin"/>
          <w:color w:val="111111"/>
          <w:sz w:val="28"/>
          <w:sz w:val="28"/>
          <w:szCs w:val="28"/>
          <w:rtl w:val="true"/>
          <w:lang w:bidi="fa-IR"/>
        </w:rPr>
        <w:t>، و هو موجود فی الموقّت و المشروط إذا کان یعلم بتحقّقه من ناحیة سائر ما هو الدخیل، و یبتلی به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شاکّا فی تحقّقه فهو یرجع إلی الشکّ فی الابتلاء، و استصحاب عدم الابتلاء لو لم یکن جاریا؛ لعدم الأثر له، و لکن استصحاب عدم تحقّق التکلیف</w:t>
      </w:r>
    </w:p>
    <w:p>
      <w:pPr>
        <w:pStyle w:val="BookText"/>
        <w:rPr/>
      </w:pPr>
      <w:r>
        <w:rPr>
          <w:rFonts w:ascii="IRNazanin" w:hAnsi="IRNazanin" w:eastAsia="IRNazanin"/>
          <w:color w:val="111111"/>
          <w:sz w:val="28"/>
          <w:sz w:val="28"/>
          <w:szCs w:val="28"/>
          <w:rtl w:val="true"/>
          <w:lang w:bidi="fa-IR"/>
        </w:rPr>
        <w:t>المنجّز یکون جاریا، و عندئذ لا یجب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الاستصحاب مطلقا ممنوع؛ لأنّ دیدن العقلاء علی الفحص فی مورد احتمال الابتلاء؛ و لو کانت الحجّة بعد الفحص هی الطریق الواصل إلیه، دون الاحتمال، و یکون الاستصحاب تعبّدا بعدم موضوع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إطالة الکلام حول مقالة الوجوب النفسیّ التهیّئی للتعلّم، أو الوجوب التعلیقیّ المستتبع لوجوب الفحص قبل الوقت، أو غیر ذلک، کما فی موارد فقد الماء فی الوقت، و وجدانه فیما قبله، فهی غیر صحیحة، فالقیاس المنسوب إلی الشیخ فی شبیه المسألة</w:t>
      </w:r>
      <w:r>
        <w:rPr>
          <w:rStyle w:val="FootnoteAnchor"/>
          <w:rtl w:val="true"/>
        </w:rPr>
        <w:footnoteReference w:id="467"/>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العلم بعدم الابتلاء، و اتفاق الابتلاء، مع عدم التمکّن من الفحص، یتعیّن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من الاحتیاط کما هو ظاهر کلامهم، فإن کان تأخیر الفحص مستندا إلی الغفلة المحضة، أو العلم بعدم الابتلاء، فلا یستحقّ، و إن کان مستندا إلی المسامحة و التقصیر فیستحقّ، و إن کان مستندا إلی استبعاد الابتلاء فلا یبعد الاستحقاق، فتأمّل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تجری البراءة عن الشرطیّة و القیدیّة؛ بتوهّم امتناع التکلیف، لما مرّ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یتوقّف إیجاب الشرط و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قبیل الوضوء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إیجاب ذی المقدّمة</w:t>
      </w:r>
      <w:r>
        <w:rPr>
          <w:rStyle w:val="FootnoteAnchor"/>
          <w:rtl w:val="true"/>
        </w:rPr>
        <w:footnoteReference w:id="468"/>
      </w:r>
      <w:r>
        <w:rPr>
          <w:rFonts w:ascii="IRNazanin" w:hAnsi="IRNazanin" w:eastAsia="IRNazanin"/>
          <w:color w:val="111111"/>
          <w:sz w:val="28"/>
          <w:sz w:val="28"/>
          <w:szCs w:val="28"/>
          <w:rtl w:val="true"/>
          <w:lang w:bidi="fa-IR"/>
        </w:rPr>
        <w:t xml:space="preserve">،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صحّة العقوبة فی الواجب المشروط و الموقّت علی الإطلاق، مع أنّه ربّما یعلم بعدم ابتلائه بهما</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فی نهایة المتانة</w:t>
      </w:r>
      <w:r>
        <w:rPr>
          <w:rFonts w:eastAsia="IRNazanin" w:cs="IRNazanin"/>
          <w:color w:val="111111"/>
          <w:sz w:val="28"/>
          <w:szCs w:val="28"/>
          <w:rtl w:val="true"/>
          <w:lang w:bidi="fa-IR"/>
        </w:rPr>
        <w:t>.</w:t>
      </w:r>
      <w:bookmarkStart w:id="456" w:name="pg13177_117902"/>
    </w:p>
    <w:p>
      <w:pPr>
        <w:pStyle w:val="BookText"/>
        <w:rPr/>
      </w:pPr>
      <w:bookmarkEnd w:id="456"/>
      <w:r>
        <w:rPr>
          <w:rFonts w:ascii="IRNazanin" w:hAnsi="IRNazanin" w:eastAsia="IRNazanin"/>
          <w:color w:val="111111"/>
          <w:sz w:val="28"/>
          <w:sz w:val="28"/>
          <w:szCs w:val="28"/>
          <w:rtl w:val="true"/>
          <w:lang w:bidi="fa-IR"/>
        </w:rPr>
        <w:t xml:space="preserve">و فی صورة الشکّ فی الابتلاء، أو الشکّ فی تحقّق المشروط مع احتمال شرطیّة شی‌ء له، و أخّر إلی حدّ الصعوبة بالنسبة إلی الفحص، أو العجز عنه، فإن قلنا بجریان استصحاب عدم الابتلاء، أو عدم تنجّز الواجب المشروط من ناحیة الشرط المحتمل، فلا یستحقّ العقوبة، و جریانه یأتی فی محلّه </w:t>
      </w:r>
      <w:r>
        <w:rPr>
          <w:rStyle w:val="FootnoteAnchor"/>
          <w:rtl w:val="true"/>
        </w:rPr>
        <w:footnoteReference w:id="470"/>
      </w:r>
      <w:r>
        <w:rPr>
          <w:rFonts w:ascii="IRNazanin" w:hAnsi="IRNazanin" w:eastAsia="IRNazanin"/>
          <w:color w:val="111111"/>
          <w:sz w:val="28"/>
          <w:sz w:val="28"/>
          <w:szCs w:val="28"/>
          <w:rtl w:val="true"/>
          <w:lang w:bidi="fa-IR"/>
        </w:rPr>
        <w:t>، و الحق عندی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بعض المعاصرین مع ذهابه إلی أنّه أصل کسائر الاصول غیر الحجّة مثبتها، ذهب إلی جریانه هنا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تظهر مواضع ضعف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ممّا لا یکاد ینقضی التعجّب منه هو أنّ العلّامة الخراسانیّ رحمه اللّه یعتقد کفایة استحقاق العقوبة من ناحیة ترک التعلّم لو قلنا بوجوبه النفسیّ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موارد ترک التعلّم المذکور المنتهی إلی ترک الواقع، یلزم تعدّد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التکلیف بسبب الغفلة موجود؛ حسبما تحرّر فی محلّه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763890_3244359995"/>
      <w:bookmarkStart w:id="458" w:name="_Toc170"/>
      <w:bookmarkEnd w:id="457"/>
      <w:r>
        <w:rPr>
          <w:rtl w:val="true"/>
        </w:rPr>
        <w:t>إعضال</w:t>
      </w:r>
      <w:bookmarkEnd w:id="4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ترک الفحص و تخلّف عن الواقع، و کان بحیث لو فحص لوصل إلی طریق ینتهی أیضا إلی خلاف الواقع، أو مبغوض المولی، ففی الصورة الاولی یستحقّ العقوبة، دون الثانیة، مع أنّ له أن یتمسّک بالطریق الموجود فی الکتب الضابطة للأخبار؛ لأنّه کیف یعدّ وجود الطریق فی الکتاب وصولا؛ علی وجه لا تجری البراءة مع الاحتمال قبل الفحص فی الصورة الاولی، و لا یعدّ وجوده فی الکتب</w:t>
      </w:r>
      <w:bookmarkStart w:id="459" w:name="pg13177_117903"/>
    </w:p>
    <w:p>
      <w:pPr>
        <w:pStyle w:val="BookText"/>
        <w:rPr/>
      </w:pPr>
      <w:bookmarkEnd w:id="459"/>
      <w:r>
        <w:rPr>
          <w:rFonts w:ascii="IRNazanin" w:hAnsi="IRNazanin" w:eastAsia="IRNazanin"/>
          <w:color w:val="111111"/>
          <w:sz w:val="28"/>
          <w:sz w:val="28"/>
          <w:szCs w:val="28"/>
          <w:rtl w:val="true"/>
          <w:lang w:bidi="fa-IR"/>
        </w:rPr>
        <w:t>و الدفاتر وصولا یصلح له الاحتجاج به، مع أنّ المیزان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الطریق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للمولی الحقیقیّ و بیانا مانعا من جریان البراءة، و لا یکون فی الفرض الثانی حجّة للعبد عند السؤال عن تخلّفه عن الواقع حین ترک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حلّ الإعضال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قطع حجّیة البراءة بنفس الوجود؛ لأنّه لا یعتبر أزید منه فی ذلک عند العقل و حسب دیدن العقلاء، و صحّة الاعتذار بالطریق منوط بالاستناد عند التخلّف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التفصیل بین فرض عدم وصوله الشخصیّ و یأسه شخصا، لیکون الحکم الفعلیّ موجودا فی الکتب الواصلة، و بین عدم وصول جمیع المجتهدین؛ لفقد الروایة فی أوّل نشر العلم، فإنّه فی الفرض الأوّل یستحقّ العقوبة؛ لأنّ الحکم فعلیّ، و الاحتمال منجّز، و العذر منقطع، بخلاف الصورة الثانیة، فإنّ فعلیّة القانون ممنوعة؛ لأنّ کونه فی مخازن اللّه تعالی لیس مناط الفعلیّة، و کونه فی ابتداء النشر بید الإجراء لا یکفی لکون الاحتمال منجّزا؛ لعدم فعلیّة الأحکام القانونیّة أیضا، فلیتدبّر جیّدا</w:t>
      </w:r>
      <w:r>
        <w:rPr>
          <w:rFonts w:eastAsia="IRNazanin" w:cs="IRNazanin"/>
          <w:color w:val="111111"/>
          <w:sz w:val="28"/>
          <w:szCs w:val="28"/>
          <w:rtl w:val="true"/>
          <w:lang w:bidi="fa-IR"/>
        </w:rPr>
        <w:t>.</w:t>
      </w:r>
    </w:p>
    <w:p>
      <w:pPr>
        <w:pStyle w:val="Heading6"/>
        <w:numPr>
          <w:ilvl w:val="5"/>
          <w:numId w:val="1"/>
        </w:numPr>
        <w:rPr/>
      </w:pPr>
      <w:bookmarkStart w:id="460" w:name="__RefHeading___Toc763892_3244359995"/>
      <w:bookmarkStart w:id="461" w:name="_Toc171"/>
      <w:bookmarkEnd w:id="460"/>
      <w:r>
        <w:rPr>
          <w:rtl w:val="true"/>
        </w:rPr>
        <w:t>تحقیق و تشحیذ</w:t>
      </w:r>
      <w:r>
        <w:rPr>
          <w:rtl w:val="true"/>
        </w:rPr>
        <w:t xml:space="preserve">: </w:t>
      </w:r>
      <w:r>
        <w:rPr>
          <w:rtl w:val="true"/>
        </w:rPr>
        <w:t>فی أنّ الحجة عند الظفر بالطریق هی احتمال التکلیف أو نفس الطریق</w:t>
      </w:r>
      <w:bookmarkEnd w:id="461"/>
    </w:p>
    <w:p>
      <w:pPr>
        <w:pStyle w:val="BookText"/>
        <w:rPr/>
      </w:pPr>
      <w:r>
        <w:rPr>
          <w:rFonts w:ascii="IRNazanin" w:hAnsi="IRNazanin" w:eastAsia="IRNazanin"/>
          <w:color w:val="111111"/>
          <w:sz w:val="28"/>
          <w:sz w:val="28"/>
          <w:szCs w:val="28"/>
          <w:rtl w:val="true"/>
          <w:lang w:bidi="fa-IR"/>
        </w:rPr>
        <w:t>یستحقّ تارک الفحص العقوبة علی ترک الواقع لأجل الاحتمال، فلو فحص و ظفر علی الطریق الواصل و تخلّف، فهل حجّة المولی هی الاحتمال، أو الطریق؟</w:t>
      </w:r>
    </w:p>
    <w:p>
      <w:pPr>
        <w:pStyle w:val="BookText"/>
        <w:rPr/>
      </w:pPr>
      <w:r>
        <w:rPr>
          <w:rFonts w:ascii="IRNazanin" w:hAnsi="IRNazanin" w:eastAsia="IRNazanin"/>
          <w:color w:val="111111"/>
          <w:sz w:val="28"/>
          <w:sz w:val="28"/>
          <w:szCs w:val="28"/>
          <w:rtl w:val="true"/>
          <w:lang w:bidi="fa-IR"/>
        </w:rPr>
        <w:t>فربّما یلزم من مقالتهم فی بعض المواقف امتناع تنجّز المتنجّز، فلا یعقل أن یکون الطریق حجّة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کلام العلّامة الأصفهانیّ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الاحتمال منجّز المنجّز الموجود فی</w:t>
      </w:r>
      <w:bookmarkStart w:id="462" w:name="pg13177_117904"/>
    </w:p>
    <w:p>
      <w:pPr>
        <w:pStyle w:val="BookText"/>
        <w:rPr/>
      </w:pPr>
      <w:bookmarkEnd w:id="462"/>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الظفر یکون العلم بالطریق منجّز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الاحتمال منجّز الواقع، و لو ترک الفحص یستحقّ العقوبة لأجله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وجود الطریق لا یکون الاحتمال منجّزا؛ لأنّ الشارع عمل بوظیفة، و هی الإیصال بالنحو المتعارف، فما فی الکتاب حجّة علی الواقع و الاحتمال هادم لحجّة العبد و هو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تکثّر المنجّزات علی شی‌ء واحد جائز، کما مرّ فی محلّه </w:t>
      </w:r>
      <w:r>
        <w:rPr>
          <w:rStyle w:val="FootnoteAnchor"/>
          <w:rtl w:val="true"/>
        </w:rPr>
        <w:footnoteReference w:id="476"/>
      </w:r>
      <w:r>
        <w:rPr>
          <w:rFonts w:ascii="IRNazanin" w:hAnsi="IRNazanin" w:eastAsia="IRNazanin"/>
          <w:color w:val="111111"/>
          <w:sz w:val="28"/>
          <w:sz w:val="28"/>
          <w:szCs w:val="28"/>
          <w:rtl w:val="true"/>
          <w:lang w:bidi="fa-IR"/>
        </w:rPr>
        <w:t>، 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المتنجّز لا یتنجّز ثانیا</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من الأغلاط جدّا، و قد فصّلنا الکلام حوله فی بحث ملاقی أطراف العلم الإجمالیّ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3" w:name="__RefHeading___Toc763894_3244359995"/>
      <w:bookmarkStart w:id="464" w:name="_Toc172"/>
      <w:bookmarkEnd w:id="463"/>
      <w:r>
        <w:rPr>
          <w:rtl w:val="true"/>
        </w:rPr>
        <w:t>إعادة و إفادة</w:t>
      </w:r>
      <w:bookmarkEnd w:id="464"/>
    </w:p>
    <w:p>
      <w:pPr>
        <w:pStyle w:val="BookText"/>
        <w:rPr/>
      </w:pPr>
      <w:r>
        <w:rPr>
          <w:rFonts w:ascii="IRNazanin" w:hAnsi="IRNazanin" w:eastAsia="IRNazanin"/>
          <w:color w:val="111111"/>
          <w:sz w:val="28"/>
          <w:sz w:val="28"/>
          <w:szCs w:val="28"/>
          <w:rtl w:val="true"/>
          <w:lang w:bidi="fa-IR"/>
        </w:rPr>
        <w:t>المسألة تحتاج إلی الأمثلة، و هی فی الموقّت و المشروط کصلاة الکسوف و الخسوف و الزلزلة، فلو احتمل ابتلاءه بها، و لا یدری کیفیّتها، و یکون المفروض عدم حجّیة الاحتیاط کما مرّ، أو عدم إمکانه إذا اتفق الابتلاء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فإیجاب التعلّم و الفحص من ناحیة قاعدة الامتناع بالاختیار لا ینافی الاختیار، اشتباه؛ لأنّه قبل الکسوف لا فعلیّة للحکم، و هکذا قبل الزلزلة، و بعدهما لا حکم فعلیّ؛ لعجزه، فکیف تجری القاعدة بعد عدم صورة لفرض فعلیّة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ناحیة الواجب المعلّق؛ لأنّ مجرّد تصوّر الوجوب المعلّق لا یلزم کونه واجبا معلّقا إثباتا، کی یجب قبل الوقت و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ناحیة المقدّمات المفوّتة؛ لأنّه یتمّ علی تقدیر فعلیّة الحکم فی ظرفه، لیمکن إیجابها و لو کانت مقدّمة وجودیّة، فضلا عن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من ناحیة إمکان إیجاب المقدّمة العلمیّة قبل الوقت؛ لأنّ المحرّر مرارا عدم وجوب التعلّم و الفحص شرعا مقدّمة، و لا نفسیّا؛ لعدم الدلیل علیه و إن کان یمکن ذلک؛ ضرورة أنّ حدیث ترشّح الإرادة المقدّمیة عن الإرادة النفسیّة من الأغلاط؛ فإنّ لکلّ من البعث و الإیجاب و الإرادة مبادئ خاصّة، و إنّما الإرادة النفسیّة من مبادئ الإرادة المقدّمیة،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من جهة رجوع جمیع الواجبات المشروطة إلی الواجبات المقدّمیة لبّا، فإنّ المدار علی مرحلة الإثبات دون اللبّ، کما هو مختارنا، و فصّلناه فی المجلّد الأوّل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وجه درک العقل لزوم التعلّم و الفحص قبل الموقت و المشروط، هو الوجه لدرکه فی أصل لزوم الفحص فی الواجبات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لا یدرک ذلک فیها أیضا، و ذلک فی صورة العلم بعدم الابتلاء</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التمسّک باستصحاب عدم الابتلاء، أو عدم تنجّز التکلیف، أو عدم وجوب ما یحتمل وجوبه قبل الفحص، أو عدم تحقّق الکسوف و الخسوف و الزلزلة، فلا یصحّ و إن کان یمکن تصحیحه حسبما هو المختار فی حقیقة الاستصحاب </w:t>
      </w:r>
      <w:r>
        <w:rPr>
          <w:rStyle w:val="FootnoteAnchor"/>
          <w:rtl w:val="true"/>
        </w:rPr>
        <w:footnoteReference w:id="48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bookmarkStart w:id="465" w:name="pg13177_117906"/>
    </w:p>
    <w:p>
      <w:pPr>
        <w:pStyle w:val="Heading6"/>
        <w:numPr>
          <w:ilvl w:val="5"/>
          <w:numId w:val="1"/>
        </w:numPr>
        <w:rPr/>
      </w:pPr>
      <w:bookmarkStart w:id="466" w:name="__RefHeading___Toc763896_3244359995"/>
      <w:bookmarkStart w:id="467" w:name="_Toc173"/>
      <w:bookmarkEnd w:id="465"/>
      <w:bookmarkEnd w:id="466"/>
      <w:r>
        <w:rPr>
          <w:rtl w:val="true"/>
        </w:rPr>
        <w:t>توجیه الفقهاء العظام إلی أمر هام فی اتخاذهم الحجج</w:t>
      </w:r>
      <w:bookmarkEnd w:id="467"/>
    </w:p>
    <w:p>
      <w:pPr>
        <w:pStyle w:val="BookText"/>
        <w:rPr/>
      </w:pPr>
      <w:r>
        <w:rPr>
          <w:rFonts w:ascii="IRNazanin" w:hAnsi="IRNazanin" w:eastAsia="IRNazanin"/>
          <w:color w:val="111111"/>
          <w:sz w:val="28"/>
          <w:sz w:val="28"/>
          <w:szCs w:val="28"/>
          <w:rtl w:val="true"/>
          <w:lang w:bidi="fa-IR"/>
        </w:rPr>
        <w:t>اتخاذ الحجّة العقلائیّة بعد الفحص و الرجوع للأدلّة بعد اضطرابها، و کثرة المعارضات، و الحاجة إلی التدقیق و الدراسة، لا بدّ و أن یکون علی وجه دیدن العقلاء، و دأب أرباب الحقوق، و العارفین بقوانین عرفیّة، و أصحاب النظر و الفکرة فی المسائل الاجتماعیّة، و غیرهما من بحوث النفوس الراجعة إلی الطبابة و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تعارف فی هذه الأعصار اجتنابهم عن سلوک الطرق العلمیّة، و اتخاذهم سبل العلوم العملیّة علی سبیل الوحدة و الانزواء، و علی وجه متعارف بین الفقهاء و العلماء؛ بحیث لا یعدّون مسلکهم صحیحا و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کما أنّهم یراجعون فی فهم المسائل العلمیّة العملیّة رفقاءهم و الخبراء، و إلقاء نظریّاتهم فی المحاضرات، کی یتوجّهوا إلی جهات الضعف فی مختاراتهم، و لا یکتفون بمطالعة الکتب القدیمة و الآراء السابقة، و لا بعرض أفکارهم علی المحصّلین الضعفاء، بل ربّما یکتبون إلی معاصریهم لفهم الحقّ، أو یلقون آراءهم علی أهل الاطلاع و الفهم، کذلک یلزم علینا التجنّب عن هذا الدأب و الدیدن و الرجوع إلی الأخبار و الکتب فقط؛ بمراجعة أصحاب الفکر و أرباب الفنّ، حتّی یتوجّه إلی ما هو المرام للمولی فی مسألة کذا، و ذاک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کثرة الأخطاء فی الفتاوی، و کثرة العود عنها بتذکر صدیقه المتخصّص، فالتطرّق الوحید فی زاویة بیته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بمراجعة کتب أهل الخبرة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ظاهرا فی اتخاذ الحجّة، و لا سیّما بعد قصور الأدلّة الناهضة علی حجّیة رأی أصحاب الفتیا و نظریّاتهم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عند الشکّ فی الحجّیة یحکم بعدمها حتّی بالنسبة إلی نفسه، فما</w:t>
      </w:r>
      <w:bookmarkStart w:id="468" w:name="pg13177_117907"/>
    </w:p>
    <w:p>
      <w:pPr>
        <w:pStyle w:val="BookText"/>
        <w:rPr/>
      </w:pPr>
      <w:bookmarkEnd w:id="468"/>
      <w:r>
        <w:rPr>
          <w:rFonts w:ascii="IRNazanin" w:hAnsi="IRNazanin" w:eastAsia="IRNazanin"/>
          <w:color w:val="111111"/>
          <w:sz w:val="28"/>
          <w:sz w:val="28"/>
          <w:szCs w:val="28"/>
          <w:rtl w:val="true"/>
          <w:lang w:bidi="fa-IR"/>
        </w:rPr>
        <w:t>تعارف فی هذه العصور و الأمصار بین علماء العلوم القدیمة، خروج عن دیدن العقلاء و دأب الفضلاء فی العلوم الجدیدة، و فی فهم القانون الباطل، فنحن کأنّه باطلون من جهة التطرّق، و هم علی باطل یجحدون، و اللّه هو الموفّق المعین، و تمام الکلام فی مباحث التقلید و الاجتهاد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9" w:name="__RefHeading___Toc763898_3244359995"/>
      <w:bookmarkStart w:id="470" w:name="_Toc174"/>
      <w:bookmarkEnd w:id="469"/>
      <w:r>
        <w:rPr>
          <w:rtl w:val="true"/>
        </w:rPr>
        <w:t>خاتمة الختام فی إعضال فی المقام</w:t>
      </w:r>
      <w:r>
        <w:rPr>
          <w:rtl w:val="true"/>
        </w:rPr>
        <w:t xml:space="preserve">: </w:t>
      </w:r>
      <w:r>
        <w:rPr>
          <w:rtl w:val="true"/>
        </w:rPr>
        <w:t>حول مشکلة صحّة عمل الجاهل فی موارد الجهر و القصر</w:t>
      </w:r>
      <w:bookmarkEnd w:id="470"/>
    </w:p>
    <w:p>
      <w:pPr>
        <w:pStyle w:val="BookText"/>
        <w:rPr/>
      </w:pPr>
      <w:r>
        <w:rPr>
          <w:rFonts w:ascii="IRNazanin" w:hAnsi="IRNazanin" w:eastAsia="IRNazanin"/>
          <w:color w:val="111111"/>
          <w:sz w:val="28"/>
          <w:sz w:val="28"/>
          <w:szCs w:val="28"/>
          <w:rtl w:val="true"/>
          <w:lang w:bidi="fa-IR"/>
        </w:rPr>
        <w:t xml:space="preserve">قد اشتهر صحّة من أجهر فی موقف الخفت، أو أخفت فی موضع الجهر، و أتمّ فی موضع القصر، و بالعکس علی وجه، أو صام جهلا بالحکم فی السفر، علی ما قیل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تحرّر المعضلة من أجل الدور</w:t>
      </w:r>
      <w:r>
        <w:rPr>
          <w:rStyle w:val="FootnoteAnchor"/>
          <w:rtl w:val="true"/>
        </w:rPr>
        <w:footnoteReference w:id="484"/>
      </w:r>
      <w:r>
        <w:rPr>
          <w:rFonts w:ascii="IRNazanin" w:hAnsi="IRNazanin" w:eastAsia="IRNazanin"/>
          <w:color w:val="111111"/>
          <w:sz w:val="28"/>
          <w:sz w:val="28"/>
          <w:szCs w:val="28"/>
          <w:rtl w:val="true"/>
          <w:lang w:bidi="fa-IR"/>
        </w:rPr>
        <w:t xml:space="preserve">، و قد مضی وجه دفعه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تحرّر من ناحیة الإجماع علی عدم صحّة عمل الجاهل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مضافا إلی منعه، مخصوص بالنصوص</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فالإعضال من جهة ذهابهم إلی صحّة عمله، مع استحقاقه للعقوبة؛ ضرورة أنّ معنی 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خارجیّة المأمور به علی وجه تنتزع عنه الصحّة، فعندئذ لا معنی للاستحقاق، و إذا لم یکن کذلک فهو باطل یجب علیه الإعادة أو القضاء، أو باطل و تستحقّ علیه العقوبة، و لا إعادة علیه و لا قضاء، کما فی</w:t>
      </w:r>
    </w:p>
    <w:p>
      <w:pPr>
        <w:pStyle w:val="BookText"/>
        <w:rPr/>
      </w:pPr>
      <w:r>
        <w:rPr>
          <w:rFonts w:ascii="IRNazanin" w:hAnsi="IRNazanin" w:eastAsia="IRNazanin"/>
          <w:color w:val="111111"/>
          <w:sz w:val="28"/>
          <w:sz w:val="28"/>
          <w:szCs w:val="28"/>
          <w:rtl w:val="true"/>
          <w:lang w:bidi="fa-IR"/>
        </w:rPr>
        <w:t>موارد مذکورة فی الفقه، فالجمع بین الصحّة و استحقاق العقاب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أن یقال فی مورد الجهالة بالحکم الوضعیّ فی شرطیّة القبلة بالنسبة إلی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یحلّ اللحم، و لا یجوز تبذیره و إسرافه، و یستحقّ العقوبة علی صرفه و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ما نحن فیه بالاضطرار العمدیّ؛ لأنّ النسبة بین تلک الأدلّة و الأدلّة الأوّلیة عموم من وجه، کما مرّ تفصیله فی الجمع بین الحکم الواقعیّ و الظاهریّ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تصدّی جمع من الأجلّاء لحلّ الإشکال من جهة أنّ الإخلال الجهلیّ کالعمدیّ، فإنّه یوجب استیفاء المصلحة علی وجه غیر تامّ، فیکون لازمه تفویت المصلحة غیر القابلة للاستیفاء علی المولی، مع أنّه غیر معذور، و لازمه صحّة العمل؛ إمّا بمعنی موافقة الأمر الثانویّ الطولیّ الترتّبی، کما عن العلّامة کاشف الغطاء</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بمعنی الأمر الانحلالیّ الطولیّ؛ لطولیّة المطلوب، کما عن العلّامة الأراکیّ رحمه اللّه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بمعنی أنّ الصحّة لا تحتاج إلی الأمر؛ لکفایة مطابقته للمطلوب،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لموافقة الأوامر الضمنیّة النفسیّة الهادمة لموضوع الأمر الضمنیّ بالأکثر، کما هو الأقرب علی القول بتلک الأوامر الصغیرة، الباطلة عندنا کما عرفت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فالاستحقاق لأجل تفویت المصلحة، لا لأجل الأمر الغیریّ، أو لتعجیز المولی، أو تعجیز نفسه عن الاستیفاء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لأجل ترک التعلّم،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من قصور الأدلّة علی وجوبه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محلّ الکلام؛ لأنّهم یقولون باستحقاقه العقوبة علی الإخلال بالواجب، نظیر قول العلّامة النائینیّ رحمه اللّه و بعض آخر من إنکار الاستحقاق أو صحّة العمل مثلا</w:t>
      </w:r>
      <w:r>
        <w:rPr>
          <w:rStyle w:val="FootnoteAnchor"/>
          <w:rtl w:val="true"/>
        </w:rPr>
        <w:footnoteReference w:id="491"/>
      </w:r>
      <w:r>
        <w:rPr>
          <w:rFonts w:ascii="IRNazanin" w:hAnsi="IRNazanin" w:eastAsia="IRNazanin"/>
          <w:color w:val="111111"/>
          <w:sz w:val="28"/>
          <w:sz w:val="28"/>
          <w:szCs w:val="28"/>
          <w:rtl w:val="true"/>
          <w:lang w:bidi="fa-IR"/>
        </w:rPr>
        <w:t>، فإنّه خضوع فی مقابل الإعضال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العمل </w:t>
      </w:r>
      <w:r>
        <w:rPr>
          <w:rStyle w:val="FootnoteAnchor"/>
          <w:rtl w:val="true"/>
        </w:rPr>
        <w:footnoteReference w:id="492"/>
      </w:r>
      <w:r>
        <w:rPr>
          <w:rFonts w:ascii="IRNazanin" w:hAnsi="IRNazanin" w:eastAsia="IRNazanin"/>
          <w:color w:val="111111"/>
          <w:sz w:val="28"/>
          <w:sz w:val="28"/>
          <w:szCs w:val="28"/>
          <w:rtl w:val="true"/>
          <w:lang w:bidi="fa-IR"/>
        </w:rPr>
        <w:t>، غیر تامّ؛ لاحتیاجها إلی الأمر، و المفروض أنّ المأمور به هو التامّ، و کفایة الناقص و لو لم یکن مورد الأمر بلا دلیل؛ فإنّ مقتضی أخبار المسألة أنّ ما أتی به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إنکار الاستحقاق لأجل فقد الإجماع، أو لعدم کون المسألة شرعیّة، غیر تامّ؛ لأنّ فقد الإجماع و إن کان یمکن الالتزام به، و لکن العقل و العقلاء بناؤهم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 المسألة شرعیّة، فهو و إن کان کذلک، و لکن یرجع إلی حکم شرعیّ، و هذا کاف لکشف الإجماع منه، کما لو ورد فی النصّ استحقاق المکلّفین للعقوبة علی ترک التعلّم، فإنّه یعلم منه أنّ التعلّم واجب، أو ترکه حرام مثلا، فالإجماع هنا یکشف عن وجود الأمر الشرعیّ، و عصیانه و الطغیان فی مقابله بلا عذر موجب للعقاب، و هو عقلائیّ، و هو الجهل عن تقصیر، کما هو الظاهر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الثانوی الطولیّ الترتّبی و إن انحلّت به المشکلة، إلّا أنّ الترتّب مستحیل، و صغری الترتّب غیر ممنوعة،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مورد وجود الأمرین المطلقین، أو قلنا هو فی صورة حصول الأمر بعصیان الأمر الأوّل، سواء کان إطلاق</w:t>
      </w:r>
      <w:bookmarkStart w:id="471" w:name="pg13177_117910"/>
    </w:p>
    <w:p>
      <w:pPr>
        <w:pStyle w:val="BookText"/>
        <w:rPr/>
      </w:pPr>
      <w:bookmarkEnd w:id="471"/>
      <w:r>
        <w:rPr>
          <w:rFonts w:ascii="IRNazanin" w:hAnsi="IRNazanin" w:eastAsia="IRNazanin"/>
          <w:color w:val="111111"/>
          <w:sz w:val="28"/>
          <w:sz w:val="28"/>
          <w:szCs w:val="28"/>
          <w:rtl w:val="true"/>
          <w:lang w:bidi="fa-IR"/>
        </w:rPr>
        <w:t xml:space="preserve">قبله، أم لم یکن، فما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الطولیّ بتعدّد المطلوب، فلازمه وجود الأمر الثانی فی عرض الأمر الأوّل، و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امتناع تعلّق الأمرین التأسیسیّین بالمطلق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الجهر شرطا بالنسبة، و المفروض أنّه شرط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الامتثالات و العصیانات عند ترک الصلاة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الثانی بعد عصیان الأمر الأوّل من غیر ترتّب، فلازمه تحقّق الصلاة أوّلا، ثمّ الأمر بها و لو بالنسبة إلی تکبیرة الافتتاح</w:t>
      </w:r>
      <w:r>
        <w:rPr>
          <w:rFonts w:eastAsia="IRNazanin" w:cs="IRNazanin"/>
          <w:color w:val="111111"/>
          <w:sz w:val="28"/>
          <w:szCs w:val="28"/>
          <w:rtl w:val="true"/>
          <w:lang w:bidi="fa-IR"/>
        </w:rPr>
        <w:t>.</w:t>
      </w:r>
    </w:p>
    <w:p>
      <w:pPr>
        <w:pStyle w:val="Heading6"/>
        <w:numPr>
          <w:ilvl w:val="5"/>
          <w:numId w:val="1"/>
        </w:numPr>
        <w:rPr/>
      </w:pPr>
      <w:bookmarkStart w:id="472" w:name="__RefHeading___Toc763900_3244359995"/>
      <w:bookmarkStart w:id="473" w:name="_Toc175"/>
      <w:bookmarkEnd w:id="472"/>
      <w:r>
        <w:rPr>
          <w:rtl w:val="true"/>
        </w:rPr>
        <w:t>تکمیل منّا لحلّ المشکلة السابقة</w:t>
      </w:r>
      <w:bookmarkEnd w:id="473"/>
    </w:p>
    <w:p>
      <w:pPr>
        <w:pStyle w:val="BookText"/>
        <w:rPr/>
      </w:pPr>
      <w:r>
        <w:rPr>
          <w:rFonts w:ascii="IRNazanin" w:hAnsi="IRNazanin" w:eastAsia="IRNazanin"/>
          <w:color w:val="111111"/>
          <w:sz w:val="28"/>
          <w:sz w:val="28"/>
          <w:szCs w:val="28"/>
          <w:rtl w:val="true"/>
          <w:lang w:bidi="fa-IR"/>
        </w:rPr>
        <w:t>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القواعد فی موارد العجز عن التامّ وجوب الناقص </w:t>
      </w:r>
      <w:r>
        <w:rPr>
          <w:rStyle w:val="FootnoteAnchor"/>
          <w:rtl w:val="true"/>
        </w:rPr>
        <w:footnoteReference w:id="493"/>
      </w:r>
      <w:r>
        <w:rPr>
          <w:rFonts w:ascii="IRNazanin" w:hAnsi="IRNazanin" w:eastAsia="IRNazanin"/>
          <w:color w:val="111111"/>
          <w:sz w:val="28"/>
          <w:sz w:val="28"/>
          <w:szCs w:val="28"/>
          <w:rtl w:val="true"/>
          <w:lang w:bidi="fa-IR"/>
        </w:rPr>
        <w:t>نظرا إلی الانحلال فی دلیل الصلاة بعد صدق الطبیعة المشکّکة العرفیّة الاعتباریّة علی المراتب المختلفة، إلّا أنّ الانحلال بحسب الحاجة و الافتقار العرفیّ، فلو باع زید داره فالبیع واحد، و لو جمع بین الأشیاء المختلفة، و جمع فی صیغة البیع، یکون واحدا باعتبار، و ینحلّ حسب المورد إلی البیوع اللازمة و الفاسدة و الخیاریّة باعتبار آخر، کما تحرّر فی الفقه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Style w:val="FootnoteAnchor"/>
          <w:rtl w:val="true"/>
        </w:rPr>
        <w:footnoteReference w:id="494"/>
      </w:r>
      <w:r>
        <w:rPr>
          <w:rFonts w:ascii="IRNazanin" w:hAnsi="IRNazanin" w:eastAsia="IRNazanin"/>
          <w:color w:val="111111"/>
          <w:sz w:val="28"/>
          <w:sz w:val="28"/>
          <w:szCs w:val="28"/>
          <w:rtl w:val="true"/>
          <w:lang w:bidi="fa-IR"/>
        </w:rPr>
        <w:t xml:space="preserve">بحسب الطبع ینحلّ إلی کلّ مرتبة یصدق علیها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 نعلم من الخارج أنّه لا أمر بین الطلوعین إلّا واحد إذا کان قادرا علی مجموع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عاجزا عن بعض منها، و کان الباقی صلاة، یجب عندئذ؛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لا نعلم من الخارج شیئا، و المفروض فقد الإطلاق الحاکم علی الجزئیّة بالنسبة إلی الجزء المعجوز عنه؛ علی وجه یقدّم دلیله علی هذا الأمر الثانی، فعندئذ الجاهل المرکّب المقصّر، أو الملتفت المقصّر الآتی منه قصد القربة، إذا کان تارکا لأصل الصلاة، فلا ینحلّ أمر الکتاب إلی الکثیر کما فی صورة القدرة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جاهلا بقسمیه، فالمتنجّز علیه أمر بالنسبة إلی التامّ، و أمر بالنسبة إلی المقدار المعلوم فی عرض واحد، من غیر النظر إلی وحدة المطلوب أو تعدّده، إلّا أنّ نسبة متعلّق الأمرین عموم و خصوص مطلق،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بإیراد القید فی المتعلّقین، فیکون أمر متعلّق بصلاة ذات عشرة أجزاء، و بصلاة ذات تسعة أجزاء، کما التزم بعضهم فی باب الأسباب و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هناک غیر صحیح؛ لأنّ المفروض عدم وجود القرینة، و هنا قرینة علی الانحلال المذکور، فإنّ الأمر بصلاة مع الطهور المائیّ، غیر الأمر بالصلاة مع الطهور الترابیّ؛ و ذلک لعصیان الأوّل بإراقة الماء، و یستحقّ العقوبة لأجله، و تجب علیه الصلاة الترابیّة لأمر آخر متوجّه إلیه، و إذا عصی یستحقّ عقوبة اخری، فعلی هذا یتوجّه إلی الجاهل أمر بالصلاة المتقیّدة بتسعة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القیود الواردة فی متعلّقات الأوامر العبادیّة مثلا، بین ما هی شرعیّة، فلا بدّ من رعایتها، کالظهریّة و العصریّة، و بین ما لا تکون إلّا عقلیّة، کقضاء صوم الیوم الأوّل و الثانی و الثالث، فإنّه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المشهور و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قید؛ لتعدّد الأمر بالصوم، مع أنّه غیر متلوّن بلون الأوّلیة و الثانویّة، إلّا أنّه لا یعتبر رعایتها فی مقام الامتثال؛ لأنّ المنظور تکثیر الأمر، لأنّ تشخّصه به دون مصلحة المتعلّق، کالصلاة المتنوّعة بالظهریّة و العصریّة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یکون امتثال الأمر الثانی موجبا لسقوط الأمر الأوّل، إلّا أنّه</w:t>
      </w:r>
      <w:bookmarkStart w:id="474" w:name="pg13177_117912"/>
    </w:p>
    <w:p>
      <w:pPr>
        <w:pStyle w:val="BookText"/>
        <w:rPr/>
      </w:pPr>
      <w:bookmarkEnd w:id="474"/>
      <w:r>
        <w:rPr>
          <w:rFonts w:ascii="IRNazanin" w:hAnsi="IRNazanin" w:eastAsia="IRNazanin"/>
          <w:color w:val="111111"/>
          <w:sz w:val="28"/>
          <w:sz w:val="28"/>
          <w:szCs w:val="28"/>
          <w:rtl w:val="true"/>
          <w:lang w:bidi="fa-IR"/>
        </w:rPr>
        <w:t>إذا أتی بالناقص فهو امتثال بالقیاس إلی الأمر الثانی، و عصیان بالنسبة إلی الأمر الأوّل، فیستحقّ العقوبة؛ لأنّ متعلّق کلّ من الأمرین صلاة، و هی صادقة علی المأتیّ به، و القید الوارد علی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قید التامّ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مورد الأمر شرعا؛ علی وجه یعتبر تعدّد الامتثال و لا یتداخل، بل یتداخل، إلّا أنّ التداخل یکون لأجل أنّ الکامل بعنوانه لیس مورد الأمر، و لکنّه بواقعه مورد الأمر،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یباینه فی محطّ 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الأمر، فإذا أتی بالناقص یعصی أمر الکامل؛ لانتفاء موضوعه، فإنّ عدم وجوب الصلاتین بین الطلوعین قطعیّ بالضرورة، و یمتثل الأمر الثانی، و لا وجه لتوهّم الأوامر حسب مراتب الصلاة؛ لما عرفت فی أوّل البحث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قطعیّة شرطیّة الجهر لصلاة الصبح للجاهل المقصّر، و فرضنا استحقاقه، و صحّة صلاته إذا أتی بها إخفاتا، و کان الشرط شرطا علی التعیین فی حال الجهل و العلم، و أنّ العبادة بلا أمر لیست بعبادة و لو لأجل کشف مشروعیّتها، یمکن حلّ الإعضال العقلیّ بعد التدبّر فیما أوضحناه، فلیلاحظ جیّدا</w:t>
      </w:r>
      <w:r>
        <w:rPr>
          <w:rFonts w:eastAsia="IRNazanin" w:cs="IRNazanin"/>
          <w:color w:val="111111"/>
          <w:sz w:val="28"/>
          <w:szCs w:val="28"/>
          <w:rtl w:val="true"/>
          <w:lang w:bidi="fa-IR"/>
        </w:rPr>
        <w:t>.</w:t>
      </w:r>
    </w:p>
    <w:p>
      <w:pPr>
        <w:pStyle w:val="Heading6"/>
        <w:numPr>
          <w:ilvl w:val="5"/>
          <w:numId w:val="1"/>
        </w:numPr>
        <w:rPr/>
      </w:pPr>
      <w:bookmarkStart w:id="475" w:name="__RefHeading___Toc763902_3244359995"/>
      <w:bookmarkStart w:id="476" w:name="_Toc176"/>
      <w:bookmarkEnd w:id="475"/>
      <w:r>
        <w:rPr>
          <w:rtl w:val="true"/>
        </w:rPr>
        <w:t>تذنیب</w:t>
      </w:r>
      <w:r>
        <w:rPr>
          <w:rtl w:val="true"/>
        </w:rPr>
        <w:t xml:space="preserve">: </w:t>
      </w:r>
      <w:r>
        <w:rPr>
          <w:rtl w:val="true"/>
        </w:rPr>
        <w:t>و هو وجه آخر لحلّ المشکلة السابقة</w:t>
      </w:r>
      <w:bookmarkEnd w:id="476"/>
    </w:p>
    <w:p>
      <w:pPr>
        <w:pStyle w:val="BookText"/>
        <w:rPr/>
      </w:pPr>
      <w:r>
        <w:rPr>
          <w:rFonts w:ascii="IRNazanin" w:hAnsi="IRNazanin" w:eastAsia="IRNazanin"/>
          <w:color w:val="111111"/>
          <w:sz w:val="28"/>
          <w:sz w:val="28"/>
          <w:szCs w:val="28"/>
          <w:rtl w:val="true"/>
          <w:lang w:bidi="fa-IR"/>
        </w:rPr>
        <w:t>تجوز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یستحقّ الثواب علی البدعة، و أمّا عدم وجوب الإعادة فلیس لأجل الصحّة، بل هو تفضّل منه تعالی علیه بعد ما أتی بالصلاة صورة، و تقبّل منه تعالی حتّی یستحقّ الثواب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الجاهلین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صومهم فی السفر إلّا بدعة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477" w:name="pg13177_117913"/>
    </w:p>
    <w:p>
      <w:pPr>
        <w:pStyle w:val="BookText"/>
        <w:rPr/>
      </w:pPr>
      <w:bookmarkEnd w:id="477"/>
      <w:r>
        <w:rPr>
          <w:rFonts w:ascii="IRNazanin" w:hAnsi="IRNazanin" w:eastAsia="IRNazanin"/>
          <w:color w:val="111111"/>
          <w:sz w:val="28"/>
          <w:sz w:val="28"/>
          <w:szCs w:val="28"/>
          <w:rtl w:val="true"/>
          <w:lang w:bidi="fa-IR"/>
        </w:rPr>
        <w:t>و لعمری، إنّه أخفّ مؤونة ممّا قیل أو قلنا مع أنّ إعادة الصلاة مستحبّة جماعة فی موارد، و من یخلّ جهلا بأجزاء الصلاة واجب علیه الاستئناف و الإعادة و القضاء حسب المشهور</w:t>
      </w:r>
      <w:r>
        <w:rPr>
          <w:rStyle w:val="FootnoteAnchor"/>
          <w:rtl w:val="true"/>
        </w:rPr>
        <w:footnoteReference w:id="497"/>
      </w:r>
      <w:r>
        <w:rPr>
          <w:rFonts w:ascii="IRNazanin" w:hAnsi="IRNazanin" w:eastAsia="IRNazanin"/>
          <w:color w:val="111111"/>
          <w:sz w:val="28"/>
          <w:sz w:val="28"/>
          <w:szCs w:val="28"/>
          <w:rtl w:val="true"/>
          <w:lang w:bidi="fa-IR"/>
        </w:rPr>
        <w:t>، فکون ما نحن فیه هادما لإمکان استیفاء المصلحة، من التخیّلات الأنیابیّة الغولیّة، و قیاس ما نحن فیه بالمعاجین الطبّیة مع الفارق الواضح</w:t>
      </w:r>
      <w:r>
        <w:rPr>
          <w:rFonts w:eastAsia="IRNazanin" w:cs="IRNazanin"/>
          <w:color w:val="111111"/>
          <w:sz w:val="28"/>
          <w:szCs w:val="28"/>
          <w:rtl w:val="true"/>
          <w:lang w:bidi="fa-IR"/>
        </w:rPr>
        <w:t>.</w:t>
      </w:r>
    </w:p>
    <w:p>
      <w:pPr>
        <w:pStyle w:val="Heading6"/>
        <w:numPr>
          <w:ilvl w:val="5"/>
          <w:numId w:val="1"/>
        </w:numPr>
        <w:rPr/>
      </w:pPr>
      <w:bookmarkStart w:id="478" w:name="__RefHeading___Toc763904_3244359995"/>
      <w:bookmarkStart w:id="479" w:name="_Toc177"/>
      <w:bookmarkEnd w:id="478"/>
      <w:r>
        <w:rPr>
          <w:rtl w:val="true"/>
        </w:rPr>
        <w:t>ذنابة</w:t>
      </w:r>
      <w:r>
        <w:rPr>
          <w:rtl w:val="true"/>
        </w:rPr>
        <w:t xml:space="preserve">: </w:t>
      </w:r>
      <w:r>
        <w:rPr>
          <w:rtl w:val="true"/>
        </w:rPr>
        <w:t>حول تعدّد عقاب الجاهل التارک لصلاته</w:t>
      </w:r>
      <w:bookmarkEnd w:id="479"/>
    </w:p>
    <w:p>
      <w:pPr>
        <w:pStyle w:val="BookText"/>
        <w:rPr/>
      </w:pPr>
      <w:r>
        <w:rPr>
          <w:rFonts w:ascii="IRNazanin" w:hAnsi="IRNazanin" w:eastAsia="IRNazanin"/>
          <w:color w:val="111111"/>
          <w:sz w:val="28"/>
          <w:sz w:val="28"/>
          <w:szCs w:val="28"/>
          <w:rtl w:val="true"/>
          <w:lang w:bidi="fa-IR"/>
        </w:rPr>
        <w:t>لو ترک الجاهل المذکور صلاته یلزم تعدّد العقاب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الأوّل،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 سواء قلنا بالطولیّة، أو العرضیّة، أو تعدّد المطلوب، أو التفویت، أم لا یلزم علی ما ذکرناه؛ لعدم الانحلال، ضرورة أنّه یتبع الحاجة، فهو یستحقّ العقوبة کالعالم التارک، أو یفصّل حسب المبانی، فتأمّل</w:t>
      </w:r>
      <w:r>
        <w:rPr>
          <w:rFonts w:eastAsia="IRNazanin" w:cs="IRNazanin"/>
          <w:color w:val="111111"/>
          <w:sz w:val="28"/>
          <w:szCs w:val="28"/>
          <w:rtl w:val="true"/>
          <w:lang w:bidi="fa-IR"/>
        </w:rPr>
        <w:t>.</w:t>
      </w:r>
    </w:p>
    <w:p>
      <w:pPr>
        <w:pStyle w:val="Heading6"/>
        <w:numPr>
          <w:ilvl w:val="5"/>
          <w:numId w:val="1"/>
        </w:numPr>
        <w:rPr/>
      </w:pPr>
      <w:bookmarkStart w:id="480" w:name="__RefHeading___Toc763906_3244359995"/>
      <w:bookmarkStart w:id="481" w:name="_Toc178"/>
      <w:bookmarkEnd w:id="480"/>
      <w:r>
        <w:rPr>
          <w:rtl w:val="true"/>
        </w:rPr>
        <w:t>ختام الخاتمة</w:t>
      </w:r>
      <w:r>
        <w:rPr>
          <w:rtl w:val="true"/>
        </w:rPr>
        <w:t xml:space="preserve">: </w:t>
      </w:r>
      <w:r>
        <w:rPr>
          <w:rtl w:val="true"/>
        </w:rPr>
        <w:t>حول شرطی الفاضل التونی لجریان البراءة</w:t>
      </w:r>
      <w:bookmarkEnd w:id="481"/>
    </w:p>
    <w:p>
      <w:pPr>
        <w:pStyle w:val="BookText"/>
        <w:rPr/>
      </w:pPr>
      <w:r>
        <w:rPr>
          <w:rFonts w:ascii="IRNazanin" w:hAnsi="IRNazanin" w:eastAsia="IRNazanin"/>
          <w:color w:val="111111"/>
          <w:sz w:val="28"/>
          <w:sz w:val="28"/>
          <w:szCs w:val="28"/>
          <w:rtl w:val="true"/>
          <w:lang w:bidi="fa-IR"/>
        </w:rPr>
        <w:t>نسب إلی الفاضل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شرطان آخران للبراءة</w:t>
      </w:r>
      <w:r>
        <w:rPr>
          <w:rStyle w:val="FootnoteAnchor"/>
          <w:rtl w:val="true"/>
        </w:rPr>
        <w:footnoteReference w:id="498"/>
      </w:r>
      <w:r>
        <w:rPr>
          <w:rFonts w:ascii="IRNazanin" w:hAnsi="IRNazanin" w:eastAsia="IRNazanin"/>
          <w:color w:val="111111"/>
          <w:sz w:val="28"/>
          <w:sz w:val="28"/>
          <w:szCs w:val="28"/>
          <w:rtl w:val="true"/>
          <w:lang w:bidi="fa-IR"/>
        </w:rPr>
        <w:t>، و المراد منهما شرط التمسّک بها، کشرطیّة الفحص</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نظره حسب الظاهر ینحصر بالبراءة الشرعیّة؛ لأنّها هی التی یمکن أن تکون موجبة لثبوت حکم شرعیّ آخر من جهة اخری، و إلّا فدرک العقل امتناع صدور الجزاف أو عدم تنجّز التکلیف، لا یعقل أن یکون موجبا لثبوت حکم شرعیّ آخر، إلّا علی وجه الموضوعیّة، أو ما یشبه الشرطیّة، کما إذا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یتنجّز</w:t>
      </w:r>
    </w:p>
    <w:p>
      <w:pPr>
        <w:pStyle w:val="BookText"/>
        <w:rPr/>
      </w:pPr>
      <w:r>
        <w:rPr>
          <w:rFonts w:ascii="IRNazanin" w:hAnsi="IRNazanin" w:eastAsia="IRNazanin"/>
          <w:color w:val="111111"/>
          <w:sz w:val="28"/>
          <w:sz w:val="28"/>
          <w:szCs w:val="28"/>
          <w:rtl w:val="true"/>
          <w:lang w:bidi="fa-IR"/>
        </w:rPr>
        <w:t>علیه حکم شرعیّ إذا کان الحکم الشرعیّ الآخر متنجّزا، و لم یکن للحکم الأوّل دلیل ذو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بأنّ الصلاة منجّزة علیه، أو الحجّ منجّز علیه إذا لم یکن الوفاء بالنذر منجزا، و کان شاکّا فی النذر، فإنّه مع إطلاق دلیل الحجّ، لا نحتاج إلی البراءة العقلیّة بالنسبة إلی الوفاء بالنذر، و مع إطلاق دلیل حرمة التصرّف فی مال الغیر، لا تجری البراءة بالنسبة إلی التصرّف فی ماله، فالکلام المذکور یصحّ فی مورد انتفاء الإطلاق، و مع فقد الإطلاق یکون القدر المتیقّن تنجّز الحجّ إذا لم یتنجّز الوفاء بالنذر، و حیث لا دلیل علیه یقبح العقاب علیه، فلا یتنجّز، فیکون وجوب الحجّ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إشکالا علی التونیّ رحمه اللّه ظاهرا، بل یکشف به أنّه أراد منه توضیح مجری البراءة الشرعیّة کما لا یخفی؛ ضرورة أنّه فی صورة استلزامها الحکم الآخر و التکلیف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خلاف الامتنان المراعی فی مجراها، و إن کان إنکار إجرائها أیضا خلاف الامتنان، إلّا أنّه لا دلیل علی جریانها فی کافّة الموارد التی فیها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الشبهات المهتمّ بها لا تجری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لو کان من جریانها یلزم تکلیف آخر إیجابیّ أو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بإضافة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خلاف الامتنان و لو بوجوب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الإشکال فی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بحرمة الصلاة فی ثوبه أو ثوب الإمام؛ لشبهة موضوعیّة أو حکمیّة بعد الفحص، فإنّ البراءة الشرعیّة بالنسبة إلی تلک الحرمة، جاریة فی صورة إتیانه بها فرادی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إرادة الإتیان بها جماعة، فیمکن منع جریانها؛ لفقد الشرط المذکور، لا من باب العلم ببطلان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صلاة الجماعة، کی</w:t>
      </w:r>
    </w:p>
    <w:p>
      <w:pPr>
        <w:pStyle w:val="BookText"/>
        <w:rPr/>
      </w:pPr>
      <w:r>
        <w:rPr>
          <w:rFonts w:ascii="IRNazanin" w:hAnsi="IRNazanin" w:eastAsia="IRNazanin"/>
          <w:color w:val="111111"/>
          <w:sz w:val="28"/>
          <w:sz w:val="28"/>
          <w:szCs w:val="28"/>
          <w:rtl w:val="true"/>
          <w:lang w:bidi="fa-IR"/>
        </w:rPr>
        <w:t>یمنع حسبما تحرر فی محلّه، بل من باب لزوم الحکم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حرمة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من الأصل المثبت؛ لأنّه الحکم المترتّب علی الحکم، أو علی نفی الحکم، سواء کان رفعا واقعیّا، أو ظاهریّا، أو ادعائیّا، و هو ظاهریّ یترتّب علیه الآثار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کان مقتضی جریانها بالنسبة إلی الشبهة الحکمیّة فی مثل اشتراء الماء، لزوم اشتراء الماء و التوضّوء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صورة احتمال الحرمة التکلیفیّة محضا، دون الوضعیّة کی تختلف فیه الصناعة؛ فإنّ لازم جریانها وجوب الاشتراء بالضرورة، و هو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تکفی البراءة العقلیّة بالنسبة إلی شبهة الحرمة فی المثال المذکور؛ لأنّه لا بدّ من کون الاشتراء مباحا و مرفوع التکلیف واقعا، أو ظاهرا، أو ادعاء، و هذا لا یثبت بالبراءة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إباحة الاشتراء یجب؛ لانحصار الماء بما فی یده المحتملة حرمته تکلیفا، لأجل شبهة لا ترتفع بالید و غیرها،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أفاده وجه و تقریر غیر واصل إلیه أصحابنا 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حدیث الرفع، لیس مشرّعا لحکم آخر شرعیّ و لو کان إباحة، فلو کانت البراءة موجبة لتشریع حکم آخر فلا تجری؛ لأنّه رفع، لا وضع و جعل، فلو شکّ فی حرمة التصرّف فی ماله الموجب لإباحة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کحفر البئر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تجری البراءة عن مثل هذه الحرمة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الدلیل الاجتهادیّ منع التصرّف فی مال الغیر، فلا تصل النوبة إلی البراءة، کما تری فی کلام القوم اعتراضا علیه رحمه اللّه </w:t>
      </w:r>
      <w:r>
        <w:rPr>
          <w:rStyle w:val="FootnoteAnchor"/>
          <w:rtl w:val="true"/>
        </w:rPr>
        <w:footnoteReference w:id="499"/>
      </w:r>
      <w:r>
        <w:rPr>
          <w:rFonts w:ascii="Amiri" w:hAnsi="Amiri" w:eastAsia="Amiri" w:cs="Amiri"/>
          <w:color w:val="111111"/>
          <w:sz w:val="28"/>
          <w:sz w:val="28"/>
          <w:szCs w:val="28"/>
          <w:rtl w:val="true"/>
          <w:lang w:bidi="ar-SA"/>
        </w:rPr>
        <w:t>، غیر تامّ؛ لأنّه یمکن</w:t>
      </w:r>
    </w:p>
    <w:p>
      <w:pPr>
        <w:pStyle w:val="BookText"/>
        <w:rPr/>
      </w:pPr>
      <w:r>
        <w:rPr>
          <w:rFonts w:ascii="IRNazanin" w:hAnsi="IRNazanin" w:eastAsia="IRNazanin"/>
          <w:color w:val="111111"/>
          <w:sz w:val="28"/>
          <w:sz w:val="28"/>
          <w:szCs w:val="28"/>
          <w:rtl w:val="true"/>
          <w:lang w:bidi="fa-IR"/>
        </w:rPr>
        <w:t>دعوی إجمال ذلک الدلیل الاجتهادیّ أوّلا، أو أنّه معارض بمثله فی ناحیة جواز تصرّفه فی مال نفسه، فتصل النوبة إلی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لا بأس بجریانها، بخلاف حدیث الرفع، فإنّه لا بدّ و أن یکون رفعا علی الإطلاق، لا رفعا فی مورد، و جعلا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الأصل المثبت؛ لأنّ إباحة التصرّف الشرعیّة فی مال الغیر، مترتبة بلا واسطة علی إباحة التصرّف فی ماله؛ بمعنی رفع التکلیف واقعا، أو ظاهرا، أو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أوضحناه یظهر مواقف ضعف التعرّض لکلام هذا الفاضل، و یتبیّن أجنبیّة مرامه عمّا أفادوه حوله نفیا و إثباتا</w:t>
      </w:r>
      <w:r>
        <w:rPr>
          <w:rStyle w:val="FootnoteAnchor"/>
          <w:rtl w:val="true"/>
        </w:rPr>
        <w:footnoteReference w:id="500"/>
      </w:r>
      <w:r>
        <w:rPr>
          <w:rFonts w:ascii="IRNazanin" w:hAnsi="IRNazanin" w:eastAsia="IRNazanin"/>
          <w:color w:val="111111"/>
          <w:sz w:val="28"/>
          <w:sz w:val="28"/>
          <w:szCs w:val="28"/>
          <w:rtl w:val="true"/>
          <w:lang w:bidi="fa-IR"/>
        </w:rPr>
        <w:t>و هذا التقریب أو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رجوع الشرط الثانی إلی الأوّل؛ ضرورة أنّه لو استلزم أصل البراءة الشرعیّة ضررا أو اقتضی حرجا، فهو خلاف الامتنان علی الأمّة، فلا یختصّ بلزوم الضرر، فعندئذ یمکن تقریب الشرطین علی حذو شرطیّة الفحص، فیرجعان إلی شرط جواز التمسّک بأصل البراءة، و لذلک ذکرا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افید و حرّر منع؛ إمّا من جهة عدم اختصاص دلیل البراءة الشرعیّة بحدیث الرفع،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منّة علی الامّة، أو من جهة أنّه علی تقدیر کونه منّة، فهی منّة بالنسبة إلی نفس العناوین، لا الامّة، فلو لزم منه الضرر علی الغیر أو الحرج أو التضییق، فلا بأس به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علی تقدیر کون جمیع أدلّة البراءة منّة علی الامّة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الأصل</w:t>
      </w:r>
    </w:p>
    <w:p>
      <w:pPr>
        <w:pStyle w:val="BookText"/>
        <w:rPr/>
      </w:pPr>
      <w:r>
        <w:rPr>
          <w:rFonts w:ascii="IRNazanin" w:hAnsi="IRNazanin" w:eastAsia="IRNazanin"/>
          <w:color w:val="111111"/>
          <w:sz w:val="28"/>
          <w:sz w:val="28"/>
          <w:szCs w:val="28"/>
          <w:rtl w:val="true"/>
          <w:lang w:bidi="fa-IR"/>
        </w:rPr>
        <w:t>المثبت، و لیس أمرا جدیدا، فإنّ المترتّب و المترتّب علیه و لو کانا حکمین، إلّا أنّ الترتّب لا بدّ و أن یکون شرعیّا؛ برجوع الحکم المترتّب علیه إلی جهة من جهات الموضوع للمترتّب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الاشتراء مترتّب علی إباحته، و أنّ إباحة البیع و الشراء من قیود الموضوع مثلا، أو عین الموضوع؛ کی تشمله أدلّة وجوب اشتراء الماء للوضوء، و عند ذلک لا بدّ و أن تجری البراءة؛ نظرا إلی ذلک الوجوب و الإلزام الشرعیّ، فإنّه مع کون دلیل وجوب الاشتراء مهملا، یؤخذ بالقدر المتیقّن منه، و هو یحصل بجریان البراءة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مطلقا فکفایة إطلاقه عن البراءة المذکورة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لا یفید الإباحة؛ لأنّ نفی الحکم الإلزامیّ و التحریمیّ لا تثبت به الإباحة، و لو ثبتت به الإباحة یلزم عدم جریانه حسب الشرط المذکور، فالإباحة تثبت بدلیل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موضوع وجوب الاشتراء عدم الحرمة، أو یتسامح فیه، کما یختلف الحکم باختلاف احتمالات مفاد أدلّة البراءة؛ بحسب الظاهر و الواقع، و احتمالات موضوع الحکم الإلزامیّ المذکور،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التقریب الثانی علی فرض صحّته، عدم جریان حدیث الرفع، دون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عرفت من أنّه من الأصل المثبت المشرّع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منع من جریان البراءة الشرعیّة، مع کون التصرّف الملازم للتصرّف فی مال الغیر حراما واقعا، أو یکون ملازمه محرّما واقعا، فلا یلزم منع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وجوب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تشریعه وجوب الأقلّ حسب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تمامیّة الشرط ممنوعة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أفاده الفاضل، و هکذا غیره 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التمسّک بالأدلّة الاجتهادیّة الکافیة، و من أنّ قاعدة نفی الضرر حاکمة علی الأدلّة الاجتهادیّة، فضلا عن البراءة؛ فإنّها ناظرة إلی الضرر علی نفس اخری، لا مطلق الضرر، و قاعدة نفی الضرر حاکمة علی الأدلّة الاجتهادیّة حتّی بالنسبة إلی نفسه، فیعلم منه أنّه یرید شیئا آخر؛ حسب المحکیّ عنه فی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و غیره </w:t>
      </w:r>
      <w:r>
        <w:rPr>
          <w:rStyle w:val="FootnoteAnchor"/>
          <w:rtl w:val="true"/>
        </w:rPr>
        <w:footnoteReference w:id="502"/>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bookmarkStart w:id="482" w:name="pg13177_117919"/>
    </w:p>
    <w:p>
      <w:pPr>
        <w:pStyle w:val="Heading4"/>
        <w:numPr>
          <w:ilvl w:val="3"/>
          <w:numId w:val="1"/>
        </w:numPr>
        <w:rPr/>
      </w:pPr>
      <w:bookmarkStart w:id="483" w:name="__RefHeading___Toc763908_3244359995"/>
      <w:bookmarkStart w:id="484" w:name="_Toc179"/>
      <w:bookmarkEnd w:id="482"/>
      <w:bookmarkEnd w:id="483"/>
      <w:r>
        <w:rPr>
          <w:rtl w:val="true"/>
        </w:rPr>
        <w:t>تذییل فی قاعدة نفی الضرر</w:t>
      </w:r>
      <w:bookmarkEnd w:id="484"/>
    </w:p>
    <w:p>
      <w:pPr>
        <w:pStyle w:val="Heading5"/>
        <w:numPr>
          <w:ilvl w:val="4"/>
          <w:numId w:val="1"/>
        </w:numPr>
        <w:rPr/>
      </w:pPr>
      <w:bookmarkStart w:id="485" w:name="__RefHeading___Toc763910_3244359995"/>
      <w:bookmarkStart w:id="486" w:name="_Toc180"/>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 xml:space="preserve">قد بحث شیخنا العلّامة الأنصاری قدّس سرّه هنا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یظهر من جماعة أنّه بحث استطرادیّ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الأمر کذلک؛ لأنّها مندرجة فی القواعد الثانویّة بالنسبة إلی المرکّبات الواجبة المستتبعة للضرر المالیّ و الضرار الحرجیّ؛ ضرورة أنّ فی موارد تمکّنه من الإتیان بمجموع الأجزاء و الشرائط، و استلزامه الضرر، یمکن الالتزام بوجوب الباقی؛ جمعا بین إطلاق دلیل المرکّب و الجزء، و القاعدة المذکورة، فلا یکون معذورا بالنسبة إلی ترک الکلّ لو کان عاجزا عرفا عن تحصیل الجزء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کانت غیر وافیة بالنسبة إلی مجموع موارد العجز، لم یتمسّک بها هناک، و الأمر سهل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یجرّ فهم شرط الفاضل التونیّ رحمه اللّه </w:t>
      </w:r>
      <w:r>
        <w:rPr>
          <w:rStyle w:val="FootnoteAnchor"/>
          <w:rtl w:val="true"/>
        </w:rPr>
        <w:footnoteReference w:id="505"/>
      </w:r>
      <w:r>
        <w:rPr>
          <w:rFonts w:ascii="IRNazanin" w:hAnsi="IRNazanin" w:eastAsia="IRNazanin"/>
          <w:color w:val="111111"/>
          <w:sz w:val="28"/>
          <w:sz w:val="28"/>
          <w:szCs w:val="28"/>
          <w:rtl w:val="true"/>
          <w:lang w:bidi="fa-IR"/>
        </w:rPr>
        <w:t>إلی البحث و الفحص عن الضرر</w:t>
      </w:r>
      <w:bookmarkStart w:id="487" w:name="pg13177_117920"/>
    </w:p>
    <w:p>
      <w:pPr>
        <w:pStyle w:val="BookText"/>
        <w:rPr/>
      </w:pPr>
      <w:bookmarkEnd w:id="487"/>
      <w:r>
        <w:rPr>
          <w:rFonts w:ascii="IRNazanin" w:hAnsi="IRNazanin" w:eastAsia="IRNazanin"/>
          <w:color w:val="111111"/>
          <w:sz w:val="28"/>
          <w:sz w:val="28"/>
          <w:szCs w:val="28"/>
          <w:rtl w:val="true"/>
          <w:lang w:bidi="fa-IR"/>
        </w:rPr>
        <w:t>اللازم من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مسائلها فی رسالة علی حدة مفصّلة ألّفتها فی بورسا من ترکیة، و من شاء تحقیق المسألة علی الوجه الأتمّ فلیراجعها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هنا خلاصة من القاعدة سندا، و دلالة، و نسبة، فالبحث حولها یقع فی جهات</w:t>
      </w:r>
      <w:r>
        <w:rPr>
          <w:rFonts w:eastAsia="IRNazanin" w:cs="IRNazanin"/>
          <w:color w:val="111111"/>
          <w:sz w:val="28"/>
          <w:szCs w:val="28"/>
          <w:rtl w:val="true"/>
          <w:lang w:bidi="fa-IR"/>
        </w:rPr>
        <w:t>:</w:t>
      </w:r>
    </w:p>
    <w:p>
      <w:pPr>
        <w:pStyle w:val="Heading5"/>
        <w:numPr>
          <w:ilvl w:val="4"/>
          <w:numId w:val="1"/>
        </w:numPr>
        <w:rPr/>
      </w:pPr>
      <w:bookmarkStart w:id="488" w:name="__RefHeading___Toc763912_3244359995"/>
      <w:bookmarkStart w:id="489" w:name="_Toc181"/>
      <w:bookmarkEnd w:id="488"/>
      <w:r>
        <w:rPr>
          <w:rtl w:val="true"/>
        </w:rPr>
        <w:t>تحقیق حول سند القاعدة</w:t>
      </w:r>
      <w:bookmarkEnd w:id="489"/>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کلّ خبر و سنّة، تحتاج إلی أحد الامور الآتیة 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بأن تکون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کونها فی الکتب القطعیّة، کالأربعة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سند معتبر، مثل کون رواتها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تکون الروایة بعد الشرط المذکور، من المشهورات بین الأصحاب رحمهم اللّه و المعروفات، أو المتواترات بالإجمال، أو التفصیل، کی تندرج فی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کما حرّرناه، حیث إنّ الأشبه أنّه قاعدة کلّیة تشمل الشهرة الروائیّة و الفتوائیّة، و لا تختصّ بموارد المعارضة، و إنّما یتمسّک بها لتمییز الحجّة عن اللاحجّة، و ترجیح الحجّة علی الحجّة، و البحث عن هذه الجهة موکول إلی التعادل و الترجیح</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بأن تکون من المشهورات المعمول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واضح؛ فإنّ الأولی حجّة تعبّدا، و الثانیة حجّة عقلائیّة، و المفروض فی الأولی هو الإطلاق من جهة العمل و الإعراض، و فی الثانیة هو کونها معمولا بها، فلا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التمسّک</w:t>
      </w:r>
    </w:p>
    <w:p>
      <w:pPr>
        <w:pStyle w:val="BookText"/>
        <w:rPr/>
      </w:pPr>
      <w:r>
        <w:rPr>
          <w:rFonts w:ascii="IRNazanin" w:hAnsi="IRNazanin" w:eastAsia="IRNazanin"/>
          <w:color w:val="111111"/>
          <w:sz w:val="28"/>
          <w:sz w:val="28"/>
          <w:szCs w:val="28"/>
          <w:rtl w:val="true"/>
          <w:lang w:bidi="fa-IR"/>
        </w:rPr>
        <w:t>بخبر عالی السند لحجّیة مطلق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الاولی یتقدّم أحد الخبرین علی الآخر بالترجیح، و فی الثانیة بالتمییز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قاعدة اجتمعت فیها الوجوه الثلاثة؛ و ذلک لموثّقة زرارة المرویّة فی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قضیّة سمرة بن جندب </w:t>
      </w:r>
      <w:r>
        <w:rPr>
          <w:rStyle w:val="FootnoteAnchor"/>
          <w:rtl w:val="true"/>
        </w:rPr>
        <w:footnoteReference w:id="508"/>
      </w:r>
      <w:r>
        <w:rPr>
          <w:rFonts w:ascii="IRNazanin" w:hAnsi="IRNazanin" w:eastAsia="IRNazanin"/>
          <w:color w:val="111111"/>
          <w:sz w:val="28"/>
          <w:sz w:val="28"/>
          <w:szCs w:val="28"/>
          <w:rtl w:val="true"/>
          <w:lang w:bidi="fa-IR"/>
        </w:rPr>
        <w:t xml:space="preserve">، فإنّ فیه ابن بکیر، و إنّ فی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کلام غیر مهمّ، و لاشتهار الروایة فی الکتب الأربعة</w:t>
      </w:r>
      <w:r>
        <w:rPr>
          <w:rStyle w:val="FootnoteAnchor"/>
          <w:rtl w:val="true"/>
        </w:rPr>
        <w:footnoteReference w:id="509"/>
      </w:r>
      <w:r>
        <w:rPr>
          <w:rFonts w:ascii="IRNazanin" w:hAnsi="IRNazanin" w:eastAsia="IRNazanin"/>
          <w:color w:val="111111"/>
          <w:sz w:val="28"/>
          <w:sz w:val="28"/>
          <w:szCs w:val="28"/>
          <w:rtl w:val="true"/>
          <w:lang w:bidi="fa-IR"/>
        </w:rPr>
        <w:t>و غیرها</w:t>
      </w:r>
      <w:r>
        <w:rPr>
          <w:rStyle w:val="FootnoteAnchor"/>
          <w:rtl w:val="true"/>
        </w:rPr>
        <w:footnoteReference w:id="510"/>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ابن الأثیر</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الذی یحذو حذوه، و فی بعض صحاح العامة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علی ما فی رسائل أصحابنا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تواتره </w:t>
      </w:r>
      <w:r>
        <w:rPr>
          <w:rStyle w:val="FootnoteAnchor"/>
          <w:rtl w:val="true"/>
        </w:rPr>
        <w:footnoteReference w:id="516"/>
      </w:r>
      <w:r>
        <w:rPr>
          <w:rFonts w:ascii="IRNazanin" w:hAnsi="IRNazanin" w:eastAsia="IRNazanin"/>
          <w:color w:val="111111"/>
          <w:sz w:val="28"/>
          <w:sz w:val="28"/>
          <w:szCs w:val="28"/>
          <w:rtl w:val="true"/>
          <w:lang w:bidi="fa-IR"/>
        </w:rPr>
        <w:t xml:space="preserve">، و ببالی 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517"/>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استفاضته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یکفینا اشتهاره، و هو غیر بعید جدّا، و هو المجمع علیه عرفا کما لا یخفی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لکونها معمولا بها من ابتداء الکتب المدوّنة الفرعیّة إلی عصرنا هذا فی معظم کتب الأصحاب، و فی جمیع أجزائها، و لا سیّما فی المتأخّرین، مع أنّ کثیرا من</w:t>
      </w:r>
    </w:p>
    <w:p>
      <w:pPr>
        <w:pStyle w:val="BookText"/>
        <w:rPr/>
      </w:pPr>
      <w:r>
        <w:rPr>
          <w:rFonts w:ascii="IRNazanin" w:hAnsi="IRNazanin" w:eastAsia="IRNazanin"/>
          <w:color w:val="111111"/>
          <w:sz w:val="28"/>
          <w:sz w:val="28"/>
          <w:szCs w:val="28"/>
          <w:rtl w:val="true"/>
          <w:lang w:bidi="fa-IR"/>
        </w:rPr>
        <w:t>فتاویهم فی الأبواب المختلفة مستندة إلیها علی الأظهر، فکونها مشهورة معمولا بها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الجدیر بالذکر أنّه یتوجّه إلی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حجّیة الخبر الواحد حدیث عقلائیّ، و لیس حسب الأشبه شی‌ء وراءه، و إنّما الأخبار و الآیات علی فرض ارتباطها بالمسألة، تکون إمضاء، و یستبعد التأسیس کما حرّرناه </w:t>
      </w:r>
      <w:r>
        <w:rPr>
          <w:rStyle w:val="FootnoteAnchor"/>
          <w:rtl w:val="true"/>
        </w:rPr>
        <w:footnoteReference w:id="519"/>
      </w:r>
      <w:r>
        <w:rPr>
          <w:rFonts w:ascii="IRNazanin" w:hAnsi="IRNazanin" w:eastAsia="IRNazanin"/>
          <w:color w:val="111111"/>
          <w:sz w:val="28"/>
          <w:sz w:val="28"/>
          <w:szCs w:val="28"/>
          <w:rtl w:val="true"/>
          <w:lang w:bidi="fa-IR"/>
        </w:rPr>
        <w:t>، فعندئذ کیف یمکن أن تکون الروایة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موثّقة زرارة، أو مشهورة أبی خدیجة</w:t>
      </w:r>
      <w:r>
        <w:rPr>
          <w:rStyle w:val="FootnoteAnchor"/>
          <w:rtl w:val="true"/>
        </w:rPr>
        <w:footnoteReference w:id="520"/>
      </w:r>
      <w:r>
        <w:rPr>
          <w:rFonts w:ascii="Amiri" w:hAnsi="Amiri" w:eastAsia="Amiri" w:cs="Amiri"/>
          <w:color w:val="111111"/>
          <w:sz w:val="28"/>
          <w:sz w:val="28"/>
          <w:szCs w:val="28"/>
          <w:rtl w:val="true"/>
          <w:lang w:bidi="ar-SA"/>
        </w:rPr>
        <w:t>، و مقبولة ابن حنظلة</w:t>
      </w:r>
      <w:r>
        <w:rPr>
          <w:rStyle w:val="FootnoteAnchor"/>
          <w:rtl w:val="true"/>
        </w:rPr>
        <w:footnoteReference w:id="521"/>
      </w:r>
      <w:r>
        <w:rPr>
          <w:rFonts w:ascii="IRNazanin" w:hAnsi="IRNazanin" w:eastAsia="IRNazanin"/>
          <w:color w:val="111111"/>
          <w:sz w:val="28"/>
          <w:sz w:val="28"/>
          <w:szCs w:val="28"/>
          <w:rtl w:val="true"/>
          <w:lang w:bidi="fa-IR"/>
        </w:rPr>
        <w:t xml:space="preserve">التی هی سند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للعمومات و الإطلاقات کافّة من أوّل الفقه إلی آخره و لو کانت 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العمومات و الإطلاقات، ربّما تعارض دلیل حجّیة الخبر الحاکم الوحید، فتکون مخصّصة له؛ لتلک الکثرة، ورادعة لبناء العقلاء فی هذه الصورة، و لا أقلّ من الشکّ فی اعتبار هذا الخبر خصوصا شکّا مستندا إلی جهة عقلائیّة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 الثالث أیضا بعد کون المسألة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المتن؛ فإنّ ما هو ذو سند معتبر و إن لم یکن مضطربا، کروایة الشفعة</w:t>
      </w:r>
      <w:r>
        <w:rPr>
          <w:rStyle w:val="FootnoteAnchor"/>
          <w:rtl w:val="true"/>
        </w:rPr>
        <w:footnoteReference w:id="522"/>
      </w:r>
      <w:r>
        <w:rPr>
          <w:rFonts w:ascii="IRNazanin" w:hAnsi="IRNazanin" w:eastAsia="IRNazanin"/>
          <w:color w:val="111111"/>
          <w:sz w:val="28"/>
          <w:sz w:val="28"/>
          <w:szCs w:val="28"/>
          <w:rtl w:val="true"/>
          <w:lang w:bidi="fa-IR"/>
        </w:rPr>
        <w:t>، و منع فضل الماء</w:t>
      </w:r>
      <w:r>
        <w:rPr>
          <w:rStyle w:val="FootnoteAnchor"/>
          <w:rtl w:val="true"/>
        </w:rPr>
        <w:footnoteReference w:id="523"/>
      </w:r>
      <w:r>
        <w:rPr>
          <w:rFonts w:ascii="IRNazanin" w:hAnsi="IRNazanin" w:eastAsia="IRNazanin"/>
          <w:color w:val="111111"/>
          <w:sz w:val="28"/>
          <w:sz w:val="28"/>
          <w:szCs w:val="28"/>
          <w:rtl w:val="true"/>
          <w:lang w:bidi="fa-IR"/>
        </w:rPr>
        <w:t>، و لکن ما هو المسند مضطرب المتن؛ بمعنی أنّه یحکی قضیّة سمرة علی وجه تحکیها الاخریات علی وجوه اخر، ففی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صلّی اللّه علیه و اله و سلّم للأنصاریّ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فاقلعها و ارم بها إلیه؛ فإنّه لا ضرر و لا ضرار</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مسکان، عن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 لا ضرر و لا ضرار علی مؤمن، ثمّ أمر بها رسول اللّه صلّی اللّه علیه و اله و سلّم فقلعت، ثمّ رمی بها إلیه، و 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عبیدة الحذّاء الحاکیة للقصّة لا یوجد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أنّه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إلّا مضارّا، اذهب یا فلان فاقطعها، و اضرب بها وجهه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أهل الملل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مع أنّه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الزیادة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اله و سلّم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عقبة بن خالد،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اله و سلّم بالشفعة بین الشرکاء فی الأرضین و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إضرار</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 و هکذا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فالقاعدة محکیّة علی أربعة أشکال، فعندئذ ربّما یمکن دعوی الشبهة فی أصل الصدور، و توقف العقلاء عند اختلاف المتون؛ لعدم عمل منهم فی مثل هذه المواقف، و عدم کشف الإمضاء؛ حسبما تحرّر فی بحوث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ذهاب الشهرة العملیّة قویّ جدّا، فیوجب اعتضاد الموثّقة و الشهرة الروائیّة بالشهرة العملیّة، إلّا أنّه لاختلاف المتون لا یثبت الإطلاق، و یجب الأخذ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لکونهما مصدرین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المقابلة بالضرر فی مقابل الضرر و الإضرار؛ أی لا یجوز مثلا أن یضرّ أحد أحدا فی قبال إضراره به؛ لمکان باب 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جدّا قلیلة غایتها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دوران الأمر بین أصالة عدم الزیادة و النقیصة، یقدّم أصل عدم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بناء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اختلاف النسخ، و بعد وجود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الاتکاء علی أحد الأصلین، و إنّما تجری هذه الاصول و أصالة عدم السهو و الخطأ و الغفلة، عند عدم وجود ما یوجب الشکّ المستقرّ و یعدّ احتمالا عقلائیّا؛ لعدم دلیل لفظیّ علی حجّیتها، فلا تغفل، فما فی کتب جمع من الأعلام لا یرجع إلی محصّل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عدم کفایة کونه عقلائیّا؛ للحاجة إلی الإمضاء، و هو غیر محرز، بل الأظهر خلافه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الشهرة العملیّة فی الکتب الاستدلالیّة المعتضدة بوثاقة خبر زرارة، تقضی الأخذ بتلک الموثّقة الخالیة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bookmarkStart w:id="490" w:name="pg13177_117925"/>
    </w:p>
    <w:p>
      <w:pPr>
        <w:pStyle w:val="BookText"/>
        <w:rPr/>
      </w:pPr>
      <w:bookmarkEnd w:id="490"/>
      <w:r>
        <w:rPr>
          <w:rFonts w:ascii="IRNazanin" w:hAnsi="IRNazanin" w:eastAsia="IRNazanin"/>
          <w:color w:val="111111"/>
          <w:sz w:val="28"/>
          <w:sz w:val="28"/>
          <w:szCs w:val="28"/>
          <w:rtl w:val="true"/>
          <w:lang w:bidi="fa-IR"/>
        </w:rPr>
        <w:t>لکونهما فی روایتین غیر نقیّتی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 عن کونه روایة، بل الظاهر أنّه رحمه اللّه استدلّ للمسألة بما کان عنده، و قد تحرّر أنّ مرسلات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معتبرة</w:t>
      </w:r>
      <w:r>
        <w:rPr>
          <w:rStyle w:val="FootnoteAnchor"/>
          <w:rtl w:val="true"/>
        </w:rPr>
        <w:footnoteReference w:id="533"/>
      </w:r>
      <w:r>
        <w:rPr>
          <w:rFonts w:ascii="IRNazanin" w:hAnsi="IRNazanin" w:eastAsia="IRNazanin"/>
          <w:color w:val="111111"/>
          <w:sz w:val="28"/>
          <w:sz w:val="28"/>
          <w:szCs w:val="28"/>
          <w:rtl w:val="true"/>
          <w:lang w:bidi="fa-IR"/>
        </w:rPr>
        <w:t>، و لا سیّما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قام علیه الحجّة شرعا و عرفا أنّه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حکایة قصّة سمرة بغیر الحجّة و الحجّة لا یرجع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احتمالات اخر لا تزید و لا تنقص</w:t>
      </w:r>
      <w:r>
        <w:rPr>
          <w:rFonts w:eastAsia="IRNazanin" w:cs="IRNazanin"/>
          <w:color w:val="111111"/>
          <w:sz w:val="28"/>
          <w:szCs w:val="28"/>
          <w:rtl w:val="true"/>
          <w:lang w:bidi="fa-IR"/>
        </w:rPr>
        <w:t>.</w:t>
      </w:r>
    </w:p>
    <w:p>
      <w:pPr>
        <w:pStyle w:val="Heading5"/>
        <w:numPr>
          <w:ilvl w:val="4"/>
          <w:numId w:val="1"/>
        </w:numPr>
        <w:rPr/>
      </w:pPr>
      <w:bookmarkStart w:id="491" w:name="__RefHeading___Toc763914_3244359995"/>
      <w:bookmarkStart w:id="492" w:name="_Toc182"/>
      <w:bookmarkEnd w:id="491"/>
      <w:r>
        <w:rPr>
          <w:rtl w:val="true"/>
        </w:rPr>
        <w:t>تنبیه أوّل</w:t>
      </w:r>
      <w:r>
        <w:rPr>
          <w:rtl w:val="true"/>
        </w:rPr>
        <w:t xml:space="preserve">: </w:t>
      </w:r>
      <w:r>
        <w:rPr>
          <w:rtl w:val="true"/>
        </w:rPr>
        <w:t>حول الإشکال علی اعتبار المتن من ناحیة اختلافه</w:t>
      </w:r>
      <w:bookmarkEnd w:id="492"/>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و اللاحجّة و إن لم تتعارضا، إلّا أنّ ذلک فی الخبرین، و أمّا فی صورة وحدة الخبر المحکیّ علی طرق مختلفة، فیشکل الاتکال علی المتن المحکیّ بالسند المعتبر؛ لکفایة اختلاف النسخ للشکّ المستند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کون الخلاف غیر مهمّ فیما یهمّنا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غیر تامّ بعد عدم دلیل علی حجّیة الخبر الواحد إلّا بناء العقلاء اللبّی المأخوذ بالقدر المتیقّن منه،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المحرّر عندنا أنّ الخبر الواحد حجّة، و الخبر الموثوق به أیضا حجّة، و بعد وجود الشهرة العملیّة و الروایة و قیام ذلک السند المعتبر یحصل الوثوق الشخصیّ بصدور الجملة المذکورة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الأوّل المنتهی إلی المناقشة فی أصل الصدور؛ نظرا إلی إمکان ذلک للاضطراب، أو من جهة مقایسة تلک القاعدة بالأصحاب المختلقین الذین قیل</w:t>
      </w:r>
      <w:r>
        <w:rPr>
          <w:rFonts w:eastAsia="IRNazanin" w:cs="IRNazanin"/>
          <w:color w:val="111111"/>
          <w:sz w:val="28"/>
          <w:szCs w:val="28"/>
          <w:rtl w:val="true"/>
          <w:lang w:bidi="fa-IR"/>
        </w:rPr>
        <w:t>:</w:t>
      </w:r>
      <w:bookmarkStart w:id="493" w:name="pg13177_117926"/>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بلغوا إلی مائة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بعض أصدقائنا فی ذلک کتابا</w:t>
      </w:r>
      <w:r>
        <w:rPr>
          <w:rStyle w:val="FootnoteAnchor"/>
          <w:rtl w:val="true"/>
        </w:rPr>
        <w:footnoteReference w:id="535"/>
      </w:r>
      <w:r>
        <w:rPr>
          <w:rFonts w:ascii="IRNazanin" w:hAnsi="IRNazanin" w:eastAsia="IRNazanin"/>
          <w:color w:val="111111"/>
          <w:sz w:val="28"/>
          <w:sz w:val="28"/>
          <w:szCs w:val="28"/>
          <w:rtl w:val="true"/>
          <w:lang w:bidi="fa-IR"/>
        </w:rPr>
        <w:t>، فإذا کان ذلک جائزا فی هذا الأمر ففی القاعدة قریب جدّا، غیر صحیح؛ لأنّ کثرة وجودها فی کتب الخاصّة و العامّة، و کثرة الاعتماد علیها من القدیم إلی الجدید، تمنع عن تجویز الاحتمال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یقاس ما نحن فیه بقصّة الاختلاق المذکور، بعد کونهم مذکورین فی الکتب غیر المعتمدة، و عدم اشتهارهم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العقلاء و المسلمین لا یتلقّون القوانین الضرریّة و الإضراریّة من الدین السهل السمح الذی بعث علیه رسول اللّه صلّی اللّه علیه و اله و سلّم و مع أنّ فی الکتاب العزیز آیات ناظرة إلی ممنوعیة الضرار البالغة إلی الستّة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فعندئذ تقدیم مثل هذه القاعدة علی مجموع العمومات و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جدّا</w:t>
      </w:r>
      <w:r>
        <w:rPr>
          <w:rFonts w:eastAsia="IRNazanin" w:cs="IRNazanin"/>
          <w:color w:val="111111"/>
          <w:sz w:val="28"/>
          <w:szCs w:val="28"/>
          <w:rtl w:val="true"/>
          <w:lang w:bidi="fa-IR"/>
        </w:rPr>
        <w:t>.</w:t>
      </w:r>
    </w:p>
    <w:p>
      <w:pPr>
        <w:pStyle w:val="Heading5"/>
        <w:numPr>
          <w:ilvl w:val="4"/>
          <w:numId w:val="1"/>
        </w:numPr>
        <w:rPr/>
      </w:pPr>
      <w:bookmarkStart w:id="494" w:name="__RefHeading___Toc763916_3244359995"/>
      <w:bookmarkStart w:id="495" w:name="_Toc183"/>
      <w:bookmarkEnd w:id="494"/>
      <w:r>
        <w:rPr>
          <w:rtl w:val="true"/>
        </w:rPr>
        <w:t>تنبیه آخر</w:t>
      </w:r>
      <w:r>
        <w:rPr>
          <w:rtl w:val="true"/>
        </w:rPr>
        <w:t xml:space="preserve">: </w:t>
      </w:r>
      <w:r>
        <w:rPr>
          <w:rtl w:val="true"/>
        </w:rPr>
        <w:t>حول إجمال القاعدة</w:t>
      </w:r>
      <w:bookmarkEnd w:id="495"/>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صدور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الإفعال غیر صحیح؛ لأنّه فی بعض النسخ النادرة المحتمل کونها غلطا، و لا سیّما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الأغلاط الکثیرة، حتّی حکی عن جدّی النابغة فی الدوران و الوحید فی الأزمان؛ الشیخ أبی الفضل ذی الفضائل ابن الشیخ العلّامة أبی القاسم الکلانتر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أغلط کتب الشیعة، و القاموس أغلط کتب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احتمال الکلمتین الأخیریتین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دعوی کونهما القدر المتیقّن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بأن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ضرر و لا</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وجوها حسب أدب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الجملة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ضمیر الشأن، و تکون الجملة قضیّة إیجابیّة معدولة المحمول، و تصیر النتیجة أنّها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التنوین علی مدخولها، و یقرأ منوّنا بالرفع؛ أی فإنّه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عدم وجود الخبر فی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إنّ اجعل للا فی النکرةمفردة جاءتک أو مکرّرة</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أو کانت من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لا ولات 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تحتاج أیضا إلی الخبر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سواه ناقص و النقص فی‌فتی و لیس زال دائما قفی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النکرات اعملت کلیس لاو قد تلی لات و إن ذا العملا</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القواعد الأدبیّة البدویّة أنّها إذا کانت بلا خبر، تعتبر الجملة معدولة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ذهاب المنطقیّین إلی اعتبار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للعدول فی القضایا</w:t>
      </w:r>
      <w:r>
        <w:rPr>
          <w:rStyle w:val="FootnoteAnchor"/>
          <w:rtl w:val="true"/>
        </w:rPr>
        <w:footnoteReference w:id="540"/>
      </w:r>
      <w:r>
        <w:rPr>
          <w:rFonts w:ascii="IRNazanin" w:hAnsi="IRNazanin" w:eastAsia="IRNazanin"/>
          <w:color w:val="111111"/>
          <w:sz w:val="28"/>
          <w:sz w:val="28"/>
          <w:szCs w:val="28"/>
          <w:rtl w:val="true"/>
          <w:lang w:bidi="fa-IR"/>
        </w:rPr>
        <w:t>بلا شاهد، و لم یقم دلیل علیه فی کتب الأدب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تأتی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یکون اسمها منصوبا، و لکن یذکر له الخبر أیضا، علی خلاف یأتی فی صورة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p>
    <w:p>
      <w:pPr>
        <w:pStyle w:val="BookText"/>
        <w:rPr/>
      </w:pP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هذا، لیست الجملة معدولة، بل المعدولة تنحصر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حمل الخبر علی المبتدأ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یشبه نفی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منوّنا مرفوعا؛ لکونها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نفی جنس، فیکون الاسم مفتوحا، لا منصوبا، و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لاغیة بالنسبة إلی تنوین التمکّن،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هو التحقیق عدم معقولیّة السلب التامّ؛ أی سلب الشی‌ء علی الإطلاق بدون الخبر و ما بحکمه، کالجارّ و المجرور؛ و ذلک لأنّ مقتضی السلب علی الإطلاق، هو سلب وجوده التصوّری، و لأجله لا معنی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أیضا، کما حرّرناه فی محلّه؛ فإنّ المقصود من السلب التامّ لیس ذلک، و لا یعقل، و عندئذ لا بدّ من خبر محذوف حتّی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الخبر لا یعتبر أن یکون محمولا و من القضایا غیر المؤوّلة، بل یکفی کونه من المؤوّلات،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لا بدّ من وجود محذوف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حرّرناه فی المجلّد الأوّل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عندئذ یکون هناک 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بین المخلوقین بعضهم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الأعیان و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الحذف یوجب الإجمال، و یحتاج إلی المبیّن، و إنّما تختلف معانی الجملة باختلاف المحذوف؛ فلو کان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یختلف مع کون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الخلق بعضهم</w:t>
      </w:r>
    </w:p>
    <w:p>
      <w:pPr>
        <w:pStyle w:val="BookText"/>
        <w:rPr/>
      </w:pPr>
      <w:r>
        <w:rPr>
          <w:rFonts w:ascii="IRNazanin" w:hAnsi="IRNazanin" w:eastAsia="IRNazanin"/>
          <w:color w:val="111111"/>
          <w:sz w:val="28"/>
          <w:sz w:val="28"/>
          <w:szCs w:val="28"/>
          <w:rtl w:val="true"/>
          <w:lang w:bidi="fa-IR"/>
        </w:rPr>
        <w:t>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سمرة الذی هو مسلم ظاهرا، و لکنّه کان فاسقا فاجرا ملعونا خبیثا محجوب الفطرة و الطینة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نحتاج فی نفی تذییل القاعدة بکلمتی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اشیر إلیه؛ لعدم ذکرهما فی روایة تکون حجّة؛ ضرورة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المقیّد بالنسبة إلی إطلاق معتبر زرارة، و لا حجّیة له بعد کون علیّ بن محمّد بن بندار فی السند، مع إرسال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ابن بندار من مشایخ الکلینیّ رحمه اللّه غیر کاف، بل فیه إیماء إلی أنّه غیر موجّه عند أصحابنا الرجالیّین؛ لإهماله فی الاصول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قلّة روایته عنه علی ما یعلم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کفایة کون المرسل محمّد بن خالد البرقیّ،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علیها بعد اشتهار القاعدة بلا خبر و بدون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أسوأ حالا؛ لکونها فی 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حجّة علی الإطلاق، و لا سیّما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احتمال سبق الذهن إلی الکلمتین؛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إلی الخبر حسب القواعد، و شدّة انسهم بالإیمان و الإسلام، أوقعتهم فی الازدیاد المذکور، و لا سیّما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فلیراجع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فعندئذ تصیر القاعدة لحذف الخبر المحتاج إلیه، مجملة جدّا، و هذا ممّا خفی علی الأعلام کلّهم، کما لا یخفی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الأدب و الاستعمال فی الجمل الواردة فی الکتاب و السنّة، کلّها متّفقة علی الحاجة إلی الخبر حتّی فی النفی المراد منه النهی، فضلا عن النفی الحقیقیّ، فاغتنم</w:t>
      </w:r>
      <w:r>
        <w:rPr>
          <w:rFonts w:eastAsia="IRNazanin" w:cs="IRNazanin"/>
          <w:color w:val="111111"/>
          <w:sz w:val="28"/>
          <w:szCs w:val="28"/>
          <w:rtl w:val="true"/>
          <w:lang w:bidi="fa-IR"/>
        </w:rPr>
        <w:t>.</w:t>
      </w:r>
      <w:bookmarkStart w:id="496" w:name="pg13177_117930"/>
    </w:p>
    <w:p>
      <w:pPr>
        <w:pStyle w:val="BookText"/>
        <w:rPr/>
      </w:pPr>
      <w:bookmarkEnd w:id="496"/>
      <w:r>
        <w:rPr>
          <w:rFonts w:ascii="IRNazanin" w:hAnsi="IRNazanin" w:eastAsia="IRNazanin"/>
          <w:color w:val="111111"/>
          <w:sz w:val="28"/>
          <w:sz w:val="28"/>
          <w:szCs w:val="28"/>
          <w:rtl w:val="true"/>
          <w:lang w:bidi="fa-IR"/>
        </w:rPr>
        <w:t>و ما عن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کون ابن بندار هو علیّ بن محمّد بن أبی القاسم الثقة</w:t>
      </w:r>
      <w:r>
        <w:rPr>
          <w:rStyle w:val="FootnoteAnchor"/>
          <w:rtl w:val="true"/>
        </w:rPr>
        <w:footnoteReference w:id="544"/>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به </w:t>
      </w:r>
      <w:r>
        <w:rPr>
          <w:rStyle w:val="FootnoteAnchor"/>
          <w:rtl w:val="true"/>
        </w:rPr>
        <w:footnoteReference w:id="545"/>
      </w:r>
      <w:r>
        <w:rPr>
          <w:rFonts w:ascii="IRNazanin" w:hAnsi="IRNazanin" w:eastAsia="IRNazanin"/>
          <w:color w:val="111111"/>
          <w:sz w:val="28"/>
          <w:sz w:val="28"/>
          <w:szCs w:val="28"/>
          <w:rtl w:val="true"/>
          <w:lang w:bidi="fa-IR"/>
        </w:rPr>
        <w:t xml:space="preserve">، لا یرجع إلی محصّل بعد اضطراب الإسناد هنا، کما یعلم من النجّاشی فی ذیل محمّد بن أبی القاسم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شرعیّة علی تعیین المحذوف بهذین الخبرین،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بکفایة إحداهما؛ لکونها خبر الجملتین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ما عرفت عقلا و نقلا، و مقتضی القواعد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تحتاج إلی الخبر، و هو غیر مذکور و محذوف، و فیه الاحتمالات الکثیرة کما اشیر إلیها، و لا وجه لتعیین شی‌ء خبرا له، و سیمرّ علیک تحقیقه</w:t>
      </w:r>
      <w:r>
        <w:rPr>
          <w:rFonts w:eastAsia="IRNazanin" w:cs="IRNazanin"/>
          <w:color w:val="111111"/>
          <w:sz w:val="28"/>
          <w:szCs w:val="28"/>
          <w:rtl w:val="true"/>
          <w:lang w:bidi="fa-IR"/>
        </w:rPr>
        <w:t>.</w:t>
      </w:r>
    </w:p>
    <w:p>
      <w:pPr>
        <w:pStyle w:val="Heading5"/>
        <w:numPr>
          <w:ilvl w:val="4"/>
          <w:numId w:val="1"/>
        </w:numPr>
        <w:rPr/>
      </w:pPr>
      <w:bookmarkStart w:id="497" w:name="__RefHeading___Toc763918_3244359995"/>
      <w:bookmarkStart w:id="498" w:name="_Toc184"/>
      <w:bookmarkEnd w:id="497"/>
      <w:r>
        <w:rPr>
          <w:rtl w:val="true"/>
        </w:rPr>
        <w:t>تنبیه ثالث</w:t>
      </w:r>
      <w:r>
        <w:rPr>
          <w:rtl w:val="true"/>
        </w:rPr>
        <w:t xml:space="preserve">: </w:t>
      </w:r>
      <w:r>
        <w:rPr>
          <w:rtl w:val="true"/>
        </w:rPr>
        <w:t>حول ذیل القاعدة و صدورها مرّات أو مرّة</w:t>
      </w:r>
      <w:bookmarkEnd w:id="498"/>
    </w:p>
    <w:p>
      <w:pPr>
        <w:pStyle w:val="BookText"/>
        <w:rPr/>
      </w:pPr>
      <w:r>
        <w:rPr>
          <w:rFonts w:ascii="IRNazanin" w:hAnsi="IRNazanin" w:eastAsia="IRNazanin"/>
          <w:color w:val="111111"/>
          <w:sz w:val="28"/>
          <w:sz w:val="28"/>
          <w:szCs w:val="28"/>
          <w:rtl w:val="true"/>
          <w:lang w:bidi="fa-IR"/>
        </w:rPr>
        <w:t xml:space="preserve">لا فرق بعد ما تحرّر، بین صدور القاعدة مرّة واحدة عنه صلّی اللّه علیه و اله و سلّم أو مرارا؛ لأنّ أساس المناقشة من واد آخر، فقول بعضهم بصدوره مرارا؛ لظهور خبر زرارة، عن أبی جعفر علیه السّلام و ظهور خبرین لعقبة بن خالد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الشفعة</w:t>
      </w:r>
      <w:r>
        <w:rPr>
          <w:rStyle w:val="FootnoteAnchor"/>
          <w:rtl w:val="true"/>
        </w:rPr>
        <w:footnoteReference w:id="547"/>
      </w:r>
      <w:r>
        <w:rPr>
          <w:rFonts w:ascii="IRNazanin" w:hAnsi="IRNazanin" w:eastAsia="IRNazanin"/>
          <w:color w:val="111111"/>
          <w:sz w:val="28"/>
          <w:sz w:val="28"/>
          <w:szCs w:val="28"/>
          <w:rtl w:val="true"/>
          <w:lang w:bidi="fa-IR"/>
        </w:rPr>
        <w:t>، و مسألة منع فضل الماء لمنع فضل الکلأ</w:t>
      </w:r>
      <w:r>
        <w:rPr>
          <w:rStyle w:val="FootnoteAnchor"/>
          <w:rtl w:val="true"/>
        </w:rPr>
        <w:footnoteReference w:id="548"/>
      </w:r>
      <w:r>
        <w:rPr>
          <w:rFonts w:ascii="IRNazanin" w:hAnsi="IRNazanin" w:eastAsia="IRNazanin"/>
          <w:color w:val="111111"/>
          <w:sz w:val="28"/>
          <w:sz w:val="28"/>
          <w:szCs w:val="28"/>
          <w:rtl w:val="true"/>
          <w:lang w:bidi="fa-IR"/>
        </w:rPr>
        <w:t>، فی صدوره مستقلّا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باب التمسّک جمعا بین الروایة و القضاء و القاعدة، بعد ابتلائهم بعدم اقتضاء القاعدة المذکورة تشریع حکم فی الإسلام، بل هی نافیة</w:t>
      </w:r>
    </w:p>
    <w:p>
      <w:pPr>
        <w:pStyle w:val="BookText"/>
        <w:rPr/>
      </w:pPr>
      <w:r>
        <w:rPr>
          <w:rFonts w:ascii="Amiri" w:hAnsi="Amiri" w:eastAsia="Amiri" w:cs="Amiri"/>
          <w:color w:val="111111"/>
          <w:sz w:val="28"/>
          <w:sz w:val="28"/>
          <w:szCs w:val="28"/>
          <w:rtl w:val="true"/>
          <w:lang w:bidi="ar-SA"/>
        </w:rPr>
        <w:t>مثلا، فلم تصدر إلّا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الخبرین غیر حجّة؛ لعدم السند لهما، و لاحتمال اختلال جهة الصدور؛ لکثرة ذلک فی أخبارنا تسکیتا لأعدائنا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الظاهر صدوره عنه مرارا؛ لأنّ ذکرها فی ذیلهما ظاهر فیه، و لقول عقبة بن خالد فی کتاب إحیاء الموات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التمسّک فی قصّة سمرة بن جندب بالحکم الإبداعیّ الجدید فی المجلس المذکور، خلاف المتعارف، بل کأنّها قاعدة معروفة بین الصحابة حتّی بلغت إلی سمرة، فتمسّک صلّی اللّه علیه و اله و سلّم بها کی یسکت عند التمسّک بها،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علیک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أمره صلّی اللّه علیه و اله و سلّم بالقلع و الرمی و بقاء شجرته عنده، ضرر علیه، فلو رجع إلیه صلّی اللّه علیه و اله و سلّم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ضرر و لا ضرار، و هذا عین الضرر و الضرار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جواب، بخلاف کونها صادرة قبل ذلک مشهورة بینهم،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استقلال ابن عبادة الصامت عن أبیه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روایتها بعنوان القضاء</w:t>
      </w:r>
      <w:r>
        <w:rPr>
          <w:rStyle w:val="FootnoteAnchor"/>
          <w:rtl w:val="true"/>
        </w:rPr>
        <w:footnoteReference w:id="550"/>
      </w:r>
      <w:r>
        <w:rPr>
          <w:rFonts w:ascii="IRNazanin" w:hAnsi="IRNazanin" w:eastAsia="IRNazanin"/>
          <w:color w:val="111111"/>
          <w:sz w:val="28"/>
          <w:sz w:val="28"/>
          <w:szCs w:val="28"/>
          <w:rtl w:val="true"/>
          <w:lang w:bidi="fa-IR"/>
        </w:rPr>
        <w:t>، و هکذا ابن ماجة</w:t>
      </w:r>
      <w:r>
        <w:rPr>
          <w:rStyle w:val="FootnoteAnchor"/>
          <w:rtl w:val="true"/>
        </w:rPr>
        <w:footnoteReference w:id="551"/>
      </w:r>
      <w:r>
        <w:rPr>
          <w:rFonts w:ascii="IRNazanin" w:hAnsi="IRNazanin" w:eastAsia="IRNazanin"/>
          <w:color w:val="111111"/>
          <w:sz w:val="28"/>
          <w:sz w:val="28"/>
          <w:szCs w:val="28"/>
          <w:rtl w:val="true"/>
          <w:lang w:bidi="fa-IR"/>
        </w:rPr>
        <w:t xml:space="preserve">، بل هو ظاهر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و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هو أیضا یستظهر من حکایة سمرة، حیث ورد فیها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الموارد ورد أنّه صلّی اللّه علیه و اله و سلّم قضی، فکأنّه قضاء کلّی فی مورد قبل قصّة سمرة، و استدلّ به فیها،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عندنا بعد ضعف تلک الأخبار، بین وجود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کلیهما علی التشبیک، أو غیره، و هکذا بین ورودها علی الاستقلال تارة، و غیر مستقلّة اخری،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بین کون علیّ بن محمّد بن بندار معتبرا؛ لکونه من مشایخ الکلینیّ، و لا سیّما علیّ بن إبراهیم، 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بین کونه من المرسلات الاصطلاحیّة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المرسلات المعتبرة عند جمع من المشایخ؛ فإنّه لو صحّ ذلک فی مرسلاته المحکومة بالمسانید، فهو هنا محکوم بعدم الصحّة؛ لأنّ موثّقة زرارة</w:t>
      </w:r>
      <w:r>
        <w:rPr>
          <w:rStyle w:val="FootnoteAnchor"/>
          <w:rtl w:val="true"/>
        </w:rPr>
        <w:footnoteReference w:id="554"/>
      </w:r>
      <w:r>
        <w:rPr>
          <w:rFonts w:ascii="IRNazanin" w:hAnsi="IRNazanin" w:eastAsia="IRNazanin"/>
          <w:color w:val="111111"/>
          <w:sz w:val="28"/>
          <w:sz w:val="28"/>
          <w:szCs w:val="28"/>
          <w:rtl w:val="true"/>
          <w:lang w:bidi="fa-IR"/>
        </w:rPr>
        <w:t xml:space="preserve">حاکیة علی وجه مخالف لمحکیّ ابن مسکان، عن زرارة الحاوی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حیث تکون النسبة الباطلة إلیه صلّی اللّه علیه و اله و سلّم علی خلاف الواقع غیر جائزة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ابن مسکان، عن زرارة، عنه علیه السّلام أنّه صلّی اللّه علیه و اله و سلّم قال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مؤمن، ثمّ أمر بها رسول اللّه صلّی اللّه علیه و اله و سلّم فقلعت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ابن مسکان بعد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علی أنّه علیه السّلام متقصّد إلی تعقّبه بالحادثة، و أنّه صلّی اللّه علیه و اله و سلّم لم یأمر بالقلع و الرمی؛ فإنّه رحمة للعالمین، بل المسلمون کأنّه فهموا من قوله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القلع و الرمی عنده، فالحکایة حکیت علی وجوه مختلفة اختلافا مهتمّا 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الموثّقة بعد اشتمالها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بحکم</w:t>
      </w:r>
      <w:bookmarkStart w:id="499" w:name="pg13177_117933"/>
    </w:p>
    <w:p>
      <w:pPr>
        <w:pStyle w:val="BookText"/>
        <w:rPr/>
      </w:pPr>
      <w:bookmarkEnd w:id="499"/>
      <w:r>
        <w:rPr>
          <w:rFonts w:ascii="IRNazanin" w:hAnsi="IRNazanin" w:eastAsia="IRNazanin"/>
          <w:color w:val="111111"/>
          <w:sz w:val="28"/>
          <w:sz w:val="28"/>
          <w:szCs w:val="28"/>
          <w:rtl w:val="true"/>
          <w:lang w:bidi="fa-IR"/>
        </w:rPr>
        <w:t>الاستقلال، و ظاهرة فی العلّة المعمّمة و المخصّصة،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یوجب وجود الروایات المختلفة الحاکیة للقصّة الواحدة، ضعفا فی السند، فعندئذ نحتاج إلی علاج محتاج إلیه؛ ضرورة أنّ الإسناد إلیه صلّی اللّه علیه و اله و سلّم علی الإطلاق محرّم قطعا فی صورة کونه کاذبا، و یکون ذلک شاهدا علی خطأ الرواة، و ضعف حالهم، و عدم اعتنائهم بالإسناد المحرّم و لو فی الموضوعات، مع أنّه تختلف فیما نحن فیه کیفیّة استفادة الحکم حسب اختلاف التعبیر، کما هو الواضح، فالتسامح فی خصوصیّة النقل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الآن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تلک القاعدة و هذا القانون العامّ الإسلامیّ،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إجماله و سقوطه عن القابلیّة للمرجعیّة؛ لما فیه الاحتمالات، حکومة، أو تشریعا، أو علّة لأحکام کلّیة علی نعت الملاک فی سلسلة العلل، و کلّ ذلک ناشئ من حذف الخبر</w:t>
      </w:r>
      <w:r>
        <w:rPr>
          <w:rFonts w:eastAsia="IRNazanin" w:cs="IRNazanin"/>
          <w:color w:val="111111"/>
          <w:sz w:val="28"/>
          <w:szCs w:val="28"/>
          <w:rtl w:val="true"/>
          <w:lang w:bidi="fa-IR"/>
        </w:rPr>
        <w:t>.</w:t>
      </w:r>
    </w:p>
    <w:p>
      <w:pPr>
        <w:pStyle w:val="Heading5"/>
        <w:numPr>
          <w:ilvl w:val="4"/>
          <w:numId w:val="1"/>
        </w:numPr>
        <w:rPr/>
      </w:pPr>
      <w:bookmarkStart w:id="500" w:name="__RefHeading___Toc763920_3244359995"/>
      <w:bookmarkStart w:id="501" w:name="_Toc185"/>
      <w:bookmarkEnd w:id="500"/>
      <w:r>
        <w:rPr>
          <w:rtl w:val="true"/>
        </w:rPr>
        <w:t>تنبیه رابع</w:t>
      </w:r>
      <w:r>
        <w:rPr>
          <w:rtl w:val="true"/>
        </w:rPr>
        <w:t xml:space="preserve">: </w:t>
      </w:r>
      <w:r>
        <w:rPr>
          <w:rtl w:val="true"/>
        </w:rPr>
        <w:t>فی الوجوه التی یمکن الاعتماد علیها لرفع الإجمال المذکور</w:t>
      </w:r>
      <w:bookmarkEnd w:id="501"/>
    </w:p>
    <w:p>
      <w:pPr>
        <w:pStyle w:val="Heading6"/>
        <w:numPr>
          <w:ilvl w:val="5"/>
          <w:numId w:val="1"/>
        </w:numPr>
        <w:rPr/>
      </w:pPr>
      <w:bookmarkStart w:id="502" w:name="__RefHeading___Toc763922_3244359995"/>
      <w:bookmarkStart w:id="503" w:name="_Toc186"/>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مورد القاعدة هو أنّ المحذوف و الخبر المقدّر هی جملة تناسبه، و هی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لأحد علی أحد، و لا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المحذوف أمرا أوسع منه، قابلا للانطباق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أو کلاهما نهی، فلا حاجة عندئذ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بحسب الاستعمال نفی و إن ارید به النهی فرضا، و المیزان فی النقص و التمام فی النواسخ هو مقام الاستعمال، فلا بدّ من وجود الخبر و لو کانت الجملة کنایة عن مبغوضیّة الإضرار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المقرّر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یکون نهیا،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بحکم النهی؛ لما سیأتی إن شاء اللّه تعالی فالتمسّک بما أبدعناه لحمل القاعدة علی النهی غیر صحیح، و سیأتی توضیحه إن شاء اللّه تعالی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قاعدة وردت مستقلّة حسب الشواهد المذکورة فی السابق، فالخبر المقدّر عامّ، و قد حذف لإفادة العموم؛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الإطلاق بین الأناسی و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ذکر الخبر فی جمیع الجمل الموجودة، سواء کانت نهیا،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فِی الْحَجِ </w:t>
      </w:r>
      <w:r>
        <w:rPr>
          <w:rStyle w:val="FootnoteAnchor"/>
          <w:rtl w:val="true"/>
        </w:rPr>
        <w:footnoteReference w:id="558"/>
      </w:r>
      <w:r>
        <w:rPr>
          <w:rFonts w:ascii="IRNazanin" w:hAnsi="IRNazanin" w:eastAsia="IRNazanin"/>
          <w:color w:val="111111"/>
          <w:sz w:val="28"/>
          <w:sz w:val="28"/>
          <w:szCs w:val="28"/>
          <w:rtl w:val="true"/>
          <w:lang w:bidi="fa-IR"/>
        </w:rPr>
        <w:t>فإنّه حسب الاستعمال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کانت نفیا،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تَثْرِیبَ عَلَیْکُمُ الْیَوْمَ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الألسنة کثیر من هذا الاسلوب، و لا یوجد فیها إلّا مع الخبر،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المسلم و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الزوج و الزوجة، و بین السیّد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لمن أقرّ علی نفسه بالسهو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کثیر فی أخبار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قیاس فی الدین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مناجشة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لمن ألقی جلباب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یکون محذوفا،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المحذوف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سیبویه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نفی تامّ </w:t>
      </w:r>
      <w:r>
        <w:rPr>
          <w:rStyle w:val="FootnoteAnchor"/>
          <w:rtl w:val="true"/>
        </w:rPr>
        <w:footnoteReference w:id="561"/>
      </w:r>
      <w:r>
        <w:rPr>
          <w:rFonts w:ascii="IRNazanin" w:hAnsi="IRNazanin" w:eastAsia="IRNazanin"/>
          <w:color w:val="111111"/>
          <w:sz w:val="28"/>
          <w:sz w:val="28"/>
          <w:szCs w:val="28"/>
          <w:rtl w:val="true"/>
          <w:lang w:bidi="fa-IR"/>
        </w:rPr>
        <w:t>فی غیر محلّه، و قد مرّ تفصیله فی المجلّد الأوّل فی بحث مفهوم الحصر</w:t>
      </w:r>
      <w:r>
        <w:rPr>
          <w:rStyle w:val="FootnoteAnchor"/>
          <w:rtl w:val="true"/>
        </w:rPr>
        <w:footnoteReference w:id="562"/>
      </w:r>
      <w:r>
        <w:rPr>
          <w:rFonts w:ascii="Amiri" w:hAnsi="Amiri" w:eastAsia="Amiri" w:cs="Amiri"/>
          <w:color w:val="111111"/>
          <w:sz w:val="28"/>
          <w:sz w:val="28"/>
          <w:szCs w:val="28"/>
          <w:rtl w:val="true"/>
          <w:lang w:bidi="ar-SA"/>
        </w:rPr>
        <w:t xml:space="preserve">، و لو کان فتکون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غیر؛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تُکَلَّفُ إِلَّا نَفْسَکَ </w:t>
      </w:r>
      <w:r>
        <w:rPr>
          <w:rStyle w:val="FootnoteAnchor"/>
          <w:rtl w:val="true"/>
        </w:rPr>
        <w:footnoteReference w:id="563"/>
      </w:r>
      <w:r>
        <w:rPr>
          <w:rFonts w:ascii="IRNazanin" w:hAnsi="IRNazanin" w:eastAsia="IRNazanin"/>
          <w:color w:val="111111"/>
          <w:sz w:val="28"/>
          <w:sz w:val="28"/>
          <w:szCs w:val="28"/>
          <w:rtl w:val="true"/>
          <w:lang w:bidi="fa-IR"/>
        </w:rPr>
        <w:t>من المشاکل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ینتقل الذهن إلی الوجود الخارجیّ،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الوثوق بصدوره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 أمرا عامّا کلّیا محیطا شاملا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استئناس وروده مستقلّا غیر کاف، بل لا بدّ من قیام الحجّة الشرعیّة علیه، و إلّا فالقدر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النفی الحقیقیّ، أو الاستعمالیّ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 المناسب لقصّة سمرة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من الشواهد یحصل الوثوق بصدوره مستقلّا، و لا سیّما تذیّل حدیث الشفعة، و 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إطالة المتأخّرین حول مناسبة حقّ الشفعة و منع فضل الماء مع القاعدة</w:t>
      </w:r>
      <w:r>
        <w:rPr>
          <w:rStyle w:val="FootnoteAnchor"/>
          <w:rtl w:val="true"/>
        </w:rPr>
        <w:footnoteReference w:id="564"/>
      </w:r>
      <w:r>
        <w:rPr>
          <w:rFonts w:ascii="IRNazanin" w:hAnsi="IRNazanin" w:eastAsia="IRNazanin"/>
          <w:color w:val="111111"/>
          <w:sz w:val="28"/>
          <w:sz w:val="28"/>
          <w:szCs w:val="28"/>
          <w:rtl w:val="true"/>
          <w:lang w:bidi="fa-IR"/>
        </w:rPr>
        <w:t>، فهی أجنبیّة عن مسألتنا، و إنّما کثر فی</w:t>
      </w:r>
      <w:bookmarkStart w:id="504" w:name="pg13177_117936"/>
    </w:p>
    <w:p>
      <w:pPr>
        <w:pStyle w:val="BookText"/>
        <w:rPr/>
      </w:pPr>
      <w:bookmarkEnd w:id="504"/>
      <w:r>
        <w:rPr>
          <w:rFonts w:ascii="Amiri" w:hAnsi="Amiri" w:eastAsia="Amiri" w:cs="Amiri"/>
          <w:color w:val="111111"/>
          <w:sz w:val="28"/>
          <w:sz w:val="28"/>
          <w:szCs w:val="28"/>
          <w:rtl w:val="true"/>
          <w:lang w:bidi="ar-SA"/>
        </w:rPr>
        <w:t>أخبارنا التمسّک بقوله صلّی اللّه علیه و اله و سلّم 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حصّلنا المناسبة بین الصدر و الذیل فی الحدیثین، أو لم نحصّل، لا یکون دخیلا فی المرام فی المقام، کما لا یخفی علی ذوی الأفهام، و إنّما نظرنا إلی استظهار صدوره مستقلّا، کما اعتقده العلّامة النائینیّ رحمه اللّه </w:t>
      </w:r>
      <w:r>
        <w:rPr>
          <w:rStyle w:val="FootnoteAnchor"/>
          <w:rtl w:val="true"/>
        </w:rPr>
        <w:footnoteReference w:id="565"/>
      </w:r>
      <w:r>
        <w:rPr>
          <w:rFonts w:ascii="IRNazanin" w:hAnsi="IRNazanin" w:eastAsia="IRNazanin"/>
          <w:color w:val="111111"/>
          <w:sz w:val="28"/>
          <w:sz w:val="28"/>
          <w:szCs w:val="28"/>
          <w:rtl w:val="true"/>
          <w:lang w:bidi="fa-IR"/>
        </w:rPr>
        <w:t>بلا وجه، و لعلّه دأبه فی کثیر من المسائل</w:t>
      </w:r>
      <w:r>
        <w:rPr>
          <w:rFonts w:eastAsia="IRNazanin" w:cs="IRNazanin"/>
          <w:color w:val="111111"/>
          <w:sz w:val="28"/>
          <w:szCs w:val="28"/>
          <w:rtl w:val="true"/>
          <w:lang w:bidi="fa-IR"/>
        </w:rPr>
        <w:t>.</w:t>
      </w:r>
    </w:p>
    <w:p>
      <w:pPr>
        <w:pStyle w:val="Heading6"/>
        <w:numPr>
          <w:ilvl w:val="5"/>
          <w:numId w:val="1"/>
        </w:numPr>
        <w:rPr/>
      </w:pPr>
      <w:bookmarkStart w:id="505" w:name="__RefHeading___Toc763924_3244359995"/>
      <w:bookmarkStart w:id="506" w:name="_Toc187"/>
      <w:bookmarkEnd w:id="505"/>
      <w:r>
        <w:rPr>
          <w:rtl w:val="true"/>
        </w:rPr>
        <w:t>بقی شی‌ء</w:t>
      </w:r>
      <w:r>
        <w:rPr>
          <w:rtl w:val="true"/>
        </w:rPr>
        <w:t xml:space="preserve">: </w:t>
      </w:r>
      <w:r>
        <w:rPr>
          <w:rtl w:val="true"/>
        </w:rPr>
        <w:t>فی بیان آخر لوجه الإجمال</w:t>
      </w:r>
      <w:bookmarkEnd w:id="506"/>
    </w:p>
    <w:p>
      <w:pPr>
        <w:pStyle w:val="BookText"/>
        <w:rPr/>
      </w:pPr>
      <w:r>
        <w:rPr>
          <w:rFonts w:ascii="IRNazanin" w:hAnsi="IRNazanin" w:eastAsia="IRNazanin"/>
          <w:color w:val="111111"/>
          <w:sz w:val="28"/>
          <w:sz w:val="28"/>
          <w:szCs w:val="28"/>
          <w:rtl w:val="true"/>
          <w:lang w:bidi="fa-IR"/>
        </w:rPr>
        <w:t>و هو أنّ تذیّل قصّة سمرة حسب الموثّقة، و روایة ابن مسکان عن زرارة، و عدم وجود دلیل علی ورودها استقلالا، یوجب الشکّ فیه، و هذا یکفی لصیرورة القاعدة مجملة، و لازمه سقوط ما اشتهر من مرجعیّته فی الفقه، و حکومته علی الأدلّة</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تذیّل الأخبار الاخر به لا ینافی صدوره فی ذیل قصّة سمرة خصوصا، و إنّما احتجّ 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نقل ابن الصامت بعنوان القضاء فی جمع الأقضیة</w:t>
      </w:r>
      <w:r>
        <w:rPr>
          <w:rStyle w:val="FootnoteAnchor"/>
          <w:rtl w:val="true"/>
        </w:rPr>
        <w:footnoteReference w:id="567"/>
      </w:r>
      <w:r>
        <w:rPr>
          <w:rFonts w:ascii="IRNazanin" w:hAnsi="IRNazanin" w:eastAsia="IRNazanin"/>
          <w:color w:val="111111"/>
          <w:sz w:val="28"/>
          <w:sz w:val="28"/>
          <w:szCs w:val="28"/>
          <w:rtl w:val="true"/>
          <w:lang w:bidi="fa-IR"/>
        </w:rPr>
        <w:t>، لا یدلّ علی شی‌ء مع عدم حجّیة نقله، فأصبحنا بعد اللتیّا و التی علی إجمال من هذا القانون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إجمال فیه؛ لأنّه إن کان مستقلّا فهو، و إن کان فی ذیل قصّة سمرة، فالظاهر أنّ ذات القصّة، لا توجب قصورا فیه؛ لقوله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أنّه قاعدة عامّة، و موردها تفرّع من تفرّعاتها الکثیرة؛ سواء کانت من سنخ القصّة، أو کانت من غیر سنخها، و لحذف الخبر المقتضی للعموم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الأسف، فإنّ کلّ ذلک غیر مورث للاطمئنان بأنّ المحذوف عامّ حاکم علی</w:t>
      </w:r>
      <w:bookmarkStart w:id="507" w:name="pg13177_117937"/>
    </w:p>
    <w:p>
      <w:pPr>
        <w:pStyle w:val="BookText"/>
        <w:rPr/>
      </w:pPr>
      <w:bookmarkEnd w:id="507"/>
      <w:r>
        <w:rPr>
          <w:rFonts w:ascii="IRNazanin" w:hAnsi="IRNazanin" w:eastAsia="IRNazanin"/>
          <w:color w:val="111111"/>
          <w:sz w:val="28"/>
          <w:sz w:val="28"/>
          <w:szCs w:val="28"/>
          <w:rtl w:val="true"/>
          <w:lang w:bidi="fa-IR"/>
        </w:rPr>
        <w:t>الأدلّة، أو محرّم للضرار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دوران الأمر بین صلاحیة الصدر للقرینیّة علی خصوص المحذوف، أو الحذف علی عموم المحذوف، یقدّم الصدر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أزید من کونها مذیّلة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 ذلک، و هو معناه الأخذ بالقدر المتیقّن، لا رفع الإجمال،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القرائن الاخر الموجودة فی الأقضیة المجموعة فی کتاب ابن خالد، یشهد علی أنّ المنهیّ و المنفیّ مخصوص بالخلائق بعضهم مع بعض، و لأجل ذلک تصل النوبة إلی بیان بدیع آخر کی یرتفع به الإجمال المذکور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حسبما مرّ، هناک إشکالات ناشئة عن ملاحظة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المهمّ منها ذلک؛ ضرورة أنّ القراءة غیر معلومة و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فیدخلهما التنوین، و هو ظاهر فی التنکیر، و یورث نفی الضرر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أغمضنا عن سائر المشاکل، و المهمّ حل مشکلة الإجمال؛ لاشتهار القراءة المذکورة</w:t>
      </w:r>
      <w:r>
        <w:rPr>
          <w:rFonts w:eastAsia="IRNazanin" w:cs="IRNazanin"/>
          <w:color w:val="111111"/>
          <w:sz w:val="28"/>
          <w:szCs w:val="28"/>
          <w:rtl w:val="true"/>
          <w:lang w:bidi="fa-IR"/>
        </w:rPr>
        <w:t>.</w:t>
      </w:r>
    </w:p>
    <w:p>
      <w:pPr>
        <w:pStyle w:val="Heading5"/>
        <w:numPr>
          <w:ilvl w:val="4"/>
          <w:numId w:val="1"/>
        </w:numPr>
        <w:rPr/>
      </w:pPr>
      <w:bookmarkStart w:id="508" w:name="__RefHeading___Toc763926_3244359995"/>
      <w:bookmarkStart w:id="509" w:name="_Toc188"/>
      <w:bookmarkEnd w:id="508"/>
      <w:r>
        <w:rPr>
          <w:rtl w:val="true"/>
        </w:rPr>
        <w:t>تنبیه خامس</w:t>
      </w:r>
      <w:r>
        <w:rPr>
          <w:rtl w:val="true"/>
        </w:rPr>
        <w:t xml:space="preserve">: </w:t>
      </w:r>
      <w:r>
        <w:rPr>
          <w:rtl w:val="true"/>
        </w:rPr>
        <w:t>حول حلّ مشکلة أبدعناها علی القاعدة</w:t>
      </w:r>
      <w:bookmarkEnd w:id="509"/>
    </w:p>
    <w:p>
      <w:pPr>
        <w:pStyle w:val="Heading6"/>
        <w:numPr>
          <w:ilvl w:val="5"/>
          <w:numId w:val="1"/>
        </w:numPr>
        <w:rPr/>
      </w:pPr>
      <w:bookmarkStart w:id="510" w:name="__RefHeading___Toc763928_3244359995"/>
      <w:bookmarkStart w:id="511" w:name="_Toc189"/>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ممّا لا ینبغی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و لو کانت المادّة واحدة، کما یأتی الکلام حولها إن شاء اللّه تعالی </w:t>
      </w:r>
      <w:r>
        <w:rPr>
          <w:rStyle w:val="FootnoteAnchor"/>
          <w:rtl w:val="true"/>
        </w:rPr>
        <w:footnoteReference w:id="568"/>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الأسماء المتّخذة عن الموادّ غالبا تکون من الأفعال المزید فیها، کباب الإفعال و غیره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لیس مصدرا، و لم یذکر أهل اللغة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معناه، و لیس مصدرا، فیکون 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کدخولها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یناسب النهی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ممّا قد خفی علیهم، و توهّموا أنّه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w:t>
      </w:r>
    </w:p>
    <w:p>
      <w:pPr>
        <w:pStyle w:val="BookText"/>
        <w:rPr/>
      </w:pPr>
      <w:r>
        <w:rPr>
          <w:rFonts w:ascii="Amiri" w:hAnsi="Amiri" w:eastAsia="Amiri" w:cs="Amiri"/>
          <w:color w:val="111111"/>
          <w:sz w:val="28"/>
          <w:sz w:val="28"/>
          <w:szCs w:val="28"/>
          <w:rtl w:val="true"/>
          <w:lang w:bidi="ar-SA"/>
        </w:rPr>
        <w:t xml:space="preserve">جِدالَ فِی الْحَجِ </w:t>
      </w:r>
      <w:r>
        <w:rPr>
          <w:rStyle w:val="FootnoteAnchor"/>
          <w:rtl w:val="true"/>
        </w:rPr>
        <w:footnoteReference w:id="569"/>
      </w:r>
      <w:r>
        <w:rPr>
          <w:rFonts w:ascii="IRNazanin" w:hAnsi="IRNazanin" w:eastAsia="IRNazanin"/>
          <w:color w:val="111111"/>
          <w:sz w:val="28"/>
          <w:sz w:val="28"/>
          <w:szCs w:val="28"/>
          <w:rtl w:val="true"/>
          <w:lang w:bidi="fa-IR"/>
        </w:rPr>
        <w:t>و أمثال ذلک ممّا مرّ الواردة فی الأحادیث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مصدر، و إذا دخلت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فالأشبه أنّها نفی تفید النهی و لو کانت هیئة المفاعلة للطرفین وضعا أو غالبا، و لکنّها کثیرا ما استعملت فی طرف واحد، و قد تحرّر تحقیقه فی تعریف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یکفینا صراحة اللغة فی أنّها هنا بمعنی الإضرار</w:t>
      </w:r>
      <w:r>
        <w:rPr>
          <w:rStyle w:val="FootnoteAnchor"/>
          <w:rtl w:val="true"/>
        </w:rPr>
        <w:footnoteReference w:id="571"/>
      </w:r>
      <w:r>
        <w:rPr>
          <w:rFonts w:ascii="IRNazanin" w:hAnsi="IRNazanin" w:eastAsia="IRNazanin"/>
          <w:color w:val="111111"/>
          <w:sz w:val="28"/>
          <w:sz w:val="28"/>
          <w:szCs w:val="28"/>
          <w:rtl w:val="true"/>
          <w:lang w:bidi="fa-IR"/>
        </w:rPr>
        <w:t>، کما هو کذلک فی کثیر من موارد الاستعمال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اقتضاء المناسبة أنّ الضرر نفی علی الإطلاق علی وجه یشمل الإضرار، و الضرار نهی بعنوان المقابلة؛ کی یسدّ باب الإتلاف فی الأموال، أو التحریج و التضییق فی النفوس، لا یکفی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بِالْعَیْنِ وَ الْأَنْفَ بِالْأَنْفِ </w:t>
      </w:r>
      <w:r>
        <w:rPr>
          <w:rStyle w:val="FootnoteAnchor"/>
          <w:rtl w:val="true"/>
        </w:rPr>
        <w:footnoteReference w:id="572"/>
      </w:r>
      <w:r>
        <w:rPr>
          <w:rFonts w:ascii="IRNazanin" w:hAnsi="IRNazanin" w:eastAsia="IRNazanin"/>
          <w:color w:val="111111"/>
          <w:sz w:val="28"/>
          <w:sz w:val="28"/>
          <w:szCs w:val="28"/>
          <w:rtl w:val="true"/>
          <w:lang w:bidi="fa-IR"/>
        </w:rPr>
        <w:t>شاهد علی خلافه، و لعلّه یأتی تفصیله إن شاء اللّه تعالی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صاحب شریعة فی 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لا 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فَلا رَفَثَ وَ لا 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هکذا، لا یستفاد منه إلّا النفی بداعی الانتقال إلی النهی، و إذا کان من قبل المولی و النبیّ الأکرم صلّی اللّه علیه و اله و سلّم یستفاد منه ممنوعیّة ذلک؛ نظرا إلی أنّ نفی المصدر لا معنی له إلّا النهی عن تلک المادّة المشترکة بین المصدر و المشتقّ، و لا إجمال عندئذ؛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و لا یجوز أن یضرّ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الکفّار مشترکین معنا فی الفرعیّات و التکالیف یشملهم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بالالتزام بحذف کلمة اخری غیر دخیلة فیما هو المهمّ؛ ضرورة أنّه بعد فهم تحریم المضارّة، لا بدّ و أن یکون هناک مکلّف، و شی‌ء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مکلّفا،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تحقیق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یأتی من ذی قبل </w:t>
      </w:r>
      <w:r>
        <w:rPr>
          <w:rStyle w:val="FootnoteAnchor"/>
          <w:rtl w:val="true"/>
        </w:rPr>
        <w:footnoteReference w:id="573"/>
      </w:r>
      <w:r>
        <w:rPr>
          <w:rFonts w:ascii="IRNazanin" w:hAnsi="IRNazanin" w:eastAsia="IRNazanin"/>
          <w:color w:val="111111"/>
          <w:sz w:val="28"/>
          <w:sz w:val="28"/>
          <w:szCs w:val="28"/>
          <w:rtl w:val="true"/>
          <w:lang w:bidi="fa-IR"/>
        </w:rPr>
        <w:t>فإنّ المنظور هنا حلّ مشکلة ذکرناها، فلا ینبغی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الإضرار مبغوض مثلا، و علی المسلمین و الامّة الاتباع؛ بأن لا یضرّ و لا یحدث الضرر، سواء کان طرفه الإنسان أو غیره، و سواء کان من باب المفاعلة؛ بأن أتلف ماله بحذاء إتلاف المال، أو بمعنی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تختلف الجملتان، فإنّ الاولی نفی حقیقیّ أو ادعائیّ، و لکنّه مجمل، و الثانیة نفی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ذلک أنّه فی الاولی لا یکون نهی؛ لما لا تطرأ علی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النهی؛ أی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نهی، و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نهی واقعیّ جدّی؛ لدخولها علیها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عندئذ تصبح الاولی مجملة؛ لحذف الخبر الدخیل فی معناها، و الثانیة مبیّنة واضحة، و حذف المتعلّق دلیل العموم؛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لا تضارّ شیئا، سواء کان إنسانا أو غیر إنسان، مسلما أو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ذلک عدم لزوم التکرار أیضا فی کلامه صلّی اللّه علیه و اله و سلّم، کما یأتی إن شاء اللّه تعالی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کثیر من الأخبار المضبوطة فی المفصّلات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لوالدی المحقّق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w:t>
      </w:r>
    </w:p>
    <w:p>
      <w:pPr>
        <w:pStyle w:val="BookText"/>
        <w:rPr/>
      </w:pPr>
      <w:r>
        <w:rPr>
          <w:rFonts w:ascii="IRNazanin" w:hAnsi="IRNazanin" w:eastAsia="IRNazanin"/>
          <w:color w:val="111111"/>
          <w:sz w:val="28"/>
          <w:sz w:val="28"/>
          <w:szCs w:val="28"/>
          <w:rtl w:val="true"/>
          <w:lang w:bidi="fa-IR"/>
        </w:rPr>
        <w:t>و الضرّ، و المضارّة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ممنوعة و منهیّة فی تلک الأخبار المنتشرة فی الأبواب من الکتب المتفرّقة، ککتاب إحیاء الموات </w:t>
      </w:r>
      <w:r>
        <w:rPr>
          <w:rStyle w:val="FootnoteAnchor"/>
          <w:rtl w:val="true"/>
        </w:rPr>
        <w:footnoteReference w:id="577"/>
      </w:r>
      <w:r>
        <w:rPr>
          <w:rFonts w:ascii="IRNazanin" w:hAnsi="IRNazanin" w:eastAsia="IRNazanin"/>
          <w:color w:val="111111"/>
          <w:sz w:val="28"/>
          <w:sz w:val="28"/>
          <w:szCs w:val="28"/>
          <w:rtl w:val="true"/>
          <w:lang w:bidi="fa-IR"/>
        </w:rPr>
        <w:t xml:space="preserve">، و کتاب الخلع </w:t>
      </w:r>
      <w:r>
        <w:rPr>
          <w:rStyle w:val="FootnoteAnchor"/>
          <w:rtl w:val="true"/>
        </w:rPr>
        <w:footnoteReference w:id="578"/>
      </w:r>
      <w:r>
        <w:rPr>
          <w:rFonts w:ascii="IRNazanin" w:hAnsi="IRNazanin" w:eastAsia="IRNazanin"/>
          <w:color w:val="111111"/>
          <w:sz w:val="28"/>
          <w:sz w:val="28"/>
          <w:szCs w:val="28"/>
          <w:rtl w:val="true"/>
          <w:lang w:bidi="fa-IR"/>
        </w:rPr>
        <w:t>، و کتاب الوصیّة</w:t>
      </w:r>
      <w:r>
        <w:rPr>
          <w:rStyle w:val="FootnoteAnchor"/>
          <w:rtl w:val="true"/>
        </w:rPr>
        <w:footnoteReference w:id="579"/>
      </w:r>
      <w:r>
        <w:rPr>
          <w:rFonts w:ascii="IRNazanin" w:hAnsi="IRNazanin" w:eastAsia="IRNazanin"/>
          <w:color w:val="111111"/>
          <w:sz w:val="28"/>
          <w:sz w:val="28"/>
          <w:szCs w:val="28"/>
          <w:rtl w:val="true"/>
          <w:lang w:bidi="fa-IR"/>
        </w:rPr>
        <w:t xml:space="preserve">، و أبواب الرضاع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و کتاب الطلاق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طائفة منها إشعار بالتمسّک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فیها التطبیق بقولهم علیهم السّلام علی ما فیها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یناسب ذلک إلّا النهی فیها، مثلا ما رواه الکلینیّ، عن محمّد بن یحیی، عن محمّد بن الحسین، عن یزید بن إسحاق، عن هارون بن حمزة الغنویّ،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شهد بعیرا مریضا و هو یباع، فاشتراه رجل بعشرة دراهم، فجاء و أشرک فیه رجلا بدرهمین بالرأس و الجلد، فقضی أنّ البعیر برئ فبلغ ثمنه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لصاحب الدرهمین خمس ما بلغ، فإن قال ارید الرأس و الجلد فلیس له ذلک، هذا الضرار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السند عندنا معتبر، و عدم تنصیص الاصول الخمسة علی وثاقة یزید، لا یضرّ بعد قیام الأمارات العامّة علی اعتباره، و لا سیّما بعد انضمام ما سلکناه فی حجّیة الخبر الواحد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الحاجة إلی التوثیق، بل الجرح و الذمّ قادح و لو</w:t>
      </w:r>
      <w:bookmarkStart w:id="512" w:name="pg13177_117941"/>
    </w:p>
    <w:p>
      <w:pPr>
        <w:pStyle w:val="BookText"/>
        <w:rPr/>
      </w:pPr>
      <w:bookmarkEnd w:id="512"/>
      <w:r>
        <w:rPr>
          <w:rFonts w:ascii="IRNazanin" w:hAnsi="IRNazanin" w:eastAsia="IRNazanin"/>
          <w:color w:val="111111"/>
          <w:sz w:val="28"/>
          <w:sz w:val="28"/>
          <w:szCs w:val="28"/>
          <w:rtl w:val="true"/>
          <w:lang w:bidi="fa-IR"/>
        </w:rPr>
        <w:t xml:space="preserve">من فاسق، و تفصیله فی محلّه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لم نعثر علی صدور القاعدة مستقلّة، و لا معنی لأن یقضی صلّی اللّه علیه و اله و سلّم مستقلّا بذلک إلّا فی ذیل قصّة، کحادثة سمرة، أو غیر ذلک، فعندئذ یشکل رفع الإجمال 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المنظور هنا حول ذلک، و أمّا البحث عن المادّة و الهیئة الناقصة و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الوجوه المذکورة فی رسالتنا الموسوعة المفصّلة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الحاجة إلیه نشیر إلیه إن شاء اللّه تعالی و إلّا فلو کانت الجملة نافیة مجملة غیر صالحة للاعتماد و المرجعیة فلا وجه لإطالة الکلام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إسقاط القاعدة من جهة إجمالها، لیس أهون من قول العلّامة الأصفهانیّ شیخ الشریعة رحمه اللّه </w:t>
      </w:r>
      <w:r>
        <w:rPr>
          <w:rStyle w:val="FootnoteAnchor"/>
          <w:rtl w:val="true"/>
        </w:rPr>
        <w:footnoteReference w:id="584"/>
      </w:r>
      <w:r>
        <w:rPr>
          <w:rFonts w:ascii="IRNazanin" w:hAnsi="IRNazanin" w:eastAsia="IRNazanin"/>
          <w:color w:val="111111"/>
          <w:sz w:val="28"/>
          <w:sz w:val="28"/>
          <w:szCs w:val="28"/>
          <w:rtl w:val="true"/>
          <w:lang w:bidi="fa-IR"/>
        </w:rPr>
        <w:t>و ما سلکه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قاعدة ناهیة</w:t>
      </w:r>
      <w:r>
        <w:rPr>
          <w:rStyle w:val="FootnoteAnchor"/>
          <w:rtl w:val="true"/>
        </w:rPr>
        <w:footnoteReference w:id="585"/>
      </w:r>
      <w:r>
        <w:rPr>
          <w:rFonts w:ascii="IRNazanin" w:hAnsi="IRNazanin" w:eastAsia="IRNazanin"/>
          <w:color w:val="111111"/>
          <w:sz w:val="28"/>
          <w:sz w:val="28"/>
          <w:szCs w:val="28"/>
          <w:rtl w:val="true"/>
          <w:lang w:bidi="fa-IR"/>
        </w:rPr>
        <w:t>، و عندئذ لا ثمرة تحتها؛ لقیام الأدلّة الکثیرة علی حرمة الإضرار، فما هو المهمّ توضیح القانون العامّ علی وجه تکون دافعة و رافعة، نافیة و ناهیة، و حاکمة و مشرّعة، و تکون قاعدة جامعة فی محیط التقنین الإسلامیّ؛ سواء کانت نافیة حقیقة، أو ادعاء، أو نهیا محضا، أو أعمّ، فما ذهب إلیه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نهیا إلهیّا، أو سلطانیّا نبویّا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نافع، و موجب لسقوطها، کما لو کانت مجملة غیر صالحة للمرجعیّة علی أساس أشرنا إلیه</w:t>
      </w:r>
      <w:r>
        <w:rPr>
          <w:rFonts w:eastAsia="IRNazanin" w:cs="IRNazanin"/>
          <w:color w:val="111111"/>
          <w:sz w:val="28"/>
          <w:szCs w:val="28"/>
          <w:rtl w:val="true"/>
          <w:lang w:bidi="fa-IR"/>
        </w:rPr>
        <w:t>.</w:t>
      </w:r>
    </w:p>
    <w:p>
      <w:pPr>
        <w:pStyle w:val="Heading6"/>
        <w:numPr>
          <w:ilvl w:val="5"/>
          <w:numId w:val="1"/>
        </w:numPr>
        <w:rPr/>
      </w:pPr>
      <w:bookmarkStart w:id="513" w:name="__RefHeading___Toc763930_3244359995"/>
      <w:bookmarkStart w:id="514" w:name="_Toc190"/>
      <w:bookmarkEnd w:id="513"/>
      <w:r>
        <w:rPr>
          <w:rtl w:val="true"/>
        </w:rPr>
        <w:t>إفادة</w:t>
      </w:r>
      <w:r>
        <w:rPr>
          <w:rtl w:val="true"/>
        </w:rPr>
        <w:t xml:space="preserve">: </w:t>
      </w:r>
      <w:r>
        <w:rPr>
          <w:rtl w:val="true"/>
        </w:rPr>
        <w:t xml:space="preserve">فی دلالة </w:t>
      </w:r>
      <w:r>
        <w:rPr>
          <w:rtl w:val="true"/>
        </w:rPr>
        <w:t>«</w:t>
      </w:r>
      <w:r>
        <w:rPr>
          <w:rtl w:val="true"/>
        </w:rPr>
        <w:t>لا ضرار</w:t>
      </w:r>
      <w:r>
        <w:rPr>
          <w:rtl w:val="true"/>
        </w:rPr>
        <w:t xml:space="preserve">» </w:t>
      </w:r>
      <w:r>
        <w:rPr>
          <w:rtl w:val="true"/>
        </w:rPr>
        <w:t>علی تحدید العمومات و الإطلاقات</w:t>
      </w:r>
      <w:bookmarkEnd w:id="5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بعد کون الخبر ممّا لا ینطبق إلّا علی المسائل الراجعة</w:t>
      </w:r>
    </w:p>
    <w:p>
      <w:pPr>
        <w:pStyle w:val="BookText"/>
        <w:rPr/>
      </w:pPr>
      <w:r>
        <w:rPr>
          <w:rFonts w:ascii="IRNazanin" w:hAnsi="IRNazanin" w:eastAsia="IRNazanin"/>
          <w:color w:val="111111"/>
          <w:sz w:val="28"/>
          <w:sz w:val="28"/>
          <w:szCs w:val="28"/>
          <w:rtl w:val="true"/>
          <w:lang w:bidi="fa-IR"/>
        </w:rPr>
        <w:t>إلی المکلّفین بعضهم بالنسبة إلی بعض، بین کون القاعدة نفیا أو نهیا، و بین کونه نفیا حقیقیّا أو ادعائیّا، فهذه المشکلة غیر مشکلة وقع فیها القوم قدیما و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أوضحنا الخبر، و رفعنا الإجمال مطلقا، أو فی الجملة و بالنسبة إلی الجملة الثانیة، یمکن ثبوتا الالتزام بکونه نفیا أو نهیا، إلّا أنّه بعد الالتفات إلی أنّه مصدر، یلزم قوّة ظهور الثانیة 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الاولی قویّة فی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ربّما 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و لکنّه نفی،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النافلة</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الإعادة</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و إن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سهو فی النافلة، و لا فی الإعادة</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نعم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علی من أقرّ علی نفسه بسهو</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ربّما 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اسمیّا، لا مصدریّا،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افتتاح</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لا یقیم صلبه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لجار المسجد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مع أنّه ارید به النهی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الطبع العرفیّ یقتضی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خَیْرَ فِی کَثِیرٍ مِنْ نَجْواهُمْ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حمل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علی المصدر علی النفی؛ لوجود القرینة، و لاقتضاء الجملة، فهو ممّا لا بأس به، و ذلک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w:t>
      </w:r>
      <w:r>
        <w:rPr>
          <w:rStyle w:val="FootnoteAnchor"/>
          <w:rtl w:val="true"/>
        </w:rPr>
        <w:footnoteReference w:id="596"/>
      </w:r>
      <w:r>
        <w:rPr>
          <w:rFonts w:ascii="IRNazanin" w:hAnsi="IRNazanin" w:eastAsia="IRNazanin"/>
          <w:color w:val="111111"/>
          <w:sz w:val="28"/>
          <w:sz w:val="28"/>
          <w:szCs w:val="28"/>
          <w:rtl w:val="true"/>
          <w:lang w:bidi="fa-IR"/>
        </w:rPr>
        <w:t>فلا ینبغی الخلط بین الجمل و موارد الاستعمال و اقتضاء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سمرة ظاهرة فی النهی، فلا یبعد کونها قرینة علی أنّ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نهی، کما لو دخلت علی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الاسمان من التوضّؤ و الاغتسال،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تصرّح به اللغة، إلّا أنّه محرّر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المصدر تأتی من الأفعال المزید فیها عادة و نوعا، کما مرّ الإیماء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ضارّه مضارّة و ضرارا</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 و الاسم الضرر</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اسما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فالأظهر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لوجود القرینة بعد وروده أحیانا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 فی الکلام قرینة علی کون الاولی أیضا 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مرجّح لکون الاولی مرجّحة، أو الثانیة مرجّحة، إلّا أنّ مناسبة القضیّة تقتضی النهی، مع أقوائیّة ظهور الثانیة من الاولی کما لا یخفی، فإنّ طبع المصدر الداخلة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 بحسب الجدّ، و نفیا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یرتفع الإجمال، و تصیر النتیجة کونها للنهی فی الاولی بلا إجمال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أنّه بحسب الاستعمال یقتضی الخبر</w:t>
      </w:r>
      <w:r>
        <w:rPr>
          <w:rStyle w:val="FootnoteAnchor"/>
          <w:rtl w:val="true"/>
        </w:rPr>
        <w:footnoteReference w:id="599"/>
      </w:r>
      <w:r>
        <w:rPr>
          <w:rFonts w:ascii="Amiri" w:hAnsi="Amiri" w:eastAsia="Amiri" w:cs="Amiri"/>
          <w:color w:val="111111"/>
          <w:sz w:val="28"/>
          <w:sz w:val="28"/>
          <w:szCs w:val="28"/>
          <w:rtl w:val="true"/>
          <w:lang w:bidi="ar-SA"/>
        </w:rPr>
        <w:t>، إلّا أنّ مع کون الجدّ نهیا یتبیّن الخبر؛</w:t>
      </w:r>
      <w:bookmarkStart w:id="515" w:name="pg13177_117944"/>
    </w:p>
    <w:p>
      <w:pPr>
        <w:pStyle w:val="BookText"/>
        <w:rPr/>
      </w:pPr>
      <w:bookmarkEnd w:id="515"/>
      <w:r>
        <w:rPr>
          <w:rFonts w:ascii="IRNazanin" w:hAnsi="IRNazanin" w:eastAsia="IRNazanin"/>
          <w:color w:val="111111"/>
          <w:sz w:val="28"/>
          <w:sz w:val="28"/>
          <w:szCs w:val="28"/>
          <w:rtl w:val="true"/>
          <w:lang w:bidi="fa-IR"/>
        </w:rPr>
        <w:t>لاقتضاء النهی الجدّی کون موضوعه المکلّف، و قضیّة المناسبة بین الحکم و الموضوع، هو إطلاق ممنوعیّة الإضرار و المضارّة؛ لعدم الخصوصیة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الشرع الناهی بالنهی التشریعیّ عن المضارّة و الإضرار، لا تکون أحکامه مستتبعة للضرر و المضارّة بالضرورة، فلو کانت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مجملة؛ لعدم قیام الحجّة علی الخبر المحذوف، و لکن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مقامها فیما هو المقصود؛ و هو تحدید العمومات و الإطلاقات الإسلامیّة بانکشاف عدم وجود العموم و الإطلاق فی موارد استلزام الضرر و الضرار، مع استفادة حرمة المضارّة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استفادة وجوب جبران الضرر؛ لما یستفاد من مبغوضیّة الإضرار و الضرار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کان أو مماثلا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جبران الضرر لازم؛ لانتفائه موضوعا بالجبر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یتبیّن منه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تخلّف الضارّ و المضارّ عصیانا أو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w:t>
      </w:r>
      <w:r>
        <w:rPr>
          <w:rFonts w:eastAsia="IRNazanin" w:cs="IRNazanin"/>
          <w:color w:val="111111"/>
          <w:sz w:val="28"/>
          <w:szCs w:val="28"/>
          <w:rtl w:val="true"/>
          <w:lang w:bidi="fa-IR"/>
        </w:rPr>
        <w:t>.</w:t>
      </w:r>
    </w:p>
    <w:p>
      <w:pPr>
        <w:pStyle w:val="Heading6"/>
        <w:numPr>
          <w:ilvl w:val="5"/>
          <w:numId w:val="1"/>
        </w:numPr>
        <w:rPr/>
      </w:pPr>
      <w:bookmarkStart w:id="516" w:name="__RefHeading___Toc763932_3244359995"/>
      <w:bookmarkStart w:id="517" w:name="_Toc191"/>
      <w:bookmarkEnd w:id="516"/>
      <w:r>
        <w:rPr>
          <w:rtl w:val="true"/>
        </w:rPr>
        <w:t>بقی أمر</w:t>
      </w:r>
      <w:r>
        <w:rPr>
          <w:rtl w:val="true"/>
        </w:rPr>
        <w:t xml:space="preserve">: </w:t>
      </w:r>
      <w:r>
        <w:rPr>
          <w:rtl w:val="true"/>
        </w:rPr>
        <w:t>فی بیان وجه آخر لتقدیم ضرر الأنصاری علی ضرر سمرة</w:t>
      </w:r>
      <w:bookmarkEnd w:id="517"/>
    </w:p>
    <w:p>
      <w:pPr>
        <w:pStyle w:val="BookText"/>
        <w:rPr/>
      </w:pPr>
      <w:r>
        <w:rPr>
          <w:rFonts w:ascii="IRNazanin" w:hAnsi="IRNazanin" w:eastAsia="IRNazanin"/>
          <w:color w:val="111111"/>
          <w:sz w:val="28"/>
          <w:sz w:val="28"/>
          <w:szCs w:val="28"/>
          <w:rtl w:val="true"/>
          <w:lang w:bidi="fa-IR"/>
        </w:rPr>
        <w:t>و هو أنّ تذیّل خبری عقبة بن خالد فی بابی الشفعة</w:t>
      </w:r>
      <w:r>
        <w:rPr>
          <w:rStyle w:val="FootnoteAnchor"/>
          <w:rtl w:val="true"/>
        </w:rPr>
        <w:footnoteReference w:id="600"/>
      </w:r>
      <w:r>
        <w:rPr>
          <w:rFonts w:ascii="IRNazanin" w:hAnsi="IRNazanin" w:eastAsia="IRNazanin"/>
          <w:color w:val="111111"/>
          <w:sz w:val="28"/>
          <w:sz w:val="28"/>
          <w:szCs w:val="28"/>
          <w:rtl w:val="true"/>
          <w:lang w:bidi="fa-IR"/>
        </w:rPr>
        <w:t>و غیرها</w:t>
      </w:r>
      <w:r>
        <w:rPr>
          <w:rStyle w:val="FootnoteAnchor"/>
          <w:rtl w:val="true"/>
        </w:rPr>
        <w:footnoteReference w:id="601"/>
      </w:r>
      <w:r>
        <w:rPr>
          <w:rFonts w:ascii="IRNazanin" w:hAnsi="IRNazanin" w:eastAsia="IRNazanin"/>
          <w:color w:val="111111"/>
          <w:sz w:val="28"/>
          <w:sz w:val="28"/>
          <w:szCs w:val="28"/>
          <w:rtl w:val="true"/>
          <w:lang w:bidi="fa-IR"/>
        </w:rPr>
        <w:t xml:space="preserve">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باب تذیّل الأحکام العامّة الإسلامیّة بالحکم التشریعیّة، کما فی تذیّل بعض الأحکام بقاعدة نفی الحرج، و هذا أمر مفوّض إلی الأئمّة الأطهار علیهم السّلام من غیر أن یستلزم الإخلال بالعموم الأفرادیّ و الإطلاق الاستغراقیّ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للمجتهد أن یتمسّک بقاعدة نفی الحرج؛ لرفع الحکم فی مورد استلزامه الحرج مثلا، و لیس له التمسّک به للحکم بطهارة نجس فی الإسلام،</w:t>
      </w:r>
    </w:p>
    <w:p>
      <w:pPr>
        <w:pStyle w:val="BookText"/>
        <w:rPr/>
      </w:pPr>
      <w:r>
        <w:rPr>
          <w:rFonts w:ascii="IRNazanin" w:hAnsi="IRNazanin" w:eastAsia="IRNazanin"/>
          <w:color w:val="111111"/>
          <w:sz w:val="28"/>
          <w:sz w:val="28"/>
          <w:szCs w:val="28"/>
          <w:rtl w:val="true"/>
          <w:lang w:bidi="fa-IR"/>
        </w:rPr>
        <w:t>بخلافهم علیهم السّلام فإنّ لهم التمسّک بها لطهارة الحدید مثلا، و هذا شأنهم علیهم السّلام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 التناسب بین المسألتین و قاعدة نفی الضرر و الضرار، فیطلب من محالّه، و قد عرفت سابقا وجها آخر لتمسّکهم بها جدالا</w:t>
      </w:r>
      <w:r>
        <w:rPr>
          <w:rStyle w:val="FootnoteAnchor"/>
          <w:rtl w:val="true"/>
        </w:rPr>
        <w:footnoteReference w:id="602"/>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بِالَّتِی هِیَ أَحْسَنُ </w:t>
      </w:r>
      <w:r>
        <w:rPr>
          <w:rStyle w:val="FootnoteAnchor"/>
          <w:rtl w:val="true"/>
        </w:rPr>
        <w:footnoteReference w:id="603"/>
      </w:r>
      <w:r>
        <w:rPr>
          <w:rFonts w:ascii="IRNazanin" w:hAnsi="IRNazanin" w:eastAsia="IRNazanin"/>
          <w:color w:val="111111"/>
          <w:sz w:val="28"/>
          <w:sz w:val="28"/>
          <w:szCs w:val="28"/>
          <w:rtl w:val="true"/>
          <w:lang w:bidi="fa-IR"/>
        </w:rPr>
        <w:t>کما قد یتمسّک لتحدید قطع أیدی السرقة</w:t>
      </w:r>
      <w:r>
        <w:rPr>
          <w:rStyle w:val="FootnoteAnchor"/>
          <w:rtl w:val="true"/>
        </w:rPr>
        <w:footnoteReference w:id="604"/>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الْمَساجِدَ لِلَّهِ </w:t>
      </w:r>
      <w:r>
        <w:rPr>
          <w:rStyle w:val="FootnoteAnchor"/>
          <w:rtl w:val="true"/>
        </w:rPr>
        <w:footnoteReference w:id="605"/>
      </w:r>
      <w:r>
        <w:rPr>
          <w:rFonts w:ascii="IRNazanin" w:hAnsi="IRNazanin" w:eastAsia="IRNazanin"/>
          <w:color w:val="111111"/>
          <w:sz w:val="28"/>
          <w:sz w:val="28"/>
          <w:szCs w:val="28"/>
          <w:rtl w:val="true"/>
          <w:lang w:bidi="fa-IR"/>
        </w:rPr>
        <w:t>مع أنّ أیدیهم تقطع و هکذا مساجد أرجلهم فی المرّة الثانیة و الثالثة،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وجها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قاعدة نفی الضرر و الضرار وردت فی الموثّقة، و هی حجّة دون غیرها؛ لعدم ثبوته، و 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ارید منها أنّ الضرر و الإضرار، غیر موجود فی حیطة التشریع إلّا تخیّلا، و إلّا فبحسب الواقع و المصلحة النوعیّة العامّة الاجتماعیّة، لیست الزکاة و الحجّ و الجهاد إضرارا و ضررا و مضارّة، فلو توهّم سمرة بن جندب أنّ القلع المذکور ضرر و إضرار، فهو بالنسبة إلی حاله الشخصیّة، دون الکلّیة، کما هو کذلک فی الشرور و المضرّات بالقیاس إلی کلّیة النظام، فتذیّل موثّقة زرارة بالقاعدة فی قصّة سمرة؛ یکون لأجل حلّ إیراد سمرة فرضا، و یعدّ من دفع الدخل اصطلاحا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الأمر بالاعتداء علی المعتدی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عَلَیْهِ بِمِثْلِ مَا اعْتَدی عَلَیْکُمْ </w:t>
      </w:r>
      <w:r>
        <w:rPr>
          <w:rStyle w:val="FootnoteAnchor"/>
          <w:rtl w:val="true"/>
        </w:rPr>
        <w:footnoteReference w:id="606"/>
      </w:r>
      <w:r>
        <w:rPr>
          <w:rFonts w:ascii="IRNazanin" w:hAnsi="IRNazanin" w:eastAsia="IRNazanin"/>
          <w:color w:val="111111"/>
          <w:sz w:val="28"/>
          <w:sz w:val="28"/>
          <w:szCs w:val="28"/>
          <w:rtl w:val="true"/>
          <w:lang w:bidi="fa-IR"/>
        </w:rPr>
        <w:t>و لا جعل العین بالعین، و الاذن بالاذن، و الأنف بالأنف، و لا جعل القصاص حیاة، من جعل المضارّة و الإضرار المالیّ و البدنیّ، و لا من التحریج</w:t>
      </w:r>
      <w:bookmarkStart w:id="518" w:name="pg13177_117946"/>
    </w:p>
    <w:p>
      <w:pPr>
        <w:pStyle w:val="BookText"/>
        <w:rPr/>
      </w:pPr>
      <w:bookmarkEnd w:id="518"/>
      <w:r>
        <w:rPr>
          <w:rFonts w:ascii="IRNazanin" w:hAnsi="IRNazanin" w:eastAsia="IRNazanin"/>
          <w:color w:val="111111"/>
          <w:sz w:val="28"/>
          <w:sz w:val="28"/>
          <w:szCs w:val="28"/>
          <w:rtl w:val="true"/>
          <w:lang w:bidi="fa-IR"/>
        </w:rPr>
        <w:t>و التضییق بالنسبة إلی النظام الإسلامیّ الکلّی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لأجله عدّ فی سورة الرحمن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Style w:val="FootnoteAnchor"/>
          <w:rtl w:val="true"/>
        </w:rPr>
        <w:footnoteReference w:id="607"/>
      </w:r>
      <w:r>
        <w:rPr>
          <w:rFonts w:ascii="Amiri" w:hAnsi="Amiri" w:eastAsia="Amiri" w:cs="Amiri"/>
          <w:color w:val="111111"/>
          <w:sz w:val="28"/>
          <w:sz w:val="28"/>
          <w:szCs w:val="28"/>
          <w:rtl w:val="true"/>
          <w:lang w:bidi="ar-SA"/>
        </w:rPr>
        <w:t>من آلاء الرحمن، و لذلک ذیّلت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Style w:val="FootnoteAnchor"/>
          <w:rtl w:val="true"/>
        </w:rPr>
        <w:footnoteReference w:id="608"/>
      </w:r>
      <w:r>
        <w:rPr>
          <w:rFonts w:ascii="IRNazanin" w:hAnsi="IRNazanin" w:eastAsia="IRNazanin"/>
          <w:color w:val="111111"/>
          <w:sz w:val="28"/>
          <w:sz w:val="28"/>
          <w:szCs w:val="28"/>
          <w:rtl w:val="true"/>
          <w:lang w:bidi="fa-IR"/>
        </w:rPr>
        <w:t>ضرورة أنّ المحافظة علی النوامیس الإلهیّة و الخلقیّة، و المواظبة علی نفوس الناس و أموالهم، تحتاج إلی المنظّمات و الشرطة و الجحیم و جهنّم، و هذا لیس ضررا و لا مضارّة و لا إضرارا بالنسبة إلی النوع و الحکومة، و لو کان ضررا بالنسبة إلی شخص السارق و القاتل و المتعدّی، و إلی هذا یشیر فی أخبارنا ما یقنعک، فلا تخلط</w:t>
      </w:r>
      <w:r>
        <w:rPr>
          <w:rFonts w:eastAsia="IRNazanin" w:cs="IRNazanin"/>
          <w:color w:val="111111"/>
          <w:sz w:val="28"/>
          <w:szCs w:val="28"/>
          <w:rtl w:val="true"/>
          <w:lang w:bidi="fa-IR"/>
        </w:rPr>
        <w:t>.</w:t>
      </w:r>
    </w:p>
    <w:p>
      <w:pPr>
        <w:pStyle w:val="Heading5"/>
        <w:numPr>
          <w:ilvl w:val="4"/>
          <w:numId w:val="1"/>
        </w:numPr>
        <w:rPr/>
      </w:pPr>
      <w:bookmarkStart w:id="519" w:name="__RefHeading___Toc763934_3244359995"/>
      <w:bookmarkStart w:id="520" w:name="_Toc192"/>
      <w:bookmarkEnd w:id="519"/>
      <w:r>
        <w:rPr>
          <w:rtl w:val="true"/>
        </w:rPr>
        <w:t>تنبیه سادس</w:t>
      </w:r>
      <w:r>
        <w:rPr>
          <w:rtl w:val="true"/>
        </w:rPr>
        <w:t xml:space="preserve">: </w:t>
      </w:r>
      <w:r>
        <w:rPr>
          <w:rtl w:val="true"/>
        </w:rPr>
        <w:t>فی إبطال ما أفاده الأعلام حول القاعدة المذکورة</w:t>
      </w:r>
      <w:bookmarkEnd w:id="520"/>
    </w:p>
    <w:p>
      <w:pPr>
        <w:pStyle w:val="Heading6"/>
        <w:numPr>
          <w:ilvl w:val="5"/>
          <w:numId w:val="1"/>
        </w:numPr>
        <w:rPr/>
      </w:pPr>
      <w:bookmarkStart w:id="521" w:name="__RefHeading___Toc763936_3244359995"/>
      <w:bookmarkStart w:id="522" w:name="_Toc193"/>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 xml:space="preserve">قد تبیّن ممّا أفدناه وجه فساد مسالک القوم من الشیخ الأعظم الأنصاریّ رحمه اللّه إلی فضلائنا المعاصرین، فإنّه لا یدور الأمر بین نفی الحکم الضرریّ، کما فی کلامه قدّس سرّه </w:t>
      </w:r>
      <w:r>
        <w:rPr>
          <w:rStyle w:val="FootnoteAnchor"/>
          <w:rtl w:val="true"/>
        </w:rPr>
        <w:footnoteReference w:id="609"/>
      </w:r>
      <w:r>
        <w:rPr>
          <w:rFonts w:ascii="IRNazanin" w:hAnsi="IRNazanin" w:eastAsia="IRNazanin"/>
          <w:color w:val="111111"/>
          <w:sz w:val="28"/>
          <w:sz w:val="28"/>
          <w:szCs w:val="28"/>
          <w:rtl w:val="true"/>
          <w:lang w:bidi="fa-IR"/>
        </w:rPr>
        <w:t xml:space="preserve">و بین النفی بلسان نفی الموضوع،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و بین الضرر غیر المنجبر و غیر المتدارک </w:t>
      </w:r>
      <w:r>
        <w:rPr>
          <w:rStyle w:val="FootnoteAnchor"/>
          <w:rtl w:val="true"/>
        </w:rPr>
        <w:footnoteReference w:id="611"/>
      </w:r>
      <w:r>
        <w:rPr>
          <w:rFonts w:ascii="IRNazanin" w:hAnsi="IRNazanin" w:eastAsia="IRNazanin"/>
          <w:color w:val="111111"/>
          <w:sz w:val="28"/>
          <w:sz w:val="28"/>
          <w:szCs w:val="28"/>
          <w:rtl w:val="true"/>
          <w:lang w:bidi="fa-IR"/>
        </w:rPr>
        <w:t>، و بین النهی، بل هو فی الجملة الاولی مجمل، و فی الثانیة نهی جامع لجمیع المحتملات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الإضرار و لزوم التدارک؛ لانتفاء موضوعه بعد تحقّق الضرر، بالتدارک و الجبران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تحرّر منّا فی الرسالة</w:t>
      </w:r>
      <w:r>
        <w:rPr>
          <w:rStyle w:val="FootnoteAnchor"/>
          <w:rtl w:val="true"/>
        </w:rPr>
        <w:footnoteReference w:id="612"/>
      </w:r>
      <w:r>
        <w:rPr>
          <w:rFonts w:ascii="IRNazanin" w:hAnsi="IRNazanin" w:eastAsia="IRNazanin"/>
          <w:color w:val="111111"/>
          <w:sz w:val="28"/>
          <w:sz w:val="28"/>
          <w:szCs w:val="28"/>
          <w:rtl w:val="true"/>
          <w:lang w:bidi="fa-IR"/>
        </w:rPr>
        <w:t>وجه فساد القول بالنفیّ الحقیقیّ و الادعائیّ،</w:t>
      </w:r>
    </w:p>
    <w:p>
      <w:pPr>
        <w:pStyle w:val="BookText"/>
        <w:rPr/>
      </w:pPr>
      <w:r>
        <w:rPr>
          <w:rFonts w:ascii="IRNazanin" w:hAnsi="IRNazanin" w:eastAsia="IRNazanin"/>
          <w:color w:val="111111"/>
          <w:sz w:val="28"/>
          <w:sz w:val="28"/>
          <w:szCs w:val="28"/>
          <w:rtl w:val="true"/>
          <w:lang w:bidi="fa-IR"/>
        </w:rPr>
        <w:t xml:space="preserve">و وجه کون الجملة الاولی نهیا کما عرفت </w:t>
      </w:r>
      <w:r>
        <w:rPr>
          <w:rStyle w:val="FootnoteAnchor"/>
          <w:rtl w:val="true"/>
        </w:rPr>
        <w:footnoteReference w:id="613"/>
      </w:r>
      <w:r>
        <w:rPr>
          <w:rFonts w:ascii="IRNazanin" w:hAnsi="IRNazanin" w:eastAsia="IRNazanin"/>
          <w:color w:val="111111"/>
          <w:sz w:val="28"/>
          <w:sz w:val="28"/>
          <w:szCs w:val="28"/>
          <w:rtl w:val="true"/>
          <w:lang w:bidi="fa-IR"/>
        </w:rPr>
        <w:t>، و وجه اختصاص القاعدة بالضرر غیر المتدارک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أظهر فسادا من الکلّ الأخیر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نفی الحکم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العنوان المنفیّ موضوعا لحکم، فیرفع بداعی الانتقال إلی عدم وجود الحکم،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النافلة أو فی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للحکم فی الشریعة، فیرفع الموضوع کی یتوجّه المخاطب و المکلّف إلی المقصود، و أمّا نفی الضرر فإن کان الضرر له حکم، فنفیه بداعی نفی ذلک الحکم صحیح، و أمّا نفی الضرر بداعی نفی الحکم عن الموضوع الطارئ علیه الضرر، أو الموجب له کالوضوء و الغسل، فهو فی غیر محلّه، و غفلة جدّا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أسوأ حالا ما عن بعض أعیان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قاعدة مشرّعة جابرة فقط</w:t>
      </w:r>
      <w:r>
        <w:rPr>
          <w:rStyle w:val="FootnoteAnchor"/>
          <w:rtl w:val="true"/>
        </w:rPr>
        <w:footnoteReference w:id="614"/>
      </w:r>
      <w:r>
        <w:rPr>
          <w:rFonts w:ascii="IRNazanin" w:hAnsi="IRNazanin" w:eastAsia="IRNazanin"/>
          <w:color w:val="111111"/>
          <w:sz w:val="28"/>
          <w:sz w:val="28"/>
          <w:szCs w:val="28"/>
          <w:rtl w:val="true"/>
          <w:lang w:bidi="fa-IR"/>
        </w:rPr>
        <w:t>، لا مشرّعة علی الإطلاق، و لا رافعة ناهیة، و لا دافعة نافیة بنفی حقیقیّ أو ادعائیّ ضرورة أنّ سکوتها عن أصل الإضرار و المضارّة غلط؛ لتعرّضها لمنع الضرر الاسمیّ؛ سواء کان المضرّ نفس الإسلام و الشریعة الإسلامیّة علی الإطلاق حسب الظاهر؛ من غیر فرق بین أن تکون تلک الشریعة نفس الأحکام التکلیفیّة المعتبرة بین الخالق و الخلق، أو الشریعة و الأحکام الوضعیّة المعتبرة بین الخلق بعضهم بالقیاس إلی بعض، کقاعدة السلطنة، أو الأعمّ منها و من الإلزام بجبران الضرر المتوجّه من ناحیته إلی واحد من الناس، أو غیرهم کالجهات العامّة، و من الإلزام و إجبار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تلک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بجبران الضرر المتوجّه إلی واحد من الناس، أو غیرهم کالحکومة الإسلامیّة، و الجهات، و الطرق و الشوارع، و الأوقاف</w:t>
      </w:r>
      <w:r>
        <w:rPr>
          <w:rFonts w:eastAsia="IRNazanin" w:cs="IRNazanin"/>
          <w:color w:val="111111"/>
          <w:sz w:val="28"/>
          <w:szCs w:val="28"/>
          <w:rtl w:val="true"/>
          <w:lang w:bidi="fa-IR"/>
        </w:rPr>
        <w:t>.</w:t>
      </w:r>
      <w:bookmarkStart w:id="523" w:name="pg13177_117948"/>
    </w:p>
    <w:p>
      <w:pPr>
        <w:pStyle w:val="BookText"/>
        <w:rPr/>
      </w:pPr>
      <w:bookmarkEnd w:id="523"/>
      <w:r>
        <w:rPr>
          <w:rFonts w:ascii="IRNazanin" w:hAnsi="IRNazanin" w:eastAsia="IRNazanin"/>
          <w:color w:val="111111"/>
          <w:sz w:val="28"/>
          <w:sz w:val="28"/>
          <w:szCs w:val="28"/>
          <w:rtl w:val="true"/>
          <w:lang w:bidi="fa-IR"/>
        </w:rPr>
        <w:t xml:space="preserve">بل و لتعرّضها للنهی عن المضارّة، کما یأتی تفصیله حول الفرق بین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615"/>
      </w:r>
      <w:r>
        <w:rPr>
          <w:rFonts w:ascii="IRNazanin" w:hAnsi="IRNazanin" w:eastAsia="IRNazanin"/>
          <w:color w:val="111111"/>
          <w:sz w:val="28"/>
          <w:sz w:val="28"/>
          <w:szCs w:val="28"/>
          <w:rtl w:val="true"/>
          <w:lang w:bidi="fa-IR"/>
        </w:rPr>
        <w:t>فلا وجه لاختصاصها بجهة خاصّة؛ بعد الإطلاق، و بعد تناسب الحکم و الموضوع، لولا الإجمال الذی أبدعناه</w:t>
      </w:r>
      <w:r>
        <w:rPr>
          <w:rFonts w:eastAsia="IRNazanin" w:cs="IRNazanin"/>
          <w:color w:val="111111"/>
          <w:sz w:val="28"/>
          <w:szCs w:val="28"/>
          <w:rtl w:val="true"/>
          <w:lang w:bidi="fa-IR"/>
        </w:rPr>
        <w:t>.</w:t>
      </w:r>
    </w:p>
    <w:p>
      <w:pPr>
        <w:pStyle w:val="Heading6"/>
        <w:numPr>
          <w:ilvl w:val="5"/>
          <w:numId w:val="1"/>
        </w:numPr>
        <w:rPr/>
      </w:pPr>
      <w:bookmarkStart w:id="524" w:name="__RefHeading___Toc763938_3244359995"/>
      <w:bookmarkStart w:id="525" w:name="_Toc194"/>
      <w:bookmarkEnd w:id="524"/>
      <w:r>
        <w:rPr>
          <w:rtl w:val="true"/>
        </w:rPr>
        <w:t>إفادة</w:t>
      </w:r>
      <w:r>
        <w:rPr>
          <w:rtl w:val="true"/>
        </w:rPr>
        <w:t xml:space="preserve">: </w:t>
      </w:r>
      <w:r>
        <w:rPr>
          <w:rtl w:val="true"/>
        </w:rPr>
        <w:t>فی بیان إیراد علی حلّنا لمشکلة الإجمال</w:t>
      </w:r>
      <w:bookmarkEnd w:id="525"/>
    </w:p>
    <w:p>
      <w:pPr>
        <w:pStyle w:val="BookText"/>
        <w:rPr/>
      </w:pPr>
      <w:r>
        <w:rPr>
          <w:rFonts w:ascii="IRNazanin" w:hAnsi="IRNazanin" w:eastAsia="IRNazanin"/>
          <w:color w:val="111111"/>
          <w:sz w:val="28"/>
          <w:sz w:val="28"/>
          <w:szCs w:val="28"/>
          <w:rtl w:val="true"/>
          <w:lang w:bidi="fa-IR"/>
        </w:rPr>
        <w:t>یستکشف من وجود القاعدة فی ذیل قصّة سمرة</w:t>
      </w:r>
      <w:r>
        <w:rPr>
          <w:rStyle w:val="FootnoteAnchor"/>
          <w:rtl w:val="true"/>
        </w:rPr>
        <w:footnoteReference w:id="616"/>
      </w:r>
      <w:r>
        <w:rPr>
          <w:rFonts w:ascii="Amiri" w:hAnsi="Amiri" w:eastAsia="Amiri" w:cs="Amiri"/>
          <w:color w:val="111111"/>
          <w:sz w:val="28"/>
          <w:sz w:val="28"/>
          <w:szCs w:val="28"/>
          <w:rtl w:val="true"/>
          <w:lang w:bidi="ar-SA"/>
        </w:rPr>
        <w:t>، و قصّة الشفعة</w:t>
      </w:r>
      <w:r>
        <w:rPr>
          <w:rStyle w:val="FootnoteAnchor"/>
          <w:rtl w:val="true"/>
        </w:rPr>
        <w:footnoteReference w:id="617"/>
      </w:r>
      <w:r>
        <w:rPr>
          <w:rFonts w:ascii="IRNazanin" w:hAnsi="IRNazanin" w:eastAsia="IRNazanin"/>
          <w:color w:val="111111"/>
          <w:sz w:val="28"/>
          <w:sz w:val="28"/>
          <w:szCs w:val="28"/>
          <w:rtl w:val="true"/>
          <w:lang w:bidi="fa-IR"/>
        </w:rPr>
        <w:t>، و حدیث منع الماء لمنع فضل الکلأ</w:t>
      </w:r>
      <w:r>
        <w:rPr>
          <w:rStyle w:val="FootnoteAnchor"/>
          <w:rtl w:val="true"/>
        </w:rPr>
        <w:footnoteReference w:id="618"/>
      </w:r>
      <w:r>
        <w:rPr>
          <w:rFonts w:ascii="IRNazanin" w:hAnsi="IRNazanin" w:eastAsia="IRNazanin"/>
          <w:color w:val="111111"/>
          <w:sz w:val="28"/>
          <w:sz w:val="28"/>
          <w:szCs w:val="28"/>
          <w:rtl w:val="true"/>
          <w:lang w:bidi="fa-IR"/>
        </w:rPr>
        <w:t>، شدّة الربط بینها و بین الأحکام الإسلامیّة الراجعة إلی المحافظة علی مصالح العباد، و أجنبیّتها عن الأحکام الفردیّة التکلیفیّة الإسلامیّة، کالوضوء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تمام السنخیّة موجودة بین النهی عن الضرار فی الجملة الثانیة، و بین الأحکام الراجعة إلی مصالح العباد الدنیویّة بعضهم مع بعض، دون الأحکام الإسلامیّة التکلیفیّة، فلا یصلح المقام لفهم العرف أولویّة عدم وجود الحکم الضرریّ، فعندئذ لا أقلّ من الشکّ فی فهم محدودیّة الأحکام التکلیفیّة الإلهیّة فی موارد استلزامها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فی ذیل الحدیث، کان فیها الخیر الکثیر جدّا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و إن لم یکن من العلّامة النائینیّ رحمه اللّه بعجیب، قوله بعدم الفرق بین وجودها و عدمها</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حکم العلّامة شیخ الشریعة الأصفهانیّ رحمه اللّه بعدم</w:t>
      </w:r>
      <w:bookmarkStart w:id="526" w:name="pg13177_117949"/>
    </w:p>
    <w:p>
      <w:pPr>
        <w:pStyle w:val="BookText"/>
        <w:rPr/>
      </w:pPr>
      <w:bookmarkEnd w:id="526"/>
      <w:r>
        <w:rPr>
          <w:rFonts w:ascii="IRNazanin" w:hAnsi="IRNazanin" w:eastAsia="IRNazanin"/>
          <w:color w:val="111111"/>
          <w:sz w:val="28"/>
          <w:sz w:val="28"/>
          <w:szCs w:val="28"/>
          <w:rtl w:val="true"/>
          <w:lang w:bidi="fa-IR"/>
        </w:rPr>
        <w:t xml:space="preserve">تذیّل الخبرین بتلک القاعدة بلا وجه </w:t>
      </w:r>
      <w:r>
        <w:rPr>
          <w:rStyle w:val="FootnoteAnchor"/>
          <w:rtl w:val="true"/>
        </w:rPr>
        <w:footnoteReference w:id="620"/>
      </w:r>
      <w:r>
        <w:rPr>
          <w:rFonts w:ascii="IRNazanin" w:hAnsi="IRNazanin" w:eastAsia="IRNazanin"/>
          <w:color w:val="111111"/>
          <w:sz w:val="28"/>
          <w:sz w:val="28"/>
          <w:szCs w:val="28"/>
          <w:rtl w:val="true"/>
          <w:lang w:bidi="fa-IR"/>
        </w:rPr>
        <w:t xml:space="preserve">، و هکذا غیره </w:t>
      </w:r>
      <w:r>
        <w:rPr>
          <w:rStyle w:val="FootnoteAnchor"/>
          <w:rtl w:val="true"/>
        </w:rPr>
        <w:footnoteReference w:id="621"/>
      </w:r>
      <w:r>
        <w:rPr>
          <w:rFonts w:ascii="IRNazanin" w:hAnsi="IRNazanin" w:eastAsia="IRNazanin"/>
          <w:color w:val="111111"/>
          <w:sz w:val="28"/>
          <w:sz w:val="28"/>
          <w:szCs w:val="28"/>
          <w:rtl w:val="true"/>
          <w:lang w:bidi="fa-IR"/>
        </w:rPr>
        <w:t>لعدم الحاجة إلیه، و کفایة الشکّ فی تذیلهما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الخبرین غیر معتبرین سندا، و مع أنّ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التذیّل، إلّا أنّ نسخا اخر لیست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أصالة عدم الزیادة</w:t>
      </w:r>
      <w:r>
        <w:rPr>
          <w:rStyle w:val="FootnoteAnchor"/>
          <w:rtl w:val="true"/>
        </w:rPr>
        <w:footnoteReference w:id="622"/>
      </w:r>
      <w:r>
        <w:rPr>
          <w:rFonts w:ascii="Amiri" w:hAnsi="Amiri" w:eastAsia="Amiri" w:cs="Amiri"/>
          <w:color w:val="111111"/>
          <w:sz w:val="28"/>
          <w:sz w:val="28"/>
          <w:szCs w:val="28"/>
          <w:rtl w:val="true"/>
          <w:lang w:bidi="ar-SA"/>
        </w:rPr>
        <w:t>، لا یرجع إلی محصّل إلّا فی الشکّ البدویّ، فاغتنم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 الخبرین، و بعد ظهور معتبرة زرارة فی أنّها مذیّلة بها 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الکبری الکلّیة، و بعد کونه صلّی اللّه علیه و اله و سلّم بصدد الإفادة و الاحتجاج بمعنی عرفیّ عقلائیّ، بل و عقلیّ، و بعد کونه صاحب الشریعة، یکون إسقاطها بالمرّة غیر صحیح، فلو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مجملة لما عرفت، لا وجه لإسقاط الکلمة الثانیة الظاهرة فی التحریم؛ لدخول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المصدر، بعد عدم وجود القرینة أو عدم اقتضاء نفس الترکیب لکونها نفیا حقیقیّا أو ادعائیّا،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عَلَیْکُمُ الْیَوْمَ </w:t>
      </w:r>
      <w:r>
        <w:rPr>
          <w:rStyle w:val="FootnoteAnchor"/>
          <w:rtl w:val="true"/>
        </w:rPr>
        <w:footnoteReference w:id="623"/>
      </w:r>
      <w:r>
        <w:rPr>
          <w:rFonts w:ascii="IRNazanin" w:hAnsi="IRNazanin" w:eastAsia="IRNazanin"/>
          <w:color w:val="111111"/>
          <w:sz w:val="28"/>
          <w:sz w:val="28"/>
          <w:szCs w:val="28"/>
          <w:rtl w:val="true"/>
          <w:lang w:bidi="fa-IR"/>
        </w:rPr>
        <w:t xml:space="preserve">حیث یکون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اثربکم و لا اوبّخکم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یمکن أن یقال حول حلّ الإعضال و الإشکال الذی أبدعناه فی الحال</w:t>
      </w:r>
      <w:r>
        <w:rPr>
          <w:rFonts w:eastAsia="IRNazanin" w:cs="IRNazanin"/>
          <w:color w:val="111111"/>
          <w:sz w:val="28"/>
          <w:szCs w:val="28"/>
          <w:rtl w:val="true"/>
          <w:lang w:bidi="fa-IR"/>
        </w:rPr>
        <w:t>.</w:t>
      </w:r>
    </w:p>
    <w:p>
      <w:pPr>
        <w:pStyle w:val="Heading6"/>
        <w:numPr>
          <w:ilvl w:val="5"/>
          <w:numId w:val="1"/>
        </w:numPr>
        <w:rPr/>
      </w:pPr>
      <w:bookmarkStart w:id="527" w:name="__RefHeading___Toc763940_3244359995"/>
      <w:bookmarkStart w:id="528" w:name="_Toc195"/>
      <w:bookmarkEnd w:id="527"/>
      <w:r>
        <w:rPr>
          <w:rtl w:val="true"/>
        </w:rPr>
        <w:t>إفادة ثانیة</w:t>
      </w:r>
      <w:r>
        <w:rPr>
          <w:rtl w:val="true"/>
        </w:rPr>
        <w:t xml:space="preserve">: </w:t>
      </w:r>
      <w:r>
        <w:rPr>
          <w:rtl w:val="true"/>
        </w:rPr>
        <w:t xml:space="preserve">حول وجوه تفسیر </w:t>
      </w:r>
      <w:r>
        <w:rPr>
          <w:rtl w:val="true"/>
        </w:rPr>
        <w:t>«</w:t>
      </w:r>
      <w:r>
        <w:rPr>
          <w:rtl w:val="true"/>
        </w:rPr>
        <w:t>لا ضرر و لا ضرار</w:t>
      </w:r>
      <w:r>
        <w:rPr>
          <w:rtl w:val="true"/>
        </w:rPr>
        <w:t xml:space="preserve">» </w:t>
      </w:r>
      <w:r>
        <w:rPr>
          <w:rtl w:val="true"/>
        </w:rPr>
        <w:t>کی لا یلزم التکرار فی الحدیث</w:t>
      </w:r>
      <w:bookmarkEnd w:id="5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یشهد علی أنّ الجملة الاولی هی فی المفاد غیر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التکرار، فإن کانتا نفیا أو نهیا فلا یصلح صدوره عمّن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من نطق</w:t>
      </w:r>
    </w:p>
    <w:p>
      <w:pPr>
        <w:pStyle w:val="BookText"/>
        <w:rPr/>
      </w:pPr>
      <w:r>
        <w:rPr>
          <w:rFonts w:ascii="IRNazanin" w:hAnsi="IRNazanin" w:eastAsia="IRNazanin"/>
          <w:color w:val="111111"/>
          <w:sz w:val="28"/>
          <w:sz w:val="28"/>
          <w:szCs w:val="28"/>
          <w:rtl w:val="true"/>
          <w:lang w:bidi="fa-IR"/>
        </w:rPr>
        <w:t>بالضاد</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فعندئذ یمکن الخروج عن التکرار بأحد امور الثلاثة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الثانیة بعد ما تکون ناهیة حسبما عرفت، تکون الاولی نافیة، إلّا أنّه لا یمکن رفع الإجمال المذکور مع الابتلاء بإشکال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یکون نفیا حقیقیّا، إلّا بلحاظ یوجب خروجها عن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ما یتوهّم من الضرر فی حومة الإسلام، لیس بضرر بحسب النوع و المراحل البرزخیّة و المنازل الاخرویّة، و لو کان ضررا شخصیّا دنیویّا، کالزکاة و الجهاد و الحجّ و الخمس، و الْعَیْنَ بِالْعَیْنِ </w:t>
      </w:r>
      <w:r>
        <w:rPr>
          <w:rStyle w:val="FootnoteAnchor"/>
          <w:rtl w:val="true"/>
        </w:rPr>
        <w:footnoteReference w:id="625"/>
      </w:r>
      <w:r>
        <w:rPr>
          <w:rFonts w:ascii="IRNazanin" w:hAnsi="IRNazanin" w:eastAsia="IRNazanin"/>
          <w:color w:val="111111"/>
          <w:sz w:val="28"/>
          <w:sz w:val="28"/>
          <w:szCs w:val="28"/>
          <w:rtl w:val="true"/>
          <w:lang w:bidi="fa-IR"/>
        </w:rPr>
        <w:t>و الحدود و الدیات و القصاص، و المنع عن الإرث فی کثیر من الأحکام، و تحریم کثیر من المأکولات و المشروبات،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نفی حقیقیّ؛ لانتهائه إلی رفع الحکم بحسب الواقع، کما یستشمّ من العلّامة النائینیّ </w:t>
      </w:r>
      <w:r>
        <w:rPr>
          <w:rStyle w:val="FootnoteAnchor"/>
          <w:rtl w:val="true"/>
        </w:rPr>
        <w:footnoteReference w:id="626"/>
      </w:r>
      <w:r>
        <w:rPr>
          <w:rFonts w:ascii="IRNazanin" w:hAnsi="IRNazanin" w:eastAsia="IRNazanin"/>
          <w:color w:val="111111"/>
          <w:sz w:val="28"/>
          <w:sz w:val="28"/>
          <w:szCs w:val="28"/>
          <w:rtl w:val="true"/>
          <w:lang w:bidi="fa-IR"/>
        </w:rPr>
        <w:t xml:space="preserve">، و هو یرجع إلی مقالة الشیخ رحمه اللّه </w:t>
      </w:r>
      <w:r>
        <w:rPr>
          <w:rStyle w:val="FootnoteAnchor"/>
          <w:rtl w:val="true"/>
        </w:rPr>
        <w:footnoteReference w:id="627"/>
      </w:r>
      <w:r>
        <w:rPr>
          <w:rFonts w:ascii="IRNazanin" w:hAnsi="IRNazanin" w:eastAsia="IRNazanin"/>
          <w:color w:val="111111"/>
          <w:sz w:val="28"/>
          <w:sz w:val="28"/>
          <w:szCs w:val="28"/>
          <w:rtl w:val="true"/>
          <w:lang w:bidi="fa-IR"/>
        </w:rPr>
        <w:t>فی غیر محلّه؛ ضرورة أنّه لا یعقل رفع الحکم الإنشائیّ هنا و لا فی موارد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کالتخصیص و التقیید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واقعیّا، و لا رفع الفعلیّة و الجدّ؛ للزوم النسخ المستحیل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معنی لأن یراد من نفی الضرر نفی الحکم الضرریّ، أو الشی‌ء الضرریّ، فإنّه خلاف الأدب عند العرب، أفلا تری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معناهما إلی أنّه لا حکم سهویّ، أو لا حکم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صنعه الشیخ رحمه اللّه خلط بین مفاد القاعدة و بین ما هو مقصوده و مطلوبه؛ بتطبیقه علیها</w:t>
      </w:r>
    </w:p>
    <w:p>
      <w:pPr>
        <w:pStyle w:val="BookText"/>
        <w:rPr/>
      </w:pPr>
      <w:r>
        <w:rPr>
          <w:rFonts w:ascii="IRNazanin" w:hAnsi="IRNazanin" w:eastAsia="IRNazanin"/>
          <w:color w:val="111111"/>
          <w:sz w:val="28"/>
          <w:sz w:val="28"/>
          <w:szCs w:val="28"/>
          <w:rtl w:val="true"/>
          <w:lang w:bidi="fa-IR"/>
        </w:rPr>
        <w:t>حسب میلها و إرادتها،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 یطلب فی رسالتنا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إجماله للحاجة إلی الخبر بالضرورة، لا یمکن استفادة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النفع، و هو واضح،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بمعنی التضییق و التحریج، و هو مختار الوالد المحقّق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لکتب اللغة، و معتقدا أنّه المستفاد من موارد استعماله فی الکتاب و السنّة، و مصرّحا بأنّه بمعنی الضرر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 غَیْرَ مُضَارٍّ</w:t>
      </w:r>
      <w:r>
        <w:rPr>
          <w:rStyle w:val="FootnoteAnchor"/>
          <w:rtl w:val="true"/>
        </w:rPr>
        <w:footnoteReference w:id="629"/>
      </w:r>
      <w:r>
        <w:rPr>
          <w:rFonts w:ascii="IRNazanin" w:hAnsi="IRNazanin" w:eastAsia="IRNazanin"/>
          <w:color w:val="111111"/>
          <w:sz w:val="28"/>
          <w:sz w:val="28"/>
          <w:szCs w:val="28"/>
          <w:rtl w:val="true"/>
          <w:lang w:bidi="fa-IR"/>
        </w:rPr>
        <w:t xml:space="preserve">فکان ینبغی أن یصبح علی الإجمال بحسب المادّة؛ لخلوّ کتب اللغة عمّا أفاده، و لاستعماله بمعنی الضرر فی الأموال فی الکتاب الإلهیّ </w:t>
      </w:r>
      <w:r>
        <w:rPr>
          <w:rStyle w:val="FootnoteAnchor"/>
          <w:rtl w:val="true"/>
        </w:rPr>
        <w:footnoteReference w:id="630"/>
      </w:r>
      <w:r>
        <w:rPr>
          <w:rFonts w:ascii="IRNazanin" w:hAnsi="IRNazanin" w:eastAsia="IRNazanin"/>
          <w:color w:val="111111"/>
          <w:sz w:val="28"/>
          <w:sz w:val="28"/>
          <w:szCs w:val="28"/>
          <w:rtl w:val="true"/>
          <w:lang w:bidi="fa-IR"/>
        </w:rPr>
        <w:t>، و لکثرة استعماله فی التضییق و التشدید فیه و فی الأخبار، فتقع المعارضة و المضادّة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تصریح جمع من اللغویّین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و غیرهما</w:t>
      </w:r>
      <w:r>
        <w:rPr>
          <w:rStyle w:val="FootnoteAnchor"/>
          <w:rtl w:val="true"/>
        </w:rPr>
        <w:footnoteReference w:id="633"/>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الضرار هو بمعنی ضرّه ضدّ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استعماله فی الکتاب العزیز فی الآیة المذکورة</w:t>
      </w:r>
      <w:r>
        <w:rPr>
          <w:rStyle w:val="FootnoteAnchor"/>
          <w:rtl w:val="true"/>
        </w:rPr>
        <w:footnoteReference w:id="634"/>
      </w:r>
      <w:r>
        <w:rPr>
          <w:rFonts w:ascii="IRNazanin" w:hAnsi="IRNazanin" w:eastAsia="IRNazanin"/>
          <w:color w:val="111111"/>
          <w:sz w:val="28"/>
          <w:sz w:val="28"/>
          <w:szCs w:val="28"/>
          <w:rtl w:val="true"/>
          <w:lang w:bidi="fa-IR"/>
        </w:rPr>
        <w:t xml:space="preserve">، و قضیّة کون الوضع فی المشتقّات نوعیّا لا شخصیّا؛ أی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الضمّ موضوعة لمعنی واحد، و تدخلها الهیئات کسائر المقامات، و هی أیضا وضعها نوعیّ،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الموارد</w:t>
      </w:r>
    </w:p>
    <w:p>
      <w:pPr>
        <w:pStyle w:val="BookText"/>
        <w:rPr/>
      </w:pPr>
      <w:r>
        <w:rPr>
          <w:rFonts w:ascii="IRNazanin" w:hAnsi="IRNazanin" w:eastAsia="IRNazanin"/>
          <w:color w:val="111111"/>
          <w:sz w:val="28"/>
          <w:sz w:val="28"/>
          <w:szCs w:val="28"/>
          <w:rtl w:val="true"/>
          <w:lang w:bidi="fa-IR"/>
        </w:rPr>
        <w:t>بمعنی واحد؛ و هو إحداث النقیصة، و ما یوجب بحسب النوع ارتباکا عند الاطلاع علیه، من غیر فرق بین الأموال و الأنفس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النقیصة فی الجسم، و هو لا یعدّ مالا، أو فی الروح،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ضرّه و به و أضرّه و ضارّه مضارّة و ضرارا و الضارّ وراء القحط و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 ضدّ النفع، و یضمّ</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إطلاق الضرّتین علی الإلیة من جانبی عظمها و علی زوجتیک من هذه الجهة، و هکذا الضرّاء و غیر ذلک، فالأصل واحد حسب الظاهر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واحد، و تکرارهما للتأکید</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کلمة غَیْرَ مُضَارٍّ فی الآیة الشریفة لغیر معنی النقیصة فی الأموال، و راجعة إلی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الضرار الوصیّة لغیر أهلها، أو الوصیّة غیر الممضاة کلّها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المادّة ذا معنیین و انطباق معنی العامّ علی مورد الخاصّ لا یقتضی کون الکلمة موضوعة للمعنی الخاصّ کما هو الواضح و من ذلک المعنی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الضرّاء ضدّ السرّاء أیضا یشهد علی الأعمّیة؛ فإنّ وفور النعمة الروحیّة و البدنیّة و المالیّة یوجب السرّاء، و نقصانها یورث الضرّاء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واحد، و هو الأشبه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یکفیک لذلک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تُضآرُّوهُنَّ لِتُضَیِّقُوا عَلَیْهِنَ </w:t>
      </w:r>
      <w:r>
        <w:rPr>
          <w:rStyle w:val="FootnoteAnchor"/>
          <w:rtl w:val="true"/>
        </w:rPr>
        <w:footnoteReference w:id="637"/>
      </w:r>
      <w:r>
        <w:rPr>
          <w:rFonts w:ascii="IRNazanin" w:hAnsi="IRNazanin" w:eastAsia="IRNazanin"/>
          <w:color w:val="111111"/>
          <w:sz w:val="28"/>
          <w:sz w:val="28"/>
          <w:szCs w:val="28"/>
          <w:rtl w:val="true"/>
          <w:lang w:bidi="fa-IR"/>
        </w:rPr>
        <w:t xml:space="preserve">فإنّه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التضییق یلزم التکرار الشنیع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الحرج متّفقین فی المعنی أو فی المورد، فهو موکول إلی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الامور الثلاثة اختلافهما فی الهیئة؛ بأن تکون الجملة الاولی نفیا ادعائیّا مجملا إثباتا، و الثانیة نفیا صوریّا و نهیا مبیّنا ثبوتا و إثباتا حسبما ذکرناه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أنّه نهی تشریعیّ یستفاد منه خاصّیة النفی الادعائی، الحاکم علی الأدلّة الأوّلیة کما عرفت </w:t>
      </w:r>
      <w:r>
        <w:rPr>
          <w:rStyle w:val="FootnoteAnchor"/>
          <w:rtl w:val="true"/>
        </w:rPr>
        <w:footnoteReference w:id="639"/>
      </w:r>
      <w:r>
        <w:rPr>
          <w:rFonts w:ascii="IRNazanin" w:hAnsi="IRNazanin" w:eastAsia="IRNazanin"/>
          <w:color w:val="111111"/>
          <w:sz w:val="28"/>
          <w:sz w:val="28"/>
          <w:szCs w:val="28"/>
          <w:rtl w:val="true"/>
          <w:lang w:bidi="fa-IR"/>
        </w:rPr>
        <w:t xml:space="preserve">، و یکون مشرّعا بالنسبة إلی لزوم جبران النقیصة حسبما أوضحناه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وجه لتوهّم الإجمال؛ من جهة أنّ النفی الصوریّ یحتاج إلی الخبر أیضا کما مرّ</w:t>
      </w:r>
      <w:r>
        <w:rPr>
          <w:rStyle w:val="FootnoteAnchor"/>
          <w:rtl w:val="true"/>
        </w:rPr>
        <w:footnoteReference w:id="641"/>
      </w:r>
      <w:r>
        <w:rPr>
          <w:rFonts w:ascii="IRNazanin" w:hAnsi="IRNazanin" w:eastAsia="IRNazanin"/>
          <w:color w:val="111111"/>
          <w:sz w:val="28"/>
          <w:sz w:val="28"/>
          <w:szCs w:val="28"/>
          <w:rtl w:val="true"/>
          <w:lang w:bidi="fa-IR"/>
        </w:rPr>
        <w:t>، و لا طریق إلی إبانة الخبر المحذوف؛ لکثرة الاحتمالات الدخیلة فی فهم حدود المبغوض و المنهیّ للمولی، و ذلک إمّا لأجل أنّ النفی الصوریّ غیر محتاج إلی الخبر، بخلاف النفی الحقیقیّ و الادعائیّ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لأجل أنّ الإجمال لا یضرّ بما هو سبیلنا فی تحریر المسألة؛ لأنّه علی کلّ تقدیر تکون المضارّة مبغوضة تشریعا، و هذا لا یناسب تشریع الأحکام المستتبعة للضرر، کما یناسب إجبار جبران المضارّ تشریعا؛ لأنّ المضارّة مبغوضة حدوثا و بقاء، فلو أضرّ بطریق المسلمین، فکما یستفاد من نهیه حرمته، یستفاد عرفا لزوم تدارکه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نهی عن الاستنساخ أو تألیف الکتب المضلّة، یستنبط منه عرفا مبغوضیّة بقائها من غیر الحاجة إلی إیجاب إحراقها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و تمایل سیّدنا الاستاذ البروجردیّ قدّس سرّه إلی منع اقتناء التمثال، و حرمة بیعه، و لزوم 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تمایل بعض الأعلام إلی قی‌ء المأکول المحرّم فی</w:t>
      </w:r>
    </w:p>
    <w:p>
      <w:pPr>
        <w:pStyle w:val="BookText"/>
        <w:rPr/>
      </w:pPr>
      <w:r>
        <w:rPr>
          <w:rFonts w:ascii="IRNazanin" w:hAnsi="IRNazanin" w:eastAsia="IRNazanin"/>
          <w:color w:val="111111"/>
          <w:sz w:val="28"/>
          <w:sz w:val="28"/>
          <w:szCs w:val="28"/>
          <w:rtl w:val="true"/>
          <w:lang w:bidi="fa-IR"/>
        </w:rPr>
        <w:t>صورة التمکّن، کما هو مرویّ فی بیضة قومر بها</w:t>
      </w:r>
      <w:r>
        <w:rPr>
          <w:rStyle w:val="FootnoteAnchor"/>
          <w:rtl w:val="true"/>
        </w:rPr>
        <w:footnoteReference w:id="642"/>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الجملة الاولی سیقت لممنوعیّة الضرر أو نفیه، و الجملة الثانیة سیقت للممنوعیّة المقابلة و المجازاة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الاسم الضرر فعل واحد، و الضرار فعل اثنیین، و به فسّر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یضرّ الرجل أخاه فینقصه شیئا من حقّه، و لا یجازیه علی إضراره بإدخال الضرر علیه، و قیل هما بمعنی واحد، و تکرارهما للتأکید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لا یلزم علی الوجه الأوّل تکرار فی الحدیث، و هو مقتضی هیئة باب المفاعلة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کون هیئة باب المفاعلة للطرفین محلّ إشکال؛ لکثرة استعمالها فی الطرف الواحد</w:t>
      </w:r>
      <w:r>
        <w:rPr>
          <w:rStyle w:val="FootnoteAnchor"/>
          <w:rtl w:val="true"/>
        </w:rPr>
        <w:footnoteReference w:id="644"/>
      </w:r>
      <w:r>
        <w:rPr>
          <w:rFonts w:ascii="IRNazanin" w:hAnsi="IRNazanin" w:eastAsia="IRNazanin"/>
          <w:color w:val="111111"/>
          <w:sz w:val="28"/>
          <w:sz w:val="28"/>
          <w:szCs w:val="28"/>
          <w:rtl w:val="true"/>
          <w:lang w:bidi="fa-IR"/>
        </w:rPr>
        <w:t xml:space="preserve">، و هو مختار العلّامة الأصفهانیّ فی حاشیته علی بیع الشیخ الأعظم الأنصاریّ </w:t>
      </w:r>
      <w:r>
        <w:rPr>
          <w:rStyle w:val="FootnoteAnchor"/>
          <w:rtl w:val="true"/>
        </w:rPr>
        <w:footnoteReference w:id="645"/>
      </w:r>
      <w:r>
        <w:rPr>
          <w:rFonts w:ascii="IRNazanin" w:hAnsi="IRNazanin" w:eastAsia="IRNazanin"/>
          <w:color w:val="111111"/>
          <w:sz w:val="28"/>
          <w:sz w:val="28"/>
          <w:szCs w:val="28"/>
          <w:rtl w:val="true"/>
          <w:lang w:bidi="fa-IR"/>
        </w:rPr>
        <w:t>، و هو غیر صحیح عندنا، إلّا أنّه لا منع من استعماله أحیانا فی مورد أو موارد فی طرف واحد، کما نحن فیه؛ لتصریح اللغویّین به، و بعض الشواهد الاخر علیه فی الأخبار</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الآیات </w:t>
      </w:r>
      <w:r>
        <w:rPr>
          <w:rStyle w:val="FootnoteAnchor"/>
          <w:rtl w:val="true"/>
        </w:rPr>
        <w:footnoteReference w:id="647"/>
      </w:r>
      <w:r>
        <w:rPr>
          <w:rFonts w:ascii="IRNazanin" w:hAnsi="IRNazanin" w:eastAsia="IRNazanin"/>
          <w:color w:val="111111"/>
          <w:sz w:val="28"/>
          <w:sz w:val="28"/>
          <w:szCs w:val="28"/>
          <w:rtl w:val="true"/>
          <w:lang w:bidi="fa-IR"/>
        </w:rPr>
        <w:t xml:space="preserve">کما تعرّض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یخلو بعض تلک الشواهد من المناقشة، إلّا أنّه سهل بعد وجوده فی الجملة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بالتقیید الکثیر بل و أصل التقیید و التخصیص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کما عرفت وردت الآیات علی المجازاة فی باب الاعتداء بالمثل </w:t>
      </w:r>
      <w:r>
        <w:rPr>
          <w:rStyle w:val="FootnoteAnchor"/>
          <w:rtl w:val="true"/>
        </w:rPr>
        <w:footnoteReference w:id="649"/>
      </w:r>
      <w:r>
        <w:rPr>
          <w:rFonts w:ascii="IRNazanin" w:hAnsi="IRNazanin" w:eastAsia="IRNazanin"/>
          <w:color w:val="111111"/>
          <w:sz w:val="28"/>
          <w:sz w:val="28"/>
          <w:szCs w:val="28"/>
          <w:rtl w:val="true"/>
          <w:lang w:bidi="fa-IR"/>
        </w:rPr>
        <w:t>، و فی کتاب القصاص علی الأطراف و الحیاة</w:t>
      </w:r>
      <w:r>
        <w:rPr>
          <w:rStyle w:val="FootnoteAnchor"/>
          <w:rtl w:val="true"/>
        </w:rPr>
        <w:footnoteReference w:id="650"/>
      </w:r>
      <w:r>
        <w:rPr>
          <w:rFonts w:ascii="IRNazanin" w:hAnsi="IRNazanin" w:eastAsia="IRNazanin"/>
          <w:color w:val="111111"/>
          <w:sz w:val="28"/>
          <w:sz w:val="28"/>
          <w:szCs w:val="28"/>
          <w:rtl w:val="true"/>
          <w:lang w:bidi="fa-IR"/>
        </w:rPr>
        <w:t xml:space="preserve">، و فی باب سباب المؤمن </w:t>
      </w:r>
      <w:r>
        <w:rPr>
          <w:rStyle w:val="FootnoteAnchor"/>
          <w:rtl w:val="true"/>
        </w:rPr>
        <w:footnoteReference w:id="651"/>
      </w:r>
      <w:r>
        <w:rPr>
          <w:rFonts w:ascii="IRNazanin" w:hAnsi="IRNazanin" w:eastAsia="IRNazanin"/>
          <w:color w:val="111111"/>
          <w:sz w:val="28"/>
          <w:sz w:val="28"/>
          <w:szCs w:val="28"/>
          <w:rtl w:val="true"/>
          <w:lang w:bidi="fa-IR"/>
        </w:rPr>
        <w:t>بناء علی کونه مضارّة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واضحا و نهیا کما علیه ظاهر اللغویّین </w:t>
      </w:r>
      <w:r>
        <w:rPr>
          <w:rStyle w:val="FootnoteAnchor"/>
          <w:rtl w:val="true"/>
        </w:rPr>
        <w:footnoteReference w:id="652"/>
      </w:r>
      <w:r>
        <w:rPr>
          <w:rFonts w:ascii="IRNazanin" w:hAnsi="IRNazanin" w:eastAsia="IRNazanin"/>
          <w:color w:val="111111"/>
          <w:sz w:val="28"/>
          <w:sz w:val="28"/>
          <w:szCs w:val="28"/>
          <w:rtl w:val="true"/>
          <w:lang w:bidi="fa-IR"/>
        </w:rPr>
        <w:t xml:space="preserve">، فإطلاقه یشمل صورة المجازاة، فتکون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تأکیدا،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أنّه افید نفی المجازاة، أو النهی عن المجازاة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المادة بالأموال، و التعلیل سیق لمنع إحداث الضرر المالیّ، أو منع المجازاة فی الأموال أیضا، خلافا للأنفس و سوء الحال و المضایقة، و لکنّه خلاف التحقیق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تذییلا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الإجمال، و مناسبة القصّة تقتضی کونه نهیا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 نفیا فی الاستعمال لا ینافی کون خبره؛ لاقتضاء النهی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سرایة الإجمال من الاولی إلی الثانیة، و لا سرایة إلّا بأنّه من الثانیة إلی الاولی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حلّ المعضلة بالنسبة إلی الجملة الثانیة، و صارت الجملة بعد ذلک نهیا، و کان مقتضی السنخیّة عمومیّة النهی بالنسبة إلی الناس کافّة، کما کان مقتضی ذلک محدودیّة الأحکام الإسلامیّة، بل و لزوم جبران الضرر و الإضرار؛ حسبما عرفت من فهم العقلاء ذلک، أمکن حلّها بالنسبة إلی الاولی و هی نافیة؛ لأنّ</w:t>
      </w:r>
      <w:bookmarkStart w:id="529" w:name="pg13177_117956"/>
    </w:p>
    <w:p>
      <w:pPr>
        <w:pStyle w:val="BookText"/>
        <w:rPr/>
      </w:pPr>
      <w:bookmarkEnd w:id="529"/>
      <w:r>
        <w:rPr>
          <w:rFonts w:ascii="IRNazanin" w:hAnsi="IRNazanin" w:eastAsia="IRNazanin"/>
          <w:color w:val="111111"/>
          <w:sz w:val="28"/>
          <w:sz w:val="28"/>
          <w:szCs w:val="28"/>
          <w:rtl w:val="true"/>
          <w:lang w:bidi="fa-IR"/>
        </w:rPr>
        <w:t>استفادة محدودیّة سنخ خاصّ من الأحکام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کقاعدة السلطنة</w:t>
      </w:r>
      <w:r>
        <w:rPr>
          <w:rStyle w:val="FootnoteAnchor"/>
          <w:rtl w:val="true"/>
        </w:rPr>
        <w:footnoteReference w:id="653"/>
      </w:r>
      <w:r>
        <w:rPr>
          <w:rFonts w:ascii="IRNazanin" w:hAnsi="IRNazanin" w:eastAsia="IRNazanin"/>
          <w:color w:val="111111"/>
          <w:sz w:val="28"/>
          <w:sz w:val="28"/>
          <w:szCs w:val="28"/>
          <w:rtl w:val="true"/>
          <w:lang w:bidi="fa-IR"/>
        </w:rPr>
        <w:t>و غیرها</w:t>
      </w:r>
      <w:r>
        <w:rPr>
          <w:rStyle w:val="FootnoteAnchor"/>
          <w:rtl w:val="true"/>
        </w:rPr>
        <w:footnoteReference w:id="654"/>
      </w:r>
      <w:r>
        <w:rPr>
          <w:rFonts w:ascii="IRNazanin" w:hAnsi="IRNazanin" w:eastAsia="IRNazanin"/>
          <w:color w:val="111111"/>
          <w:sz w:val="28"/>
          <w:sz w:val="28"/>
          <w:szCs w:val="28"/>
          <w:rtl w:val="true"/>
          <w:lang w:bidi="fa-IR"/>
        </w:rPr>
        <w:t>ممّا یرجع إلی المکلّفین بعضهم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فهم محدودیّة مطلق الأحکام، و جبران الضرر و النقیصة؛ نظرا إلی أنّها قاعدة قالعة لمادّة الضرر فی محیط التشریع، و فی صورة الجبران یقتلع أیضا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احتمال عدم وجود القدر المتیقّن، کی یکون هو الخبر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فعندئذ لا یمکن حلّ المشکلة هنا؛ فإنّ فی الثانیة یستکشف من النهی مبغوضیّة الإضرار، و یتبیّن من مبغوضیّة الإضرار و الضرار عدم مناسبة لجعل الأحکام المنتهیة إلی الموجبات للضرار 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المحذوف خبرا؛ و هو ما لا ینطبق إلّا علی الأحکام العبادیّة و الفردیّة الموجودة بین الخالق و المخلوق، یحتمل کونه ما لا ینطبق إلّا علی الأحکام الإداریّة الاجتماعیّة الموجودة بین الخلائق بعضهم مع بعض، و یحتمل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حدیث سمرة و مناسبة قصّته 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علی حدة إن شاء اللّه تعالی</w:t>
      </w:r>
      <w:r>
        <w:rPr>
          <w:rFonts w:eastAsia="IRNazanin" w:cs="IRNazanin"/>
          <w:color w:val="111111"/>
          <w:sz w:val="28"/>
          <w:szCs w:val="28"/>
          <w:rtl w:val="true"/>
          <w:lang w:bidi="fa-IR"/>
        </w:rPr>
        <w:t>.</w:t>
      </w:r>
    </w:p>
    <w:p>
      <w:pPr>
        <w:pStyle w:val="Heading6"/>
        <w:numPr>
          <w:ilvl w:val="5"/>
          <w:numId w:val="1"/>
        </w:numPr>
        <w:rPr/>
      </w:pPr>
      <w:bookmarkStart w:id="530" w:name="__RefHeading___Toc763942_3244359995"/>
      <w:bookmarkStart w:id="531" w:name="_Toc196"/>
      <w:bookmarkEnd w:id="530"/>
      <w:r>
        <w:rPr>
          <w:rtl w:val="true"/>
        </w:rPr>
        <w:t>تأیید</w:t>
      </w:r>
      <w:r>
        <w:rPr>
          <w:rtl w:val="true"/>
        </w:rPr>
        <w:t xml:space="preserve">: </w:t>
      </w:r>
      <w:r>
        <w:rPr>
          <w:rtl w:val="true"/>
        </w:rPr>
        <w:t xml:space="preserve">لتقدیم </w:t>
      </w:r>
      <w:r>
        <w:rPr>
          <w:rtl w:val="true"/>
        </w:rPr>
        <w:t>«</w:t>
      </w:r>
      <w:r>
        <w:rPr>
          <w:rtl w:val="true"/>
        </w:rPr>
        <w:t>لا ضرر</w:t>
      </w:r>
      <w:r>
        <w:rPr>
          <w:rtl w:val="true"/>
        </w:rPr>
        <w:t xml:space="preserve">» </w:t>
      </w:r>
      <w:r>
        <w:rPr>
          <w:rtl w:val="true"/>
        </w:rPr>
        <w:t>علی الأدلة الأوّلیّة</w:t>
      </w:r>
      <w:bookmarkEnd w:id="53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الخلط بین المسائل التشریعیّة و التکوینیّة، کی یقال بعدم المنع؛ بجواز تشریع قانون حرمة المضارّة و الضرار، مع إضرار الناس تکوینا بالزلازل و أمثالها؛ ضرورة أنّ جواز إضراره تعالی و نفعه ممکن، مع أنّه یأمر بالنفع، و ینهی تشریعا عن الضرار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القیاس المذکور و الاستحسان المزبور، محرّم و غیر تامّ عندنا دلیلا فی المسائل الفقهیّة، بخلاف ما نحن فیه، فإنّه بعد تشریع قاعدة تحریم الضرار، یصحّ استنباط عدم وجود الأحکام الإلهیّة التشریعیّة الضراریّة، و العرف یقبّح ذلک، و یفهم من مبغوضیّة الإضرار بالناس بالنسبة إلی الناس؛ أنّه لا معنی لضرب القانون المنتهی إلی الضرار، حتّی یقع المکلّفون من جانب الوضوء و الغسل و الوفاء بالعقد فی الضرار المالیّ و البدنیّ، و فی سوء الحال و الضرّاء و الشدّة و 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هذه المسألة بما فی الکتب العقلیّة فی مسألة الخیر و الشرّ،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یصحّ ضرب القانون المزبور مع خلق الضرار تکوینا، أو یصحّ عدم إیصال النفع بطریق غیر عادیّ، کأن تمطر السماء کنوز الحاجات بالنسبة إلی الفقراء، مع الأمر بإیصال الصدقات إلیهم، کذلک لا بأس بضرب القانون المزبور؛ و تحریم إضرار الناس بعضهم لبعض، مع ضربه تعالی قانونا یستتبع و ینتهی إلی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من الخلط بین التکوین و التشریع، و قد تحرّر أنّ فی محیط التشریع لا یفهم العرف حسن ذلک، بل یستنبط من مبغوضیّة الضرار المذکور عدم وجود الحکم المنتهی إلی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نتیجة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الأدلّة الأوّلیة؛ لأنّ الحکومة لا معنی لها إلّا استفادة محدودیّة الإطلاقات و العمومات من ابتداء الأمر؛ لامتناع النسخ الحقیقیّ، و بما أنّها قانون تشریعیّ بالنسبة إلی إضرار الناس بعضهم لبعض، یکون قانونا جابرا للضرر بعد إیقاعه؛ حسب التحریر الماضی، فلا تغفل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الأدلّة الأوّلیة بالمعنی المصطلح علیه، کتحکیم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علی أدلّة الشکوک </w:t>
      </w:r>
      <w:r>
        <w:rPr>
          <w:rStyle w:val="FootnoteAnchor"/>
          <w:rtl w:val="true"/>
        </w:rPr>
        <w:footnoteReference w:id="656"/>
      </w:r>
      <w:r>
        <w:rPr>
          <w:rFonts w:ascii="IRNazanin" w:hAnsi="IRNazanin" w:eastAsia="IRNazanin"/>
          <w:color w:val="111111"/>
          <w:sz w:val="28"/>
          <w:sz w:val="28"/>
          <w:szCs w:val="28"/>
          <w:rtl w:val="true"/>
          <w:lang w:bidi="fa-IR"/>
        </w:rPr>
        <w:t>، بل هنا نتیجة</w:t>
      </w:r>
      <w:bookmarkStart w:id="532" w:name="pg13177_117958"/>
    </w:p>
    <w:p>
      <w:pPr>
        <w:pStyle w:val="BookText"/>
        <w:rPr/>
      </w:pPr>
      <w:bookmarkEnd w:id="532"/>
      <w:r>
        <w:rPr>
          <w:rFonts w:ascii="IRNazanin" w:hAnsi="IRNazanin" w:eastAsia="IRNazanin"/>
          <w:color w:val="111111"/>
          <w:sz w:val="28"/>
          <w:sz w:val="28"/>
          <w:szCs w:val="28"/>
          <w:rtl w:val="true"/>
          <w:lang w:bidi="fa-IR"/>
        </w:rPr>
        <w:t>الحکومة بفهم محدودیة الأدلّة الأوّلیة فی موارد استتباعها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مثلا مضرّ لا بما هو أنّه وضوء، و إیجابه بما هو هو لیس بمضرّ، فعندئذ تقع النسبة بین إیجاب الوضوء، و إیجاب الوفاء بالبیع و إیجاب الحجّ؛ فی موارد تحمّل الضرر غیر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ضرب القانون الذی یکون بینه و بین تحریم الإضرار عموم من وجه، لا یکون عندئذ وجه لتقدیم الثانی علی الأوّل؛ و جعله قرینة علی محدودیّة القوانین الأوّلیة فی موارد استلزامها الضرار، و لا سیّما و أنّ الحکم بما هو هو لیس موقعا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هو العرف فی موارد العموم من وجه، و إلّا فالنسبة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لکثیر السهو</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و بین أدلّة الشکوک </w:t>
      </w:r>
      <w:r>
        <w:rPr>
          <w:rStyle w:val="FootnoteAnchor"/>
          <w:rtl w:val="true"/>
        </w:rPr>
        <w:footnoteReference w:id="658"/>
      </w:r>
      <w:r>
        <w:rPr>
          <w:rFonts w:ascii="IRNazanin" w:hAnsi="IRNazanin" w:eastAsia="IRNazanin"/>
          <w:color w:val="111111"/>
          <w:sz w:val="28"/>
          <w:sz w:val="28"/>
          <w:szCs w:val="28"/>
          <w:rtl w:val="true"/>
          <w:lang w:bidi="fa-IR"/>
        </w:rPr>
        <w:t xml:space="preserve">عموم من وجه، و هکذا بین حدیث الرفع </w:t>
      </w:r>
      <w:r>
        <w:rPr>
          <w:rStyle w:val="FootnoteAnchor"/>
          <w:rtl w:val="true"/>
        </w:rPr>
        <w:footnoteReference w:id="659"/>
      </w:r>
      <w:r>
        <w:rPr>
          <w:rFonts w:ascii="IRNazanin" w:hAnsi="IRNazanin" w:eastAsia="IRNazanin"/>
          <w:color w:val="111111"/>
          <w:sz w:val="28"/>
          <w:sz w:val="28"/>
          <w:szCs w:val="28"/>
          <w:rtl w:val="true"/>
          <w:lang w:bidi="fa-IR"/>
        </w:rPr>
        <w:t>و الأدلّة، و لکن یتبیّن بعد لفت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 العرف قبح ضرب القانون المستتبع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 علیه بالضرورة، و یکفی لصحّة إسناد الضرار إلی الشرع و القانون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إطلاقه یقتضی الامتثال، سواء کان إطلاق حکم تعبّدی، أو توصّلی، أو غیریّ علی الفرض، و نتیجة الامتثال وقوع المکلّف فیه، فما هو الأحقّ بالنسبة هو الشرع قطعا</w:t>
      </w:r>
      <w:r>
        <w:rPr>
          <w:rFonts w:eastAsia="IRNazanin" w:cs="IRNazanin"/>
          <w:color w:val="111111"/>
          <w:sz w:val="28"/>
          <w:szCs w:val="28"/>
          <w:rtl w:val="true"/>
          <w:lang w:bidi="fa-IR"/>
        </w:rPr>
        <w:t>.</w:t>
      </w:r>
    </w:p>
    <w:p>
      <w:pPr>
        <w:pStyle w:val="Heading6"/>
        <w:numPr>
          <w:ilvl w:val="5"/>
          <w:numId w:val="1"/>
        </w:numPr>
        <w:rPr/>
      </w:pPr>
      <w:bookmarkStart w:id="533" w:name="__RefHeading___Toc763944_3244359995"/>
      <w:bookmarkStart w:id="534" w:name="_Toc197"/>
      <w:bookmarkEnd w:id="533"/>
      <w:r>
        <w:rPr>
          <w:rtl w:val="true"/>
        </w:rPr>
        <w:t>تأیید ثان</w:t>
      </w:r>
      <w:r>
        <w:rPr>
          <w:rtl w:val="true"/>
        </w:rPr>
        <w:t>:</w:t>
      </w:r>
      <w:bookmarkEnd w:id="53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إلی أنّ مقالة الشیخ الأنصاریّ و 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Style w:val="FootnoteAnchor"/>
          <w:rtl w:val="true"/>
        </w:rPr>
        <w:footnoteReference w:id="660"/>
      </w:r>
      <w:r>
        <w:rPr>
          <w:rFonts w:ascii="IRNazanin" w:hAnsi="IRNazanin" w:eastAsia="IRNazanin"/>
          <w:color w:val="111111"/>
          <w:sz w:val="28"/>
          <w:sz w:val="28"/>
          <w:szCs w:val="28"/>
          <w:rtl w:val="true"/>
          <w:lang w:bidi="fa-IR"/>
        </w:rPr>
        <w:t>، إن</w:t>
      </w:r>
    </w:p>
    <w:p>
      <w:pPr>
        <w:pStyle w:val="BookText"/>
        <w:rPr/>
      </w:pPr>
      <w:r>
        <w:rPr>
          <w:rFonts w:ascii="IRNazanin" w:hAnsi="IRNazanin" w:eastAsia="IRNazanin"/>
          <w:color w:val="111111"/>
          <w:sz w:val="28"/>
          <w:sz w:val="28"/>
          <w:szCs w:val="28"/>
          <w:rtl w:val="true"/>
          <w:lang w:bidi="fa-IR"/>
        </w:rPr>
        <w:t>رجعت إلی حذف المضاف فغیر صحیحة؛ لأنّ المنفیّ هو الحکم الضرّی، أو الحکم الضرریّ، أو حکم الضرریّ، و هذا لیس من حذف المضاف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مقالة العلّامة الخراسانیّ رحمه اللّه </w:t>
      </w:r>
      <w:r>
        <w:rPr>
          <w:rStyle w:val="FootnoteAnchor"/>
          <w:rtl w:val="true"/>
        </w:rPr>
        <w:footnoteReference w:id="661"/>
      </w:r>
      <w:r>
        <w:rPr>
          <w:rFonts w:ascii="IRNazanin" w:hAnsi="IRNazanin" w:eastAsia="IRNazanin"/>
          <w:color w:val="111111"/>
          <w:sz w:val="28"/>
          <w:sz w:val="28"/>
          <w:szCs w:val="28"/>
          <w:rtl w:val="true"/>
          <w:lang w:bidi="fa-IR"/>
        </w:rPr>
        <w:t xml:space="preserve">أسوأ الاحتمالات </w:t>
      </w:r>
      <w:r>
        <w:rPr>
          <w:rStyle w:val="FootnoteAnchor"/>
          <w:rtl w:val="true"/>
        </w:rPr>
        <w:footnoteReference w:id="662"/>
      </w:r>
      <w:r>
        <w:rPr>
          <w:rFonts w:ascii="IRNazanin" w:hAnsi="IRNazanin" w:eastAsia="IRNazanin"/>
          <w:color w:val="111111"/>
          <w:sz w:val="28"/>
          <w:sz w:val="28"/>
          <w:szCs w:val="28"/>
          <w:rtl w:val="true"/>
          <w:lang w:bidi="fa-IR"/>
        </w:rPr>
        <w:t>لأنّ نفی الحکم بنفی الموضوع أجنبیّ عمّا نحن فیه؛ للزوم نفی حکم عنوان الضرر، أو عنوان یطرأه الضرر، کما فی الأحکام المترتّبة علی الموضوعات التی تعدّ ضرریّة، کإیجاب جبران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 القاعدة إلی موارد خاصّة بلا بیّنة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داعی إلی تفسیر القاعدة علی الوجه المذکور بعد وجود الاحتمالات الاخر، مع إمکان حملها علی الإجمال؛ و قصور فهمنا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توهّم تعیّن مقالة الشیخ و الخراسانیّ قدّس سرّهما نظرا إلی قلّة ثمرة سائر الاحتمالات، کما فی کلام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أسوأ من الاستحسان و القیاس </w:t>
      </w:r>
      <w:r>
        <w:rPr>
          <w:rStyle w:val="FootnoteAnchor"/>
          <w:rtl w:val="true"/>
        </w:rPr>
        <w:footnoteReference w:id="663"/>
      </w:r>
      <w:r>
        <w:rPr>
          <w:rFonts w:ascii="IRNazanin" w:hAnsi="IRNazanin" w:eastAsia="IRNazanin"/>
          <w:color w:val="111111"/>
          <w:sz w:val="28"/>
          <w:sz w:val="28"/>
          <w:szCs w:val="28"/>
          <w:rtl w:val="true"/>
          <w:lang w:bidi="fa-IR"/>
        </w:rPr>
        <w:t>، فلا تختلط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نفیا حقیقیّا، و إلّا صوریّا، أو لا یلزم جواز الضرار؛ لأنّ حکم الضرر هو حرمة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فِی الْحَجِ </w:t>
      </w:r>
      <w:r>
        <w:rPr>
          <w:rStyle w:val="FootnoteAnchor"/>
          <w:rtl w:val="true"/>
        </w:rPr>
        <w:footnoteReference w:id="664"/>
      </w:r>
      <w:r>
        <w:rPr>
          <w:rFonts w:ascii="IRNazanin" w:hAnsi="IRNazanin" w:eastAsia="IRNazanin"/>
          <w:color w:val="111111"/>
          <w:sz w:val="28"/>
          <w:sz w:val="28"/>
          <w:szCs w:val="28"/>
          <w:rtl w:val="true"/>
          <w:lang w:bidi="fa-IR"/>
        </w:rPr>
        <w:t>من النفی، من الاشتباه، فإنّه نهی عن الثلاثة فی الحجّ، و لیس من الحقیقة الادعائیّة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فأحسن احتمال هو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أردأ</w:t>
      </w:r>
      <w:bookmarkStart w:id="535" w:name="pg13177_117960"/>
    </w:p>
    <w:p>
      <w:pPr>
        <w:pStyle w:val="BookText"/>
        <w:rPr/>
      </w:pPr>
      <w:bookmarkEnd w:id="535"/>
      <w:r>
        <w:rPr>
          <w:rFonts w:ascii="IRNazanin" w:hAnsi="IRNazanin" w:eastAsia="IRNazanin"/>
          <w:color w:val="111111"/>
          <w:sz w:val="28"/>
          <w:sz w:val="28"/>
          <w:szCs w:val="28"/>
          <w:rtl w:val="true"/>
          <w:lang w:bidi="fa-IR"/>
        </w:rPr>
        <w:t xml:space="preserve">الوجوه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سیق لجبران الضرر، و لو لا ما أوردناه من المعضلة کان هو المتعیّن مع قطع النظر عن صدر الحدیث، و قد عرفت علی کلّ تقدیر شناعة الوجوه الثلاثة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763946_3244359995"/>
      <w:bookmarkStart w:id="537" w:name="_Toc198"/>
      <w:bookmarkEnd w:id="536"/>
      <w:r>
        <w:rPr>
          <w:rtl w:val="true"/>
        </w:rPr>
        <w:t xml:space="preserve">حول بیان النفی الادعائی فی </w:t>
      </w:r>
      <w:r>
        <w:rPr>
          <w:rtl w:val="true"/>
        </w:rPr>
        <w:t>«</w:t>
      </w:r>
      <w:r>
        <w:rPr>
          <w:rtl w:val="true"/>
        </w:rPr>
        <w:t>لا ضرر</w:t>
      </w:r>
      <w:r>
        <w:rPr>
          <w:rtl w:val="true"/>
        </w:rPr>
        <w:t>»</w:t>
      </w:r>
      <w:bookmarkEnd w:id="537"/>
    </w:p>
    <w:p>
      <w:pPr>
        <w:pStyle w:val="BookText"/>
        <w:rPr/>
      </w:pPr>
      <w:r>
        <w:rPr>
          <w:rFonts w:ascii="IRNazanin" w:hAnsi="IRNazanin" w:eastAsia="IRNazanin"/>
          <w:color w:val="111111"/>
          <w:sz w:val="28"/>
          <w:sz w:val="28"/>
          <w:szCs w:val="28"/>
          <w:rtl w:val="true"/>
          <w:lang w:bidi="fa-IR"/>
        </w:rPr>
        <w:t>بقی فی المسألة أنّه نفی ادعائیّ، و لیس من حذف المضاف، و حیث إنّ الادعاء یحتاج إلی المصحّح، وقع القائلون به فی حیص و بیص؛ ضرورة أنّ فی الإسلام جملة من المشروعات و القوانین الضرریّة بذاتها، کالکفّارات، و الحجّ،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تصدی الوالد المحقّق </w:t>
      </w:r>
      <w:r>
        <w:rPr>
          <w:rStyle w:val="FootnoteAnchor"/>
          <w:rtl w:val="true"/>
        </w:rPr>
        <w:footnoteReference w:id="667"/>
      </w:r>
      <w:r>
        <w:rPr>
          <w:rFonts w:ascii="IRNazanin" w:hAnsi="IRNazanin" w:eastAsia="IRNazanin"/>
          <w:color w:val="111111"/>
          <w:sz w:val="28"/>
          <w:sz w:val="28"/>
          <w:szCs w:val="28"/>
          <w:rtl w:val="true"/>
          <w:lang w:bidi="fa-IR"/>
        </w:rPr>
        <w:t>و نحن فی رسالتنا لهذه المسألة من هذه الجهة، إلّا أنّه لا یمکن تکمیل الادعاء المذکور کما هو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لاختصاص القاعدة بغیر القوانین الضرریّة فی أصل جعلها بعد إطلاق الادعاء، فعندئذ یتبیّن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لکنّه مجمل، و یکون نفیا بالقیاس إلی دفع توهّم ضرریّة القوانین الضرریّة بذاتها، فإنّها بحسب الشخص و الزمان و المصر و العصر و لو کانت ضرریّة، إلّا أنّها نافعة بالقیاس إلی النوع، و بحسب الحضارة الإسلامیّة الأبدیّة، و بالنظر إلی المصالح الدنیویّة العامّة و الاخرویّة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یستنبط منه ما ذکرناه بالنسبة إلی الإطلاقات و العمومات</w:t>
      </w:r>
      <w:r>
        <w:rPr>
          <w:rFonts w:eastAsia="IRNazanin" w:cs="IRNazanin"/>
          <w:color w:val="111111"/>
          <w:sz w:val="28"/>
          <w:szCs w:val="28"/>
          <w:rtl w:val="true"/>
          <w:lang w:bidi="fa-IR"/>
        </w:rPr>
        <w:t>.</w:t>
      </w:r>
      <w:bookmarkStart w:id="538" w:name="pg13177_117961"/>
    </w:p>
    <w:p>
      <w:pPr>
        <w:pStyle w:val="BookText"/>
        <w:rPr/>
      </w:pPr>
      <w:bookmarkEnd w:id="538"/>
      <w:r>
        <w:rPr>
          <w:rFonts w:ascii="IRNazanin" w:hAnsi="IRNazanin" w:eastAsia="IRNazanin"/>
          <w:color w:val="111111"/>
          <w:sz w:val="28"/>
          <w:sz w:val="28"/>
          <w:szCs w:val="28"/>
          <w:rtl w:val="true"/>
          <w:lang w:bidi="fa-IR"/>
        </w:rPr>
        <w:t xml:space="preserve">و إن أبیت عن ذلک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إلّا أنّه لا یمکن إلغاء الأحکام الضرریّة بذاتها بالضرورة، بخلاف کشف محدودیّة الإطلاقات و العمومات حتّی بالنسبة إلی إطلاق تلک الأحکام، فلیتأمّل جیّدا</w:t>
      </w:r>
      <w:r>
        <w:rPr>
          <w:rFonts w:eastAsia="IRNazanin" w:cs="IRNazanin"/>
          <w:color w:val="111111"/>
          <w:sz w:val="28"/>
          <w:szCs w:val="28"/>
          <w:rtl w:val="true"/>
          <w:lang w:bidi="fa-IR"/>
        </w:rPr>
        <w:t>.</w:t>
      </w:r>
    </w:p>
    <w:p>
      <w:pPr>
        <w:pStyle w:val="Heading6"/>
        <w:numPr>
          <w:ilvl w:val="5"/>
          <w:numId w:val="1"/>
        </w:numPr>
        <w:rPr/>
      </w:pPr>
      <w:bookmarkStart w:id="539" w:name="__RefHeading___Toc763948_3244359995"/>
      <w:bookmarkStart w:id="540" w:name="_Toc199"/>
      <w:bookmarkEnd w:id="539"/>
      <w:r>
        <w:rPr>
          <w:rtl w:val="true"/>
        </w:rPr>
        <w:t>بقی شی‌ء</w:t>
      </w:r>
      <w:r>
        <w:rPr>
          <w:rtl w:val="true"/>
        </w:rPr>
        <w:t xml:space="preserve">: </w:t>
      </w:r>
      <w:r>
        <w:rPr>
          <w:rtl w:val="true"/>
        </w:rPr>
        <w:t xml:space="preserve">فی سقوط </w:t>
      </w:r>
      <w:r>
        <w:rPr>
          <w:rtl w:val="true"/>
        </w:rPr>
        <w:t>«</w:t>
      </w:r>
      <w:r>
        <w:rPr>
          <w:rtl w:val="true"/>
        </w:rPr>
        <w:t>لا ضرر</w:t>
      </w:r>
      <w:r>
        <w:rPr>
          <w:rtl w:val="true"/>
        </w:rPr>
        <w:t xml:space="preserve">» </w:t>
      </w:r>
      <w:r>
        <w:rPr>
          <w:rtl w:val="true"/>
        </w:rPr>
        <w:t>عن الفائدة الخاصة به</w:t>
      </w:r>
      <w:bookmarkEnd w:id="540"/>
    </w:p>
    <w:p>
      <w:pPr>
        <w:pStyle w:val="BookText"/>
        <w:rPr/>
      </w:pP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الدخل و جوابا عن الاعتراض بالنسبة إلی ضرب القوانین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لظهوره فی النفی، و لا یکون هو إلّا حقیقة؛ لما لا معنی لحمله علی الادعاء و المجاز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بالنسبة إلی الموارد الضرریّة حسب الإطلاقات و العمومات، کالوضوء الضرریّ، و اللزوم الضرریّ، و العموم الضرریّ أیضا، جواب عن الإشکال المقدّر المتوجّه إلی وجود الأحکام الضرریّة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الثانیة ظاهرة، کما عرفت فی النهی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دعوی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الدخل عن ضرریّة الأحکام الضرریّة الآتیة من الإطلاق و العموم أیضا، فتصیر النتیجة عکس المقصود، و علی هذا لا استبعاد فی ضرب القاعدة الناهیة عن الضرار، مع ضرب القوانین الضرریّة بذاتها و المبنیّة علی الضرر، کالزکاة و الخمس و الحج و الجهاد و الکفّارات، و هکذا الأحکام الضرریّة بإطلاقها و عمومها، فلا یتمّ الوجه المذکور المبدع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ذلک علی فرض کون الجملة الاولی مبیّنة، و لکن بعد کونها مجملة لا یترتّب علیه شی‌ء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وجود الأحکام الضرریّة الذاتیّة کما عرفت، لا موقف للاستنباط المذکور و الاستبعاد المزبور</w:t>
      </w:r>
      <w:r>
        <w:rPr>
          <w:rFonts w:eastAsia="IRNazanin" w:cs="IRNazanin"/>
          <w:color w:val="111111"/>
          <w:sz w:val="28"/>
          <w:szCs w:val="28"/>
          <w:rtl w:val="true"/>
          <w:lang w:bidi="fa-IR"/>
        </w:rPr>
        <w:t>.</w:t>
      </w:r>
      <w:bookmarkStart w:id="541" w:name="pg13177_117962"/>
    </w:p>
    <w:p>
      <w:pPr>
        <w:pStyle w:val="BookText"/>
        <w:rPr/>
      </w:pPr>
      <w:bookmarkEnd w:id="541"/>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کونها حاکمة، أو مشرّعة و محدّدة، أو موجبة بسط ید الفقیه فی الأحکام الضرریّة الإلهیّة، بل القدر المتیقّن من الجملة الثانیة هو النهی، و من الاولی دفع الدخل و الوهم؛ سواء کان الخبر المحذوف عامّا، أو خاصّا بالأحکام الإسلامیّة المضروبة بین الخالق و المخلوقین، أو الأحکام الإسلامیّة المضروبة بین المخلوقین بعضهم مع بعض</w:t>
      </w:r>
      <w:r>
        <w:rPr>
          <w:rFonts w:eastAsia="IRNazanin" w:cs="IRNazanin"/>
          <w:color w:val="111111"/>
          <w:sz w:val="28"/>
          <w:szCs w:val="28"/>
          <w:rtl w:val="true"/>
          <w:lang w:bidi="fa-IR"/>
        </w:rPr>
        <w:t>.</w:t>
      </w:r>
    </w:p>
    <w:p>
      <w:pPr>
        <w:pStyle w:val="Heading6"/>
        <w:numPr>
          <w:ilvl w:val="5"/>
          <w:numId w:val="1"/>
        </w:numPr>
        <w:rPr/>
      </w:pPr>
      <w:bookmarkStart w:id="542" w:name="__RefHeading___Toc763950_3244359995"/>
      <w:bookmarkStart w:id="543" w:name="_Toc200"/>
      <w:bookmarkEnd w:id="542"/>
      <w:r>
        <w:rPr>
          <w:rtl w:val="true"/>
        </w:rPr>
        <w:t>وهم و دفع</w:t>
      </w:r>
      <w:bookmarkEnd w:id="543"/>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القاعدة لدفع الدخل بالنسبة إلی الأحکام الضرریّة الذاتیّة، و لتحدید الأحکام الضرریّة الآتیة من الإطلاقات و العمومات؛ و ذلک لأنّها بالقیاس إلی الاولی ممّا لا بدّ منه؛ فرارا من اللغویّة، دون الثانیة؛ لإمکان التحکیم و التقیید و التحدید 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مجرّد الرجم بالغیب، و لا شاهد علیه إلّا فهم الأصحاب، و هو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عرفت من إجمال الجملة الاولی </w:t>
      </w:r>
      <w:r>
        <w:rPr>
          <w:rStyle w:val="FootnoteAnchor"/>
          <w:rtl w:val="true"/>
        </w:rPr>
        <w:footnoteReference w:id="669"/>
      </w:r>
      <w:r>
        <w:rPr>
          <w:rFonts w:ascii="IRNazanin" w:hAnsi="IRNazanin" w:eastAsia="IRNazanin"/>
          <w:color w:val="111111"/>
          <w:sz w:val="28"/>
          <w:sz w:val="28"/>
          <w:szCs w:val="28"/>
          <w:rtl w:val="true"/>
          <w:lang w:bidi="fa-IR"/>
        </w:rPr>
        <w:t>، و عدم حسن النهی تشریعا عن الإضرار الشخصیّ، مع ضرب القوانین الضرریّة الکثیرة الشخصیّة، فلا تغفل</w:t>
      </w:r>
      <w:r>
        <w:rPr>
          <w:rFonts w:eastAsia="IRNazanin" w:cs="IRNazanin"/>
          <w:color w:val="111111"/>
          <w:sz w:val="28"/>
          <w:szCs w:val="28"/>
          <w:rtl w:val="true"/>
          <w:lang w:bidi="fa-IR"/>
        </w:rPr>
        <w:t>.</w:t>
      </w:r>
    </w:p>
    <w:p>
      <w:pPr>
        <w:pStyle w:val="Heading6"/>
        <w:numPr>
          <w:ilvl w:val="5"/>
          <w:numId w:val="1"/>
        </w:numPr>
        <w:rPr/>
      </w:pPr>
      <w:bookmarkStart w:id="544" w:name="__RefHeading___Toc763952_3244359995"/>
      <w:bookmarkStart w:id="545" w:name="_Toc201"/>
      <w:bookmarkEnd w:id="544"/>
      <w:r>
        <w:rPr>
          <w:rtl w:val="true"/>
        </w:rPr>
        <w:t>تنبیهان</w:t>
      </w:r>
      <w:r>
        <w:rPr>
          <w:rtl w:val="true"/>
        </w:rPr>
        <w:t>:</w:t>
      </w:r>
      <w:bookmarkEnd w:id="545"/>
    </w:p>
    <w:p>
      <w:pPr>
        <w:pStyle w:val="Heading6"/>
        <w:numPr>
          <w:ilvl w:val="5"/>
          <w:numId w:val="1"/>
        </w:numPr>
        <w:rPr/>
      </w:pPr>
      <w:bookmarkStart w:id="546" w:name="__RefHeading___Toc763954_3244359995"/>
      <w:bookmarkStart w:id="547" w:name="_Toc202"/>
      <w:bookmarkEnd w:id="546"/>
      <w:r>
        <w:rPr>
          <w:rtl w:val="true"/>
        </w:rPr>
        <w:t>التنبیه الأوّل</w:t>
      </w:r>
      <w:r>
        <w:rPr>
          <w:rtl w:val="true"/>
        </w:rPr>
        <w:t xml:space="preserve">: </w:t>
      </w:r>
      <w:r>
        <w:rPr>
          <w:rtl w:val="true"/>
        </w:rPr>
        <w:t>حول نفی الضرر عن الأنصاری بإدخاله علی سمرة</w:t>
      </w:r>
      <w:bookmarkEnd w:id="54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الکلام إلی هنا کان حول القاعدة مع قطع النظر عن قصّة سمرة، و أمّا</w:t>
      </w:r>
    </w:p>
    <w:p>
      <w:pPr>
        <w:pStyle w:val="BookText"/>
        <w:rPr/>
      </w:pPr>
      <w:r>
        <w:rPr>
          <w:rFonts w:ascii="IRNazanin" w:hAnsi="IRNazanin" w:eastAsia="IRNazanin"/>
          <w:color w:val="111111"/>
          <w:sz w:val="28"/>
          <w:sz w:val="28"/>
          <w:szCs w:val="28"/>
          <w:rtl w:val="true"/>
          <w:lang w:bidi="fa-IR"/>
        </w:rPr>
        <w:t>بالنظر إلیها فإلیک معضلتین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لو کانت ناهیة، فهی لا تقتضی ارتکابه صلّی اللّه علیه و اله و سلّم للإضرار بالغیر؛ سواء کان نهیا إلهیّا، أو نبویّا سلطانیّا؛ لأنّه صلّی اللّه علیه و اله و سلّم علی کلّ تقدیر لیس فوق القانون المستدلّ به فی ارتکاب القلع و القمع و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یستحسن الاستدلال المذکور جدّا حتّی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الجملة الاولی نفیا، و الثانیة نهیا؛ لأنّه علی کلّ تقدیر إضرار و مضارّة و ضرار بالنسبة إلی سمرة عرفا و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صلّی اللّه علیه و اله و سلّم کان من المحتمل أن یتمکّن من حلّ المشکلة بالرجوع إلی الأنصاریّ کی یبیع داره من سمرة أو لغیره، کی لا یلزم الحرج و الضرر و المضیقة، و لا الإضرار و الضرار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استدلال لغیر الأمر بالقلع و الرمی و القلع و التصرّف و الضرار، بل حجّة الأمر بالقلع أولویّته علی المؤمنین؛ و أنّه صلّی اللّه علیه و اله و سلّم أولی بهم من أنفسهم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فاسد؛ للزوم ذکر القاعدة بلا جهة، أو تکون دلیلا لوجوب استئذانه، و أنت خبیر بأنّه مجرّد تخیّل خارج عن المذکور فی الموثّقة، و کان ینبغی عدم تذیّلها بها و لو کانت نافیة فی الجملتین أو الجملة الاولی، فلا یکفی مجرّد المواجهة مع سمرة للقطع مع أنّه من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الضرر العرفیّ، فلا یحسن الاستدلال فی هذه الصورة، بخلاف الاستدلال بالکتاب؛ و أنّ النبیّ صلّی اللّه علیه و اله و سلّم أولی بالمؤمنین، و له الحکومة العامّة علی قلع مادّة الفساد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جریان القاعدة موجبا للضرر، فمصداق منه حاکم علی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لحکومة القاعدة الناهیة علی قاعدة السلطنة و هی وضعیّة بالضرورة؛ فإنّ البیع وقت النداء حرام و صحیح، فما قد یقال من حکومتها علیها بالخصوص </w:t>
      </w:r>
      <w:r>
        <w:rPr>
          <w:rStyle w:val="FootnoteAnchor"/>
          <w:rtl w:val="true"/>
        </w:rPr>
        <w:footnoteReference w:id="671"/>
      </w:r>
      <w:r>
        <w:rPr>
          <w:rFonts w:ascii="IRNazanin" w:hAnsi="IRNazanin" w:eastAsia="IRNazanin"/>
          <w:color w:val="111111"/>
          <w:sz w:val="28"/>
          <w:sz w:val="28"/>
          <w:szCs w:val="28"/>
          <w:rtl w:val="true"/>
          <w:lang w:bidi="fa-IR"/>
        </w:rPr>
        <w:t>بعید؛ لعدم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حدیث الرفع الأعمّ، حاکما علی مطلق الأحکام الوضعیّة و التکلیفیّة، کما تحرّر</w:t>
      </w:r>
      <w:r>
        <w:rPr>
          <w:rStyle w:val="FootnoteAnchor"/>
          <w:rtl w:val="true"/>
        </w:rPr>
        <w:footnoteReference w:id="672"/>
      </w:r>
      <w:r>
        <w:rPr>
          <w:rFonts w:ascii="IRNazanin" w:hAnsi="IRNazanin" w:eastAsia="IRNazanin"/>
          <w:color w:val="111111"/>
          <w:sz w:val="28"/>
          <w:sz w:val="28"/>
          <w:szCs w:val="28"/>
          <w:rtl w:val="true"/>
          <w:lang w:bidi="fa-IR"/>
        </w:rPr>
        <w:t>، فعلی هذا مجرّد إضرار سمرة، لا یوجب قصور سلطانه علی الطریق و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یستحقّ العقوبة علی 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قاعدة عامّة نافیة بالنسبة إلی الأحکام الوضعیّة و التکلیفیّة، و حاکمة و مقدّمة علیها، و مشتملة علی النهی کنایة؛ لوجود الجامع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مرّ من الإجمال </w:t>
      </w:r>
      <w:r>
        <w:rPr>
          <w:rStyle w:val="FootnoteAnchor"/>
          <w:rtl w:val="true"/>
        </w:rPr>
        <w:footnoteReference w:id="673"/>
      </w:r>
      <w:r>
        <w:rPr>
          <w:rFonts w:ascii="IRNazanin" w:hAnsi="IRNazanin" w:eastAsia="IRNazanin"/>
          <w:color w:val="111111"/>
          <w:sz w:val="28"/>
          <w:sz w:val="28"/>
          <w:szCs w:val="28"/>
          <w:rtl w:val="true"/>
          <w:lang w:bidi="fa-IR"/>
        </w:rPr>
        <w:t xml:space="preserve">هو غیر تامّ؛ من جهة أنّ دعوی النفی المذکور مع وجود التشریعیّات الکثیرة الضرریّة غیر مجتمعة، لا من جهة لزوم التخصیص الکثیر، کما فی کلام الشیخ رحمه اللّه </w:t>
      </w:r>
      <w:r>
        <w:rPr>
          <w:rStyle w:val="FootnoteAnchor"/>
          <w:rtl w:val="true"/>
        </w:rPr>
        <w:footnoteReference w:id="674"/>
      </w:r>
      <w:r>
        <w:rPr>
          <w:rFonts w:ascii="Amiri" w:hAnsi="Amiri" w:eastAsia="Amiri" w:cs="Amiri"/>
          <w:color w:val="111111"/>
          <w:sz w:val="28"/>
          <w:sz w:val="28"/>
          <w:szCs w:val="28"/>
          <w:rtl w:val="true"/>
          <w:lang w:bidi="ar-SA"/>
        </w:rPr>
        <w:t>فإنّه 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أغرب منه إرجاع تلک الکثرة إلی واحد</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استغرابا عدم إرجاعها إلی واحد فی قاعدة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جهة أنّ النفی فی محیط التشریع ادعائیّ متقوّم بالمصحّح، و هو غیر موجود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قاعدة نافیة دافعة کالتخصیص حقیقة، کما فی کلام العلّامة</w:t>
      </w:r>
      <w:bookmarkStart w:id="548" w:name="pg13177_117965"/>
    </w:p>
    <w:p>
      <w:pPr>
        <w:pStyle w:val="BookText"/>
        <w:rPr/>
      </w:pPr>
      <w:bookmarkEnd w:id="548"/>
      <w:r>
        <w:rPr>
          <w:rFonts w:ascii="Amiri" w:hAnsi="Amiri" w:eastAsia="Amiri" w:cs="Amiri"/>
          <w:color w:val="111111"/>
          <w:sz w:val="28"/>
          <w:sz w:val="28"/>
          <w:szCs w:val="28"/>
          <w:rtl w:val="true"/>
          <w:lang w:bidi="ar-SA"/>
        </w:rPr>
        <w:t xml:space="preserve">النائینیّ </w:t>
      </w:r>
      <w:r>
        <w:rPr>
          <w:rStyle w:val="FootnoteAnchor"/>
          <w:rtl w:val="true"/>
        </w:rPr>
        <w:footnoteReference w:id="676"/>
      </w:r>
      <w:r>
        <w:rPr>
          <w:rFonts w:ascii="IRNazanin" w:hAnsi="IRNazanin" w:eastAsia="IRNazanin"/>
          <w:color w:val="111111"/>
          <w:sz w:val="28"/>
          <w:sz w:val="28"/>
          <w:szCs w:val="28"/>
          <w:rtl w:val="true"/>
          <w:lang w:bidi="fa-IR"/>
        </w:rPr>
        <w:t>، بلا بیّنة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عرفت من الإشکال فی أنّ الدفع و تحدید الأحکام، لا یصحّح نفی الضرر، فلا بدّ من کونها ناظرة إلی الرفع و لو من باب الاقتضاء و التقدیر، کما فی حدیث الرفع؛ کی لا یلزم الدور فی تصحیح الادعاء هنا، و الرفع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أقرب الوجوه أن تکون القاعدة جوابا عن الإشکال المتوهّم، و دفعا للدخل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لا ضرر فی أمری بالقلع و القمع و الرمی بها وجهه، و لا ضرر فی هذا التشدید و التضییق، و لا ضرار لأحد علی أحد، و لا حقّ مضارّة و ضرار فی محیط التکلیف و التشریع، و لیست التکالیف و المشروعات من الضرر و الضرار بالنسبة إلی حاضرة الإنسان و حقوق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شاهد علی خلاف ذلک بعد عدم الاستدلال بها لنفی الحکم الضرریّ، أو لتحریم الضرر، أو لجبرانه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الضرر موضوعا لحکم بنفسه کی یرفع تعبّدا فتتعیّن مقالتنا فی الجملة الاولی، و أمّا الثانیة فهی کنایة عن النهی؛ لما عرفت و تحرّر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763956_3244359995"/>
      <w:bookmarkStart w:id="550" w:name="_Toc203"/>
      <w:bookmarkEnd w:id="549"/>
      <w:r>
        <w:rPr>
          <w:rtl w:val="true"/>
        </w:rPr>
        <w:t>التنبیه الثانی</w:t>
      </w:r>
      <w:r>
        <w:rPr>
          <w:rtl w:val="true"/>
        </w:rPr>
        <w:t xml:space="preserve">: </w:t>
      </w:r>
      <w:r>
        <w:rPr>
          <w:rtl w:val="true"/>
        </w:rPr>
        <w:t xml:space="preserve">فی بیان النسبة بین </w:t>
      </w:r>
      <w:r>
        <w:rPr>
          <w:rtl w:val="true"/>
        </w:rPr>
        <w:t>«</w:t>
      </w:r>
      <w:r>
        <w:rPr>
          <w:rtl w:val="true"/>
        </w:rPr>
        <w:t>لا ضرر</w:t>
      </w:r>
      <w:r>
        <w:rPr>
          <w:rtl w:val="true"/>
        </w:rPr>
        <w:t xml:space="preserve">» </w:t>
      </w:r>
      <w:r>
        <w:rPr>
          <w:rtl w:val="true"/>
        </w:rPr>
        <w:t>و قاعدة السلطنة</w:t>
      </w:r>
      <w:bookmarkEnd w:id="55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أسوأ الوجوه احتمال کون القاعدة نافیة بنفی الموضوع لنفی الحکم </w:t>
      </w:r>
      <w:r>
        <w:rPr>
          <w:rStyle w:val="FootnoteAnchor"/>
          <w:rtl w:val="true"/>
        </w:rPr>
        <w:footnoteReference w:id="678"/>
      </w:r>
      <w:r>
        <w:rPr>
          <w:rFonts w:ascii="IRNazanin" w:hAnsi="IRNazanin" w:eastAsia="IRNazanin"/>
          <w:color w:val="111111"/>
          <w:sz w:val="28"/>
          <w:sz w:val="28"/>
          <w:szCs w:val="28"/>
          <w:rtl w:val="true"/>
          <w:lang w:bidi="fa-IR"/>
        </w:rPr>
        <w:t xml:space="preserve">، و قد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مع أنّه یرجع إلی نفی الأحکام الثابتة للضرر</w:t>
      </w:r>
    </w:p>
    <w:p>
      <w:pPr>
        <w:pStyle w:val="BookText"/>
        <w:rPr/>
      </w:pPr>
      <w:r>
        <w:rPr>
          <w:rFonts w:ascii="IRNazanin" w:hAnsi="IRNazanin" w:eastAsia="IRNazanin"/>
          <w:color w:val="111111"/>
          <w:sz w:val="28"/>
          <w:sz w:val="28"/>
          <w:szCs w:val="28"/>
          <w:rtl w:val="true"/>
          <w:lang w:bidi="fa-IR"/>
        </w:rPr>
        <w:t>بنفی الضرر، و لیست فی الشریعة أحکام لعنوانه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قیاس ذلک بحدیث الرفع و رفع النسیان و الخطأ و السهو</w:t>
      </w:r>
      <w:r>
        <w:rPr>
          <w:rStyle w:val="FootnoteAnchor"/>
          <w:rtl w:val="true"/>
        </w:rPr>
        <w:footnoteReference w:id="680"/>
      </w:r>
      <w:r>
        <w:rPr>
          <w:rFonts w:ascii="IRNazanin" w:hAnsi="IRNazanin" w:eastAsia="IRNazanin"/>
          <w:color w:val="111111"/>
          <w:sz w:val="28"/>
          <w:sz w:val="28"/>
          <w:szCs w:val="28"/>
          <w:rtl w:val="true"/>
          <w:lang w:bidi="fa-IR"/>
        </w:rPr>
        <w:t>، فی غیر محلّه؛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مضافا إلی أنّ فی سائر فقراته، رفع أحکام سائر الموضوعات،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قرینة، و إلی ورود ذلک فی بعض الأخبار الاخر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کما مرّ</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للامتنان الشخصیّ، کما هو مذکور فیه، و یلزم من رفع أحکام النسیان معارضته مع تلک الأخبار، و یلزم أن تکون لغوا، فالمقصود هناک واضح معلوم، بخلاف ما نحن فیه، فإنّه مضافا إلی عدم وجود الضرر موضوعا لحکم من الأحکام، لا یعهد نفی حکم معروض الضرر بنفی العارض و هو الضرر، و لیس هذا من قبیل نفی الحکم بنفی موضوعه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نفی الضرر علی الإطلاق، ادعاء یحتاج إلی المصحّح، و لا مصحّح لمثله،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فمصحّحه عدم وجود آثار الرجولیّة لهم، و حیث إنّ فی الشریعة أحکاما ضرریّة بنفس جعلها، أو بإطلاقها کثیرا، فیلزم أن یکون الکلام غلطا صادرا عمّن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من نطق بالضاد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ذلک، فیجوز أن تکون هذه الجهات سببا لذهابه إلی مقالته؛ فرارا من لغویّة الذیل و القاعدة المستدلّ بها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بتلک المقالة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بینها و بین مقالة الشیخ </w:t>
      </w:r>
      <w:r>
        <w:rPr>
          <w:rStyle w:val="FootnoteAnchor"/>
          <w:rtl w:val="true"/>
        </w:rPr>
        <w:footnoteReference w:id="684"/>
      </w:r>
      <w:r>
        <w:rPr>
          <w:rFonts w:ascii="IRNazanin" w:hAnsi="IRNazanin" w:eastAsia="IRNazanin"/>
          <w:color w:val="111111"/>
          <w:sz w:val="28"/>
          <w:sz w:val="28"/>
          <w:szCs w:val="28"/>
          <w:rtl w:val="true"/>
          <w:lang w:bidi="fa-IR"/>
        </w:rPr>
        <w:t>رحمه اللّه لجواز حکومتها علی الاحتیاط و اللزوم فی</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للشیخ رحمه اللّه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حکومتها علی الکشف صحیحة، دون الحکومة، و فی مثل العقد یرفع اللزوم علی مقالة الشیخ، و نفس العقد علی مقالته، و من آثاره اللزوم، فیصیر العقد هنا کالوضوء الضرریّ المندوب الآتی تفصیله إن شاء اللّه تعالی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یجوز أن تکون هذه الجهات سببا لمقالة بعض الفحول، أو لمقالتنا، أو یلزم الإجمال، و هو أمر کثیر الدور فی الروایات، فلا وجه لتعیین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کلام علی فرض کونه نفیا تشریعیّا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بمقتضی أنّ الجملة الاولی نفی، و بمقتضی هذه الامور، و شدّة الارتباط بین قاعدة السلطنة</w:t>
      </w:r>
      <w:r>
        <w:rPr>
          <w:rStyle w:val="FootnoteAnchor"/>
          <w:rtl w:val="true"/>
        </w:rPr>
        <w:footnoteReference w:id="686"/>
      </w:r>
      <w:r>
        <w:rPr>
          <w:rFonts w:ascii="IRNazanin" w:hAnsi="IRNazanin" w:eastAsia="IRNazanin"/>
          <w:color w:val="111111"/>
          <w:sz w:val="28"/>
          <w:sz w:val="28"/>
          <w:szCs w:val="28"/>
          <w:rtl w:val="true"/>
          <w:lang w:bidi="fa-IR"/>
        </w:rPr>
        <w:t>و هذه القاعدة فی قصّة سمرة، یمکن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ناظرة إلی خصوصها، و لا وجه للاستناد إلیها فی غیر ذلک، و لازمه أنّ السلطنة الضرریّة مرفوعة و محکومة بالعدم، و یکون المنظور نفی الحکم الوضعیّ السلطنتیّ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القدر المتیقّن؛ لأنّ الخبر المحذوف علی کل تقدیر یشمل قاعدة السلطنة، فقوله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خبره محذوف، و النظر فی ذلک إلی دفع السلطنة، و هو المصحّح للادعاء، أو هو داخل فیما هو المصحّح له؛ بناء علی عموم الخبر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تقدیر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سلطنة تنتهی إلی الضرر غیر ممضاة، و غیر مرضیّة، و مرفوعة فی الشریعة</w:t>
      </w:r>
      <w:r>
        <w:rPr>
          <w:rFonts w:eastAsia="IRNazanin" w:cs="IRNazanin"/>
          <w:color w:val="111111"/>
          <w:sz w:val="28"/>
          <w:szCs w:val="28"/>
          <w:rtl w:val="true"/>
          <w:lang w:bidi="fa-IR"/>
        </w:rPr>
        <w:t>.</w:t>
      </w:r>
      <w:bookmarkStart w:id="551" w:name="pg13177_117968"/>
    </w:p>
    <w:p>
      <w:pPr>
        <w:pStyle w:val="Heading6"/>
        <w:numPr>
          <w:ilvl w:val="5"/>
          <w:numId w:val="1"/>
        </w:numPr>
        <w:rPr/>
      </w:pPr>
      <w:bookmarkStart w:id="552" w:name="__RefHeading___Toc763958_3244359995"/>
      <w:bookmarkStart w:id="553" w:name="_Toc204"/>
      <w:bookmarkEnd w:id="551"/>
      <w:bookmarkEnd w:id="552"/>
      <w:r>
        <w:rPr>
          <w:rtl w:val="true"/>
        </w:rPr>
        <w:t>فروع</w:t>
      </w:r>
      <w:r>
        <w:rPr>
          <w:rtl w:val="true"/>
        </w:rPr>
        <w:t xml:space="preserve">: </w:t>
      </w:r>
      <w:r>
        <w:rPr>
          <w:rtl w:val="true"/>
        </w:rPr>
        <w:t>فی أحکام تزاحم الضررین أو الضرر مع الحرج</w:t>
      </w:r>
      <w:bookmarkEnd w:id="553"/>
    </w:p>
    <w:p>
      <w:pPr>
        <w:pStyle w:val="Heading6"/>
        <w:numPr>
          <w:ilvl w:val="5"/>
          <w:numId w:val="1"/>
        </w:numPr>
        <w:rPr/>
      </w:pPr>
      <w:bookmarkStart w:id="554" w:name="__RefHeading___Toc763960_3244359995"/>
      <w:bookmarkStart w:id="555" w:name="_Toc205"/>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ربّما یتعارض الضرر و الحرج، أو الضرران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المعارضة بین الضرر و الحرج بالنسبة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تفصیل الصور، أو توضیح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تطبیقه علی مورد و عدم انطباقه علی آخر فهو بحث خارج عن موقفنا، فإنّ نظرنا هنا إلی وجه علاج القاعدتین بالنسبة إلی قاعدة السلطنة الثابتة بإطلاقها بالنسبة إلی کلّ من یکون ماله محترما</w:t>
      </w:r>
      <w:r>
        <w:rPr>
          <w:rFonts w:eastAsia="IRNazanin" w:cs="IRNazanin"/>
          <w:color w:val="111111"/>
          <w:sz w:val="28"/>
          <w:szCs w:val="28"/>
          <w:rtl w:val="true"/>
          <w:lang w:bidi="fa-IR"/>
        </w:rPr>
        <w:t>.</w:t>
      </w:r>
    </w:p>
    <w:p>
      <w:pPr>
        <w:pStyle w:val="Heading6"/>
        <w:numPr>
          <w:ilvl w:val="5"/>
          <w:numId w:val="1"/>
        </w:numPr>
        <w:rPr/>
      </w:pPr>
      <w:bookmarkStart w:id="556" w:name="__RefHeading___Toc763962_3244359995"/>
      <w:bookmarkStart w:id="557" w:name="_Toc206"/>
      <w:bookmarkEnd w:id="556"/>
      <w:r>
        <w:rPr>
          <w:rtl w:val="true"/>
        </w:rPr>
        <w:t>الفرع الأوّل</w:t>
      </w:r>
      <w:r>
        <w:rPr>
          <w:rtl w:val="true"/>
        </w:rPr>
        <w:t xml:space="preserve">: </w:t>
      </w:r>
      <w:r>
        <w:rPr>
          <w:rtl w:val="true"/>
        </w:rPr>
        <w:t>فی التزاحم بین إضرار الغیر و تحمّل الحرج</w:t>
      </w:r>
      <w:bookmarkEnd w:id="557"/>
    </w:p>
    <w:p>
      <w:pPr>
        <w:pStyle w:val="Heading6"/>
        <w:numPr>
          <w:ilvl w:val="5"/>
          <w:numId w:val="1"/>
        </w:numPr>
        <w:rPr/>
      </w:pPr>
      <w:bookmarkStart w:id="558" w:name="__RefHeading___Toc763964_3244359995"/>
      <w:bookmarkStart w:id="559" w:name="_Toc207"/>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 xml:space="preserve">إذا کان تصرّفه موجبا و منتهیا إلی ضرر مسلم و جار، و ترکه موجبا و منتهیا إلی الضیق و المشقّة و وقوعه فی الحرج و الشدّة، کما فی حفر البئر فی داره مثلا، فمقتضی قاعدة السلطنة جواز ذلک، و 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ممنوعیّته؛ لعدم السلطة المنتهیة إلی ضرر الغیر، و قضیّة قاعدة نفی الحرج جواز التصرّف؛ لإمکان نفی إطلاق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النسبة بین قاعدة السلطنة و القاعدتین و إن کانت عموما من وجه، إلّا أنّهما مقدّمتان علیها حکومة، کحکومة حدیث الرفع علی الأدلّة الأوّلیة، و تفصیله فی التعادل و الترجیح، و یظهر أنّ الأدلّة العلاجیّة</w:t>
      </w:r>
      <w:r>
        <w:rPr>
          <w:rStyle w:val="FootnoteAnchor"/>
          <w:rtl w:val="true"/>
        </w:rPr>
        <w:footnoteReference w:id="687"/>
      </w:r>
      <w:r>
        <w:rPr>
          <w:rFonts w:ascii="IRNazanin" w:hAnsi="IRNazanin" w:eastAsia="IRNazanin"/>
          <w:color w:val="111111"/>
          <w:sz w:val="28"/>
          <w:sz w:val="28"/>
          <w:szCs w:val="28"/>
          <w:rtl w:val="true"/>
          <w:lang w:bidi="fa-IR"/>
        </w:rPr>
        <w:t>لا تشمل العامّین من وجه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الأدلّة الأوّلیة بالشهرة الفتوائیّة، أو بلزوم 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تقدیم سائر الأدلّة علیه، أو بأنّ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مجموع الأدلّة عموم و خصوص مطلقان، أو بأنّ الأدلّة الأوّلیة بالنسبة إلی قاعدتی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الاقتضائیّة، أو بأنّ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کلمة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و أن تتقدّم علیها؛ لکونها کالنصّ فیه،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 بتقدّمها علی قاعدة السلطنة؛ للتعلیل بها علیها، فکلّها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ما عدا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جدّا، و ضعیف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المیزان کیفیّة دلالة الأدلّة، فإنّ أدلّة الخمس و الزکاة و الوضوء و الصلاة و الکفّارة و الحج، لها نظارة علی خاصّة تنتهی إلی إفادة الملازمة بین الوجوب و تلک الموادّ، أو الحرمة و متعلّقاتها، أو باعثة نحوها، أو جاعلة لتلک الموادّ خاصیّة الجزئیّة و السلطنة و الشرطیّة و لزوم الوفاء وضعا،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نظارة إلی النسبة بین تلک الموادّ و لوازمها و أحکامها التکلیفیّة و الوضعیّة، فلا حاجة إلی الشهرة، أو ملاحظة النسبة، أو اللغویّة،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ذلک أیضا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تبیّنت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السلطنة، فتصل النوبة إلی نفس القاعدتین، فهل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المذکورة، فتصیر النتیجة بقاء السلطنة؛ نظرا إلی کونها من الکتاب، أو إلی تصریحه بکلمة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منه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الکتاب مرجّح فی کثیر من المسائل، أو مرجع، و لأنّ الصراحة مقدّمة علی الإطلاق، کما فی تعارض العامّ و الإطلاق؟</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حفر البئر إذا کان ضرریّا تکون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منتهیة إلی نفی السلطنة، و حیث إنّ نفی السلطنة الآتی من القاعدة حرجیّ لیس من الدین، یلزم جواز حفر البئر، و حیث إنّهما قاعدتان تکون النسبة بینهما العموم من وجه؛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إلی الحرج لیس من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الضرریّ مرفوع؛ أی أنّ وَ ما جَعَلَ عَلَیْکُمْ فِی الدِّینِ مِنْ حَرَجٍ </w:t>
      </w:r>
      <w:r>
        <w:rPr>
          <w:rStyle w:val="FootnoteAnchor"/>
          <w:rtl w:val="true"/>
        </w:rPr>
        <w:footnoteReference w:id="689"/>
      </w:r>
      <w:r>
        <w:rPr>
          <w:rFonts w:ascii="IRNazanin" w:hAnsi="IRNazanin" w:eastAsia="IRNazanin"/>
          <w:color w:val="111111"/>
          <w:sz w:val="28"/>
          <w:sz w:val="28"/>
          <w:szCs w:val="28"/>
          <w:rtl w:val="true"/>
          <w:lang w:bidi="fa-IR"/>
        </w:rPr>
        <w:t xml:space="preserve">الضرریّ غیر مجعول و مرفوع، فیلزم التزاحم بینهما، و لا یکفی الوجهان المذکوران 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الحکومة مع الأحکام العدمیّة</w:t>
      </w:r>
      <w:r>
        <w:rPr>
          <w:rStyle w:val="FootnoteAnchor"/>
          <w:rtl w:val="true"/>
        </w:rPr>
        <w:footnoteReference w:id="690"/>
      </w:r>
      <w:r>
        <w:rPr>
          <w:rFonts w:ascii="IRNazanin" w:hAnsi="IRNazanin" w:eastAsia="IRNazanin"/>
          <w:color w:val="111111"/>
          <w:sz w:val="28"/>
          <w:sz w:val="28"/>
          <w:szCs w:val="28"/>
          <w:rtl w:val="true"/>
          <w:lang w:bidi="fa-IR"/>
        </w:rPr>
        <w:t>نظرا إلی أنّ جعل عدم الضمان فی مورد لیس حکما، فهو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یکون له الحکومة علی العدمیّات، فتصیر النتیجة مقالة المشهور</w:t>
      </w:r>
      <w:r>
        <w:rPr>
          <w:rStyle w:val="FootnoteAnchor"/>
          <w:rtl w:val="true"/>
        </w:rPr>
        <w:footnoteReference w:id="691"/>
      </w:r>
      <w:r>
        <w:rPr>
          <w:rFonts w:ascii="IRNazanin" w:hAnsi="IRNazanin" w:eastAsia="IRNazanin"/>
          <w:color w:val="111111"/>
          <w:sz w:val="28"/>
          <w:sz w:val="28"/>
          <w:szCs w:val="28"/>
          <w:rtl w:val="true"/>
          <w:lang w:bidi="fa-IR"/>
        </w:rPr>
        <w:t>و هی جواز تصرّفه و حفره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علی الفرض حسبما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حکومة الجملة الاولی بالنفی، و اختصاصها بالحکومة علی خصوص قاعدة السلطنة، و علی هذا فی خصوص تلک القصّة لیس للمالک سلطنة علی کلّ تقدیر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حسب القاعدة،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المنتهی إلی الحرج محکوم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Style w:val="FootnoteAnchor"/>
          <w:rtl w:val="true"/>
        </w:rPr>
        <w:footnoteReference w:id="692"/>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حاکم علیه؛ لما اشیر إلیه آنفا، و عندئذ یجوز حفر البئر المذکورة کما هو المشهور، بل عن</w:t>
      </w:r>
      <w:bookmarkStart w:id="560" w:name="pg13177_117971"/>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خلاف فیه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هذا هو علی المختار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بحکومتها علی مطلق الأحکام الأوّلیة؛ حسب تفاوت استلزامها الضرر؛ لأنّ الأحکام المبنیّة علی الضرر ضررها المنفیّ غیر الأحکام غیر المبنیّة علی الضرر، فلا مرجّح بعد الوجهین المشار إلیهما لأحدهما علی الآخر؛ إلّا الأخبار الخاصّة الواردة فی حفر القنوات و تحدید الحدود حسب اختلاف الأراضی صعوبة و رخاوة</w:t>
      </w:r>
      <w:r>
        <w:rPr>
          <w:rStyle w:val="FootnoteAnchor"/>
          <w:rtl w:val="true"/>
        </w:rPr>
        <w:footnoteReference w:id="694"/>
      </w:r>
      <w:r>
        <w:rPr>
          <w:rFonts w:ascii="IRNazanin" w:hAnsi="IRNazanin" w:eastAsia="IRNazanin"/>
          <w:color w:val="111111"/>
          <w:sz w:val="28"/>
          <w:sz w:val="28"/>
          <w:szCs w:val="28"/>
          <w:rtl w:val="true"/>
          <w:lang w:bidi="fa-IR"/>
        </w:rPr>
        <w:t>، فإنّه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المالک عن حفر القناة حرج، و مع ذلک اعتبر تقدّم الضرر علی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موارد دوران الأمر بین الضرر و اللامنفعة التی لیست بحرج، فی غیر محلّه؛ لأنّه ربّما تکون اللامنفعة بحدّ تعدّ من الحرج، و مقتضی إطلاق تلک الأخبار و الفتاوی تقدّمه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اختصاصه بالبرّ دون البلدة بعید جدّا، و إن صرّح بذلک جمع من الأصحاب، و المسألة تطلب من کتاب إحیاء الموات، و تحتاج إلی فحص خاصّ</w:t>
      </w:r>
      <w:r>
        <w:rPr>
          <w:rFonts w:eastAsia="IRNazanin" w:cs="IRNazanin"/>
          <w:color w:val="111111"/>
          <w:sz w:val="28"/>
          <w:szCs w:val="28"/>
          <w:rtl w:val="true"/>
          <w:lang w:bidi="fa-IR"/>
        </w:rPr>
        <w:t>.</w:t>
      </w:r>
    </w:p>
    <w:p>
      <w:pPr>
        <w:pStyle w:val="Heading6"/>
        <w:numPr>
          <w:ilvl w:val="5"/>
          <w:numId w:val="1"/>
        </w:numPr>
        <w:rPr/>
      </w:pPr>
      <w:bookmarkStart w:id="561" w:name="__RefHeading___Toc763966_3244359995"/>
      <w:bookmarkStart w:id="562" w:name="_Toc208"/>
      <w:bookmarkEnd w:id="561"/>
      <w:r>
        <w:rPr>
          <w:rtl w:val="true"/>
        </w:rPr>
        <w:t>بقی شی‌ء</w:t>
      </w:r>
      <w:r>
        <w:rPr>
          <w:rtl w:val="true"/>
        </w:rPr>
        <w:t xml:space="preserve">: </w:t>
      </w:r>
      <w:r>
        <w:rPr>
          <w:rtl w:val="true"/>
        </w:rPr>
        <w:t>فی عدم مرجعیة قاعدة السلطنة فی المقام</w:t>
      </w:r>
      <w:bookmarkEnd w:id="562"/>
    </w:p>
    <w:p>
      <w:pPr>
        <w:pStyle w:val="BookText"/>
        <w:rPr/>
      </w:pPr>
      <w:r>
        <w:rPr>
          <w:rFonts w:ascii="IRNazanin" w:hAnsi="IRNazanin" w:eastAsia="IRNazanin"/>
          <w:color w:val="111111"/>
          <w:sz w:val="28"/>
          <w:sz w:val="28"/>
          <w:szCs w:val="28"/>
          <w:rtl w:val="true"/>
          <w:lang w:bidi="fa-IR"/>
        </w:rPr>
        <w:t>لو وصلت النوبة إلی تزاحم القاعدتین، و لا معنی لتعارضهما کما لا یخفی، فالمرجع قاعدة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إطلاق لها؛ لأنّها قاعدة عقلائیّة و القدر المتیقّن جواز التصرّف فی صورة عدم لزوم تضرّر الجارّ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الشهرة الخاصّة و الإجماع الکاشف عن الإطلاق، فی غیر محلّه</w:t>
      </w:r>
      <w:r>
        <w:rPr>
          <w:rFonts w:eastAsia="IRNazanin" w:cs="IRNazanin"/>
          <w:color w:val="111111"/>
          <w:sz w:val="28"/>
          <w:szCs w:val="28"/>
          <w:rtl w:val="true"/>
          <w:lang w:bidi="fa-IR"/>
        </w:rPr>
        <w:t>.</w:t>
      </w:r>
      <w:bookmarkStart w:id="563" w:name="pg13177_117972"/>
    </w:p>
    <w:p>
      <w:pPr>
        <w:pStyle w:val="Heading6"/>
        <w:numPr>
          <w:ilvl w:val="5"/>
          <w:numId w:val="1"/>
        </w:numPr>
        <w:rPr/>
      </w:pPr>
      <w:bookmarkStart w:id="564" w:name="__RefHeading___Toc763968_3244359995"/>
      <w:bookmarkStart w:id="565" w:name="_Toc209"/>
      <w:bookmarkEnd w:id="563"/>
      <w:bookmarkEnd w:id="564"/>
      <w:r>
        <w:rPr>
          <w:rtl w:val="true"/>
        </w:rPr>
        <w:t>إفادة</w:t>
      </w:r>
      <w:r>
        <w:rPr>
          <w:rtl w:val="true"/>
        </w:rPr>
        <w:t xml:space="preserve">: </w:t>
      </w:r>
      <w:r>
        <w:rPr>
          <w:rtl w:val="true"/>
        </w:rPr>
        <w:t xml:space="preserve">فی بیان حکم تزاحم </w:t>
      </w:r>
      <w:r>
        <w:rPr>
          <w:rtl w:val="true"/>
        </w:rPr>
        <w:t>«</w:t>
      </w:r>
      <w:r>
        <w:rPr>
          <w:rtl w:val="true"/>
        </w:rPr>
        <w:t>لا ضرر</w:t>
      </w:r>
      <w:r>
        <w:rPr>
          <w:rtl w:val="true"/>
        </w:rPr>
        <w:t xml:space="preserve">» </w:t>
      </w:r>
      <w:r>
        <w:rPr>
          <w:rtl w:val="true"/>
        </w:rPr>
        <w:t>مع نفی الحرج</w:t>
      </w:r>
      <w:bookmarkEnd w:id="565"/>
    </w:p>
    <w:p>
      <w:pPr>
        <w:pStyle w:val="BookText"/>
        <w:rPr/>
      </w:pPr>
      <w:r>
        <w:rPr>
          <w:rFonts w:ascii="IRNazanin" w:hAnsi="IRNazanin" w:eastAsia="IRNazanin"/>
          <w:color w:val="111111"/>
          <w:sz w:val="28"/>
          <w:sz w:val="28"/>
          <w:szCs w:val="28"/>
          <w:rtl w:val="true"/>
          <w:lang w:bidi="fa-IR"/>
        </w:rPr>
        <w:t xml:space="preserve">فی صورة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المذکورة، یجوز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الحاکمة علی قاعدة السلطنة؛ ضرورة أنّ التصرّف موضوع للحکم الإلهیّ و هو الجواز، و أمّا ترک التصرّف فلا حکم له، و لیس مفاد قاعدة السلطنة إلّا جواز مطلق التصرّف، و لازمه العقلیّ جواز الترک، کما فی الأحکام التکلیفیّة، فإنّ ترک الواجب لیس محرّما شرعا، أو ترک المحرّم لیس واجبا إلّا بدرک العقل، کما أوضحناه فی محلّه </w:t>
      </w:r>
      <w:r>
        <w:rPr>
          <w:rStyle w:val="FootnoteAnchor"/>
          <w:rtl w:val="true"/>
        </w:rPr>
        <w:footnoteReference w:id="695"/>
      </w:r>
      <w:r>
        <w:rPr>
          <w:rFonts w:ascii="IRNazanin" w:hAnsi="IRNazanin" w:eastAsia="IRNazanin"/>
          <w:color w:val="111111"/>
          <w:sz w:val="28"/>
          <w:sz w:val="28"/>
          <w:szCs w:val="28"/>
          <w:rtl w:val="true"/>
          <w:lang w:bidi="fa-IR"/>
        </w:rPr>
        <w:t>، فترک التصرّف لیس موضوعا للحکم؛ کی تکون القاعدة حاکمة علیه،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مقتضی قاعدة السلطنة جواز حفر البئر و البالوعة، و مقتضی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رفع الجواز و الإباحة، و عند ذلک یقع المالک فی الحرج، فالقواعد الثلاث طولیّات، و تقدّم الثالثة علی الثانیة المتقدّمة علی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التسلسل؛ لأنّ إطلاق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فی المسألة، فیکون محکوم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بعد کونها طولیّات فی الابتداء، فلیتأمّل جیّدا</w:t>
      </w:r>
      <w:r>
        <w:rPr>
          <w:rFonts w:eastAsia="IRNazanin" w:cs="IRNazanin"/>
          <w:color w:val="111111"/>
          <w:sz w:val="28"/>
          <w:szCs w:val="28"/>
          <w:rtl w:val="true"/>
          <w:lang w:bidi="fa-IR"/>
        </w:rPr>
        <w:t>.</w:t>
      </w:r>
      <w:bookmarkStart w:id="566" w:name="pg13177_117973"/>
    </w:p>
    <w:p>
      <w:pPr>
        <w:pStyle w:val="Heading6"/>
        <w:numPr>
          <w:ilvl w:val="5"/>
          <w:numId w:val="1"/>
        </w:numPr>
        <w:rPr/>
      </w:pPr>
      <w:bookmarkStart w:id="567" w:name="__RefHeading___Toc763970_3244359995"/>
      <w:bookmarkStart w:id="568" w:name="_Toc210"/>
      <w:bookmarkEnd w:id="566"/>
      <w:bookmarkEnd w:id="567"/>
      <w:r>
        <w:rPr>
          <w:rtl w:val="true"/>
        </w:rPr>
        <w:t>الفرع الثانی</w:t>
      </w:r>
      <w:r>
        <w:rPr>
          <w:rtl w:val="true"/>
        </w:rPr>
        <w:t xml:space="preserve">: </w:t>
      </w:r>
      <w:r>
        <w:rPr>
          <w:rtl w:val="true"/>
        </w:rPr>
        <w:t>فی تزاحم الضررین</w:t>
      </w:r>
      <w:bookmarkEnd w:id="568"/>
    </w:p>
    <w:p>
      <w:pPr>
        <w:pStyle w:val="BookText"/>
        <w:rPr/>
      </w:pPr>
      <w:r>
        <w:rPr>
          <w:rFonts w:ascii="IRNazanin" w:hAnsi="IRNazanin" w:eastAsia="IRNazanin"/>
          <w:color w:val="111111"/>
          <w:sz w:val="28"/>
          <w:sz w:val="28"/>
          <w:szCs w:val="28"/>
          <w:rtl w:val="true"/>
          <w:lang w:bidi="fa-IR"/>
        </w:rPr>
        <w:t>لو تزاحم الضرران؛ بأن یکون التصرّف منتهیا إلی ضرر الجار، و ترکه منتهیا إلی ضرر المالک، و تحمّل الماء الموجود فی ساحة الدار منتهیا إلی ضرر الجار، فیلزم من تصرّفه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 البالوعة و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علی الجار، و تصرّفه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بإجرائه إلی البئر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علی نفسه، بعد کون إبقاء الماء فی ساحة الدار أکثر ضررا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هو القدر المتیقّن من تزاحم الضررین؛ بناء علی أنّ ترک التصرّف لیس موضوعا لحکم شرعا؛ لما عرفت، فلا حکومة للقاعدة علی السلطنة بالنسبة إلی جواز ترک التصرّف، لأنّه حکم ناشئ عرفا أو عقلا من تجویز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الإباحة و الجواز بالنسبة إلی الطرفین مجعول شرعا، کما ربّما یقال فی الإباحة و الحلّیة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ملاحظة الشیخ الأعظم رحمه اللّه جمیع العباد عبدا واحدا فی هذه المسائل، أو قصّة دخول رأس البقرة فی وعاء، و غیر ذلک من الأمثلة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یتوجّه إلیه و إلی غیره موارد توارد الضررین و التزاحم فی مثل التولّی من قبل الجائر و ترکه، فإنّه لا حکم شرعیّ لعنوان الترک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إذا کانت قاعدة السلطنة محکومة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یتضرّر المالک، و لازمه حدوث مصداق آخر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الحاکمة علی الاولی، نظیر القضایا الحقیقیّة الانحلالیّة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له عرفا، و إن کان یمکن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الإضرار بالجار المحرّم محکوم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حرمة الإضرار ضرریّة، و عند ذلک تقع المشکلة فی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حاکمة علی قاعدة السلطنة، فلا حقّ له کی یتصرّف و یلزم منه ضرر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کانت حاکمة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حرمة الإضرار یجوز له التصرّف، و حکومتها علیهما فی عرض واحد، بخلاف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السلطنة فی مصداق، و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مصداق آخر لتلک القاعدة، فإنّها طولیّة و لا یلزم إعضال، و أمّا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الوضعیّ و التکلیفیّ، أو الحکم الإباحیّ و هو جواز تصرّف المالک، و الحکم التحریمیّ و هی حرمة الإضرار، فعرضیّة لا مرجّح لإحداهما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 التصرّف ینتهی إلی التصرّف المنتهی إلی الإضرار، فبینهما التقدّم و التأخّر، و لو کان فی محلّه، إلّا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إلیهما علی حدّ سواء؛ لأنّه لا نظر لها بعد التطبیق، بل الکلّ فی مرحلة الجعل و التشریع مورد الملاحظة و التحکیم و التقیید، کما هو الواضح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تصل النوبة إلی الاصول الاخر، و قد عرفت المناقشة فی ثبوت السلطنة و الجواز الإباحیّ علی الإطلاق </w:t>
      </w:r>
      <w:r>
        <w:rPr>
          <w:rStyle w:val="FootnoteAnchor"/>
          <w:rtl w:val="true"/>
        </w:rPr>
        <w:footnoteReference w:id="697"/>
      </w:r>
      <w:r>
        <w:rPr>
          <w:rFonts w:ascii="IRNazanin" w:hAnsi="IRNazanin" w:eastAsia="IRNazanin"/>
          <w:color w:val="111111"/>
          <w:sz w:val="28"/>
          <w:sz w:val="28"/>
          <w:szCs w:val="28"/>
          <w:rtl w:val="true"/>
          <w:lang w:bidi="fa-IR"/>
        </w:rPr>
        <w:t>لأنّ قاعدة السلطنة غیر مسندة، و بناء العقلاء له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مورد وقوعه فی الضرر لا یبعد بناؤهم، و هو مقتضی الاصول المحلّلة العامّة و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الضمان بعد الشکّ فی تحقّقه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الإطلاق فی أدلّته، فهو موسّع فی التصرّف ضامن، کما فی موارد الاضطرار إلی أکل مال الغیر، فتدبّر</w:t>
      </w:r>
      <w:r>
        <w:rPr>
          <w:rFonts w:eastAsia="IRNazanin" w:cs="IRNazanin"/>
          <w:color w:val="111111"/>
          <w:sz w:val="28"/>
          <w:szCs w:val="28"/>
          <w:rtl w:val="true"/>
          <w:lang w:bidi="fa-IR"/>
        </w:rPr>
        <w:t>.</w:t>
      </w:r>
      <w:bookmarkStart w:id="569" w:name="pg13177_117975"/>
    </w:p>
    <w:p>
      <w:pPr>
        <w:pStyle w:val="BookText"/>
        <w:rPr/>
      </w:pPr>
      <w:bookmarkEnd w:id="569"/>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تمسّکهم بحدیث الامتنان </w:t>
      </w:r>
      <w:r>
        <w:rPr>
          <w:rStyle w:val="FootnoteAnchor"/>
          <w:rtl w:val="true"/>
        </w:rPr>
        <w:footnoteReference w:id="698"/>
      </w:r>
      <w:r>
        <w:rPr>
          <w:rFonts w:ascii="IRNazanin" w:hAnsi="IRNazanin" w:eastAsia="IRNazanin"/>
          <w:color w:val="111111"/>
          <w:sz w:val="28"/>
          <w:sz w:val="28"/>
          <w:szCs w:val="28"/>
          <w:rtl w:val="true"/>
          <w:lang w:bidi="fa-IR"/>
        </w:rPr>
        <w:t>لمنع جریانها بالنسبة إلی غیر مورد جریانها، فی غیر محلّه، مثلا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قاعدة الضمان فی المسألة ضرریّ، فیرفع بها،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الامتنان بالنسبة إلی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مورد انکشاف بطلان العقد، و ثبوت المقبوض بالعقد الفاسد،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خسارة إرجاع المقبوض من البلد المنتقل إلیه إلی بلد المالک علی عهدة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منفیّ بها، و امتنان بالنسبة إلیه، و لا یزاحم بکونه خلاف الامتنان بالنسبة إلی المالک؛ لعدم حکم للشرع بالنسبة إلی إرجاعه إلی نفسه، فلا تخلط</w:t>
      </w:r>
      <w:r>
        <w:rPr>
          <w:rFonts w:eastAsia="IRNazanin" w:cs="IRNazanin"/>
          <w:color w:val="111111"/>
          <w:sz w:val="28"/>
          <w:szCs w:val="28"/>
          <w:rtl w:val="true"/>
          <w:lang w:bidi="fa-IR"/>
        </w:rPr>
        <w:t>.</w:t>
      </w:r>
    </w:p>
    <w:p>
      <w:pPr>
        <w:pStyle w:val="Heading6"/>
        <w:numPr>
          <w:ilvl w:val="5"/>
          <w:numId w:val="1"/>
        </w:numPr>
        <w:rPr/>
      </w:pPr>
      <w:bookmarkStart w:id="570" w:name="__RefHeading___Toc763972_3244359995"/>
      <w:bookmarkStart w:id="571" w:name="_Toc211"/>
      <w:bookmarkEnd w:id="570"/>
      <w:r>
        <w:rPr>
          <w:rtl w:val="true"/>
        </w:rPr>
        <w:t>الفرع الثالث</w:t>
      </w:r>
      <w:r>
        <w:rPr>
          <w:rtl w:val="true"/>
        </w:rPr>
        <w:t xml:space="preserve">: </w:t>
      </w:r>
      <w:r>
        <w:rPr>
          <w:rtl w:val="true"/>
        </w:rPr>
        <w:t>فی حکم تحمّل الضرر فی البیع و الهبة و نحوهما</w:t>
      </w:r>
      <w:bookmarkEnd w:id="571"/>
    </w:p>
    <w:p>
      <w:pPr>
        <w:pStyle w:val="BookText"/>
        <w:rPr/>
      </w:pPr>
      <w:r>
        <w:rPr>
          <w:rFonts w:ascii="IRNazanin" w:hAnsi="IRNazanin" w:eastAsia="IRNazanin"/>
          <w:color w:val="111111"/>
          <w:sz w:val="28"/>
          <w:sz w:val="28"/>
          <w:szCs w:val="28"/>
          <w:rtl w:val="true"/>
          <w:lang w:bidi="fa-IR"/>
        </w:rPr>
        <w:t>قد عرفت 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للامتنان </w:t>
      </w:r>
      <w:r>
        <w:rPr>
          <w:rStyle w:val="FootnoteAnchor"/>
          <w:rtl w:val="true"/>
        </w:rPr>
        <w:footnoteReference w:id="699"/>
      </w:r>
      <w:r>
        <w:rPr>
          <w:rFonts w:ascii="IRNazanin" w:hAnsi="IRNazanin" w:eastAsia="IRNazanin"/>
          <w:color w:val="111111"/>
          <w:sz w:val="28"/>
          <w:sz w:val="28"/>
          <w:szCs w:val="28"/>
          <w:rtl w:val="true"/>
          <w:lang w:bidi="fa-IR"/>
        </w:rPr>
        <w:t xml:space="preserve">، و أمّا هل هو امتنان شخصیّ، أو نوعیّ؟ فقد مرّ أنّه نوعیّ بالقیاس إلی مجموع التسعة، و تفصیله فی محلّه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یستفاد کونه فی محیط الامتنان؛ لصراحته فی ذلک بقوله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شاهد علی کونه للامتنان إلّا فهم العرف و الاستحسان، نظیر الامتنان فی قصر الصلاة فی السفر، مع أنّ مقتضی الامتنان هو الترخیص فی القصر دون العزیمة، و صحّة الصوم فیه، لا البطلان و العقوبة علی الصوم فیه، و هذا برغم 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قصّة سمرة تشهد علی الخلاف، و لا أقلّ من کونه امتنانا نوعیّا و حکمة تشریعیّة، لا علّة معمّمة أو مخصّصة، فما قد یری فی کلام بعضهم فی</w:t>
      </w:r>
      <w:bookmarkStart w:id="572" w:name="pg13177_117976"/>
    </w:p>
    <w:p>
      <w:pPr>
        <w:pStyle w:val="BookText"/>
        <w:rPr/>
      </w:pPr>
      <w:bookmarkEnd w:id="572"/>
      <w:r>
        <w:rPr>
          <w:rFonts w:ascii="IRNazanin" w:hAnsi="IRNazanin" w:eastAsia="IRNazanin"/>
          <w:color w:val="111111"/>
          <w:sz w:val="28"/>
          <w:sz w:val="28"/>
          <w:szCs w:val="28"/>
          <w:rtl w:val="true"/>
          <w:lang w:bidi="fa-IR"/>
        </w:rPr>
        <w:t xml:space="preserve">المقام </w:t>
      </w:r>
      <w:r>
        <w:rPr>
          <w:rStyle w:val="FootnoteAnchor"/>
          <w:rtl w:val="true"/>
        </w:rPr>
        <w:footnoteReference w:id="701"/>
      </w:r>
      <w:r>
        <w:rPr>
          <w:rFonts w:ascii="IRNazanin" w:hAnsi="IRNazanin" w:eastAsia="IRNazanin"/>
          <w:color w:val="111111"/>
          <w:sz w:val="28"/>
          <w:sz w:val="28"/>
          <w:szCs w:val="28"/>
          <w:rtl w:val="true"/>
          <w:lang w:bidi="fa-IR"/>
        </w:rPr>
        <w:t>، لا یخلو من غرابة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فساد مقالة الشیخ رحمه اللّه </w:t>
      </w:r>
      <w:r>
        <w:rPr>
          <w:rStyle w:val="FootnoteAnchor"/>
          <w:rtl w:val="true"/>
        </w:rPr>
        <w:footnoteReference w:id="702"/>
      </w:r>
      <w:r>
        <w:rPr>
          <w:rFonts w:ascii="IRNazanin" w:hAnsi="IRNazanin" w:eastAsia="IRNazanin"/>
          <w:color w:val="111111"/>
          <w:sz w:val="28"/>
          <w:sz w:val="28"/>
          <w:szCs w:val="28"/>
          <w:rtl w:val="true"/>
          <w:lang w:bidi="fa-IR"/>
        </w:rPr>
        <w:t xml:space="preserve">ورداءة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مقالة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 ممنوعیّة البیع الغبنیّ المعلوم للبائع و المحاباتیّ، بل فساد الهبة و العطیّة و الصدقة و جمیع ما فیه نقصان المال، و لأجله ذهب بعض الفحول إلی أنّه قاعدة جابرة</w:t>
      </w:r>
      <w:r>
        <w:rPr>
          <w:rStyle w:val="FootnoteAnchor"/>
          <w:rtl w:val="true"/>
        </w:rPr>
        <w:footnoteReference w:id="704"/>
      </w:r>
      <w:r>
        <w:rPr>
          <w:rFonts w:ascii="IRNazanin" w:hAnsi="IRNazanin" w:eastAsia="IRNazanin"/>
          <w:color w:val="111111"/>
          <w:sz w:val="28"/>
          <w:sz w:val="28"/>
          <w:szCs w:val="28"/>
          <w:rtl w:val="true"/>
          <w:lang w:bidi="fa-IR"/>
        </w:rPr>
        <w:t>، مع أنّه معلوم الفساد أیضا، کما تحرّر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لازم ذلک قصور قاعدة السلطنة بالنسبة إلی هذه التصرّفات، و محکومیّتها، و نفی جواز تصرّفه، و نتیجة ذلک بطلان التصرّف المعاملیّ، کما لا یجوز له التبذیر و الإسراف بالنسبة إلی أمواله و حقوقه، و کلّ ذلک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افید لدفع توهّم ضرریّة تلک الأوامر النبویّة و الإلهیّة، و تلک الأحکام الوضعیّة الکلّیة الذاتیّة، أو الاتفاقیّة الوجودیّة و العدمیّة؛ بناء علی کونها قاعدة کلّیة مبیّنة غیر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الإجمال و التبیّن علی مبنانا لا یترتّب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عدم ذکر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دلالة الحذف عند وجود القرینة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لأجل ما أسّسناه؛ لاستفادة دفع التوهّم علی کلّ تقدیر</w:t>
      </w:r>
      <w:r>
        <w:rPr>
          <w:rFonts w:eastAsia="IRNazanin" w:cs="IRNazanin"/>
          <w:color w:val="111111"/>
          <w:sz w:val="28"/>
          <w:szCs w:val="28"/>
          <w:rtl w:val="true"/>
          <w:lang w:bidi="fa-IR"/>
        </w:rPr>
        <w:t>.</w:t>
      </w:r>
    </w:p>
    <w:p>
      <w:pPr>
        <w:pStyle w:val="Heading6"/>
        <w:numPr>
          <w:ilvl w:val="5"/>
          <w:numId w:val="1"/>
        </w:numPr>
        <w:rPr/>
      </w:pPr>
      <w:bookmarkStart w:id="573" w:name="__RefHeading___Toc763974_3244359995"/>
      <w:bookmarkStart w:id="574" w:name="_Toc212"/>
      <w:bookmarkEnd w:id="573"/>
      <w:r>
        <w:rPr>
          <w:rtl w:val="true"/>
        </w:rPr>
        <w:t>الفرع الرابع</w:t>
      </w:r>
      <w:r>
        <w:rPr>
          <w:rtl w:val="true"/>
        </w:rPr>
        <w:t xml:space="preserve">: </w:t>
      </w:r>
      <w:r>
        <w:rPr>
          <w:rtl w:val="true"/>
        </w:rPr>
        <w:t xml:space="preserve">حول حکومة </w:t>
      </w:r>
      <w:r>
        <w:rPr>
          <w:rtl w:val="true"/>
        </w:rPr>
        <w:t>«</w:t>
      </w:r>
      <w:r>
        <w:rPr>
          <w:rtl w:val="true"/>
        </w:rPr>
        <w:t>لا ضرر</w:t>
      </w:r>
      <w:r>
        <w:rPr>
          <w:rtl w:val="true"/>
        </w:rPr>
        <w:t xml:space="preserve">» </w:t>
      </w:r>
      <w:r>
        <w:rPr>
          <w:rtl w:val="true"/>
        </w:rPr>
        <w:t>علی الأحکام العدمیة</w:t>
      </w:r>
      <w:bookmarkEnd w:id="574"/>
    </w:p>
    <w:p>
      <w:pPr>
        <w:pStyle w:val="Heading6"/>
        <w:numPr>
          <w:ilvl w:val="5"/>
          <w:numId w:val="1"/>
        </w:numPr>
        <w:rPr/>
      </w:pPr>
      <w:bookmarkStart w:id="575" w:name="__RefHeading___Toc763976_3244359995"/>
      <w:bookmarkStart w:id="576" w:name="_Toc213"/>
      <w:bookmarkEnd w:id="575"/>
      <w:r>
        <w:rPr>
          <w:rtl w:val="true"/>
        </w:rPr>
        <w:t>اشارة</w:t>
      </w:r>
      <w:bookmarkEnd w:id="5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التضرّر و التحرّج من المسائل التکوینیّة، فلا بدّ و أن یستندا إلی الامور الخارجیّة الطبیعیّة، فالضرر یستند إلی استعمال الماء و القیام فی الصلاة و الطواف</w:t>
      </w:r>
    </w:p>
    <w:p>
      <w:pPr>
        <w:pStyle w:val="BookText"/>
        <w:rPr/>
      </w:pPr>
      <w:r>
        <w:rPr>
          <w:rFonts w:ascii="IRNazanin" w:hAnsi="IRNazanin" w:eastAsia="IRNazanin"/>
          <w:color w:val="111111"/>
          <w:sz w:val="28"/>
          <w:sz w:val="28"/>
          <w:szCs w:val="28"/>
          <w:rtl w:val="true"/>
          <w:lang w:bidi="fa-IR"/>
        </w:rPr>
        <w:t>مباشرة، و المشقّة و الحرج إلی الامور الوجودیّة العینیّة، کالذهاب إلی الحج علی الحمار الأجدع، و إرسال الزکوات و الأخماس مباشرة إلی الفقراء، و حملها علی الأکتاف، و أمثال ذلک؛ کردّ المغصوب و المطلوب مباشرة، فعند ذلک یشکل حکومة القاعدة علی الأحکام العدمیّة؛ لأنّ العدم لا یعقل أن یستند إلیه شی‌ء خارجیّ، فنفی الضمان فی بعض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الأمین لیس بضامن؛ بناء علی عدم کون طبع الحکم العدمیّ ضرریّا، أو بالنسبة إلی الزائد علی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مورد حکومة القاعدة؛ من أجل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مبنی 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المقام؛ فإنّ الضرر یستند إلی الأمین بالحمل الشائع، لا الحکم، و هکذا فی موارد مندوبیّة الوضوء و الغسل، و القیام و المباشرة، و العقد و الإطاعة، فإنّ الضرر و الحرج یستندان إلی الامور الخارجیّة المعتبرة، موضوعات للأحکام الشرعیّة، لا بما هی کذلک، إلّا أنّ المحکوم بالعدم و الرفع ما یوجب الضرر و الحرج تکوینا، و لا تصلح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للإیقاع فی الضرر و الحرج، فلا فرق بین الواجب و المندوب؛ لأنّ الحکم التشریعیّ الحاکم علی الأدلّة الأوّلیة، من الأحکام القانونیّة، فلا یلاحظ خصوصیّة المورد؛ و هو کون الوضوء واجبا أو مندوبا و لو کان الحکم امتنانیّا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تصیر النتیجة تقیید الأدلّة الأوّلیة، و بطلان الموضوعات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أمثال هذه الموارد یختلف مبنی 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صحّتهما،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الکلّ، کما تبیّن أنّ الموارد التی ذکرها العلّامة الخراسانیّ رحمه اللّه من آثار اختلاف التقریبین </w:t>
      </w:r>
      <w:r>
        <w:rPr>
          <w:rStyle w:val="FootnoteAnchor"/>
          <w:rtl w:val="true"/>
        </w:rPr>
        <w:footnoteReference w:id="706"/>
      </w:r>
      <w:r>
        <w:rPr>
          <w:rFonts w:ascii="Amiri" w:hAnsi="Amiri" w:eastAsia="Amiri" w:cs="Amiri"/>
          <w:color w:val="111111"/>
          <w:sz w:val="28"/>
          <w:sz w:val="28"/>
          <w:szCs w:val="28"/>
          <w:rtl w:val="true"/>
          <w:lang w:bidi="ar-SA"/>
        </w:rPr>
        <w:t>، غیر تامّة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فساد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w:t>
      </w:r>
      <w:bookmarkStart w:id="577" w:name="pg13177_117978"/>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فإنّ التضرّر و التحرّج یستندان إلی الامور الخارجیّة، و لا موضوع للأحکام العدمیّة الخارجیّة، و لیست الأحکام مطلقا صالحة لاستناد الامور الطبیعیّة إلیها إلّا تسامحا و تساهلا</w:t>
      </w:r>
      <w:r>
        <w:rPr>
          <w:rFonts w:eastAsia="IRNazanin" w:cs="IRNazanin"/>
          <w:color w:val="111111"/>
          <w:sz w:val="28"/>
          <w:szCs w:val="28"/>
          <w:rtl w:val="true"/>
          <w:lang w:bidi="fa-IR"/>
        </w:rPr>
        <w:t>.</w:t>
      </w:r>
    </w:p>
    <w:p>
      <w:pPr>
        <w:pStyle w:val="Heading6"/>
        <w:numPr>
          <w:ilvl w:val="5"/>
          <w:numId w:val="1"/>
        </w:numPr>
        <w:rPr/>
      </w:pPr>
      <w:bookmarkStart w:id="578" w:name="__RefHeading___Toc763978_3244359995"/>
      <w:bookmarkStart w:id="579" w:name="_Toc214"/>
      <w:bookmarkEnd w:id="578"/>
      <w:r>
        <w:rPr>
          <w:rtl w:val="true"/>
        </w:rPr>
        <w:t>مسألة</w:t>
      </w:r>
      <w:r>
        <w:rPr>
          <w:rtl w:val="true"/>
        </w:rPr>
        <w:t xml:space="preserve">: </w:t>
      </w:r>
      <w:r>
        <w:rPr>
          <w:rtl w:val="true"/>
        </w:rPr>
        <w:t>حول بطلان الوضوء الضرری و نحوه</w:t>
      </w:r>
      <w:bookmarkEnd w:id="579"/>
    </w:p>
    <w:p>
      <w:pPr>
        <w:pStyle w:val="BookText"/>
        <w:rPr/>
      </w:pPr>
      <w:r>
        <w:rPr>
          <w:rFonts w:ascii="IRNazanin" w:hAnsi="IRNazanin" w:eastAsia="IRNazanin"/>
          <w:color w:val="111111"/>
          <w:sz w:val="28"/>
          <w:sz w:val="28"/>
          <w:szCs w:val="28"/>
          <w:rtl w:val="true"/>
          <w:lang w:bidi="fa-IR"/>
        </w:rPr>
        <w:t>لو أوقع نفسه فی الضرر باستعمال الماء، أو الحرج بحمل الزکاة علی الأکتاف، فهل القاعدتان بعد ذلک تورثان بطلان الوضوء، و المناقشة فی التقرّب بمثل الإعطاء المذکور بعد التقیید، أم لا یقیّد؛ لعدم تحقّق الضرر و الحرج؟</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الضرر و الحرج هما الفعلیّان، أم الأعمّ منها و من القابلیّة الإعدادیّة، لا التقدیریّة و الشأنیّة؟</w:t>
      </w:r>
    </w:p>
    <w:p>
      <w:pPr>
        <w:pStyle w:val="BookText"/>
        <w:rPr/>
      </w:pPr>
      <w:r>
        <w:rPr>
          <w:rFonts w:ascii="IRNazanin" w:hAnsi="IRNazanin" w:eastAsia="IRNazanin"/>
          <w:color w:val="111111"/>
          <w:sz w:val="28"/>
          <w:sz w:val="28"/>
          <w:szCs w:val="28"/>
          <w:rtl w:val="true"/>
          <w:lang w:bidi="fa-IR"/>
        </w:rPr>
        <w:t xml:space="preserve">فربّما یظهر من الشیخ الأعظم رحمه اللّه الوجه الأوّل </w:t>
      </w:r>
      <w:r>
        <w:rPr>
          <w:rStyle w:val="FootnoteAnchor"/>
          <w:rtl w:val="true"/>
        </w:rPr>
        <w:footnoteReference w:id="707"/>
      </w:r>
      <w:r>
        <w:rPr>
          <w:rFonts w:ascii="IRNazanin" w:hAnsi="IRNazanin" w:eastAsia="IRNazanin"/>
          <w:color w:val="111111"/>
          <w:sz w:val="28"/>
          <w:sz w:val="28"/>
          <w:szCs w:val="28"/>
          <w:rtl w:val="true"/>
          <w:lang w:bidi="fa-IR"/>
        </w:rPr>
        <w:t>لقوله باختلاف الأشخاص حسب الضرر، فربّما یکون الدینار ضررا بالنسبة إلی شخص، و لیس بضرر بالنسبة إلی آخر، فالوضوء و الاستعمال الثانی لیس بضرر بالنسبة إلیه و إن کان ضررا بالنسبة إلیه فی الزمان الأوّل، مع أنّه لا امتنان فی نفی الحکم بعد 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الموجب للضرر هو الاستعمال، و لیس هو موضوع الحکم، و ما هو موضوع الحکم هو الوضوء القربیّ و القیام فی الصلاة قربة و هکذا، و لیس هو بضرریّ بما هو وضوء، فتأمّل</w:t>
      </w:r>
      <w:r>
        <w:rPr>
          <w:rFonts w:eastAsia="IRNazanin" w:cs="IRNazanin"/>
          <w:color w:val="111111"/>
          <w:sz w:val="28"/>
          <w:szCs w:val="28"/>
          <w:rtl w:val="true"/>
          <w:lang w:bidi="fa-IR"/>
        </w:rPr>
        <w:t>.</w:t>
      </w:r>
      <w:bookmarkStart w:id="580" w:name="pg13177_117979"/>
    </w:p>
    <w:p>
      <w:pPr>
        <w:pStyle w:val="Heading6"/>
        <w:numPr>
          <w:ilvl w:val="5"/>
          <w:numId w:val="1"/>
        </w:numPr>
        <w:rPr/>
      </w:pPr>
      <w:bookmarkStart w:id="581" w:name="__RefHeading___Toc763980_3244359995"/>
      <w:bookmarkStart w:id="582" w:name="_Toc215"/>
      <w:bookmarkEnd w:id="580"/>
      <w:bookmarkEnd w:id="581"/>
      <w:r>
        <w:rPr>
          <w:rtl w:val="true"/>
        </w:rPr>
        <w:t>إفاضة</w:t>
      </w:r>
      <w:r>
        <w:rPr>
          <w:rtl w:val="true"/>
        </w:rPr>
        <w:t xml:space="preserve">: </w:t>
      </w:r>
      <w:r>
        <w:rPr>
          <w:rtl w:val="true"/>
        </w:rPr>
        <w:t xml:space="preserve">فی بیان حال </w:t>
      </w:r>
      <w:r>
        <w:rPr>
          <w:rtl w:val="true"/>
        </w:rPr>
        <w:t>«</w:t>
      </w:r>
      <w:r>
        <w:rPr>
          <w:rtl w:val="true"/>
        </w:rPr>
        <w:t>لا ضرر</w:t>
      </w:r>
      <w:r>
        <w:rPr>
          <w:rtl w:val="true"/>
        </w:rPr>
        <w:t xml:space="preserve">» </w:t>
      </w:r>
      <w:r>
        <w:rPr>
          <w:rtl w:val="true"/>
        </w:rPr>
        <w:t>مع موارد تحمل الضرر الموجب للحرج و العجز</w:t>
      </w:r>
      <w:bookmarkEnd w:id="582"/>
    </w:p>
    <w:p>
      <w:pPr>
        <w:pStyle w:val="BookText"/>
        <w:rPr/>
      </w:pP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موارد الضرر الموجب تحمّله للحرج و العجز العرفی، تعدّ من الأدلّة الثانویّة و القواعد الثلاث المتمسّک بها لصحّة المأمور به الفاقد للجزء، فلو کان القیام و المباشرة حرجیّا مرفوعا مثلا، یجب الإتیان بالباقی، مع أنّه خلاف الامتنان، و قد عرفت أنّه حکمة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غیر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Style w:val="FootnoteAnchor"/>
          <w:rtl w:val="true"/>
        </w:rPr>
        <w:footnoteReference w:id="708"/>
      </w:r>
      <w:r>
        <w:rPr>
          <w:rFonts w:ascii="IRNazanin" w:hAnsi="IRNazanin" w:eastAsia="IRNazanin"/>
          <w:color w:val="111111"/>
          <w:sz w:val="28"/>
          <w:sz w:val="28"/>
          <w:szCs w:val="28"/>
          <w:rtl w:val="true"/>
          <w:lang w:bidi="fa-IR"/>
        </w:rPr>
        <w:t xml:space="preserve">و ما هو الموجب للحرج مناقضة، فإنّ المرفوع هو الموجب للحرج، و قد عرفت أنّه لا یعقل أن یکون من الامور الاعتباریّة کالأحکام </w:t>
      </w:r>
      <w:r>
        <w:rPr>
          <w:rStyle w:val="FootnoteAnchor"/>
          <w:rtl w:val="true"/>
        </w:rPr>
        <w:footnoteReference w:id="709"/>
      </w:r>
      <w:r>
        <w:rPr>
          <w:rFonts w:ascii="IRNazanin" w:hAnsi="IRNazanin" w:eastAsia="IRNazanin"/>
          <w:color w:val="111111"/>
          <w:sz w:val="28"/>
          <w:sz w:val="28"/>
          <w:szCs w:val="28"/>
          <w:rtl w:val="true"/>
          <w:lang w:bidi="fa-IR"/>
        </w:rPr>
        <w:t>، مع أنّ ما هو القابل لعدم الجعل التشریعیّ هو الحکم،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ساقطة عندنا أغمضنا عن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فرغنا من تسوید هذه الصحائف صبیحة یوم الثلاثاء الرابع النجومیّ من صفر المظفّر عام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بن روح اللّه الموسویّ الخمینی</w:t>
      </w:r>
      <w:bookmarkStart w:id="583" w:name="pg13177_117981"/>
    </w:p>
    <w:p>
      <w:pPr>
        <w:pStyle w:val="Heading2"/>
        <w:numPr>
          <w:ilvl w:val="1"/>
          <w:numId w:val="1"/>
        </w:numPr>
        <w:rPr/>
      </w:pPr>
      <w:bookmarkStart w:id="584" w:name="__RefHeading___Toc763982_3244359995"/>
      <w:bookmarkStart w:id="585" w:name="_Toc216"/>
      <w:bookmarkEnd w:id="583"/>
      <w:bookmarkEnd w:id="584"/>
      <w:r>
        <w:rPr>
          <w:rtl w:val="true"/>
        </w:rPr>
        <w:t>المقصد الحادی عشر فی الاستصحاب</w:t>
      </w:r>
      <w:bookmarkEnd w:id="58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763984_3244359995"/>
      <w:bookmarkStart w:id="587" w:name="_Toc217"/>
      <w:bookmarkEnd w:id="586"/>
      <w:r>
        <w:rPr>
          <w:rtl w:val="true"/>
        </w:rPr>
        <w:t>اشارة</w:t>
      </w:r>
      <w:bookmarkStart w:id="588" w:name="pg13177_117983"/>
      <w:bookmarkEnd w:id="587"/>
    </w:p>
    <w:p>
      <w:pPr>
        <w:pStyle w:val="Heading3"/>
        <w:numPr>
          <w:ilvl w:val="2"/>
          <w:numId w:val="1"/>
        </w:numPr>
        <w:rPr/>
      </w:pPr>
      <w:bookmarkStart w:id="589" w:name="__RefHeading___Toc763986_3244359995"/>
      <w:bookmarkStart w:id="590" w:name="_Toc218"/>
      <w:bookmarkEnd w:id="588"/>
      <w:bookmarkEnd w:id="589"/>
      <w:r>
        <w:rPr>
          <w:rtl w:val="true"/>
        </w:rPr>
        <w:t>حول تعریف الاستصحاب</w:t>
      </w:r>
      <w:bookmarkEnd w:id="590"/>
    </w:p>
    <w:p>
      <w:pPr>
        <w:pStyle w:val="BookText"/>
        <w:rPr/>
      </w:pPr>
      <w:r>
        <w:rPr>
          <w:rFonts w:ascii="IRNazanin" w:hAnsi="IRNazanin" w:eastAsia="IRNazanin"/>
          <w:color w:val="111111"/>
          <w:sz w:val="28"/>
          <w:sz w:val="28"/>
          <w:szCs w:val="28"/>
          <w:rtl w:val="true"/>
          <w:lang w:bidi="fa-IR"/>
        </w:rPr>
        <w:t xml:space="preserve">قد تصدّی بعض الأعلام رحمهم اللّه لتعریفه </w:t>
      </w:r>
      <w:r>
        <w:rPr>
          <w:rStyle w:val="FootnoteAnchor"/>
          <w:rtl w:val="true"/>
        </w:rPr>
        <w:footnoteReference w:id="710"/>
      </w:r>
      <w:r>
        <w:rPr>
          <w:rFonts w:ascii="IRNazanin" w:hAnsi="IRNazanin" w:eastAsia="IRNazanin"/>
          <w:color w:val="111111"/>
          <w:sz w:val="28"/>
          <w:sz w:val="28"/>
          <w:szCs w:val="28"/>
          <w:rtl w:val="true"/>
          <w:lang w:bidi="fa-IR"/>
        </w:rPr>
        <w:t xml:space="preserve">، و تصدّی الآخرون لامتناع تعریفه </w:t>
      </w:r>
      <w:r>
        <w:rPr>
          <w:rStyle w:val="FootnoteAnchor"/>
          <w:rtl w:val="true"/>
        </w:rPr>
        <w:footnoteReference w:id="711"/>
      </w:r>
      <w:r>
        <w:rPr>
          <w:rFonts w:ascii="IRNazanin" w:hAnsi="IRNazanin" w:eastAsia="IRNazanin"/>
          <w:color w:val="111111"/>
          <w:sz w:val="28"/>
          <w:sz w:val="28"/>
          <w:szCs w:val="28"/>
          <w:rtl w:val="true"/>
          <w:lang w:bidi="fa-IR"/>
        </w:rPr>
        <w:t>لاختلاف المبانی فی ذلک الموجب لاختلاف حقیقته و ماهیّته؛ ضرورة أنّ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مثل قاعدتی الحلّ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موضوعا، و علی فرض أماریّته یؤخذ موردا، فلا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هناک مسلکان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المسلک الثالث الآتی هو 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التحقیق أنّ الامور الاعتباریّة و التعبّدیة، لا تحتاج إلی التعاریف الفلسفیّة بأخذ الأجناس و الفصول فی حدودها، و لا یعقل ذلک، و إنّما المقصود من تعریف الاستصحاب هو أن یکون المراجع و التلامذة علی عهد ممّا هو محطّ البحث و النظر فی مقابل المعنی اللغویّ، فذهاب جمع إلی تعریفه حسب مبانیهم، و الإیراد علی مقتضاه علی تعریف الآخر من الأغلاط</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امتناع تعریفه الأعمّ برسم ما هو المنظور فی هذا المقصد، غیر صحیحة؛ لأنّ الشکّ علی جمیع التقادیر مورد النظر، إلّا أنّ الأنظار تختلف باختلاف</w:t>
      </w:r>
      <w:bookmarkStart w:id="591" w:name="pg13177_117984"/>
    </w:p>
    <w:p>
      <w:pPr>
        <w:pStyle w:val="BookText"/>
        <w:rPr/>
      </w:pPr>
      <w:bookmarkEnd w:id="591"/>
      <w:r>
        <w:rPr>
          <w:rFonts w:ascii="IRNazanin" w:hAnsi="IRNazanin" w:eastAsia="IRNazanin"/>
          <w:color w:val="111111"/>
          <w:sz w:val="28"/>
          <w:sz w:val="28"/>
          <w:szCs w:val="28"/>
          <w:rtl w:val="true"/>
          <w:lang w:bidi="fa-IR"/>
        </w:rPr>
        <w:t>الأصلیّة و الأماریّة، فالجامع موجود بالضرورة فی موقف تعریف الاستصحاب علی الوجه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التعبّد ببقاء الیقین فی ظرف الشکّ فی بقاء المتیقّن، و یتبیّن من ذلک ما هو المقصود فی هذا المقصد من حجّیته و لا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إبقاء ما کان الأسدّ الأخصر</w:t>
      </w:r>
      <w:r>
        <w:rPr>
          <w:rStyle w:val="FootnoteAnchor"/>
          <w:rtl w:val="true"/>
        </w:rPr>
        <w:footnoteReference w:id="712"/>
      </w:r>
      <w:r>
        <w:rPr>
          <w:rFonts w:ascii="IRNazanin" w:hAnsi="IRNazanin" w:eastAsia="IRNazanin"/>
          <w:color w:val="111111"/>
          <w:sz w:val="28"/>
          <w:sz w:val="28"/>
          <w:szCs w:val="28"/>
          <w:rtl w:val="true"/>
          <w:lang w:bidi="fa-IR"/>
        </w:rPr>
        <w:t>، فی غیر محلّه؛ للزوم الإشارة التفصیلیّة إلی الیقین و الشکّ، و عدم إیقاع التلامیذ فی الإجمال من جهات شتّی،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ینطبق علی ما هو مرامنا فی الاستصحاب الذی یستظهر من التعریف المذکور، و سیأتی تفصیله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763988_3244359995"/>
      <w:bookmarkStart w:id="593" w:name="_Toc219"/>
      <w:bookmarkEnd w:id="592"/>
      <w:r>
        <w:rPr>
          <w:rtl w:val="true"/>
        </w:rPr>
        <w:t>بقی شی‌ء</w:t>
      </w:r>
      <w:r>
        <w:rPr>
          <w:rtl w:val="true"/>
        </w:rPr>
        <w:t xml:space="preserve">: </w:t>
      </w:r>
      <w:r>
        <w:rPr>
          <w:rtl w:val="true"/>
        </w:rPr>
        <w:t xml:space="preserve">حول إطلاق </w:t>
      </w:r>
      <w:r>
        <w:rPr>
          <w:rtl w:val="true"/>
        </w:rPr>
        <w:t>«</w:t>
      </w:r>
      <w:r>
        <w:rPr>
          <w:rtl w:val="true"/>
        </w:rPr>
        <w:t>الحجّة</w:t>
      </w:r>
      <w:r>
        <w:rPr>
          <w:rtl w:val="true"/>
        </w:rPr>
        <w:t xml:space="preserve">» </w:t>
      </w:r>
      <w:r>
        <w:rPr>
          <w:rtl w:val="true"/>
        </w:rPr>
        <w:t>علی الاستصحاب</w:t>
      </w:r>
      <w:bookmarkEnd w:id="593"/>
    </w:p>
    <w:p>
      <w:pPr>
        <w:pStyle w:val="BookText"/>
        <w:rPr/>
      </w:pPr>
      <w:r>
        <w:rPr>
          <w:rFonts w:ascii="IRNazanin" w:hAnsi="IRNazanin" w:eastAsia="IRNazanin"/>
          <w:color w:val="111111"/>
          <w:sz w:val="28"/>
          <w:sz w:val="28"/>
          <w:szCs w:val="28"/>
          <w:rtl w:val="true"/>
          <w:lang w:bidi="fa-IR"/>
        </w:rPr>
        <w:t xml:space="preserve">یظهر من الشیخ قدّس سرّه المناقشة فی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ما هو الحدّ الأوسط فی الشکل الأوّل </w:t>
      </w:r>
      <w:r>
        <w:rPr>
          <w:rStyle w:val="FootnoteAnchor"/>
          <w:rtl w:val="true"/>
        </w:rPr>
        <w:footnoteReference w:id="714"/>
      </w:r>
      <w:r>
        <w:rPr>
          <w:rFonts w:ascii="IRNazanin" w:hAnsi="IRNazanin" w:eastAsia="IRNazanin"/>
          <w:color w:val="111111"/>
          <w:sz w:val="28"/>
          <w:sz w:val="28"/>
          <w:szCs w:val="28"/>
          <w:rtl w:val="true"/>
          <w:lang w:bidi="fa-IR"/>
        </w:rPr>
        <w:t xml:space="preserve">،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العلوم الاعتباریّة هی ما یحتجّ به، سواء کان منجّزا للواقع تارة، و معذّرا اخری، أو یکون منجّزا للواقع من غیر أن یکون معذّرا، کالاحتمال فی الشبهات المهتمّ بها، أو یکون معذّرا للواقع من غیر کونه منجّزا، کقاعدتی الحلّ و الطهارة، فما یظهر من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715"/>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أساس الوسطیّة فی الإثبات فی الأحکام الشرعیّة التکلیفیّة أو الوضعیّة</w:t>
      </w:r>
      <w:bookmarkStart w:id="594" w:name="pg13177_117985"/>
    </w:p>
    <w:p>
      <w:pPr>
        <w:pStyle w:val="BookText"/>
        <w:rPr/>
      </w:pPr>
      <w:bookmarkEnd w:id="5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تأسیسیّة، أو إمضائیّة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کما حرّرناه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ذلک لعدم جواز تسریة حکم الشرع المتعلّق بعنوان إلی عنوان آخر، و لا یعقل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اشتهر من تشکیل الشکل الأوّل مثلا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شرعا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و العالم یجب إکرامه، فزید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ثقة، و خبر الثقة حجّة، فخبر زید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غیر محلّه؛ لأنّ ما هو الوارد هو الکبری، و أمّا إثبات الأکبر للأصغر شرعا بنحو الشکل المذکور، فغیر ممکن؛ للزوم تجاوز حکم الشرع من متعلّقه إلی شی‌ء آخر، و هو غلط، بل الکبری الواردة هی نجاسة الماء المتغیّر، أو حجّیة الاستصحاب مثلا، و إذا کان الماء المتغیّر فی الخارج یکون الحکم ملازما له، فالعالم الخارجیّ مورد الحکم، دون زید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فی محلّه ثمرات عملیّة مترتّبة علیه زائدة علی هذه الثمرة العلمیّة المشار إلیها</w:t>
      </w:r>
      <w:r>
        <w:rPr>
          <w:rStyle w:val="FootnoteAnchor"/>
          <w:rtl w:val="true"/>
        </w:rPr>
        <w:footnoteReference w:id="716"/>
      </w:r>
      <w:r>
        <w:rPr>
          <w:rFonts w:ascii="IRNazanin" w:hAnsi="IRNazanin" w:eastAsia="IRNazanin"/>
          <w:color w:val="111111"/>
          <w:sz w:val="28"/>
          <w:sz w:val="28"/>
          <w:szCs w:val="28"/>
          <w:rtl w:val="true"/>
          <w:lang w:bidi="fa-IR"/>
        </w:rPr>
        <w:t>، و لا سیّما فی مثل الاستصحاب الذی هو من البدائع الشرعیّة، و لیس أمرا عقلیّا، و لا عرفیّا عند المحقّقین،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الأقیسة، أو علی نفس الحدّ الأوسط، من الادعاء و المجاز لغة؛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الاحتجاج المتعارف بین الموالی و العبید فی موارد التخلّف</w:t>
      </w:r>
      <w:r>
        <w:rPr>
          <w:rFonts w:eastAsia="IRNazanin" w:cs="IRNazanin"/>
          <w:color w:val="111111"/>
          <w:sz w:val="28"/>
          <w:szCs w:val="28"/>
          <w:rtl w:val="true"/>
          <w:lang w:bidi="fa-IR"/>
        </w:rPr>
        <w:t>.</w:t>
      </w:r>
    </w:p>
    <w:p>
      <w:pPr>
        <w:pStyle w:val="Heading3"/>
        <w:numPr>
          <w:ilvl w:val="2"/>
          <w:numId w:val="1"/>
        </w:numPr>
        <w:rPr/>
      </w:pPr>
      <w:bookmarkStart w:id="595" w:name="__RefHeading___Toc763990_3244359995"/>
      <w:bookmarkStart w:id="596" w:name="_Toc220"/>
      <w:bookmarkEnd w:id="595"/>
      <w:r>
        <w:rPr>
          <w:rtl w:val="true"/>
        </w:rPr>
        <w:t>ذنابة</w:t>
      </w:r>
      <w:r>
        <w:rPr>
          <w:rtl w:val="true"/>
        </w:rPr>
        <w:t xml:space="preserve">: </w:t>
      </w:r>
      <w:r>
        <w:rPr>
          <w:rtl w:val="true"/>
        </w:rPr>
        <w:t>فی أنّ الاستصحاب من المسائل الاصولیة أو الفقهیة</w:t>
      </w:r>
      <w:bookmarkEnd w:id="59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أنّه من المسائل الاصولیّة، أو القواعد الفقهیّة، فالذی یظهر من الشیخ الأعظم قدّس سرّه هو اضطرابه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مسألة اصولیّة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بعضهم إلی أنّه اصولیّة فی الأحکام الکلّیة و ما یختصّ بالمجتهد، دون الموضوعیّة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الفاضل القمّی رحمه اللّه تفصیل ثان؛ نظرا إلی أنّ المسألة تابعة لمدرک الاستصحاب، فاصولیّة علی القول بحجّیته من باب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 یفصّل بین الظنّ الشخصیّ و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فقهیّة علی القول بحجّیته من باب الأخبار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جمیع ما افید أنظار؛ ضرورة أنّه إن کان المناط و مدار الفقهیّة و الاصولیّة علی الاختصاص، فجمع من القواعد الفقهیّة أیضا تختصّ بالمجتهدین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المدار علی کون الاصولیّة واسطة لاستفادة الحکم الکلّی، فقاعدة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تقع کبری لاستنباط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میزان اصولیّة المسألة استفادة الحکم المنتهی إلی العمل، کما فی جریانه فی الحجّیة، فکثیرا ما یقع الاستصحاب کبری لاستنباط الحکم الفرعیّ بلا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الغریب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 اصولیّة؛ لجریانه أحیانا فی الاصولیّة کالحجّیة</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فی الشبهات الموضوعیّة أیضا منوط بملاحظة رأی المجتهد؛ لإمکان وجود الأصل الحاکم، و لاحتمال کونه مثبتا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الیقین و الشکّ فی الحکمیّة و الموضوعیّة، یلاحظ بالنسبة إلی</w:t>
      </w:r>
    </w:p>
    <w:p>
      <w:pPr>
        <w:pStyle w:val="BookText"/>
        <w:rPr/>
      </w:pPr>
      <w:r>
        <w:rPr>
          <w:rFonts w:ascii="IRNazanin" w:hAnsi="IRNazanin" w:eastAsia="IRNazanin"/>
          <w:color w:val="111111"/>
          <w:sz w:val="28"/>
          <w:sz w:val="28"/>
          <w:szCs w:val="28"/>
          <w:rtl w:val="true"/>
          <w:lang w:bidi="fa-IR"/>
        </w:rPr>
        <w:t>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حجّیته من باب الظنّ، فلا بدّ و أن یرجع إلی المبادئ المنتهیة إلی وجود الظنّ، فیخرج عن الفقهیّة و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کونه راجعا إلی حجّیة الظنّ الخاصّ الشخصیّ </w:t>
      </w:r>
      <w:r>
        <w:rPr>
          <w:rStyle w:val="FootnoteAnchor"/>
          <w:rtl w:val="true"/>
        </w:rPr>
        <w:footnoteReference w:id="722"/>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 إلی الظنّ الخاصّ النوعیّ، فتکون أیضا أدلّة الاستصحاب موجبة لإدخاله فی أسبابه، فیخرج عنهما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الفقهیّة بید المجتهدین؛ لاحتیاجها إلی ملاحظة الدلیل الحاکم، و الأدلّة الثانویّة الحاکمة، أو المعارضة، کنفی الحرج و الضرر و غیر ذلک، فلا قاعدة فی الفقه و لا فی الاصول تختصّ بالمقلّد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انطباقها علی المقلّد یحتاج إلی إتلاف المقلّد، أو بیعه و خیاره، و غیر ذلک،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قیل مقالة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الفقهیّة تعدّ من الأدلّة الأربعة، و المسألة الاصولیّة لیست منها، و إنّما یستدلّ لها بتلک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قاعدة الید، أو قاعدتا الطهارة و الحلّ من السنّة، و أمّا حجّیة خبر الثقة و الاستصحاب، فهما خارجتان من تلک الأدلّة، و إنّما یستدلّ بمفهوم الکتاب و منطوقه علی الاولی، و بالسنّة علی الثانیة، و لذلک إذا شرب العصیر العنبیّ القائم علی حرمته خبر الثقة، لا یحتجّ المولی بظاهر الکتاب علی العبد، بل یستدلّ علیه بخبر الثقة، و هکذا الاستصحاب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الأربعة هی التی تقام علی الحکم الفرعیّ،</w:t>
      </w:r>
    </w:p>
    <w:p>
      <w:pPr>
        <w:pStyle w:val="BookText"/>
        <w:rPr/>
      </w:pPr>
      <w:r>
        <w:rPr>
          <w:rFonts w:ascii="IRNazanin" w:hAnsi="IRNazanin" w:eastAsia="IRNazanin"/>
          <w:color w:val="111111"/>
          <w:sz w:val="28"/>
          <w:sz w:val="28"/>
          <w:szCs w:val="28"/>
          <w:rtl w:val="true"/>
          <w:lang w:bidi="fa-IR"/>
        </w:rPr>
        <w:t>لا الأعمّ منه و من الحکم الأصلیّ و هی المسألة الاصولیّة</w:t>
      </w:r>
      <w:r>
        <w:rPr>
          <w:rStyle w:val="FootnoteAnchor"/>
          <w:rtl w:val="true"/>
        </w:rPr>
        <w:footnoteReference w:id="723"/>
      </w:r>
      <w:r>
        <w:rPr>
          <w:rFonts w:ascii="IRNazanin" w:hAnsi="IRNazanin" w:eastAsia="IRNazanin"/>
          <w:color w:val="111111"/>
          <w:sz w:val="28"/>
          <w:sz w:val="28"/>
          <w:szCs w:val="28"/>
          <w:rtl w:val="true"/>
          <w:lang w:bidi="fa-IR"/>
        </w:rPr>
        <w:t>، 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للاستصحاب کدلیلیّة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المسائل العقلائیّة الممضاة، و المسائل الابتکاریّة الشرعیّة،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حرمة نقض الیقین بالشکّ علی نعت الإجمال، و لیست السنّة دلیلا علیه، و لذلک یحتجّ المولی علی العبد فی مورد التخلّف بقوله الواصل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مثل ظاهر الکتاب القائم علی إمضاء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و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تطلق و تضاف إلی المسائل الاصولیّة، تطلق و تضاف إلی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 ما أوردنا سالفا و آنفا علی مسألة الوسطیّة فی الإثبات </w:t>
      </w:r>
      <w:r>
        <w:rPr>
          <w:rStyle w:val="FootnoteAnchor"/>
          <w:rtl w:val="true"/>
        </w:rPr>
        <w:footnoteReference w:id="724"/>
      </w:r>
      <w:r>
        <w:rPr>
          <w:rFonts w:ascii="IRNazanin" w:hAnsi="IRNazanin" w:eastAsia="IRNazanin"/>
          <w:color w:val="111111"/>
          <w:sz w:val="28"/>
          <w:sz w:val="28"/>
          <w:szCs w:val="28"/>
          <w:rtl w:val="true"/>
          <w:lang w:bidi="fa-IR"/>
        </w:rPr>
        <w:t>، لکان الفرق بین المسائل الاصولیّة و القواعد الفقهیّة بما هو المعروف متعیّنا؛ فإنّ القواعد الفقهیّة حجّة کالمسائل الاصولیّة، إلّا أنّ الاولی کبری للصغری المنطبقة علیها؛ لکون الصغری مصداقا لها، و الثانیة لیست حجّیتها من باب الانطباق الراجع إلی المعذّریة أو المنجّزیة علی الوجه الذی عرفت، بل حجّیتها من باب الوسطیّة و الحدّ الأوسط من غیر کونها ممّا تنطبق علی الصغری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قاعدة یتشکّل منها الشکل الأوّل فهی الفقهیّة، بخلاف الاصولیّة؛ فإنّه فی مثل قاعدة ضمان الید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زید أخذت عباء عمرو، و کلّ ید أخذت شیئا فهی ضامنة، فید زید ضامنة، فیجب الجبران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سائر</w:t>
      </w:r>
    </w:p>
    <w:p>
      <w:pPr>
        <w:pStyle w:val="BookText"/>
        <w:rPr/>
      </w:pPr>
      <w:r>
        <w:rPr>
          <w:rFonts w:ascii="IRNazanin" w:hAnsi="IRNazanin" w:eastAsia="IRNazanin"/>
          <w:color w:val="111111"/>
          <w:sz w:val="28"/>
          <w:sz w:val="28"/>
          <w:szCs w:val="28"/>
          <w:rtl w:val="true"/>
          <w:lang w:bidi="fa-IR"/>
        </w:rPr>
        <w:t>الکبریات الفقهیّة، بخلاف المسائل الاصولیّة، فإنّه لا یصحّ التشکیل المذکور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صلاة الزلزلة ممّا أخبر به الثقة، و کلّ ما أخبر به الثقة حجّة، فالوجوب المذکور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تشبّث بالشکل الأوّل الآخر المنتهی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الاتباع، و لکنّه غلط؛ لأنّ الحجّة ربّما تکون منجّزة، و ربّما تکون معذّرة، فلیتأمّل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إطالة البحث حول المسألة لا ترجع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منّا فی 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لیس علما کسائر العلوم، بل الفقیه لمّا رأی أنّه یحتاج إلی تنقیح عدّة مسائل مبتلی بها فی الفقه من أوّله إلی آخره، بنی علی تدوین تلک المسائل و تنقیحها؛ کی یستند إلیها عند الحاجة من غیر أن یلزم التکرار فی الفقه مرارا</w:t>
      </w:r>
      <w:r>
        <w:rPr>
          <w:rStyle w:val="FootnoteAnchor"/>
          <w:rtl w:val="true"/>
        </w:rPr>
        <w:footnoteReference w:id="725"/>
      </w:r>
      <w:r>
        <w:rPr>
          <w:rFonts w:ascii="IRNazanin" w:hAnsi="IRNazanin" w:eastAsia="IRNazanin"/>
          <w:color w:val="111111"/>
          <w:sz w:val="28"/>
          <w:sz w:val="28"/>
          <w:szCs w:val="28"/>
          <w:rtl w:val="true"/>
          <w:lang w:bidi="fa-IR"/>
        </w:rPr>
        <w:t>، کحجّیة الظواهر، و ظهور الأوامر فی الوجوب، و النواهی فی الحرمة، و العامّ و الخاصّ، و المطلق و المقیّد، و أحکام العلم الإجمالیّ، و القطع، و خبر الثقة، و البراءة، و الاشتغال، و الاستصحاب، و التعادل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ابتلاءه بها من أوّل کتاب التقلید إلی آخر الحدود و الدیات و القصاص، و لذلک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یذکرونه قبل الأوامر أیضا من تلک المسائل؛ لسعة الابتلاء بها، و لا یختصّ حتّی مثل الصحیح و الأعمّ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الجهة المبحوث عنها أعمّ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القواعد الفقهیّة، فإنّها تختصّ بکتاب أو کتابین، أو بمسائل من کتاب واحد، من غیر الحاجة إلی درجها فی الموازین العلمیّة؛ بأن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علم، و موضوعه الأدلّة الأربعة</w:t>
      </w:r>
      <w:r>
        <w:rPr>
          <w:rStyle w:val="FootnoteAnchor"/>
          <w:rtl w:val="true"/>
        </w:rPr>
        <w:footnoteReference w:id="726"/>
      </w:r>
      <w:r>
        <w:rPr>
          <w:rFonts w:ascii="IRNazanin" w:hAnsi="IRNazanin" w:eastAsia="IRNazanin"/>
          <w:color w:val="111111"/>
          <w:sz w:val="28"/>
          <w:sz w:val="28"/>
          <w:szCs w:val="28"/>
          <w:rtl w:val="true"/>
          <w:lang w:bidi="fa-IR"/>
        </w:rPr>
        <w:t>، غفلة عن أنّ العلم الواحد لا یکون موضوعه</w:t>
      </w:r>
      <w:bookmarkStart w:id="597" w:name="pg13177_117990"/>
    </w:p>
    <w:p>
      <w:pPr>
        <w:pStyle w:val="BookText"/>
        <w:rPr/>
      </w:pPr>
      <w:bookmarkEnd w:id="597"/>
      <w:r>
        <w:rPr>
          <w:rFonts w:ascii="IRNazanin" w:hAnsi="IRNazanin" w:eastAsia="IRNazanin"/>
          <w:color w:val="111111"/>
          <w:sz w:val="28"/>
          <w:sz w:val="28"/>
          <w:szCs w:val="28"/>
          <w:rtl w:val="true"/>
          <w:lang w:bidi="fa-IR"/>
        </w:rPr>
        <w:t>أربعة أشیاء، و لذلک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یرجع إلی الدلیل و هو واحد، و المراد منه هی الحجّة فی الفقه؛ علی تفصیل ذکرناه فی محلّه، فلیراجع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763992_3244359995"/>
      <w:bookmarkStart w:id="599" w:name="_Toc221"/>
      <w:bookmarkEnd w:id="598"/>
      <w:r>
        <w:rPr>
          <w:rtl w:val="true"/>
        </w:rPr>
        <w:t>تنبیه</w:t>
      </w:r>
      <w:r>
        <w:rPr>
          <w:rtl w:val="true"/>
        </w:rPr>
        <w:t xml:space="preserve">: </w:t>
      </w:r>
      <w:r>
        <w:rPr>
          <w:rtl w:val="true"/>
        </w:rPr>
        <w:t>فی أنّ بحث استصحاب الأحکام العقلیة و نحوه هنا فی غیر محله</w:t>
      </w:r>
      <w:bookmarkEnd w:id="59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تعرّض الشیخ الأعظم لمناسبة، جریان الاستصحاب فی الأحکام العقلیّة</w:t>
      </w:r>
      <w:r>
        <w:rPr>
          <w:rStyle w:val="FootnoteAnchor"/>
          <w:rtl w:val="true"/>
        </w:rPr>
        <w:footnoteReference w:id="728"/>
      </w:r>
      <w:r>
        <w:rPr>
          <w:rFonts w:ascii="IRNazanin" w:hAnsi="IRNazanin" w:eastAsia="IRNazanin"/>
          <w:color w:val="111111"/>
          <w:sz w:val="28"/>
          <w:sz w:val="28"/>
          <w:szCs w:val="28"/>
          <w:rtl w:val="true"/>
          <w:lang w:bidi="fa-IR"/>
        </w:rPr>
        <w:t>، و تعرّض القوم لبعض مسائل تعدّ من تنبیهات المسألة</w:t>
      </w:r>
      <w:r>
        <w:rPr>
          <w:rStyle w:val="FootnoteAnchor"/>
          <w:rtl w:val="true"/>
        </w:rPr>
        <w:footnoteReference w:id="729"/>
      </w:r>
      <w:r>
        <w:rPr>
          <w:rFonts w:ascii="IRNazanin" w:hAnsi="IRNazanin" w:eastAsia="IRNazanin"/>
          <w:color w:val="111111"/>
          <w:sz w:val="28"/>
          <w:sz w:val="28"/>
          <w:szCs w:val="28"/>
          <w:rtl w:val="true"/>
          <w:lang w:bidi="fa-IR"/>
        </w:rPr>
        <w:t>ضرورة أنّ البحث هنا أوّلا حول حجّیة الاستصحاب فی الجملة، ثمّ فی حجّیته العامّة بالنظر إلی المسائل الفقهیّة کافّة؛ بأن لا یختصّ بمسألة دون مسألة، أو کتاب دون کتاب، کمسائل الوضوء و الصلاة، و نتعرّض فی التنبیهات لبعض جهات راجعة إلی شرائط جریانه، و نسبته إلی الأدلّة حکومة و محکوما، و أمثال ذلک، فما صنعه الشیخ و تبعه الآخرون فی غیر محلّه، کما هو الواضح</w:t>
      </w:r>
      <w:r>
        <w:rPr>
          <w:rFonts w:eastAsia="IRNazanin" w:cs="IRNazanin"/>
          <w:color w:val="111111"/>
          <w:sz w:val="28"/>
          <w:szCs w:val="28"/>
          <w:rtl w:val="true"/>
          <w:lang w:bidi="fa-IR"/>
        </w:rPr>
        <w:t>.</w:t>
      </w:r>
      <w:bookmarkStart w:id="600" w:name="pg13177_117991"/>
    </w:p>
    <w:p>
      <w:pPr>
        <w:pStyle w:val="Heading3"/>
        <w:numPr>
          <w:ilvl w:val="2"/>
          <w:numId w:val="1"/>
        </w:numPr>
        <w:rPr/>
      </w:pPr>
      <w:bookmarkStart w:id="601" w:name="__RefHeading___Toc763994_3244359995"/>
      <w:bookmarkStart w:id="602" w:name="_Toc222"/>
      <w:bookmarkEnd w:id="600"/>
      <w:bookmarkEnd w:id="601"/>
      <w:r>
        <w:rPr>
          <w:rtl w:val="true"/>
        </w:rPr>
        <w:t>الامور المستدل بها علی الاستصحاب</w:t>
      </w:r>
      <w:bookmarkEnd w:id="602"/>
    </w:p>
    <w:p>
      <w:pPr>
        <w:pStyle w:val="Heading4"/>
        <w:numPr>
          <w:ilvl w:val="3"/>
          <w:numId w:val="1"/>
        </w:numPr>
        <w:rPr/>
      </w:pPr>
      <w:bookmarkStart w:id="603" w:name="__RefHeading___Toc763996_3244359995"/>
      <w:bookmarkStart w:id="604" w:name="_Toc223"/>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إذا عرفت ذلک، فالبحث یقع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حجّیته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أدلّة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ما یستدلّ به، و هی امور</w:t>
      </w:r>
      <w:r>
        <w:rPr>
          <w:rFonts w:eastAsia="IRNazanin" w:cs="IRNazanin"/>
          <w:color w:val="111111"/>
          <w:sz w:val="28"/>
          <w:szCs w:val="28"/>
          <w:rtl w:val="true"/>
          <w:lang w:bidi="fa-IR"/>
        </w:rPr>
        <w:t>:</w:t>
      </w:r>
    </w:p>
    <w:p>
      <w:pPr>
        <w:pStyle w:val="Heading4"/>
        <w:numPr>
          <w:ilvl w:val="3"/>
          <w:numId w:val="1"/>
        </w:numPr>
        <w:rPr/>
      </w:pPr>
      <w:bookmarkStart w:id="605" w:name="__RefHeading___Toc763998_3244359995"/>
      <w:bookmarkStart w:id="606" w:name="_Toc224"/>
      <w:bookmarkEnd w:id="605"/>
      <w:r>
        <w:rPr>
          <w:rtl w:val="true"/>
        </w:rPr>
        <w:t>الأمر الأوّل</w:t>
      </w:r>
      <w:r>
        <w:rPr>
          <w:rtl w:val="true"/>
        </w:rPr>
        <w:t xml:space="preserve">: </w:t>
      </w:r>
      <w:r>
        <w:rPr>
          <w:rtl w:val="true"/>
        </w:rPr>
        <w:t>العقل، أو بناء العقلاء و ارتکازهم، أو الإجماع</w:t>
      </w:r>
      <w:bookmarkEnd w:id="606"/>
    </w:p>
    <w:p>
      <w:pPr>
        <w:pStyle w:val="BookText"/>
        <w:rPr/>
      </w:pPr>
      <w:r>
        <w:rPr>
          <w:rFonts w:ascii="IRNazanin" w:hAnsi="IRNazanin" w:eastAsia="IRNazanin"/>
          <w:color w:val="111111"/>
          <w:sz w:val="28"/>
          <w:sz w:val="28"/>
          <w:szCs w:val="28"/>
          <w:rtl w:val="true"/>
          <w:lang w:bidi="fa-IR"/>
        </w:rPr>
        <w:t>و لا سبیل إلی کلّ واحد من الثلاثة؛ ضرورة أنّه لا سبیل للعقل إلی درک حجّیة القطع عندنا، فضلا عن الاستصحاب؛ لأنّ المسائل التی یدرکها العقل أجنبیّة عن المسائل العرفیّة و العقلائیّة و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کلام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بناء العقلاء علی حجّیته بعد إحراز المقتضی </w:t>
      </w:r>
      <w:r>
        <w:rPr>
          <w:rStyle w:val="FootnoteAnchor"/>
          <w:rtl w:val="true"/>
        </w:rPr>
        <w:footnoteReference w:id="730"/>
      </w:r>
      <w:r>
        <w:rPr>
          <w:rFonts w:ascii="IRNazanin" w:hAnsi="IRNazanin" w:eastAsia="IRNazanin"/>
          <w:color w:val="111111"/>
          <w:sz w:val="28"/>
          <w:sz w:val="28"/>
          <w:szCs w:val="28"/>
          <w:rtl w:val="true"/>
          <w:lang w:bidi="fa-IR"/>
        </w:rPr>
        <w:t>، فی غیر محلّه؛ لأنّه بعد استقرار الشکّ إمّا لابناء لدیهم علیها، أو یشکّ فی ذلک، أو فی إمضاء الشرع و ارتضائه؛ لعدم الابتلاء به علی وجه یکون بمرأی و منظر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عدم الحاجة إلی القید الأخیر کما قیل </w:t>
      </w:r>
      <w:r>
        <w:rPr>
          <w:rStyle w:val="FootnoteAnchor"/>
          <w:rtl w:val="true"/>
        </w:rPr>
        <w:footnoteReference w:id="731"/>
      </w:r>
      <w:r>
        <w:rPr>
          <w:rFonts w:ascii="IRNazanin" w:hAnsi="IRNazanin" w:eastAsia="IRNazanin"/>
          <w:color w:val="111111"/>
          <w:sz w:val="28"/>
          <w:sz w:val="28"/>
          <w:szCs w:val="28"/>
          <w:rtl w:val="true"/>
          <w:lang w:bidi="fa-IR"/>
        </w:rPr>
        <w:t>، غیر سدید جدّا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مقتضی ما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الآیات الناهیة عن اتباع غیر العلم، لیست مخصوصة بالمسائل الاعتقادیّة</w:t>
      </w:r>
      <w:r>
        <w:rPr>
          <w:rStyle w:val="FootnoteAnchor"/>
          <w:rtl w:val="true"/>
        </w:rPr>
        <w:footnoteReference w:id="732"/>
      </w:r>
      <w:r>
        <w:rPr>
          <w:rFonts w:ascii="IRNazanin" w:hAnsi="IRNazanin" w:eastAsia="IRNazanin"/>
          <w:color w:val="111111"/>
          <w:sz w:val="28"/>
          <w:sz w:val="28"/>
          <w:szCs w:val="28"/>
          <w:rtl w:val="true"/>
          <w:lang w:bidi="fa-IR"/>
        </w:rPr>
        <w:t>، هو المنع عن اتباع الشکّ المسبوق بالیقین، کما هو کذلک عن الشکّ و الظنّ المطلق، و لعلّ الظنّ أقوی عند العقلاء من الشکّ المستقرّ</w:t>
      </w:r>
      <w:bookmarkStart w:id="607" w:name="pg13177_117992"/>
    </w:p>
    <w:p>
      <w:pPr>
        <w:pStyle w:val="BookText"/>
        <w:rPr/>
      </w:pPr>
      <w:bookmarkEnd w:id="607"/>
      <w:r>
        <w:rPr>
          <w:rFonts w:ascii="IRNazanin" w:hAnsi="IRNazanin" w:eastAsia="IRNazanin"/>
          <w:color w:val="111111"/>
          <w:sz w:val="28"/>
          <w:sz w:val="28"/>
          <w:szCs w:val="28"/>
          <w:rtl w:val="true"/>
          <w:lang w:bidi="fa-IR"/>
        </w:rPr>
        <w:t>المسبوق بالیقین و لو أحرز اقتضاء بقاء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تلک الأقوال، و عدم إمکان الاتکال علی نقل الاشتهار المنسوب إلی السیّد رحمه اللّه </w:t>
      </w:r>
      <w:r>
        <w:rPr>
          <w:rStyle w:val="FootnoteAnchor"/>
          <w:rtl w:val="true"/>
        </w:rPr>
        <w:footnoteReference w:id="733"/>
      </w:r>
      <w:r>
        <w:rPr>
          <w:rFonts w:ascii="IRNazanin" w:hAnsi="IRNazanin" w:eastAsia="IRNazanin"/>
          <w:color w:val="111111"/>
          <w:sz w:val="28"/>
          <w:sz w:val="28"/>
          <w:szCs w:val="28"/>
          <w:rtl w:val="true"/>
          <w:lang w:bidi="fa-IR"/>
        </w:rPr>
        <w:t>مع وجود الأخبار فی المسألة بین أیدیهم، لا سبیل إلی الإجماع التعبّدی بالضرورة، و المهمّ فی المسألة هی الأخبار المتمسّک بها، 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فالخلط بین الخطور بالبال، و الشکّ المستقرّ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العلّامة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یعلم وجه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بالآیات الناهیة من غیر جریان الدور المتوهّم فی مثل التمسّک بها فی سائر الطرق العقلائیّة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764000_3244359995"/>
      <w:bookmarkStart w:id="609" w:name="_Toc225"/>
      <w:bookmarkEnd w:id="608"/>
      <w:r>
        <w:rPr>
          <w:rtl w:val="true"/>
        </w:rPr>
        <w:t>الأمر الثانی</w:t>
      </w:r>
      <w:r>
        <w:rPr>
          <w:rtl w:val="true"/>
        </w:rPr>
        <w:t xml:space="preserve">: </w:t>
      </w:r>
      <w:r>
        <w:rPr>
          <w:rtl w:val="true"/>
        </w:rPr>
        <w:t>مقدّمات الانسداد</w:t>
      </w:r>
      <w:bookmarkEnd w:id="609"/>
    </w:p>
    <w:p>
      <w:pPr>
        <w:pStyle w:val="BookText"/>
        <w:rPr/>
      </w:pPr>
      <w:r>
        <w:rPr>
          <w:rFonts w:ascii="IRNazanin" w:hAnsi="IRNazanin" w:eastAsia="IRNazanin"/>
          <w:color w:val="111111"/>
          <w:sz w:val="28"/>
          <w:sz w:val="28"/>
          <w:szCs w:val="28"/>
          <w:rtl w:val="true"/>
          <w:lang w:bidi="fa-IR"/>
        </w:rPr>
        <w:t>مقتضی حکم العقل بل درکه لمقدّمات الانسداد حجّیته؛ ضرورة أنّ تلک الشکوک راجحة علی الشکّ البدویّ، بل علی الظنون البدویّة؛ لما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الاستصحاب هو دوام ما ثبت</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وصول النوبة إلی تلک الشکوک، عدم تمامیّة مقدّمات الانسداد الکبیر، و التفصیل فی محلّه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 العقل فی درکه لزوم اتباع الشکّ المسبوق بالیقین غیر ممکن، مع أنّ لازمه حجّیته علی وجه فی خصوص الأحکام الکلّیة الواردة فی محطّ العلم الإجمالیّ الأکبر الذی هو من مقدّمات الانسداد</w:t>
      </w:r>
      <w:r>
        <w:rPr>
          <w:rFonts w:eastAsia="IRNazanin" w:cs="IRNazanin"/>
          <w:color w:val="111111"/>
          <w:sz w:val="28"/>
          <w:szCs w:val="28"/>
          <w:rtl w:val="true"/>
          <w:lang w:bidi="fa-IR"/>
        </w:rPr>
        <w:t>.</w:t>
      </w:r>
      <w:bookmarkStart w:id="610" w:name="pg13177_117993"/>
    </w:p>
    <w:p>
      <w:pPr>
        <w:pStyle w:val="Heading4"/>
        <w:numPr>
          <w:ilvl w:val="3"/>
          <w:numId w:val="1"/>
        </w:numPr>
        <w:rPr/>
      </w:pPr>
      <w:bookmarkStart w:id="611" w:name="__RefHeading___Toc764002_3244359995"/>
      <w:bookmarkStart w:id="612" w:name="_Toc226"/>
      <w:bookmarkEnd w:id="610"/>
      <w:bookmarkEnd w:id="611"/>
      <w:r>
        <w:rPr>
          <w:rtl w:val="true"/>
        </w:rPr>
        <w:t>الأمر الثالث</w:t>
      </w:r>
      <w:r>
        <w:rPr>
          <w:rtl w:val="true"/>
        </w:rPr>
        <w:t xml:space="preserve">: </w:t>
      </w:r>
      <w:r>
        <w:rPr>
          <w:rtl w:val="true"/>
        </w:rPr>
        <w:t>الأخبار الخاصّة و الروایات</w:t>
      </w:r>
      <w:bookmarkEnd w:id="612"/>
    </w:p>
    <w:p>
      <w:pPr>
        <w:pStyle w:val="Heading5"/>
        <w:numPr>
          <w:ilvl w:val="4"/>
          <w:numId w:val="1"/>
        </w:numPr>
        <w:rPr/>
      </w:pPr>
      <w:bookmarkStart w:id="613" w:name="__RefHeading___Toc764004_3244359995"/>
      <w:bookmarkStart w:id="614" w:name="_Toc227"/>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 xml:space="preserve">التی کانت بین یدی أصحابنا، و إنّما ذکرها والد شیخنا البهائیّ رحمه اللّه </w:t>
      </w:r>
      <w:r>
        <w:rPr>
          <w:rStyle w:val="FootnoteAnchor"/>
          <w:rtl w:val="true"/>
        </w:rPr>
        <w:footnoteReference w:id="737"/>
      </w:r>
      <w:r>
        <w:rPr>
          <w:rFonts w:ascii="IRNazanin" w:hAnsi="IRNazanin" w:eastAsia="IRNazanin"/>
          <w:color w:val="111111"/>
          <w:sz w:val="28"/>
          <w:sz w:val="28"/>
          <w:szCs w:val="28"/>
          <w:rtl w:val="true"/>
          <w:lang w:bidi="fa-IR"/>
        </w:rPr>
        <w:t xml:space="preserve">و إلّا فالأظهر ذهاب أصحابنا الأقدمین إلی حجّیته؛ لأجل تلک الأخبار فی قبال العامّة المستدلّین بالاستحسان </w:t>
      </w:r>
      <w:r>
        <w:rPr>
          <w:rStyle w:val="FootnoteAnchor"/>
          <w:rtl w:val="true"/>
        </w:rPr>
        <w:footnoteReference w:id="738"/>
      </w:r>
      <w:r>
        <w:rPr>
          <w:rFonts w:ascii="IRNazanin" w:hAnsi="IRNazanin" w:eastAsia="IRNazanin"/>
          <w:color w:val="111111"/>
          <w:sz w:val="28"/>
          <w:sz w:val="28"/>
          <w:szCs w:val="28"/>
          <w:rtl w:val="true"/>
          <w:lang w:bidi="fa-IR"/>
        </w:rPr>
        <w:t>، و هی طائفة</w:t>
      </w:r>
      <w:r>
        <w:rPr>
          <w:rFonts w:eastAsia="IRNazanin" w:cs="IRNazanin"/>
          <w:color w:val="111111"/>
          <w:sz w:val="28"/>
          <w:szCs w:val="28"/>
          <w:rtl w:val="true"/>
          <w:lang w:bidi="fa-IR"/>
        </w:rPr>
        <w:t>:</w:t>
      </w:r>
    </w:p>
    <w:p>
      <w:pPr>
        <w:pStyle w:val="Heading5"/>
        <w:numPr>
          <w:ilvl w:val="4"/>
          <w:numId w:val="1"/>
        </w:numPr>
        <w:rPr/>
      </w:pPr>
      <w:bookmarkStart w:id="615" w:name="__RefHeading___Toc764006_3244359995"/>
      <w:bookmarkStart w:id="616" w:name="_Toc228"/>
      <w:bookmarkEnd w:id="615"/>
      <w:r>
        <w:rPr>
          <w:rtl w:val="true"/>
        </w:rPr>
        <w:t>فمنها</w:t>
      </w:r>
      <w:r>
        <w:rPr>
          <w:rtl w:val="true"/>
        </w:rPr>
        <w:t xml:space="preserve">: </w:t>
      </w:r>
      <w:r>
        <w:rPr>
          <w:rtl w:val="true"/>
        </w:rPr>
        <w:t>المضمرة الاولی لزرارة</w:t>
      </w:r>
      <w:bookmarkEnd w:id="616"/>
    </w:p>
    <w:p>
      <w:pPr>
        <w:pStyle w:val="Heading6"/>
        <w:numPr>
          <w:ilvl w:val="5"/>
          <w:numId w:val="1"/>
        </w:numPr>
        <w:rPr/>
      </w:pPr>
      <w:bookmarkStart w:id="617" w:name="__RefHeading___Toc764008_3244359995"/>
      <w:bookmarkStart w:id="618" w:name="_Toc229"/>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أتوجب الخفقة و الخفقتان علیه الوضوء؟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قد تنام العین و لا ینام القلب و الاذن، فإذا نامت العین و الاذن و القلب فقد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إلی جنبه شی‌ء و لم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 و لکن ینقضه بیقین آخر</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البحث حولها یقع فی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حجّیتها لأجل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علی حجّیة الاستصحاب فی الجملة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علی حجّیته علی الإطلاق</w:t>
      </w:r>
      <w:r>
        <w:rPr>
          <w:rFonts w:eastAsia="IRNazanin" w:cs="IRNazanin"/>
          <w:color w:val="111111"/>
          <w:sz w:val="28"/>
          <w:szCs w:val="28"/>
          <w:rtl w:val="true"/>
          <w:lang w:bidi="fa-IR"/>
        </w:rPr>
        <w:t>.</w:t>
      </w:r>
      <w:bookmarkStart w:id="619" w:name="pg13177_117994"/>
    </w:p>
    <w:p>
      <w:pPr>
        <w:pStyle w:val="BookText"/>
        <w:rPr/>
      </w:pPr>
      <w:bookmarkEnd w:id="619"/>
      <w:r>
        <w:rPr>
          <w:rFonts w:ascii="IRNazanin" w:hAnsi="IRNazanin" w:eastAsia="IRNazanin"/>
          <w:color w:val="111111"/>
          <w:sz w:val="28"/>
          <w:sz w:val="28"/>
          <w:szCs w:val="28"/>
          <w:rtl w:val="true"/>
          <w:lang w:bidi="fa-IR"/>
        </w:rPr>
        <w:t>و قد خلط أصحابنا بین الاحتمالات الراجعة إلی الجهة الثانیة و الثالثة، و هذا خلط جدّا</w:t>
      </w:r>
      <w:r>
        <w:rPr>
          <w:rFonts w:eastAsia="IRNazanin" w:cs="IRNazanin"/>
          <w:color w:val="111111"/>
          <w:sz w:val="28"/>
          <w:szCs w:val="28"/>
          <w:rtl w:val="true"/>
          <w:lang w:bidi="fa-IR"/>
        </w:rPr>
        <w:t>.</w:t>
      </w:r>
    </w:p>
    <w:p>
      <w:pPr>
        <w:pStyle w:val="Heading6"/>
        <w:numPr>
          <w:ilvl w:val="5"/>
          <w:numId w:val="1"/>
        </w:numPr>
        <w:rPr/>
      </w:pPr>
      <w:bookmarkStart w:id="620" w:name="__RefHeading___Toc764010_3244359995"/>
      <w:bookmarkStart w:id="621" w:name="_Toc230"/>
      <w:bookmarkEnd w:id="620"/>
      <w:r>
        <w:rPr>
          <w:rtl w:val="true"/>
        </w:rPr>
        <w:t>الجهة الاولی</w:t>
      </w:r>
      <w:r>
        <w:rPr>
          <w:rtl w:val="true"/>
        </w:rPr>
        <w:t xml:space="preserve">: </w:t>
      </w:r>
      <w:r>
        <w:rPr>
          <w:rtl w:val="true"/>
        </w:rPr>
        <w:t>فی حجّیتها لأجل الإضمار</w:t>
      </w:r>
      <w:bookmarkEnd w:id="621"/>
    </w:p>
    <w:p>
      <w:pPr>
        <w:pStyle w:val="BookText"/>
        <w:rPr/>
      </w:pPr>
      <w:r>
        <w:rPr>
          <w:rFonts w:ascii="IRNazanin" w:hAnsi="IRNazanin" w:eastAsia="IRNazanin"/>
          <w:color w:val="111111"/>
          <w:sz w:val="28"/>
          <w:sz w:val="28"/>
          <w:szCs w:val="28"/>
          <w:rtl w:val="true"/>
          <w:lang w:bidi="fa-IR"/>
        </w:rPr>
        <w:t>و حیث إنّه خارج عن أدلّة حجّیة الخبر الواحد، الدالّة علی اعتباره سواء حصل الظنّ بصدوره أم لا، بل و لو کان الظنّ الشخصیّ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المضمر زرارة لا یکفی لاندراجه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حجّة لأجل حصول القطع أو الوثوق الشخصیّ، یمکن المناقشة فی اعتباره؛ لعدم معهودیّة إضمار مثل زرارة، بخلاف سماعة، و لأنّ حصول القطع محلّ منع و لو کانت حجّیة القطع علی الإطلاق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حصول الوثوق و الاطمئنان الشخصیّ، فلا دلیل علیه، و الظنّ الشخصیّ مورد المنع بالآیات الناهیة عن اتباع الظنّ، بل و غیر العلم الشامل للوثوق و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740"/>
      </w:r>
      <w:r>
        <w:rPr>
          <w:rFonts w:ascii="IRNazanin" w:hAnsi="IRNazanin" w:eastAsia="IRNazanin"/>
          <w:color w:val="111111"/>
          <w:sz w:val="28"/>
          <w:sz w:val="28"/>
          <w:szCs w:val="28"/>
          <w:rtl w:val="true"/>
          <w:lang w:bidi="fa-IR"/>
        </w:rPr>
        <w:t xml:space="preserve">هو العلم العادیّ، أو قیام بناء العقلاء علی اعتباره، الموجب لتقیید تلک الآیات علی وجه تحرّر فی خروج الخبر الواحد القائم علی اعتباره بناء العرف و عادة العقلاء؛ من غیر لزوم مشکلة الدور حسبما مرّ فی محلّه </w:t>
      </w:r>
      <w:r>
        <w:rPr>
          <w:rStyle w:val="FootnoteAnchor"/>
          <w:rtl w:val="true"/>
        </w:rPr>
        <w:footnoteReference w:id="741"/>
      </w:r>
      <w:r>
        <w:rPr>
          <w:rFonts w:ascii="Amiri" w:hAnsi="Amiri" w:eastAsia="Amiri" w:cs="Amiri"/>
          <w:color w:val="111111"/>
          <w:sz w:val="28"/>
          <w:sz w:val="28"/>
          <w:szCs w:val="28"/>
          <w:rtl w:val="true"/>
          <w:lang w:bidi="ar-SA"/>
        </w:rPr>
        <w:t>، فلیتأمّل جیّدا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سند الشیخ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إلی الحسین بن</w:t>
      </w:r>
      <w:bookmarkStart w:id="622" w:name="pg13177_117995"/>
    </w:p>
    <w:p>
      <w:pPr>
        <w:pStyle w:val="BookText"/>
        <w:rPr/>
      </w:pPr>
      <w:bookmarkEnd w:id="622"/>
      <w:r>
        <w:rPr>
          <w:rFonts w:ascii="IRNazanin" w:hAnsi="IRNazanin" w:eastAsia="IRNazanin"/>
          <w:color w:val="111111"/>
          <w:sz w:val="28"/>
          <w:sz w:val="28"/>
          <w:szCs w:val="28"/>
          <w:rtl w:val="true"/>
          <w:lang w:bidi="fa-IR"/>
        </w:rPr>
        <w:t xml:space="preserve">سعید الأهوازیّ، محلّ مناقشة؛ لما فی أحدهما أحمد بن محمّد بن الحسن بن الولید الذی لم یوثّق فی الاصول الخمسة و قلیل الروایة، إلّا أنّه یظهر من الأساتذة اعتباره </w:t>
      </w:r>
      <w:r>
        <w:rPr>
          <w:rStyle w:val="FootnoteAnchor"/>
          <w:rtl w:val="true"/>
        </w:rPr>
        <w:footnoteReference w:id="744"/>
      </w:r>
      <w:r>
        <w:rPr>
          <w:rFonts w:ascii="IRNazanin" w:hAnsi="IRNazanin" w:eastAsia="IRNazanin"/>
          <w:color w:val="111111"/>
          <w:sz w:val="28"/>
          <w:sz w:val="28"/>
          <w:szCs w:val="28"/>
          <w:rtl w:val="true"/>
          <w:lang w:bidi="fa-IR"/>
        </w:rPr>
        <w:t>، و فی الآخر الحسین بن الحسن بن أبان و ابن أبی جید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بعد ذلک فی الروایة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وجودها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عدم روایة مثله عن غیر المعصوم </w:t>
      </w:r>
      <w:r>
        <w:rPr>
          <w:rStyle w:val="FootnoteAnchor"/>
          <w:rtl w:val="true"/>
        </w:rPr>
        <w:footnoteReference w:id="745"/>
      </w:r>
      <w:r>
        <w:rPr>
          <w:rFonts w:ascii="IRNazanin" w:hAnsi="IRNazanin" w:eastAsia="IRNazanin"/>
          <w:color w:val="111111"/>
          <w:sz w:val="28"/>
          <w:sz w:val="28"/>
          <w:szCs w:val="28"/>
          <w:rtl w:val="true"/>
          <w:lang w:bidi="fa-IR"/>
        </w:rPr>
        <w:t xml:space="preserve">أو متانة المتن، فاسد و رجم بالغیب للخبیر، مع ما یجی‌ء من بعض المناقشات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الطباطبائیّ بحر العلوم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 الباقر علیه السّلام</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لعلّه من باب الاستنباط و الاستحسان؛ و مقایسته علی غیره، فلا یعتنی به</w:t>
      </w:r>
      <w:r>
        <w:rPr>
          <w:rFonts w:eastAsia="IRNazanin" w:cs="IRNazanin"/>
          <w:color w:val="111111"/>
          <w:sz w:val="28"/>
          <w:szCs w:val="28"/>
          <w:rtl w:val="true"/>
          <w:lang w:bidi="fa-IR"/>
        </w:rPr>
        <w:t>.</w:t>
      </w:r>
    </w:p>
    <w:p>
      <w:pPr>
        <w:pStyle w:val="Heading6"/>
        <w:numPr>
          <w:ilvl w:val="5"/>
          <w:numId w:val="1"/>
        </w:numPr>
        <w:rPr/>
      </w:pPr>
      <w:bookmarkStart w:id="623" w:name="__RefHeading___Toc764012_3244359995"/>
      <w:bookmarkStart w:id="624" w:name="_Toc231"/>
      <w:bookmarkEnd w:id="623"/>
      <w:r>
        <w:rPr>
          <w:rtl w:val="true"/>
        </w:rPr>
        <w:t>الجهة الثانیة</w:t>
      </w:r>
      <w:r>
        <w:rPr>
          <w:rtl w:val="true"/>
        </w:rPr>
        <w:t xml:space="preserve">: </w:t>
      </w:r>
      <w:r>
        <w:rPr>
          <w:rtl w:val="true"/>
        </w:rPr>
        <w:t>فی دلالتها علی حجّیة الاستصحاب فی الجملة</w:t>
      </w:r>
      <w:bookmarkEnd w:id="624"/>
    </w:p>
    <w:p>
      <w:pPr>
        <w:pStyle w:val="Heading6"/>
        <w:numPr>
          <w:ilvl w:val="5"/>
          <w:numId w:val="1"/>
        </w:numPr>
        <w:rPr/>
      </w:pPr>
      <w:bookmarkStart w:id="625" w:name="__RefHeading___Toc764014_3244359995"/>
      <w:bookmarkStart w:id="626" w:name="_Toc232"/>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أی اعتبارها و لو فی خصوص الوضوء و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تری من الاحتمالات الغریبة خارجة عن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احتمال کون الشبهة مصداقیّة کما فی کلام العلّامة الأراکیّ </w:t>
      </w:r>
      <w:r>
        <w:rPr>
          <w:rStyle w:val="FootnoteAnchor"/>
          <w:rtl w:val="true"/>
        </w:rPr>
        <w:footnoteReference w:id="748"/>
      </w:r>
      <w:r>
        <w:rPr>
          <w:rFonts w:ascii="IRNazanin" w:hAnsi="IRNazanin" w:eastAsia="IRNazanin"/>
          <w:color w:val="111111"/>
          <w:sz w:val="28"/>
          <w:sz w:val="28"/>
          <w:szCs w:val="28"/>
          <w:rtl w:val="true"/>
          <w:lang w:bidi="fa-IR"/>
        </w:rPr>
        <w:t xml:space="preserve">، و بعض الاحتمالات الموجودة فی کلام والدی المحقق </w:t>
      </w:r>
      <w:r>
        <w:rPr>
          <w:rStyle w:val="FootnoteAnchor"/>
          <w:rtl w:val="true"/>
        </w:rPr>
        <w:footnoteReference w:id="749"/>
      </w:r>
      <w:r>
        <w:rPr>
          <w:rFonts w:ascii="IRNazanin" w:hAnsi="IRNazanin" w:eastAsia="IRNazanin"/>
          <w:color w:val="111111"/>
          <w:sz w:val="28"/>
          <w:sz w:val="28"/>
          <w:szCs w:val="28"/>
          <w:rtl w:val="true"/>
          <w:lang w:bidi="fa-IR"/>
        </w:rPr>
        <w:t>، بعید عندهم و عندنا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یحتمل کون الشبهة مفهومیّة</w:t>
      </w:r>
      <w:r>
        <w:rPr>
          <w:rStyle w:val="FootnoteAnchor"/>
          <w:rtl w:val="true"/>
        </w:rPr>
        <w:footnoteReference w:id="750"/>
      </w:r>
      <w:r>
        <w:rPr>
          <w:rFonts w:ascii="IRNazanin" w:hAnsi="IRNazanin" w:eastAsia="IRNazanin"/>
          <w:color w:val="111111"/>
          <w:sz w:val="28"/>
          <w:sz w:val="28"/>
          <w:szCs w:val="28"/>
          <w:rtl w:val="true"/>
          <w:lang w:bidi="fa-IR"/>
        </w:rPr>
        <w:t>، و یؤیّدها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 الشبهة حکمیّة بدوا</w:t>
      </w:r>
      <w:r>
        <w:rPr>
          <w:rStyle w:val="FootnoteAnchor"/>
          <w:rtl w:val="true"/>
        </w:rPr>
        <w:footnoteReference w:id="751"/>
      </w:r>
      <w:r>
        <w:rPr>
          <w:rFonts w:ascii="Amiri" w:hAnsi="Amiri" w:eastAsia="Amiri" w:cs="Amiri"/>
          <w:color w:val="111111"/>
          <w:sz w:val="28"/>
          <w:sz w:val="28"/>
          <w:szCs w:val="28"/>
          <w:rtl w:val="true"/>
          <w:lang w:bidi="ar-SA"/>
        </w:rPr>
        <w:t>، و إنّما الجواب لإفادة ما هو الناقض من النوم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کون الشبهة و السؤال عن ناقضیّة الخفقة شرعا و إن عدّت نوما عرفا، کما یؤیّده الجواب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تنام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فإسناد النوم إلیها یؤیّد الاحتمال الثالث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نوم العین أو الاذن مثلا أو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الوضوء، بل ما هو الناقض أو ما یوجب الوضوء هو نوم الکلّ، و السؤال و الجواب الأوّل غیر دخیل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الاحتمال الثالث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ینام، أتوجب الخفقة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فالسائل کأنّه یعتقد أنّها من النوم، فلا تکون الشبهة 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أخبار ناقضیة النوم إطلاق، فلا معنی للشبهة الحکمیّة لمثل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احتمال کون الموجب و الناقض نوما خاصّا مستولیا، فعند ذلک یجوز السؤال و إن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سؤال حول نوم القلب مع أنّه غیر معقول إلّا إذا ارید به محطّ الدرک و النفس و مرتبة منها، و هو خلاف اللغة بدوا و إن کانت الآیات دالّة علی أنّ القلوب تفقه، فلا وهن فی الروایة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إیجاب الوضوء علی خلاف الموازین إلّا إیجابا شرطیّا غیریّا، و هو خلاف ظاهرها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یحمل علی الإیجاب العقلیّ فلیتدبّر، و التفصیل من هذه الجهة فی محلّه، و لا ثمرة فیما هو مهمّنا فی المسألة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یعتبر السائل الخفقة و الخفقات، أمارة و علامة علی الناقض الموجب،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إلی جنبه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یستظهر منه أنّه انتقل من تلک</w:t>
      </w:r>
    </w:p>
    <w:p>
      <w:pPr>
        <w:pStyle w:val="BookText"/>
        <w:rPr/>
      </w:pPr>
      <w:r>
        <w:rPr>
          <w:rFonts w:ascii="IRNazanin" w:hAnsi="IRNazanin" w:eastAsia="IRNazanin"/>
          <w:color w:val="111111"/>
          <w:sz w:val="28"/>
          <w:sz w:val="28"/>
          <w:szCs w:val="28"/>
          <w:rtl w:val="true"/>
          <w:lang w:bidi="fa-IR"/>
        </w:rPr>
        <w:t>العلامة إلی علامة اخری أعمّ، فإنّ الخفقة ممّا یراها البصر، و أمّا إذا حرّک إلی جنبه شی‌ء فهو یشهد علی النوم الناقض بالنسبة إلی البصر و الاذن، بل و القلب، و مع ذلک لم یصدّقه المسؤول، لأعمّیة العلامة المذکورة کما لا یخفی،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یجی‌ء من ذلک أمر بیّن،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إن لم یستیقن حتّی یجی‌ء شی‌ء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الجملة إنشائیّة فهی جواب، و تکون صغری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جملة إخباریّة بالنسبة إلی ظرف الیقین، فمعناها أنّه کان علی یقین من وضوئه؛ لاحتیاج الجار و المجرور إلی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علی فرض کونها إنشائیّة تتعلّق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یقین من وضوئه و إنّما الاختلاف فی فرض الإخباریّة و الإنشائیة یظهر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الإخباریّة لا یکون صغری له، و علی الإنشائیّة یکون حاکما علیه، أو صغری له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احتمال تعلّق الجار و المجرور بالفعل المحذوف؛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لم یستیقن أنّه قد نام حتّی یجی‌ء من ذلک أمر بیّن، فهو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خلاف موازین الأدب؛ للزوم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فالتقریب المذکور یتمّ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إخباریّة، أو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ضعف توهّم توقّف الاستدلال علی کون الجملة الاولی إنشائیة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عقیب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یستیقن أنّه قد نام 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لم یستیقن أنّه قد نام و لم 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آخره، فإنّ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جائزة بعد خلوّ المنطوق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أیضا یتمّ التقریب سواء کان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للقضیّة التامّة المحذوفة، أو کانت جوابا للقضیّة الناقصة؛ أی سواء کانت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یستیقن أنّه قد نام حتّی یجی‌ء من ذلک أمر بیّن، 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المحذوف جملة ناقصة، أو کان المحذوف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یستیقن أنّه قد نام حتّی یجی‌ء من ذلک أمر بیّن، فلا یجب الوضوء؛ 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احتمال کون العلّة إخباریّة أو إنشائیّة جائز، إلّا أنّ الإخبار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أقرب؛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فی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أساس الدلیل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توهّم کونها جملة توطئة</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الکلام،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جمیع الآیات المستدلّ بها لقیام العلّة مقام الجزاء، أجنبیّة عن الروایة؛ لأنّه فی تلک الآیات التی ذکرها الشیخ رحمه اللّه </w:t>
      </w:r>
      <w:r>
        <w:rPr>
          <w:rStyle w:val="FootnoteAnchor"/>
          <w:rtl w:val="true"/>
        </w:rPr>
        <w:footnoteReference w:id="754"/>
      </w:r>
      <w:r>
        <w:rPr>
          <w:rFonts w:ascii="IRNazanin" w:hAnsi="IRNazanin" w:eastAsia="IRNazanin"/>
          <w:color w:val="111111"/>
          <w:sz w:val="28"/>
          <w:sz w:val="28"/>
          <w:szCs w:val="28"/>
          <w:rtl w:val="true"/>
          <w:lang w:bidi="fa-IR"/>
        </w:rPr>
        <w:t xml:space="preserve">یکون التعلیل قائما مقام الجملة الناقصة، و لا سبیل إلی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بخلاف المضمرة فإنّ المحذوف جملة تامّة؛ أی المحذوف هو الشرط المستتبع للجزاء القابل لکونه نفس الجملة المذکورة فلیراجع، فالقیاس مع الفارق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کلام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ینحصر أن تکون الجملة إنشائیّة إذا کان خبرا بنفسه</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غیر تامّ کما عرفت؛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إلی المتعلّق المحذوف، فلو کان 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الجزاء خبرا؛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w:t>
      </w:r>
      <w:bookmarkStart w:id="627" w:name="pg13177_117999"/>
    </w:p>
    <w:p>
      <w:pPr>
        <w:pStyle w:val="BookText"/>
        <w:rPr/>
      </w:pPr>
      <w:bookmarkEnd w:id="627"/>
      <w:r>
        <w:rPr>
          <w:rFonts w:ascii="IRNazanin" w:hAnsi="IRNazanin" w:eastAsia="IRNazanin"/>
          <w:color w:val="111111"/>
          <w:sz w:val="28"/>
          <w:sz w:val="28"/>
          <w:szCs w:val="28"/>
          <w:rtl w:val="true"/>
          <w:lang w:bidi="fa-IR"/>
        </w:rPr>
        <w:t>علی یقین من وضوئه، و 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أخذ الیقین و الشکّ بعده، و الیقین بعد الشکّ، یتعیّن الخبر فی الاستصحاب علی جمیع التقادیر</w:t>
      </w:r>
      <w:r>
        <w:rPr>
          <w:rFonts w:eastAsia="IRNazanin" w:cs="IRNazanin"/>
          <w:color w:val="111111"/>
          <w:sz w:val="28"/>
          <w:szCs w:val="28"/>
          <w:rtl w:val="true"/>
          <w:lang w:bidi="fa-IR"/>
        </w:rPr>
        <w:t>.</w:t>
      </w:r>
    </w:p>
    <w:p>
      <w:pPr>
        <w:pStyle w:val="Heading6"/>
        <w:numPr>
          <w:ilvl w:val="5"/>
          <w:numId w:val="1"/>
        </w:numPr>
        <w:rPr/>
      </w:pPr>
      <w:bookmarkStart w:id="628" w:name="__RefHeading___Toc764016_3244359995"/>
      <w:bookmarkStart w:id="629" w:name="_Toc233"/>
      <w:bookmarkEnd w:id="628"/>
      <w:r>
        <w:rPr>
          <w:rtl w:val="true"/>
        </w:rPr>
        <w:t>تذنیب</w:t>
      </w:r>
      <w:r>
        <w:rPr>
          <w:rtl w:val="true"/>
        </w:rPr>
        <w:t xml:space="preserve">: </w:t>
      </w:r>
      <w:r>
        <w:rPr>
          <w:rtl w:val="true"/>
        </w:rPr>
        <w:t>فی بیان إیرادین علی المضمرة مع دفعهما</w:t>
      </w:r>
      <w:bookmarkEnd w:id="629"/>
    </w:p>
    <w:p>
      <w:pPr>
        <w:pStyle w:val="BookText"/>
        <w:rPr/>
      </w:pPr>
      <w:r>
        <w:rPr>
          <w:rFonts w:ascii="IRNazanin" w:hAnsi="IRNazanin" w:eastAsia="IRNazanin"/>
          <w:color w:val="111111"/>
          <w:sz w:val="28"/>
          <w:sz w:val="28"/>
          <w:szCs w:val="28"/>
          <w:rtl w:val="true"/>
          <w:lang w:bidi="fa-IR"/>
        </w:rPr>
        <w:t>یتوجّه إلیها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هو الغسلتان و المسحتان </w:t>
      </w:r>
      <w:r>
        <w:rPr>
          <w:rStyle w:val="FootnoteAnchor"/>
          <w:rtl w:val="true"/>
        </w:rPr>
        <w:footnoteReference w:id="756"/>
      </w:r>
      <w:r>
        <w:rPr>
          <w:rFonts w:ascii="IRNazanin" w:hAnsi="IRNazanin" w:eastAsia="IRNazanin"/>
          <w:color w:val="111111"/>
          <w:sz w:val="28"/>
          <w:sz w:val="28"/>
          <w:szCs w:val="28"/>
          <w:rtl w:val="true"/>
          <w:lang w:bidi="fa-IR"/>
        </w:rPr>
        <w:t>، فلا بقاء کی یشکّ فیه؛ حسبما تحرّر فی بحوث 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لو کان المراد فی تلک المباحث نفس الأفعال، إلّا أنّ صریح هذه الروایة فرض الشکّ، و تطبیق قاعدة الاستصحاب، و تصویر الفروض الثلاثة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الیقین به، و الشکّ فیه، و الیقین بخلافه، و ربّما تکون هذه الروایة شاهدة علی خلاف تلک الأخبار، و أنّ الأثر و الطهور هو المأمور به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الصناعة إجراء استصحاب عدم تحقّق النوم و الزائل الرافع، لا الوضوء؛ ضرورة أنّ الشکّ فی بقائه مسبّب عن الشکّ فی تحقّق النوم و الناقض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من هذه الجهة تشبه ما ورد فی أخبار البراءة و الحلّ، و هو خبر مسعدة بن صدقة</w:t>
      </w:r>
      <w:r>
        <w:rPr>
          <w:rStyle w:val="FootnoteAnchor"/>
          <w:rtl w:val="true"/>
        </w:rPr>
        <w:footnoteReference w:id="757"/>
      </w:r>
      <w:r>
        <w:rPr>
          <w:rFonts w:ascii="IRNazanin" w:hAnsi="IRNazanin" w:eastAsia="IRNazanin"/>
          <w:color w:val="111111"/>
          <w:sz w:val="28"/>
          <w:sz w:val="28"/>
          <w:szCs w:val="28"/>
          <w:rtl w:val="true"/>
          <w:lang w:bidi="fa-IR"/>
        </w:rPr>
        <w:t>، و قد تحرّر أنّ المفتی لا ینظر إلی الصناعة، و لا سیّما فی مثل اتفاق السببیّ و المسبّبی فی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جریان الأصل السببیّ مثبت </w:t>
      </w:r>
      <w:r>
        <w:rPr>
          <w:rStyle w:val="FootnoteAnchor"/>
          <w:rtl w:val="true"/>
        </w:rPr>
        <w:footnoteReference w:id="758"/>
      </w:r>
      <w:r>
        <w:rPr>
          <w:rFonts w:ascii="IRNazanin" w:hAnsi="IRNazanin" w:eastAsia="IRNazanin"/>
          <w:color w:val="111111"/>
          <w:sz w:val="28"/>
          <w:sz w:val="28"/>
          <w:szCs w:val="28"/>
          <w:rtl w:val="true"/>
          <w:lang w:bidi="fa-IR"/>
        </w:rPr>
        <w:t>، فهو خلاف التحقیق عندنا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من الشبهة المفهومیّة، أغلط؛ ضرورة أنّ مفهوم</w:t>
      </w:r>
      <w:bookmarkStart w:id="630" w:name="pg13177_118000"/>
    </w:p>
    <w:p>
      <w:pPr>
        <w:pStyle w:val="BookText"/>
        <w:rPr/>
      </w:pPr>
      <w:bookmarkEnd w:id="630"/>
      <w:r>
        <w:rPr>
          <w:rFonts w:ascii="IRNazanin" w:hAnsi="IRNazanin" w:eastAsia="IRNazanin"/>
          <w:color w:val="111111"/>
          <w:sz w:val="28"/>
          <w:sz w:val="28"/>
          <w:szCs w:val="28"/>
          <w:rtl w:val="true"/>
          <w:lang w:bidi="fa-IR"/>
        </w:rPr>
        <w:t xml:space="preserve">الناقض مبرهن علیه فی نفس الروایة، فما فی کلام العلّامة الأراکیّ رحمه اللّه </w:t>
      </w:r>
      <w:r>
        <w:rPr>
          <w:rStyle w:val="FootnoteAnchor"/>
          <w:rtl w:val="true"/>
        </w:rPr>
        <w:footnoteReference w:id="759"/>
      </w:r>
      <w:r>
        <w:rPr>
          <w:rFonts w:ascii="IRNazanin" w:hAnsi="IRNazanin" w:eastAsia="IRNazanin"/>
          <w:color w:val="111111"/>
          <w:sz w:val="28"/>
          <w:sz w:val="28"/>
          <w:szCs w:val="28"/>
          <w:rtl w:val="true"/>
          <w:lang w:bidi="fa-IR"/>
        </w:rPr>
        <w:t xml:space="preserve">و غیره </w:t>
      </w:r>
      <w:r>
        <w:rPr>
          <w:rStyle w:val="FootnoteAnchor"/>
          <w:rtl w:val="true"/>
        </w:rPr>
        <w:footnoteReference w:id="760"/>
      </w:r>
      <w:r>
        <w:rPr>
          <w:rFonts w:ascii="IRNazanin" w:hAnsi="IRNazanin" w:eastAsia="IRNazanin"/>
          <w:color w:val="111111"/>
          <w:sz w:val="28"/>
          <w:sz w:val="28"/>
          <w:szCs w:val="28"/>
          <w:rtl w:val="true"/>
          <w:lang w:bidi="fa-IR"/>
        </w:rPr>
        <w:t>غیر سدید جدّا</w:t>
      </w:r>
      <w:r>
        <w:rPr>
          <w:rFonts w:eastAsia="IRNazanin" w:cs="IRNazanin"/>
          <w:color w:val="111111"/>
          <w:sz w:val="28"/>
          <w:szCs w:val="28"/>
          <w:rtl w:val="true"/>
          <w:lang w:bidi="fa-IR"/>
        </w:rPr>
        <w:t>.</w:t>
      </w:r>
    </w:p>
    <w:p>
      <w:pPr>
        <w:pStyle w:val="Heading6"/>
        <w:numPr>
          <w:ilvl w:val="5"/>
          <w:numId w:val="1"/>
        </w:numPr>
        <w:rPr/>
      </w:pPr>
      <w:bookmarkStart w:id="631" w:name="__RefHeading___Toc764018_3244359995"/>
      <w:bookmarkStart w:id="632" w:name="_Toc234"/>
      <w:bookmarkEnd w:id="631"/>
      <w:r>
        <w:rPr>
          <w:rtl w:val="true"/>
        </w:rPr>
        <w:t>تذنیب آخر</w:t>
      </w:r>
      <w:r>
        <w:rPr>
          <w:rtl w:val="true"/>
        </w:rPr>
        <w:t xml:space="preserve">: </w:t>
      </w:r>
      <w:r>
        <w:rPr>
          <w:rtl w:val="true"/>
        </w:rPr>
        <w:t>فی القرائن الدالّة علی أماریة الاستصحاب و أنّ الیقین جزء الموضوع</w:t>
      </w:r>
      <w:bookmarkEnd w:id="632"/>
    </w:p>
    <w:p>
      <w:pPr>
        <w:pStyle w:val="BookText"/>
        <w:rPr/>
      </w:pPr>
      <w:r>
        <w:rPr>
          <w:rFonts w:ascii="IRNazanin" w:hAnsi="IRNazanin" w:eastAsia="IRNazanin"/>
          <w:color w:val="111111"/>
          <w:sz w:val="28"/>
          <w:sz w:val="28"/>
          <w:szCs w:val="28"/>
          <w:rtl w:val="true"/>
          <w:lang w:bidi="fa-IR"/>
        </w:rPr>
        <w:t>لا شبهة فی إمکان کون الیقین بالنوم تمام الموضوع للناقضیّة، کما یمکن أن یکون جزء للموضوع، و لا یتوجّه إلیه حدیث الدور، مع أنّه حدیث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فالظاهر أنّ الیقین و الاستیقان لو اخذا فی الدلیل یعتبران طریقا، و إنّما النوم تمام الموضوع، إلّا إذا قامت القرینة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 الحلّ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الغایة ظاهرة فی جزئیّة الموضوع </w:t>
      </w:r>
      <w:r>
        <w:rPr>
          <w:rStyle w:val="FootnoteAnchor"/>
          <w:rtl w:val="true"/>
        </w:rPr>
        <w:footnoteReference w:id="761"/>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بجزئیّة الیقین، أو بتمامیّته لوجوب الوضوء، تسقط الروایة عن الدلالة علی الأصل العملیّ و الاستصحاب المقصود، و تندرج فی الأخبار الاجتهادیّة، فربّما یعارضها و یقدّم علیها، أو یسقط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حول تلک القرائن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یدلّ علی الجزئیّة، إلّا أنّ تکرار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 أنّ المنظور هو الاستیقان بالنوم کی لا یلزم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للبعید؛ أی الاستیقان بالنوم، لا نفس النوم، و إلّا کان ینبغی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یجی‌ء منه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إلی جنبه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الضمیر إلی النوم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اعْدِلُوا هُوَ أَقْرَبُ لِلتَّقْوی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الإخبار عن حاله، لا الإخبار عمّا کان علیه؛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کائن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معنی له إلّا فی صورة کون الیقین جزء للموضوع، فإنّه مع الشکّ فی النوم یعلم أنّه فی الحال علی وضوء؛ لأنّ النوم المعلوم ناقض، و یوجب الوضوء، و إلّا فهو علی یقین قطعا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الوضوء نفس الأفعال و الأعمال، لا معنی للشکّ فی البقاء مع فرض الشکّ فی نفس الروایة، فیعلم منه أنّ الیقین جزء الموضوع، و الشکّ المفروض لیس من الشکّ فی البقاء، بل هو من الشکّ فی موجب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یظهر وجه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الوضوء، دون عدم النوم؛ لأجنبیّته عن الاستصحاب السببیّ أو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یشعر بما ذکرنا عدم استدلال الأقدمین بمثله للاستصحاب، مع أنّه أصل تعبّدی و لو کان موافقا للارتکاز و الاستحسان العرفیّ، إلّا أنّه بالضرورة لیس ممّا یحتجّ به العقلاء فی محاوراتهم، کخبر الثقة، و الظواهر، و الید،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الرکعتین الاولیین، غیر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لأجله استشکل فی قیام سائر الطرق مقامه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السؤال و الجواب هو أنّ النوم الغالب ناقض، و لا دخالة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الصدر أنّ الوضوء واجب نفسیّ، و لا یقول به أحد، کما أنّ ظاهره الثانی هو الوجوب الغیریّ، و هو أیضا لا یقول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الوجوب الشرطیّ فی مثل هذا الترکیب غیر معهود؛ فإنّ الواجبات الشرطیّة تلقی ضمیمة للواجب النفسیّ،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و غیر ذلک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بدّ من متیقّن و هو الوضوء مثلا، لا بدّ من مشکوک و هو الوضوء؛ حسب الظاهر، فحمله علی خلافه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الکلام فی الصدر حول النوم و ناقضیّته و موجبیّته، یجوز أن یکون المشکوک هو النوم؛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بالوضوء أبدا بالشکّ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الآخر متعلّق بالنوم مثلا، لا الوضوء بالضرورة، فهو قرینة علی أنّ المشکوک فیه هو النوم مثلا، فالروایة أجنبیّة عن الاصول العملیّة، و تندرج فی مسألة اخری کما مرّ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التقادیر،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ظاهران فی أنّ الأمر البیّن له الدخالة فی إیجاب الوضوء، و لو کان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یجی‌ء من ذلک أمر بیّن فیجب الوضوء؛ 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bookmarkStart w:id="633" w:name="pg13177_118003"/>
    </w:p>
    <w:p>
      <w:pPr>
        <w:pStyle w:val="BookText"/>
        <w:rPr/>
      </w:pPr>
      <w:bookmarkEnd w:id="633"/>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الیقین و القطع لا تناله ید الجعل و التشریع ذاتا</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و إن أبطلناه حسب الصناعة</w:t>
      </w:r>
      <w:r>
        <w:rPr>
          <w:rStyle w:val="FootnoteAnchor"/>
          <w:rtl w:val="true"/>
        </w:rPr>
        <w:footnoteReference w:id="769"/>
      </w:r>
      <w:r>
        <w:rPr>
          <w:rFonts w:ascii="IRNazanin" w:hAnsi="IRNazanin" w:eastAsia="IRNazanin"/>
          <w:color w:val="111111"/>
          <w:sz w:val="28"/>
          <w:sz w:val="28"/>
          <w:szCs w:val="28"/>
          <w:rtl w:val="true"/>
          <w:lang w:bidi="fa-IR"/>
        </w:rPr>
        <w:t>، و لکن حجّیته ذاتیّة عوامیّة عرفیّة، و لا تناله ید التشریع عقلائیّا حسب المتعارف، فعلی هذا فکیف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ظاهر فی الجعل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یتمّ إلّا علی أن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موضوعیّا؛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ینقضه بیقین بنوم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الیقین قابلا لاعتباره فی الجزئیّة مثلا لناقضیّة الوضوء، فإنّه عندئذ تناله ید الاعتبار و التشریع باتخاذه فی موضوع الناقض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ینکشف أنّ الیقین الأوّل جزء الموضوع، و بیقین آخر یحصل الیقین بعدم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و التأکید المتأکّد الذی فی الخبر، یشهد علی أنّ المتکلّم بصدد إفادة أمر علی خلاف المتعارف؛ و هو کون الیقین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دعوی أنّ أخذ الیقین و الاستیقان فی الدلیل غیر أخذ العلم و المعرفة، و لأجله استشکل فی قیام خبر الثقة و البیّنة مقام الیقین المعتبر فی الرکعتین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دعوی دلالتها علی حجّیة الاستصحاب؛ و ارتباطها بالأصل العملیّ، کما ذهب إلیه کلّ المتأخّرین</w:t>
      </w:r>
      <w:r>
        <w:rPr>
          <w:rFonts w:eastAsia="IRNazanin" w:cs="IRNazanin"/>
          <w:color w:val="111111"/>
          <w:sz w:val="28"/>
          <w:szCs w:val="28"/>
          <w:rtl w:val="true"/>
          <w:lang w:bidi="fa-IR"/>
        </w:rPr>
        <w:t>.</w:t>
      </w:r>
    </w:p>
    <w:p>
      <w:pPr>
        <w:pStyle w:val="Heading6"/>
        <w:numPr>
          <w:ilvl w:val="5"/>
          <w:numId w:val="1"/>
        </w:numPr>
        <w:rPr/>
      </w:pPr>
      <w:bookmarkStart w:id="634" w:name="__RefHeading___Toc764020_3244359995"/>
      <w:bookmarkStart w:id="635" w:name="_Toc235"/>
      <w:bookmarkEnd w:id="634"/>
      <w:r>
        <w:rPr>
          <w:rtl w:val="true"/>
        </w:rPr>
        <w:t>الجهة الثالثة</w:t>
      </w:r>
      <w:r>
        <w:rPr>
          <w:rtl w:val="true"/>
        </w:rPr>
        <w:t xml:space="preserve">: </w:t>
      </w:r>
      <w:r>
        <w:rPr>
          <w:rtl w:val="true"/>
        </w:rPr>
        <w:t>فی دلالة المضمرة علی حجّیة الاستصحاب مطلقا</w:t>
      </w:r>
      <w:bookmarkEnd w:id="63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بعد ذلک فی اختصاصه بباب الوضوء، أو أعمّیته و حجّیته فی</w:t>
      </w:r>
    </w:p>
    <w:p>
      <w:pPr>
        <w:pStyle w:val="BookText"/>
        <w:rPr/>
      </w:pPr>
      <w:r>
        <w:rPr>
          <w:rFonts w:ascii="IRNazanin" w:hAnsi="IRNazanin" w:eastAsia="IRNazanin"/>
          <w:color w:val="111111"/>
          <w:sz w:val="28"/>
          <w:sz w:val="28"/>
          <w:szCs w:val="28"/>
          <w:rtl w:val="true"/>
          <w:lang w:bidi="fa-IR"/>
        </w:rPr>
        <w:t xml:space="preserve">جمیع المسائل، و قد ذهب جمع کثیر منهم إلی الثانی </w:t>
      </w:r>
      <w:r>
        <w:rPr>
          <w:rStyle w:val="FootnoteAnchor"/>
          <w:rtl w:val="true"/>
        </w:rPr>
        <w:footnoteReference w:id="770"/>
      </w:r>
      <w:r>
        <w:rPr>
          <w:rFonts w:ascii="IRNazanin" w:hAnsi="IRNazanin" w:eastAsia="IRNazanin"/>
          <w:color w:val="111111"/>
          <w:sz w:val="28"/>
          <w:sz w:val="28"/>
          <w:szCs w:val="28"/>
          <w:rtl w:val="true"/>
          <w:lang w:bidi="fa-IR"/>
        </w:rPr>
        <w:t>، و یمکن المناقشة فیه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یفید العموم هی النکرة فی سیاق النفی، أو ما یشبه النفی کالنهی،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استشکل فی کونه یفید العموم الاصطلاحیّ، و لکنّه یشبه العموم، و لا یحتاج إلی مقدّمات الحکمة کما هو المختار؛ بمعنی وجودها دائما، بخلاف المطلق، بل و العموم الاصطلاحیّ عندنا، و تفصیله فی محلّه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المعرفة المدخول علیها النفی أو النهی، فهی بحکم سلب العموم و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سلب العموم یختصّ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کلّ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یعقل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 لو کان فی کلام العلّامة النائینیّ </w:t>
      </w:r>
      <w:r>
        <w:rPr>
          <w:rStyle w:val="FootnoteAnchor"/>
          <w:rtl w:val="true"/>
        </w:rPr>
        <w:footnoteReference w:id="772"/>
      </w:r>
      <w:r>
        <w:rPr>
          <w:rFonts w:ascii="IRNazanin" w:hAnsi="IRNazanin" w:eastAsia="IRNazanin"/>
          <w:color w:val="111111"/>
          <w:sz w:val="28"/>
          <w:sz w:val="28"/>
          <w:szCs w:val="28"/>
          <w:rtl w:val="true"/>
          <w:lang w:bidi="fa-IR"/>
        </w:rPr>
        <w:t xml:space="preserve">، فإنّ العموم المدخول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یفید عموم السلب، و سلب العموم یستفاد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مجموع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بأجمعه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یتوقّف استفادة عموم السلب علی تقدّم الحکم رتبة، و لحاظ خاصّ؛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إلّا لزوم الامتثال الواحد، و لا یستفاد منه إلّا الأمر الواحد، مع أنّه لا یتقدّم الحکم علی المدخول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هذه کمسألتنا فی باب النواهی و الأوامر، حیث ابتلوا بهذه العویصة حتّی فی النکرة، حیث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اشتهر من أنّ الطبیعة</w:t>
      </w:r>
    </w:p>
    <w:p>
      <w:pPr>
        <w:pStyle w:val="BookText"/>
        <w:rPr/>
      </w:pPr>
      <w:r>
        <w:rPr>
          <w:rFonts w:ascii="IRNazanin" w:hAnsi="IRNazanin" w:eastAsia="IRNazanin"/>
          <w:color w:val="111111"/>
          <w:sz w:val="28"/>
          <w:sz w:val="28"/>
          <w:szCs w:val="28"/>
          <w:rtl w:val="true"/>
          <w:lang w:bidi="fa-IR"/>
        </w:rPr>
        <w:t>توجد بوجود فرد ما، و تنعدم بانعدام جمیع الأفراد، من الأغلاط</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و إن صدر عن بعض الفحول من أهل المعقول </w:t>
      </w:r>
      <w:r>
        <w:rPr>
          <w:rStyle w:val="FootnoteAnchor"/>
          <w:rtl w:val="true"/>
        </w:rPr>
        <w:footnoteReference w:id="774"/>
      </w:r>
      <w:r>
        <w:rPr>
          <w:rFonts w:ascii="IRNazanin" w:hAnsi="IRNazanin" w:eastAsia="IRNazanin"/>
          <w:color w:val="111111"/>
          <w:sz w:val="28"/>
          <w:sz w:val="28"/>
          <w:szCs w:val="28"/>
          <w:rtl w:val="true"/>
          <w:lang w:bidi="fa-IR"/>
        </w:rPr>
        <w:t xml:space="preserve">و التفصیل فی محلّه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لمنع دخول التنوین الدالّ علی شی‌ء، و لا یجتمعان، و لا یکون المناط فی هذه المواقف إلّا علی فهم العقلاء، و لا شبهة فی 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 العموم الاستغراقیّ؛ أی الإطلاق المنتهیة نتیجته إلیه، کما هو کذلک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من غیر حاجة إلی التوسّل بالصناعة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الصناعة أیضا تقتضی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النکرة فی سیاق النفی، حیث یکون التنوین ظاهرا فی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المعرّفات و 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التنکیر، و معنی ذلک هو الواحد المعیّن المجهول إثباتا، فلیراجع </w:t>
      </w:r>
      <w:r>
        <w:rPr>
          <w:rStyle w:val="FootnoteAnchor"/>
          <w:rtl w:val="true"/>
        </w:rPr>
        <w:footnoteReference w:id="778"/>
      </w:r>
      <w:r>
        <w:rPr>
          <w:rFonts w:ascii="IRNazanin" w:hAnsi="IRNazanin" w:eastAsia="IRNazanin"/>
          <w:color w:val="111111"/>
          <w:sz w:val="28"/>
          <w:sz w:val="28"/>
          <w:szCs w:val="28"/>
          <w:rtl w:val="true"/>
          <w:lang w:bidi="fa-IR"/>
        </w:rPr>
        <w:t>، و لعلّ فی المسألة تفصیلا لا یسعه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فی خصوص الروایة لا معنی للتأکید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سلب العموم فی القوانین المضروبة للعمل غیر جائز؛ لانتهائه إلی الإجمال و الأخذ بالقدر المتیقّن، فاغتنم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البناءات العربیّة و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تعرّض لها ابن هشام فی الباب السادس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الاسمین إمّا یذکران نکرتین، أو معرفتین، أو أحدهما معرّفا،</w:t>
      </w:r>
    </w:p>
    <w:p>
      <w:pPr>
        <w:pStyle w:val="BookText"/>
        <w:rPr/>
      </w:pPr>
      <w:r>
        <w:rPr>
          <w:rFonts w:ascii="IRNazanin" w:hAnsi="IRNazanin" w:eastAsia="IRNazanin"/>
          <w:color w:val="111111"/>
          <w:sz w:val="28"/>
          <w:sz w:val="28"/>
          <w:szCs w:val="28"/>
          <w:rtl w:val="true"/>
          <w:lang w:bidi="fa-IR"/>
        </w:rPr>
        <w:t>و الآخر منکّرا، فالصور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اتفقوا فی صورة تقدّم النکرة و ما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تأخّر المحلّی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یصبح مجملا، و القدر المتیقّن هو الوضوء، أو مطلقا و ناظرا إلی الوضوء، و علی التقدیرین لا تدلّ الروایة علی الحجّیة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فی کلامهم من احتمال أو قوّة تعلّق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بالظرف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کان من طرف وضوئه علی یقین</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مجرّد ذلک یوجب حجّیته المطلقة بعد إذعان الأعلام بعدم کونه حجّة عقلائیّة، بل هو حجّة تعبّدیة شرعیّة</w:t>
      </w:r>
      <w:r>
        <w:rPr>
          <w:rStyle w:val="FootnoteAnchor"/>
          <w:rtl w:val="true"/>
        </w:rPr>
        <w:footnoteReference w:id="781"/>
      </w:r>
      <w:r>
        <w:rPr>
          <w:rFonts w:ascii="IRNazanin" w:hAnsi="IRNazanin" w:eastAsia="IRNazanin"/>
          <w:color w:val="111111"/>
          <w:sz w:val="28"/>
          <w:sz w:val="28"/>
          <w:szCs w:val="28"/>
          <w:rtl w:val="true"/>
          <w:lang w:bidi="fa-IR"/>
        </w:rPr>
        <w:t>ربّما یوافقه الارتکاز المیّت، و هو الاستحسان المتمسّک به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بدّ من الأخذ بما هو الظاهر؟</w:t>
      </w:r>
    </w:p>
    <w:p>
      <w:pPr>
        <w:pStyle w:val="BookText"/>
        <w:rPr/>
      </w:pPr>
      <w:r>
        <w:rPr>
          <w:rFonts w:ascii="IRNazanin" w:hAnsi="IRNazanin" w:eastAsia="IRNazanin"/>
          <w:color w:val="111111"/>
          <w:sz w:val="28"/>
          <w:sz w:val="28"/>
          <w:szCs w:val="28"/>
          <w:rtl w:val="true"/>
          <w:lang w:bidi="fa-IR"/>
        </w:rPr>
        <w:t xml:space="preserve">مع أنّ ما فی کلامهم من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 و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یکذّبه المجتهدون، فضلا عن الأخباریّین و 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أنّه کان علی وضوئه من یقین، کی یحتمل الإنشاء أو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غیر جائز، و لا قوّة فی الاحتمال المذکور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للجنس</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و هذا لا أصل له؛ لأنّ محطّ الأصل المذکور فی غیر هذه الصورة، و إلّا فلا یبقی للعهد الذکریّ و أمثاله مورد، فیدور الأمر بین الإجمال أو الإطلاق فی مورد الوضوء فقط</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ممّا لا أساس له،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للعهد الذکریّ، إلّا أنّه بعد المقایسة مع الأخبار الاخر، یظهر أنّه هنا لیس إلّا لإفادة القاعدة الکلّیة</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سائر الأخبار غیر ظاهر عندی، و لو کانت هی ظاهر الدلالة علی المطلوب فلا حاجة إلی التشبّث بها للاستظهار، فانتظر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مقتضی إلغاء الخصوصیّة العرفیّة کما فی کثیر من الموارد، عموم المجری</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یکون أمرا تعبّدیا صرفا عندهم، فلا منع من اختصاص التعبّد ببعض الموضوعات، کما لا تجری قاعدة التجاوز فی الوضوء، و یختصّ الغسل ببعض أحکام دون الوضوء، و یجوز النذر بالنسبة إلی المحرمین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أنّهم خصّوا الإقالة بالبیع، و لا یقولون بها استحبابا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الإجارة بأکثر ممّا استؤجر مخصوصة بأشیاء عندهم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إلغاء الخصوصیّة إلّا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 أنّه مثال عرفا، و إلّا فهو یشبه القیاس و الاستحسان، أفلا تری أنّ کثیرا من المباحات من تروک الإحرام، و کثیرا من المحرّمات لا تعدّ من تروکه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السنّة إذا قیست محق الدین</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انضمام القاعدة المذکورة فی الوضوء إلی الارتکاز العقلائیّ، یفید العموم المطلوب</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مرّ یکفیک جوابا، فإنّ البناء العقلائیّ علی الإقالة فی مجموع</w:t>
      </w:r>
      <w:bookmarkStart w:id="636" w:name="pg13177_118008"/>
    </w:p>
    <w:p>
      <w:pPr>
        <w:pStyle w:val="BookText"/>
        <w:rPr/>
      </w:pPr>
      <w:bookmarkEnd w:id="636"/>
      <w:r>
        <w:rPr>
          <w:rFonts w:ascii="IRNazanin" w:hAnsi="IRNazanin" w:eastAsia="IRNazanin"/>
          <w:color w:val="111111"/>
          <w:sz w:val="28"/>
          <w:sz w:val="28"/>
          <w:szCs w:val="28"/>
          <w:rtl w:val="true"/>
          <w:lang w:bidi="fa-IR"/>
        </w:rPr>
        <w:t>العقود، و الارتکاز العرفیّ علی جریان القاعدة فی الوضوء، فمجرّد الارتکاز لا یکفی للاحتجاج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ملاحظة إسناد النقض إلی الیقین بالنسبة إلی الیقین الآخر دون الشکّ، و نفی ذلک بالنسبة إلی الشکّ، یورث أنّ المیزان فی حجّیة الاستصحاب إبرام الیقین و استحکامه، دون الشکّ؛ فإنّ فیه الرخوة و الضعف و اللین، فکان النظر إلی أنّ الحجر ینقض الحجر و یکسره، دون الشی‌ء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سواء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 أو المنکشف بمصداقه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المتیقّن، أو المتیقّن بما هو متیقّن، أو الیقین بمصداقه علی وجه الصفتیّة، أو الطریقیّة المطلقة، أو الخاصّة به، فإنّه علی کلّ تقدیر لوجود الیقین فی البین، اعتبر شرعا أنّ الشأن له، لا للشکّ، و هو فی مقابله بلا ثمر و لا شأن له، فیکون الأمر کذلک فی جمیع الأبواب و الکتب</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یزید علی الخطابة، فإن حصل من هذه التقریبات بأجمعها العلم و الیقین بحجّیته المطلقة فهو، و إلّا فلا دلیل علیه حسب الموازین العقلائیّة الراجعة إلی الظنون النوعیّة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یُحْدِثُ بَعْدَ ذلِکَ أَمْراً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764022_3244359995"/>
      <w:bookmarkStart w:id="638" w:name="_Toc236"/>
      <w:bookmarkEnd w:id="637"/>
      <w:r>
        <w:rPr>
          <w:rtl w:val="true"/>
        </w:rPr>
        <w:t>و منها</w:t>
      </w:r>
      <w:r>
        <w:rPr>
          <w:rtl w:val="true"/>
        </w:rPr>
        <w:t xml:space="preserve">: </w:t>
      </w:r>
      <w:r>
        <w:rPr>
          <w:rtl w:val="true"/>
        </w:rPr>
        <w:t>المضمرة الثانیة لزرارة</w:t>
      </w:r>
      <w:bookmarkEnd w:id="638"/>
    </w:p>
    <w:p>
      <w:pPr>
        <w:pStyle w:val="Heading6"/>
        <w:numPr>
          <w:ilvl w:val="5"/>
          <w:numId w:val="1"/>
        </w:numPr>
        <w:rPr/>
      </w:pPr>
      <w:bookmarkStart w:id="639" w:name="__RefHeading___Toc764024_3244359995"/>
      <w:bookmarkStart w:id="640" w:name="_Toc237"/>
      <w:bookmarkEnd w:id="639"/>
      <w:r>
        <w:rPr>
          <w:rtl w:val="true"/>
        </w:rPr>
        <w:t>اشارة</w:t>
      </w:r>
      <w:bookmarkEnd w:id="64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و المسندة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شی‌ء من منیّ، فعلّمت أثره إلی أن أصیب له من الماء، فاصبت و حضرت الصلاة، و نسیت أنّ بثوبی شیئا و صلّیت، ثمّ إنّی ذکرت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أکن رأیت موضعه، و علمت أنّه قد أصابه، فطلبته فلم أقدر علیه، فلمّا صلّیت وجدته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 لم أتیقّن ذلک، فنظرت فلم أر شیئا، ثمّ صلّیت فرأیت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 لم أدر أین هو فأغسله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إن شککت فی أنّه أصابه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أنظر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لکنّک إنّما ترید أن تذهب 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تنقض الصلاة و تعید إذا شککت فی موضع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رأیته، و إن لم تشکّ ثمّ رأیته رطبا قطعت الصلاة و غسلته، ثمّ بنیت علی الصلاة؛ لأنّک لا تدری لعلّه شی‌ء أوقع علیک، فلیس ینبغی أن تنقض الیقین بالشکّ</w:t>
      </w:r>
      <w:r>
        <w:rPr>
          <w:rFonts w:eastAsia="IRNazanin" w:cs="IRNazanin"/>
          <w:color w:val="111111"/>
          <w:sz w:val="28"/>
          <w:szCs w:val="28"/>
          <w:rtl w:val="true"/>
          <w:lang w:bidi="fa-IR"/>
        </w:rPr>
        <w:t>».</w:t>
      </w:r>
      <w:bookmarkStart w:id="641" w:name="pg13177_118010"/>
    </w:p>
    <w:p>
      <w:pPr>
        <w:pStyle w:val="BookText"/>
        <w:rPr/>
      </w:pPr>
      <w:bookmarkEnd w:id="641"/>
      <w:r>
        <w:rPr>
          <w:rFonts w:ascii="IRNazanin" w:hAnsi="IRNazanin" w:eastAsia="IRNazanin"/>
          <w:color w:val="111111"/>
          <w:sz w:val="28"/>
          <w:sz w:val="28"/>
          <w:szCs w:val="28"/>
          <w:rtl w:val="true"/>
          <w:lang w:bidi="fa-IR"/>
        </w:rPr>
        <w:t>و الکلام فی جهتین، بل فی جهات</w:t>
      </w:r>
      <w:r>
        <w:rPr>
          <w:rFonts w:eastAsia="IRNazanin" w:cs="IRNazanin"/>
          <w:color w:val="111111"/>
          <w:sz w:val="28"/>
          <w:szCs w:val="28"/>
          <w:rtl w:val="true"/>
          <w:lang w:bidi="fa-IR"/>
        </w:rPr>
        <w:t>:</w:t>
      </w:r>
    </w:p>
    <w:p>
      <w:pPr>
        <w:pStyle w:val="Heading6"/>
        <w:numPr>
          <w:ilvl w:val="5"/>
          <w:numId w:val="1"/>
        </w:numPr>
        <w:rPr/>
      </w:pPr>
      <w:bookmarkStart w:id="642" w:name="__RefHeading___Toc764026_3244359995"/>
      <w:bookmarkStart w:id="643" w:name="_Toc238"/>
      <w:bookmarkEnd w:id="642"/>
      <w:r>
        <w:rPr>
          <w:rtl w:val="true"/>
        </w:rPr>
        <w:t>الجهة الاولی</w:t>
      </w:r>
      <w:r>
        <w:rPr>
          <w:rtl w:val="true"/>
        </w:rPr>
        <w:t xml:space="preserve">: </w:t>
      </w:r>
      <w:r>
        <w:rPr>
          <w:rtl w:val="true"/>
        </w:rPr>
        <w:t>فی حجّیتها</w:t>
      </w:r>
      <w:bookmarkEnd w:id="643"/>
    </w:p>
    <w:p>
      <w:pPr>
        <w:pStyle w:val="Heading6"/>
        <w:numPr>
          <w:ilvl w:val="5"/>
          <w:numId w:val="1"/>
        </w:numPr>
        <w:rPr/>
      </w:pPr>
      <w:bookmarkStart w:id="644" w:name="__RefHeading___Toc764028_3244359995"/>
      <w:bookmarkStart w:id="645" w:name="_Toc239"/>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 xml:space="preserve">و قد مرّ وجه الإشکال من ناحیة سند الشیخ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الحسین بن سعید الأهوازیّ </w:t>
      </w:r>
      <w:r>
        <w:rPr>
          <w:rStyle w:val="FootnoteAnchor"/>
          <w:rtl w:val="true"/>
        </w:rPr>
        <w:footnoteReference w:id="791"/>
      </w:r>
      <w:r>
        <w:rPr>
          <w:rFonts w:ascii="IRNazanin" w:hAnsi="IRNazanin" w:eastAsia="IRNazanin"/>
          <w:color w:val="111111"/>
          <w:sz w:val="28"/>
          <w:sz w:val="28"/>
          <w:szCs w:val="28"/>
          <w:rtl w:val="true"/>
          <w:lang w:bidi="fa-IR"/>
        </w:rPr>
        <w:t xml:space="preserve">، و إذا ضمّ إلیه الإضمار، و خلوّ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مع ما یأتی من بعض المناقضات فی متنه، یشکل الاعتماد، بعد عدم وجود الإطلاق لأدلّة حجّیة الخبر؛ حتّی یجوز التفکیک فی الحجّیة و الروایة، و بعد عدم تمسّک القدماء بمثلها لحجّیة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کونه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من الکتب المتواترة غیر کاف، و إلّا فسند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درجة عندنا و إن کان فیه إبراهیم بن هاشم،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أصحابنا الاصولیّین خلطوا بین إشکالات ترد علی تقریبها لحجّیة الاستصحاب، و بین بعض إشکالات ترد علیها موجبة لوهنها، و مستلزمة لسقوطها عن الاعتبار، أو الشکّ فیه الراجع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یذکر بعض ما یتوجّه إلیها بحسب متنها من غیر ارتباطها بمسألة الاستصحاب، ثمّ البحث عمّا یرتبط بتقاریب الاستصحاب، و بعض المعضلات حول تلک التقاریب، و حول الروایة من هذه الجهة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إشکالا و مناقضة؛ و هی أنّ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المناقضة مع ما مرّ فی الصدر، أو المناقضة مع ما فی الشقّ المقارن له؛ لأنّه إن ارید منه أنّه کان بعد ما رأی فی ثوبه علی علم من وقوعه فی الأجزاء السابقة، فلازمه جریان الاستصحاب إلی حین الالتفات، و وجوب الغسل</w:t>
      </w:r>
    </w:p>
    <w:p>
      <w:pPr>
        <w:pStyle w:val="BookText"/>
        <w:rPr/>
      </w:pPr>
      <w:r>
        <w:rPr>
          <w:rFonts w:ascii="Amiri" w:hAnsi="Amiri" w:eastAsia="Amiri" w:cs="Amiri"/>
          <w:color w:val="111111"/>
          <w:sz w:val="28"/>
          <w:sz w:val="28"/>
          <w:szCs w:val="28"/>
          <w:rtl w:val="true"/>
          <w:lang w:bidi="ar-SA"/>
        </w:rPr>
        <w:t>فقط، دون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علی علم بوقوعه حین کونه فی الصلاة، فهو مثل الشقّ المقارن المحکوم بالغسل فقط،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إیجاب الإعادة فی الفرض الأوّل دون ما مرّ فی الصدر، بطلان الصلاة إذا وقع بعض جزء منها مع النجاسة، و صحّتها إذا کان مجموعها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إیجاب الإعادة عدم حجّیة الاستصحاب؛ بناء علی کون الصدر ظاهرا فیها علی ما یأتی تفصیله فی الجهة الثانیة إن شاء اللّه تعالی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لا یدری أنّ ما رآه من النجاسة فی الأثناء هو حادث حین الصلاة أو قبلها، فلا یتلائم وجوب الإعادة مع عدم إیجابه السابق و العلاج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الجملة إمّا منافیة للفقرة السابقة؛ و لحجّیة الاستصحاب الراجعة إلی بطلان المأتیّ به من الأجزاء، أو للفقرة اللاحقة الملاصقة المشتملة علی کیفیّة العلاج، کما ذکره الأصحاب فی کتبهم الفقهیّة و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أوقع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إلی الفقرة الوسطی المذکورة فی صورة احتمال وقوعها فی الأثناء، ثمّ رؤیتها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مضطربة ذیلا، و هو موجب لاضطراب الصدر، الموجب لإجمالها، المنتهی إلی ردّ علمها إلی أهلها، من غیر جواز طرح الذیل کما فی کلام بعضهم؛ لأنّ بناء العقلاء قاصر، و لا إطلاق لأدلّة اعتبار الخبر الواحد رأسا بعد وجود الضمائم الاخر الموهنة، فإنّ کلّ واحد منها و لو کان قابلا للدفع، إلّا أنّ المجموع یعضد بعضه بعضا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فی أثناء الصلاة علی الإطلاق غیر جائز</w:t>
      </w:r>
    </w:p>
    <w:p>
      <w:pPr>
        <w:pStyle w:val="BookText"/>
        <w:rPr/>
      </w:pPr>
      <w:r>
        <w:rPr>
          <w:rFonts w:ascii="IRNazanin" w:hAnsi="IRNazanin" w:eastAsia="IRNazanin"/>
          <w:color w:val="111111"/>
          <w:sz w:val="28"/>
          <w:sz w:val="28"/>
          <w:szCs w:val="28"/>
          <w:rtl w:val="true"/>
          <w:lang w:bidi="fa-IR"/>
        </w:rPr>
        <w:t>بالضرورة؛ لما یحتاج إلی المؤونة الزائدة المضرّة بها عرفا و اغتراسا، بل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الروایة علی الغسل غیر المنافی </w:t>
      </w:r>
      <w:r>
        <w:rPr>
          <w:rStyle w:val="FootnoteAnchor"/>
          <w:rtl w:val="true"/>
        </w:rPr>
        <w:footnoteReference w:id="793"/>
      </w:r>
      <w:r>
        <w:rPr>
          <w:rFonts w:ascii="IRNazanin" w:hAnsi="IRNazanin" w:eastAsia="IRNazanin"/>
          <w:color w:val="111111"/>
          <w:sz w:val="28"/>
          <w:sz w:val="28"/>
          <w:szCs w:val="28"/>
          <w:rtl w:val="true"/>
          <w:lang w:bidi="fa-IR"/>
        </w:rPr>
        <w:t>حمل علی الفرد النادر؛ بدیهة أنّ فرض النجاسة، و فرض وجود الماء، مع فرض عدم لزوم الزیادة العمدیّة، کالقعود فی أثناء القراءة، مع عدم احتیاج النجاسة إلی الدلک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اللوازم لإزالة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المفروض دم رعاف، أو منیّا، أو دم غیر رعاف،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أمارة، بل هو الموجب للوثوق الشخصیّ غالبا بأنّه لیس حال الصلاة، و یکون حادثا اوقع علیه، و عندئذ لا معنی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الرعاف من المصلّی غیر مغفول عنه، و هکذا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یوجب الخلل فی الطهارة الحدثیّة علی فرض کونه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الضمائر فی الروایة أنّه هو دم رعاف، و لا معنی عندئذ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وقوعه علیه معلوم أنّه من الخارج الحادث، و من غیره حسب المتعارف،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غیره فهو أیضا أمر بعید خلاف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غیر سالمة من جهة المعارضة للأخبار الاخر فی کتاب الطهارة؛ و ذلک من جهتین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ظهورها فی شرطیّة الطهارة المعلومة فی قبال ما یدلّ علی خلافها، و قد تشبّث هناک الأعلام </w:t>
      </w:r>
      <w:r>
        <w:rPr>
          <w:rStyle w:val="FootnoteAnchor"/>
          <w:rtl w:val="true"/>
        </w:rPr>
        <w:footnoteReference w:id="794"/>
      </w:r>
      <w:r>
        <w:rPr>
          <w:rFonts w:ascii="IRNazanin" w:hAnsi="IRNazanin" w:eastAsia="IRNazanin"/>
          <w:color w:val="111111"/>
          <w:sz w:val="28"/>
          <w:sz w:val="28"/>
          <w:szCs w:val="28"/>
          <w:rtl w:val="true"/>
          <w:lang w:bidi="fa-IR"/>
        </w:rPr>
        <w:t xml:space="preserve">و هنا بعضهم </w:t>
      </w:r>
      <w:r>
        <w:rPr>
          <w:rStyle w:val="FootnoteAnchor"/>
          <w:rtl w:val="true"/>
        </w:rPr>
        <w:footnoteReference w:id="795"/>
      </w:r>
      <w:r>
        <w:rPr>
          <w:rFonts w:ascii="IRNazanin" w:hAnsi="IRNazanin" w:eastAsia="IRNazanin"/>
          <w:color w:val="111111"/>
          <w:sz w:val="28"/>
          <w:sz w:val="28"/>
          <w:szCs w:val="28"/>
          <w:rtl w:val="true"/>
          <w:lang w:bidi="fa-IR"/>
        </w:rPr>
        <w:t>لحلّ المشکلة بما لا یرجع</w:t>
      </w:r>
      <w:bookmarkStart w:id="646" w:name="pg13177_118013"/>
    </w:p>
    <w:p>
      <w:pPr>
        <w:pStyle w:val="BookText"/>
        <w:rPr/>
      </w:pPr>
      <w:bookmarkEnd w:id="646"/>
      <w:r>
        <w:rPr>
          <w:rFonts w:ascii="Amiri" w:hAnsi="Amiri" w:eastAsia="Amiri" w:cs="Amiri"/>
          <w:color w:val="111111"/>
          <w:sz w:val="28"/>
          <w:sz w:val="28"/>
          <w:szCs w:val="28"/>
          <w:rtl w:val="true"/>
          <w:lang w:bidi="ar-SA"/>
        </w:rPr>
        <w:t>إلی 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ذیلها، و الأمر بمعالجة المشکلة المبتلی بها المصلّی فی أثناء الصلاة، فإنّ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کموثّقة ابن سرحان </w:t>
      </w:r>
      <w:r>
        <w:rPr>
          <w:rStyle w:val="FootnoteAnchor"/>
          <w:rtl w:val="true"/>
        </w:rPr>
        <w:footnoteReference w:id="796"/>
      </w:r>
      <w:r>
        <w:rPr>
          <w:rFonts w:ascii="IRNazanin" w:hAnsi="IRNazanin" w:eastAsia="IRNazanin"/>
          <w:color w:val="111111"/>
          <w:sz w:val="28"/>
          <w:sz w:val="28"/>
          <w:szCs w:val="28"/>
          <w:rtl w:val="true"/>
          <w:lang w:bidi="fa-IR"/>
        </w:rPr>
        <w:t xml:space="preserve">، و خبر عبد اللّه بن سنان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الإتمام من غیر حاجة إلی الغسل، و موردهما الدم أیضا، و مثلهما حسنة ابن مسلم </w:t>
      </w:r>
      <w:r>
        <w:rPr>
          <w:rStyle w:val="FootnoteAnchor"/>
          <w:rtl w:val="true"/>
        </w:rPr>
        <w:footnoteReference w:id="798"/>
      </w:r>
      <w:r>
        <w:rPr>
          <w:rFonts w:ascii="IRNazanin" w:hAnsi="IRNazanin" w:eastAsia="IRNazanin"/>
          <w:color w:val="111111"/>
          <w:sz w:val="28"/>
          <w:sz w:val="28"/>
          <w:szCs w:val="28"/>
          <w:rtl w:val="true"/>
          <w:lang w:bidi="fa-IR"/>
        </w:rPr>
        <w:t>فلیراجع، فالمسألة غیر نقیّة</w:t>
      </w:r>
      <w:r>
        <w:rPr>
          <w:rFonts w:eastAsia="IRNazanin" w:cs="IRNazanin"/>
          <w:color w:val="111111"/>
          <w:sz w:val="28"/>
          <w:szCs w:val="28"/>
          <w:rtl w:val="true"/>
          <w:lang w:bidi="fa-IR"/>
        </w:rPr>
        <w:t>.</w:t>
      </w:r>
    </w:p>
    <w:p>
      <w:pPr>
        <w:pStyle w:val="Heading6"/>
        <w:numPr>
          <w:ilvl w:val="5"/>
          <w:numId w:val="1"/>
        </w:numPr>
        <w:rPr/>
      </w:pPr>
      <w:bookmarkStart w:id="647" w:name="__RefHeading___Toc764030_3244359995"/>
      <w:bookmarkStart w:id="648" w:name="_Toc240"/>
      <w:bookmarkEnd w:id="647"/>
      <w:r>
        <w:rPr>
          <w:rtl w:val="true"/>
        </w:rPr>
        <w:t>عرض لوجوه رفع المناقضة المتوهّمة فی المضمرة الثانیة</w:t>
      </w:r>
      <w:bookmarkEnd w:id="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وجوها لحلّ المناقضة، و یمکن حلّها علی وجه بدیع ترتفع به المناقشات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الاستحباب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الصدر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بعید، مع أنّه مع إمکان الأخذ بظاهره لا تصل النوبة إلیه، و مع أنّه لا یرتفع به سائر المناقشات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المفروض فی الذیل هو المعلوم الإجمالیّ، فإنّه یعید حسب القواعد، و عندئذ لا یناقض الصدر البعید، و لا الشقّ الملاصق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أکن رأیت موضعه، و علمت أنّه قد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موضع منه ثمّ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 جدّا؛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تشکّ 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بعد؛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لها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بقاء کثیر من الموهنات و المناقشات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عندی ظاهر، و به یظهر ضعف سائر الوجوه المذکورة هنا و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المفروض هو العلم التفصیلیّ، إلّا أنّه بعد ما رأی فی أثناء الصلاة شیئا و هو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الرطب المذکور فی 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ساریا؛ حسب الطبع و المتعارف، و ینقلب علمه بنجاسة ثوبه إلی الشکّ فیها، فلا بدّ من إعادة صلاته؛ لعدم تمکّنه من إحراز الطهارة بالاستصحاب، و لیست القاعدة حجّة مثلا، فلا یقاس ما فی الصدر و لا ما فی الذیل و الشقّ الثانی بالشقّ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یتبیّن وجه حلّ المناقشات، و وجه ذکر الرطوبة؛ فإنّه بها یکون الشقّ الثانی مورد الاستصحاب، دون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موضع منه 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ما فی الشقّ الثانی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لأنّه لو کان رأی دفعة لکانت الطهارة محرزة، و لا تجب الإعادة حسبما تحرّر فی محلّه، بخلاف ما إذا شکّ و طال مقدار یصحّ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تجب الإعادة؛ لأنّه فی ذلک المقدار لم یحرزها، فیلزم أن یعیدها؛ لکونه مورد قاعدة الیقین، بخلاف الشقّ الثانی، فإنّه فی ذلک المقدار المشکوک یجری الاستصحاب، و المفروض أنّه لم یشکّ فی موضع منه بقرینة الشقّ الأوّل، و لکنّه شکّ فی وجود الدم أو المنیّ من غیر کون مصبّ المشکوک ناحیة خاصّة؛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أنّه مضی علیه زمان و هو شاکّ، ثمّ رأی الدم، و بقرینة التعلیل المفروض فیه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اندفاع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یکون الشقّ الأخیر صغری الکبری، مع أنّ المفروض فی الصغری عدم الشکّ، و فی الکبری فرض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بأنّ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فی أنّه رأی النجس الشخصیّ، بل هو بحث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لتوهّم أنّ أمثال هذه المسائل لیست مجهولة لمثل زرارة؛ فإنّ مثله کان یجلس عنده علیه السّلام و یفرض الأسئلة کی یکتب الأجوبة، و لعلّ لذلک صارت مضمرة، و اطلع الشیخ رحمه اللّه علی بعض رسائله دون غیره، فتندفع المشاکل و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قاعدة الیقین، و لکن قاعدة الطهارة تجری بعد عدم کون المفروض مسبوقیّته بنجاسة ثوبه، و لا سبق الطهارة الجاری فیه الاستصحاب، فلا وجه لإیجاب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قاعدة الیقین حسب هذه الروایة بمقتضی الشقّ الأوّل، فإنّه و إن کان بعد الشکّ مجری قاعدة الطهارة، إلّا أنّه بالنسبة إلی الأجزاء السابقة قد أخلّ بما هو الشرط؛ و هو کونه محرز الطهارة، فعندئذ یعید الصلاة، و علی هذا یتمّ الحدیث، و تنتفی المناقشات و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هو إحراز الطهارة، و هو حاصل بالیقین و الجهل المرکّب إلی الأثناء، ثمّ بعد حصول الشکّ تجری القاعدة فی حالة الشکّ، ثمّ تغسله بعد الرؤیة، فیلزم المناقضة مع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لو کان هو إحراز الطهارة الواقعیّة، فهو لا یحصل بقاعدة الطهارة؛ لأنّها تفید الطهارة الظاهریّة، بخلاف الاستصحاب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لازمه عدم جواز الدخول فی الصلاة بتلک القاعدة، و هو غیر ملتزم به واحد و إن تنتفی به إشکالات الروایة</w:t>
      </w:r>
      <w:r>
        <w:rPr>
          <w:rFonts w:eastAsia="IRNazanin" w:cs="IRNazanin"/>
          <w:color w:val="111111"/>
          <w:sz w:val="28"/>
          <w:szCs w:val="28"/>
          <w:rtl w:val="true"/>
          <w:lang w:bidi="fa-IR"/>
        </w:rPr>
        <w:t>.</w:t>
      </w:r>
      <w:bookmarkStart w:id="649" w:name="pg13177_118016"/>
    </w:p>
    <w:p>
      <w:pPr>
        <w:pStyle w:val="BookText"/>
        <w:rPr/>
      </w:pPr>
      <w:bookmarkEnd w:id="649"/>
      <w:r>
        <w:rPr>
          <w:rFonts w:ascii="IRNazanin" w:hAnsi="IRNazanin" w:eastAsia="IRNazanin"/>
          <w:color w:val="111111"/>
          <w:sz w:val="28"/>
          <w:sz w:val="28"/>
          <w:szCs w:val="28"/>
          <w:rtl w:val="true"/>
          <w:lang w:bidi="fa-IR"/>
        </w:rPr>
        <w:t>و یندفع بالتفصیل بین الشکّ فی حالة الدخول، و بین الشکّ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إحراز الطهارة الأعمّ من الواقعیّة و الظاهریّة، فیلزم عود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وجوب الإعادة فی الشقّ الأوّل دون المسألة الثالثة من المذکورات فی صدر الروایة، معلول لتفکیک محرز، فإنّه هناک احرز بالعلم و الجهل المرکّب، و هنا به و بقاعدة الطهارة، و هذا یکفی لاختلاف الحکمین فی الفرضین و لو کان بعیدا فی نفسه</w:t>
      </w:r>
      <w:r>
        <w:rPr>
          <w:rFonts w:eastAsia="IRNazanin" w:cs="IRNazanin"/>
          <w:color w:val="111111"/>
          <w:sz w:val="28"/>
          <w:szCs w:val="28"/>
          <w:rtl w:val="true"/>
          <w:lang w:bidi="fa-IR"/>
        </w:rPr>
        <w:t>.</w:t>
      </w:r>
    </w:p>
    <w:p>
      <w:pPr>
        <w:pStyle w:val="Heading6"/>
        <w:numPr>
          <w:ilvl w:val="5"/>
          <w:numId w:val="1"/>
        </w:numPr>
        <w:rPr/>
      </w:pPr>
      <w:bookmarkStart w:id="650" w:name="__RefHeading___Toc764032_3244359995"/>
      <w:bookmarkStart w:id="651" w:name="_Toc241"/>
      <w:bookmarkEnd w:id="650"/>
      <w:r>
        <w:rPr>
          <w:rtl w:val="true"/>
        </w:rPr>
        <w:t>تذنیب</w:t>
      </w:r>
      <w:r>
        <w:rPr>
          <w:rtl w:val="true"/>
        </w:rPr>
        <w:t xml:space="preserve">: </w:t>
      </w:r>
      <w:r>
        <w:rPr>
          <w:rtl w:val="true"/>
        </w:rPr>
        <w:t>حول ما إذا کان الشرط إحراز الطهارة الأعمّ</w:t>
      </w:r>
      <w:bookmarkEnd w:id="651"/>
    </w:p>
    <w:p>
      <w:pPr>
        <w:pStyle w:val="BookText"/>
        <w:rPr/>
      </w:pPr>
      <w:r>
        <w:rPr>
          <w:rFonts w:ascii="IRNazanin" w:hAnsi="IRNazanin" w:eastAsia="IRNazanin"/>
          <w:color w:val="111111"/>
          <w:sz w:val="28"/>
          <w:sz w:val="28"/>
          <w:szCs w:val="28"/>
          <w:rtl w:val="true"/>
          <w:lang w:bidi="fa-IR"/>
        </w:rPr>
        <w:t>إنّ الشرط هل هی الطهارة الواقعیّة، أو إحراز الطهارة علی نحو تمام الموضوع، أو الطهارة الأعمّ، أو إحراز الأعمّ، أو یکون متعدّدا کما قیل به فی عدالة إمام الجماعة؟</w:t>
      </w:r>
    </w:p>
    <w:p>
      <w:pPr>
        <w:pStyle w:val="BookText"/>
        <w:rPr/>
      </w:pPr>
      <w:r>
        <w:rPr>
          <w:rFonts w:ascii="IRNazanin" w:hAnsi="IRNazanin" w:eastAsia="IRNazanin"/>
          <w:color w:val="111111"/>
          <w:sz w:val="28"/>
          <w:sz w:val="28"/>
          <w:szCs w:val="28"/>
          <w:rtl w:val="true"/>
          <w:lang w:bidi="fa-IR"/>
        </w:rPr>
        <w:t>وجوه تفصیلها فی محلّها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الشرط إحراز الطهارة الأعمّ، إلّا أنّه یکون الإحراز تمام الموضوع کما هو الأشبه،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هذه الروایة أنّ إیجاب الإعادة فی الشقّ الأوّل، و عدم إیجابها فی الثانی، معلول الشکّ المذکور فی کلامه علیه السّلام و أنّه هو السبب الوحید، فقد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حالة فی الأثناء و هو شاکّ خلاف ما یعتبر فی الصلاة، و لا یمکن قیام الاستصحاب عندهم مقام الإحراز المعتبر نعتا؛ کی یتمکّن من تصحیح المقدار المأتیّ به، بخلاف الشقّ الثانی، فإنّه بالنسبة إلی المقدار المذکور قد احرز و لو کان جهلا مرکّبا، و لا یکون شاکّا کی یلزم إحراز الإحراز الوصفیّ حالة الشکّ بأصل من الاصول</w:t>
      </w:r>
      <w:r>
        <w:rPr>
          <w:rFonts w:eastAsia="IRNazanin" w:cs="IRNazanin"/>
          <w:color w:val="111111"/>
          <w:sz w:val="28"/>
          <w:szCs w:val="28"/>
          <w:rtl w:val="true"/>
          <w:lang w:bidi="fa-IR"/>
        </w:rPr>
        <w:t>.</w:t>
      </w:r>
      <w:bookmarkStart w:id="652" w:name="pg13177_118017"/>
    </w:p>
    <w:p>
      <w:pPr>
        <w:pStyle w:val="Heading6"/>
        <w:numPr>
          <w:ilvl w:val="5"/>
          <w:numId w:val="1"/>
        </w:numPr>
        <w:rPr/>
      </w:pPr>
      <w:bookmarkStart w:id="653" w:name="__RefHeading___Toc764034_3244359995"/>
      <w:bookmarkStart w:id="654" w:name="_Toc242"/>
      <w:bookmarkEnd w:id="652"/>
      <w:bookmarkEnd w:id="653"/>
      <w:r>
        <w:rPr>
          <w:rtl w:val="true"/>
        </w:rPr>
        <w:t>تنبیه</w:t>
      </w:r>
      <w:r>
        <w:rPr>
          <w:rtl w:val="true"/>
        </w:rPr>
        <w:t xml:space="preserve">: </w:t>
      </w:r>
      <w:r>
        <w:rPr>
          <w:rtl w:val="true"/>
        </w:rPr>
        <w:t>فی أنّ إجمال المضمرة موجب لعدم تعارضها مع الأخبار الاخری</w:t>
      </w:r>
      <w:bookmarkEnd w:id="654"/>
    </w:p>
    <w:p>
      <w:pPr>
        <w:pStyle w:val="BookText"/>
        <w:rPr/>
      </w:pPr>
      <w:r>
        <w:rPr>
          <w:rFonts w:ascii="IRNazanin" w:hAnsi="IRNazanin" w:eastAsia="IRNazanin"/>
          <w:color w:val="111111"/>
          <w:sz w:val="28"/>
          <w:sz w:val="28"/>
          <w:szCs w:val="28"/>
          <w:rtl w:val="true"/>
          <w:lang w:bidi="fa-IR"/>
        </w:rPr>
        <w:t>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الذیل دلیل القاعدة البرزخیّة بین الاستصحاب و قاعدة الیقین، فیکون معتبرا؛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یناسب احتمال کون الدم من الأوّل، و احتمال کونه حادثا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تعارض الأخبار الاخر فی المسألة؛ لأنّها تصبح علی هذا مجملة، و لا بأس بکونه بالنسبة إلی الصدر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الذیل لیس إلّا إثباتا، فربّما یکون قرینة علی الصدر، فیشکل جواز التمسّک بالمضمرة، ف لَعَلَّ اللَّهَ یُحْدِثُ بَعْدَ ذلِکَ أَمْراً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764036_3244359995"/>
      <w:bookmarkStart w:id="656" w:name="_Toc243"/>
      <w:bookmarkEnd w:id="655"/>
      <w:r>
        <w:rPr>
          <w:rtl w:val="true"/>
        </w:rPr>
        <w:t>الجهة الثانیة</w:t>
      </w:r>
      <w:r>
        <w:rPr>
          <w:rtl w:val="true"/>
        </w:rPr>
        <w:t xml:space="preserve">: </w:t>
      </w:r>
      <w:r>
        <w:rPr>
          <w:rtl w:val="true"/>
        </w:rPr>
        <w:t>فی وجه الاستدلال بها، و الفقرات الصالحة له</w:t>
      </w:r>
      <w:bookmarkEnd w:id="656"/>
    </w:p>
    <w:p>
      <w:pPr>
        <w:pStyle w:val="Heading6"/>
        <w:numPr>
          <w:ilvl w:val="5"/>
          <w:numId w:val="1"/>
        </w:numPr>
        <w:rPr/>
      </w:pPr>
      <w:bookmarkStart w:id="657" w:name="__RefHeading___Toc764038_3244359995"/>
      <w:bookmarkStart w:id="658" w:name="_Toc244"/>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احتمالات بدویّة و 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بعد ما کنت علی یقین من 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منها و من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 تفحّصت، أو نظرت فلم أر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شیئا، و تیقّنت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کنت باقیا علی الظنّ بالإصابة الذی هو بحکم الشکّ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یدلّ عدم الرؤیة علی عدم الوجود، مندفع بما فی ذیل الحدیث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إن شککت فی أنّه أصابه شی‌ء أن أنظر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و لکنّک إنّما 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فیه، و علمت بأنّه قد أصابه قبل الصلاة، أو احتملت إصابته به فی الأثناء،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 ذاته کلّ من الاحتمالات الزائدة علی العشرة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یحتمل أنّه رأی فیه من النجاسة التی کانت موجودة فیه من الأوّل، و یتبیّن له أنّه کان علی یقین من الطهارة قبل الصلاة، و کان ذلک الیقین جهلا مرکّبا، فصلّی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صحّة ذلک الیقین، و لم یتبیّن له، و لا یعلم أنّه یصلّی فی النجاسة؛ لاحتمال إلقاء النجاسة بعدها، إلّا أنّه یعلم بأنّه صلّی فی النجس بنجاسة اخری غیر تلک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الیقین بطهارة الثوب الحاصل له قبل الصلاة، و فی وقت بعید عن الاشتغال بها، حتّی سری إلیه الشکّ فیها قبل الصلاة، فتکون صغری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الیقین بطهارة الثوب الباقی إلی حال الصلاة، ثمّ شکّ قبل الدخول فیها شکّا غیر سار، فیکون صغری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الیقین بالطهارة الحاصل بعد الظنّ و النظر و عدم الظفر، و کان شکّه عندئذ ساریا، أو غیر سار، مع احتمال کونه ساریا إلی ما قبل الصلاة، أو الأثناء؛ حسب احتمال تعدّد مبدأ تنجّس ثوبه، کأن یکون علی یقین من طهارة ثوبه من الدم، ثمّ بعد الصلاة رأی فیه نجاسة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ینبغی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الوجوه المحتملة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أبیت عن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قد استیقن طهارة ثوبه، فشکّ فیه بالظنّ غیر</w:t>
      </w:r>
    </w:p>
    <w:p>
      <w:pPr>
        <w:pStyle w:val="BookText"/>
        <w:rPr/>
      </w:pPr>
      <w:r>
        <w:rPr>
          <w:rFonts w:ascii="IRNazanin" w:hAnsi="IRNazanin" w:eastAsia="IRNazanin"/>
          <w:color w:val="111111"/>
          <w:sz w:val="28"/>
          <w:sz w:val="28"/>
          <w:szCs w:val="28"/>
          <w:rtl w:val="true"/>
          <w:lang w:bidi="fa-IR"/>
        </w:rPr>
        <w:t>الحجّة، فدخل فی الصلاة بعد کونه متّصفا بالیقین و الشکّ الفعلیّین، و بعد الصلاة رأی تلک النجاسة المظنونة؛ و ذلک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ظنّ، فهذا الشکّ هو الشکّ بعد الصلاة الحاصل من الرؤیة، المقرون معه الشکّ فی وجود النجاسة حین الصلاة، فلا یکون علی الشکّ الفعلیّ الذی لا ینبغی أن ینقض به الیقین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أبیت عن أحد الوجوه المحتملة، فلا یضرّ ذلک بالاستدلال؛ ضرورة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للاستصحاب، و لقاعدة الیقین، فإنّ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المأخوذین فی الروایة، قابلان للصدق علی الیقین الخارجیّ المتعقّب بالشکّ الاستصحابیّ، و بالشکّ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فی الکبری و لو کانت الصغری غیر متحمّلة إلّا لأحدهما؛ ضرورة أنّ وجه تقریبها لاعتبار الیقین المتعقّب بالشکّ، مشترک 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یتوجّه إلیه إشکال من جهة اخری، یمکن حلّ المعضلة من هذه الجهة؛ ضرورة أنّ حال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ساریا، أو غیر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یقین، و إنّما کان الیقین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اختلاف الاستصحاب و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احتمال خطأ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فی شی‌ء، بل المساعد علی الاعتبار أنّ انکشاف شی‌ء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الطهارة بالیقین و الأمارة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یتضرّر بالشکّ و لو بلغ إلی حدّ صحّة الانکشاف، و إلّا یلزم منع جریان الکبری المذکورة فی مؤدّی الأمارات المنتهی إلی مشاکل کثیرة فی الفقه، فتلک الکبری ربّما تکون بصدد سدّ باب الوسواس و التزلزل و الشکّ، و إتلاف الوقت، و أمثال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المقنّن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صحّة إصابة الیقین فی القاعدة بحسب المورد، یحتمل عدم إصابة الیقین الاستصحابیّ، فهو کثیرا ما</w:t>
      </w:r>
      <w:bookmarkStart w:id="659" w:name="pg13177_118020"/>
    </w:p>
    <w:p>
      <w:pPr>
        <w:pStyle w:val="BookText"/>
        <w:rPr/>
      </w:pPr>
      <w:bookmarkEnd w:id="659"/>
      <w:r>
        <w:rPr>
          <w:rFonts w:ascii="IRNazanin" w:hAnsi="IRNazanin" w:eastAsia="IRNazanin"/>
          <w:color w:val="111111"/>
          <w:sz w:val="28"/>
          <w:sz w:val="28"/>
          <w:szCs w:val="28"/>
          <w:rtl w:val="true"/>
          <w:lang w:bidi="fa-IR"/>
        </w:rPr>
        <w:t>یری بطلان الیقین و جهالته المرکّبة، بخلاف شخص المکلّف، فعندئذ فله أن یعتبر مجرّد الیقین المقرون بالشکّ اللاحق؛ بادعاء بقاء الیقین عملا و أثرا، أو تحریم نقض الیقین بالشکّ جریا عملیّا؛ و بلحاظ الآثار الراجعة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تظهر مواضع ضعف تری فی کلمات الأعلام، و لا حاجة إلی ذکرها و نقدها</w:t>
      </w:r>
      <w:r>
        <w:rPr>
          <w:rFonts w:eastAsia="IRNazanin" w:cs="IRNazanin"/>
          <w:color w:val="111111"/>
          <w:sz w:val="28"/>
          <w:szCs w:val="28"/>
          <w:rtl w:val="true"/>
          <w:lang w:bidi="fa-IR"/>
        </w:rPr>
        <w:t>.</w:t>
      </w:r>
    </w:p>
    <w:p>
      <w:pPr>
        <w:pStyle w:val="Heading6"/>
        <w:numPr>
          <w:ilvl w:val="5"/>
          <w:numId w:val="1"/>
        </w:numPr>
        <w:rPr/>
      </w:pPr>
      <w:bookmarkStart w:id="660" w:name="__RefHeading___Toc764040_3244359995"/>
      <w:bookmarkStart w:id="661" w:name="_Toc245"/>
      <w:bookmarkEnd w:id="660"/>
      <w:r>
        <w:rPr>
          <w:rtl w:val="true"/>
        </w:rPr>
        <w:t>بقی شی‌ء</w:t>
      </w:r>
      <w:r>
        <w:rPr>
          <w:rtl w:val="true"/>
        </w:rPr>
        <w:t xml:space="preserve">: </w:t>
      </w:r>
      <w:r>
        <w:rPr>
          <w:rtl w:val="true"/>
        </w:rPr>
        <w:t>حول خروج مورد الروایة عن التعلیل المذکور فیها</w:t>
      </w:r>
      <w:bookmarkEnd w:id="661"/>
    </w:p>
    <w:p>
      <w:pPr>
        <w:pStyle w:val="BookText"/>
        <w:rPr/>
      </w:pPr>
      <w:r>
        <w:rPr>
          <w:rFonts w:ascii="IRNazanin" w:hAnsi="IRNazanin" w:eastAsia="IRNazanin"/>
          <w:color w:val="111111"/>
          <w:sz w:val="28"/>
          <w:sz w:val="28"/>
          <w:szCs w:val="28"/>
          <w:rtl w:val="true"/>
          <w:lang w:bidi="fa-IR"/>
        </w:rPr>
        <w:t>قد وقع القوم فی حیص و بیص حول توهّم أجنبیّة التعلیل المذکور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عن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وجوب الإعادة، مع أنّه بعد العلم بالنجاسة الموجودة فی الصلاة، لیس وجوب الإعادة من نقض الیقین بالشکّ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بنفسه یشهد علی أنّه بعد الرؤیة، یحتمل حدوث النجاسة بعدها، کما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خلاف الظاهر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المعلّل هو ملاحظة ما هو الشرط، فإذا کان طهارة الثوب شرطا، و استصحب ذلک، یکون الدخول فی الصلاة جائزا تکلیفا، و تکون الصلاة صحیحة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 هو المحرّر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الواقعیّة لیست شرطا لصحّة الصلاة فی موارد غیر نسیان النجاسة، و لا یقوم الاستصحاب عندهم مقام القطع الموضوعیّ و النعتیّ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حکومة الاستصحاب علی الأدلّة الأوّلیة صحیحة فی غیر ما نحن فیه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ضعف 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و تقریرات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النائینیّ </w:t>
      </w:r>
      <w:r>
        <w:rPr>
          <w:rStyle w:val="FootnoteAnchor"/>
          <w:rtl w:val="true"/>
        </w:rPr>
        <w:footnoteReference w:id="803"/>
      </w:r>
      <w:r>
        <w:rPr>
          <w:rFonts w:ascii="Amiri" w:hAnsi="Amiri" w:eastAsia="Amiri" w:cs="Amiri"/>
          <w:color w:val="111111"/>
          <w:sz w:val="28"/>
          <w:sz w:val="28"/>
          <w:szCs w:val="28"/>
          <w:rtl w:val="true"/>
          <w:lang w:bidi="ar-SA"/>
        </w:rPr>
        <w:t xml:space="preserve">، و الأراکیّ </w:t>
      </w:r>
      <w:r>
        <w:rPr>
          <w:rStyle w:val="FootnoteAnchor"/>
          <w:rtl w:val="true"/>
        </w:rPr>
        <w:footnoteReference w:id="804"/>
      </w:r>
      <w:r>
        <w:rPr>
          <w:rFonts w:ascii="IRNazanin" w:hAnsi="IRNazanin" w:eastAsia="IRNazanin"/>
          <w:color w:val="111111"/>
          <w:sz w:val="28"/>
          <w:sz w:val="28"/>
          <w:szCs w:val="28"/>
          <w:rtl w:val="true"/>
          <w:lang w:bidi="fa-IR"/>
        </w:rPr>
        <w:t>، و المحقّق الوالد</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عجز الثانی منهم عن حلّ المشکلة إلّا علی الوجه الأوّل المخالف للظاهر، و قد استشم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 أولادی رحمه اللّه </w:t>
      </w:r>
      <w:r>
        <w:rPr>
          <w:rStyle w:val="FootnoteAnchor"/>
          <w:rtl w:val="true"/>
        </w:rPr>
        <w:footnoteReference w:id="806"/>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الأحری و الأشبه ما ذکرنا فی باب الإجزاء</w:t>
      </w:r>
      <w:r>
        <w:rPr>
          <w:rStyle w:val="FootnoteAnchor"/>
          <w:rtl w:val="true"/>
        </w:rPr>
        <w:footnoteReference w:id="807"/>
      </w:r>
      <w:r>
        <w:rPr>
          <w:rFonts w:ascii="IRNazanin" w:hAnsi="IRNazanin" w:eastAsia="IRNazanin"/>
          <w:color w:val="111111"/>
          <w:sz w:val="28"/>
          <w:sz w:val="28"/>
          <w:szCs w:val="28"/>
          <w:rtl w:val="true"/>
          <w:lang w:bidi="fa-IR"/>
        </w:rPr>
        <w:t>، کما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بأنّ الأمر الظاهریّ یفید الإجزاء کما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و غیره </w:t>
      </w:r>
      <w:r>
        <w:rPr>
          <w:rStyle w:val="FootnoteAnchor"/>
          <w:rtl w:val="true"/>
        </w:rPr>
        <w:footnoteReference w:id="809"/>
      </w:r>
      <w:r>
        <w:rPr>
          <w:rFonts w:ascii="IRNazanin" w:hAnsi="IRNazanin" w:eastAsia="IRNazanin"/>
          <w:color w:val="111111"/>
          <w:sz w:val="28"/>
          <w:sz w:val="28"/>
          <w:szCs w:val="28"/>
          <w:rtl w:val="true"/>
          <w:lang w:bidi="fa-IR"/>
        </w:rPr>
        <w:t xml:space="preserve">، أقرب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نفس الإحراز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فی الصلاة؛ ضرورة أنّ الکلام الأوّل یرجع إلی أنّ التمسّک المذکور فی الروایة، یوجب ثبوت الأمر الظاهریّ الحاکم علی الأمر الأوّلی بالتوسعة، فالاستناد غیر بعید، بخلاف کون الشرط هو الإحراز الأعمّ؛ للزوم قیام الاستصحاب مقام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الشرط لو کان الإحراز، فلیست قاعدة الطهارة محرزة له کما لا یخفی، مع أنّ الضرورة تقتضی جواز الدخول فیها 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هو الیقین بالطهارة الأعمّ من الظاهریّة و الواقعیّة، و هو شرط فی الصلاة، و الاستصحاب یقوم مقام القطع الصفتیّ حسبما تحرّر فی الإجزاء</w:t>
      </w:r>
      <w:r>
        <w:rPr>
          <w:rStyle w:val="FootnoteAnchor"/>
          <w:rtl w:val="true"/>
        </w:rPr>
        <w:footnoteReference w:id="810"/>
      </w:r>
      <w:r>
        <w:rPr>
          <w:rFonts w:ascii="IRNazanin" w:hAnsi="IRNazanin" w:eastAsia="IRNazanin"/>
          <w:color w:val="111111"/>
          <w:sz w:val="28"/>
          <w:sz w:val="28"/>
          <w:szCs w:val="28"/>
          <w:rtl w:val="true"/>
          <w:lang w:bidi="fa-IR"/>
        </w:rPr>
        <w:t>، لأنّ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موقف التعبّد بإطالة عمر الیقین</w:t>
      </w:r>
    </w:p>
    <w:p>
      <w:pPr>
        <w:pStyle w:val="BookText"/>
        <w:rPr/>
      </w:pPr>
      <w:r>
        <w:rPr>
          <w:rFonts w:ascii="IRNazanin" w:hAnsi="IRNazanin" w:eastAsia="IRNazanin"/>
          <w:color w:val="111111"/>
          <w:sz w:val="28"/>
          <w:sz w:val="28"/>
          <w:szCs w:val="28"/>
          <w:rtl w:val="true"/>
          <w:lang w:bidi="fa-IR"/>
        </w:rPr>
        <w:t xml:space="preserve">فی ظرف الشکّ فی بقاء المتیقّن، أو إیجاد المماثل، من غیر 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الأخبار إلّا عنوانا و مفهوما قابلا للصدق علی الطریقیّ و الموضوعیّ، و إحراز الطهارة الأعمّ، أو مانعیّة النجاسة الأعمّ، و أن لا یشکّ فی بقائه، بل یعلم عدم ذلک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یعتبر فی الاستصحاب الشک فی البقاء، بل هو فی موارد خاصّة حاصل، و فیما نحن فیه یکفی الیقین الصفتیّ السابق الذی هو جزء الموضوع أو تمامه، و الشکّ اللاحق المتعلّق بما تعلّق به ذلک الیقین، لإمکان التعبّد بمماثله قبل الصلاة، فما قد یتوهّم هنا من الدور و ما یشبه الدور و غیر ذلک، کلّه فاسد؛ لأنّ منشأ ذلک غفلتهم عن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الجهالة و الغفلة عن الحکم و الموضوع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راجع إلی القاعدة الثانیة،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تجب الإعادة؛ لأنّه کان علی یقین من الطهارة، و مقتضی الکبری الکلّیة دخوله فی الصلاة و هو واجب للشرط؛ لأنّ مفاد تلک الکبری اعتبار الیقین بالطهارة له حین ظنّ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فی المقام الدافع للإشکال المتوجّه إلی الأعلام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التجاوز من باب الطهارة الخبثیّة إلی سائر المسائل الشرعیّة بهذه الکبری الکلّیة المشتملة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العهد الذکریّ؛ لتقدّم اللفظة المتوغّلة فی التنکیر، أو تکون نکرة، و لا معنی للتصرّف فی تلک اللفظة، و لا التمسّک بالمناسبات الاستحسانیّة؛ بعد کون أساس الاستصحاب تعبّدا شرعیّا کما مرّ</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و إن لم یکن مقیّدا و لا مخصّصا، و لکنّه قابل لأن یکون قرینة علی عدم تحقّق الإطلاق، أو لا یستقرّ الإطلاق؛ لوجود</w:t>
      </w:r>
    </w:p>
    <w:p>
      <w:pPr>
        <w:pStyle w:val="BookText"/>
        <w:rPr/>
      </w:pPr>
      <w:r>
        <w:rPr>
          <w:rFonts w:ascii="IRNazanin" w:hAnsi="IRNazanin" w:eastAsia="IRNazanin"/>
          <w:color w:val="111111"/>
          <w:sz w:val="28"/>
          <w:sz w:val="28"/>
          <w:szCs w:val="28"/>
          <w:rtl w:val="true"/>
          <w:lang w:bidi="fa-IR"/>
        </w:rPr>
        <w:t>منشأ عقلائیّ فی الکلام، و صلاحیته لصرفه؛ و ذلک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القدر المتیقّن فی مقام التخاطب،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العلّة إمّا ناظرة إلی قاعدة الیقین، أو إلی الاستصحاب، و لا جامع فی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القضیّة شخصیّة، و کلّ ذلک ممکن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 القرائن شاهدا علی الأوّل، مثل أخذ الشکّ فی الجواب، مع أنّه فرض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کون الإشکال علی التعلیل، لا یتوجّه لو کان الشکّ ساریا، و لا یقع الأعلام من هذه الجهة فی حیص و بیص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الیقین بالطهارة بعد النظر فیه، إلّا إذا کان النظر إجمالیّا، و هو خلاف ما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الشواهد علی الثانی،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یشکّ إلّا بحمل الرؤیة بعد الصلاة علی اقترانها مع الشکّ فی مصاحبة الصلاة مع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تلک القصّة فی أنّه رأی فیه تلک النجاسة و ذلک الدم مثلا، و لو کان فی حدّ نفسه ظاهرا فی النجاسة الاخری؛ بناء علی حصول الفرق بین کونها ذاک أو غیر ذاک، 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فهم القوم منها الاستصحاب فی ملاحظة مجموع الصدر و الذیل بدوا، فعلی هذا یشکل الأخذ بإطلاق الکبری علی ما حرّرناها؛ لأنّ الصالح للقرینیّة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تقیید الإطلاق بالمورد، بل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صرف الإطلاق و عدم انعقاده، فهذه الفقرة مثل المضمرة الاولی علی ما عرفت تفصیله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الأظهر 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الروایة هو الاستصحاب، و أنّ الظنّ و الشکّ لاشتراکهما فی عدم العلم واحد، و المورد سواء کان قاعدة الیقین،</w:t>
      </w:r>
      <w:bookmarkStart w:id="662" w:name="pg13177_118024"/>
    </w:p>
    <w:p>
      <w:pPr>
        <w:pStyle w:val="BookText"/>
        <w:rPr/>
      </w:pPr>
      <w:bookmarkEnd w:id="662"/>
      <w:r>
        <w:rPr>
          <w:rFonts w:ascii="IRNazanin" w:hAnsi="IRNazanin" w:eastAsia="IRNazanin"/>
          <w:color w:val="111111"/>
          <w:sz w:val="28"/>
          <w:sz w:val="28"/>
          <w:szCs w:val="28"/>
          <w:rtl w:val="true"/>
          <w:lang w:bidi="fa-IR"/>
        </w:rPr>
        <w:t>أو الاستصحاب فی باب الطهارة الخبثیّة، لا یصلح فی خصوص الروایة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العهد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للفصل بین الاسمین بکثیر، بخلاف الروایة الاولی، فإنّه هناک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علی یقین من وضوئه، و لا ینقض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أمّا فی المقام فمع الفصل الزائد علیه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إبراز الارتکاز الغریب العقلائیّ، و شاهدا علی عدم الخصوصیّة جدّا، و لعلّ اللّه تعالی یحدث بعد ذلک أمرا</w:t>
      </w:r>
      <w:r>
        <w:rPr>
          <w:rFonts w:eastAsia="IRNazanin" w:cs="IRNazanin"/>
          <w:color w:val="111111"/>
          <w:sz w:val="28"/>
          <w:szCs w:val="28"/>
          <w:rtl w:val="true"/>
          <w:lang w:bidi="fa-IR"/>
        </w:rPr>
        <w:t>.</w:t>
      </w:r>
    </w:p>
    <w:p>
      <w:pPr>
        <w:pStyle w:val="Heading6"/>
        <w:numPr>
          <w:ilvl w:val="5"/>
          <w:numId w:val="1"/>
        </w:numPr>
        <w:rPr/>
      </w:pPr>
      <w:bookmarkStart w:id="663" w:name="__RefHeading___Toc764042_3244359995"/>
      <w:bookmarkStart w:id="664" w:name="_Toc246"/>
      <w:bookmarkEnd w:id="663"/>
      <w:r>
        <w:rPr>
          <w:rtl w:val="true"/>
        </w:rPr>
        <w:t>إعادة و إفادة</w:t>
      </w:r>
      <w:bookmarkEnd w:id="664"/>
    </w:p>
    <w:p>
      <w:pPr>
        <w:pStyle w:val="BookText"/>
        <w:rPr/>
      </w:pPr>
      <w:r>
        <w:rPr>
          <w:rFonts w:ascii="IRNazanin" w:hAnsi="IRNazanin" w:eastAsia="IRNazanin"/>
          <w:color w:val="111111"/>
          <w:sz w:val="28"/>
          <w:sz w:val="28"/>
          <w:szCs w:val="28"/>
          <w:rtl w:val="true"/>
          <w:lang w:bidi="fa-IR"/>
        </w:rPr>
        <w:t>لا شبهة فی أنّ النهی عن الإعادة، لیس إلّا کنایة عن صحّة المأتیّ به، و واجدیّته لتمام الأجزاء و الشرائط فی النظرة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الشرط طهارة الثوب الواقعیّة، فهی مفقودة علی تقدیر، فلا بدّ من الإعادة، و لیس المأتیّ به واجدا لها، و علی تقدیر یشکّ فی واجدیّته لها، فلا وجه للتمسّک بالیقین و الشکّ؛ لأنّ قاعدة الفراغ تقضی الصحّة، و لا سیّما بعد ظنّ الإصابة، و عدم الرؤیة بعد النظر فی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طهارته الأعمّ من الواقعیّة، و الظاهریّة الاستصحابیّة، أو قاعدة الطهارة، فیتوجّه علی کلّ تقدیر عدم صحّة التمسّک؛ ضرورة أنّ العلّة المناسبة هی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واجد لما هو الشرط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بقاعدة الفراغ</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الشرط هو الطهارة الواقعیّة، و إنّما الاستصحاب و قاعدة الطهارة یفیدان فی ظرف الشکّ، التعبّد بوجود تلک الطهارة الواقعیّة، فلا بدّ من الإعادة؛ لأنّه بعد ما علم تنجّس الثوب حال الصلاة، یتوجّه إلی عدم عذریّة الاستصحاب و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کون النجاسة المرئیّة بعد الصلاة هی النجاسة المختفیة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الآخر لا یناسب الاستدلال بالاستصحاب؛ لوجود قاعدة الفراغ، فإنّ الظاهر أنّ العلّة لعدم الإعادة هی الیقین و الشکّ المذکوران، دون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إحراز الطهارة الواقعیّة؛ علی أن یکون الإحراز جزء، أو تمام الموضوع، أو إحراز الطهارة الأعمّ من الواقعیّة و الظاهریّة الاستصحابیّة، أو قاعدة الطهارة علی الفرضین، فمضافا إلی عدم إمکان تحصیل الشرط المذکور بالاستصحاب، أنّه لا تلائم بین مورد التعلیل و العلّة؛ لأنّ الأنسب هو أن یستدلّ بوجود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تکون الصلاة فی موارد الغفلة و الجهالة و النسیان، صحیحة عند جمع </w:t>
      </w:r>
      <w:r>
        <w:rPr>
          <w:rStyle w:val="FootnoteAnchor"/>
          <w:rtl w:val="true"/>
        </w:rPr>
        <w:footnoteReference w:id="813"/>
      </w:r>
      <w:r>
        <w:rPr>
          <w:rFonts w:ascii="IRNazanin" w:hAnsi="IRNazanin" w:eastAsia="IRNazanin"/>
          <w:color w:val="111111"/>
          <w:sz w:val="28"/>
          <w:sz w:val="28"/>
          <w:szCs w:val="28"/>
          <w:rtl w:val="true"/>
          <w:lang w:bidi="fa-IR"/>
        </w:rPr>
        <w:t xml:space="preserve">، و لم یحرز الشرط و هو الإحراز المذکور؛ و ذلک إمّا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الالتفات إلی وقوع الصلاة فی النجس، أو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عدم النجاسة فالأمر أوضح إشکالا؛ لذهابهم إلی عدم کفایة استصحاب الطهارة لإثبات عدم النجاسة، أو لعدم الحاجة إلیه علی تقدیر، کما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النجس مانعا، أو إحراز النجاسة مانعا، أو النجاسة الأعمّ مانعة، أو إحرازها الأعمّ مانعا، فعلی جمیع المبانی فی مسألة مفاد الاصول المحرزة و غیرها و علی جمیع التقادیر، لا یمکن التخلّص من الإشکال المذکور الراجع إمّا إلی عدم الحاجة إلی الاستصحاب، أو إلی عدم صحّة التعلیل حسب الظاهر، أو إلی أنّه لیس مورده؛ لکونه أصلا مثبتا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یتصدّی للجواب عن الکلّ ما أبدعناه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الخلط بین مفاد الصغری و الکبری التی اخذت العناوین فیها من غیر اتصافها بالموضوعیّة و الطریقیّة، و بین مصادیقها، و أنّ تلک الکبری قابلة لکونها سندا للاستصحاب، و لقاعدة الیقین،</w:t>
      </w:r>
    </w:p>
    <w:p>
      <w:pPr>
        <w:pStyle w:val="BookText"/>
        <w:rPr/>
      </w:pPr>
      <w:r>
        <w:rPr>
          <w:rFonts w:ascii="IRNazanin" w:hAnsi="IRNazanin" w:eastAsia="IRNazanin"/>
          <w:color w:val="111111"/>
          <w:sz w:val="28"/>
          <w:sz w:val="28"/>
          <w:szCs w:val="28"/>
          <w:rtl w:val="true"/>
          <w:lang w:bidi="fa-IR"/>
        </w:rPr>
        <w:t>و سندا لقیام الاستصحاب مقام القطع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یجری فی مورد کان الشرط صفة الإحراز؛ فإنّه لیس الإحراز إلّا متعلّقا بالطهارة، أو بعدم النجاسة، أو بالنجاسة مورد الحکم؛ أی الشرطیّة أو المانعیّة، فلو کان قاطعا بطهارة الثوب، و کان قطعه بها شرطا فی الصلاة، فإذا شکّ فی الطهارة یکون قاطعا بعدم وجود الشرط، و لیس شاکّا فی البقاء، إلّا أنّه یکفی لحصول الشرط شکّه فی الطهارة؛ فإنّه فی ظرف الشکّ فیها محکوم بکونه صاحب الیقین شرعا و تعبّدا فی تلک الأحیان، فیحصل قهرا ما هو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فی باب التعبّدی و التوصّلی، فإنّ من ذهب إلی امتناع ما یأتی من قبل الأمر فی متعلّق الأمر</w:t>
      </w:r>
      <w:r>
        <w:rPr>
          <w:rStyle w:val="FootnoteAnchor"/>
          <w:rtl w:val="true"/>
        </w:rPr>
        <w:footnoteReference w:id="814"/>
      </w:r>
      <w:r>
        <w:rPr>
          <w:rFonts w:ascii="Amiri" w:hAnsi="Amiri" w:eastAsia="Amiri" w:cs="Amiri"/>
          <w:color w:val="111111"/>
          <w:sz w:val="28"/>
          <w:sz w:val="28"/>
          <w:szCs w:val="28"/>
          <w:rtl w:val="true"/>
          <w:lang w:bidi="ar-SA"/>
        </w:rPr>
        <w:t>، غافل عن أنّ متعلّق الأمر لیس فی مرحلة الجعل إلّا نفس الصلاة، و لکنّ المقنّن متوجّه إلی أنّه حین الامتثال إذا أتی بالصلاة بقصد الامتثال، یحصل الغرض،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الْحَجَّ وَ الْعُمْرَةَ لِلَّهِ </w:t>
      </w:r>
      <w:r>
        <w:rPr>
          <w:rStyle w:val="FootnoteAnchor"/>
          <w:rtl w:val="true"/>
        </w:rPr>
        <w:footnoteReference w:id="815"/>
      </w:r>
      <w:r>
        <w:rPr>
          <w:rFonts w:ascii="IRNazanin" w:hAnsi="IRNazanin" w:eastAsia="IRNazanin"/>
          <w:color w:val="111111"/>
          <w:sz w:val="28"/>
          <w:sz w:val="28"/>
          <w:szCs w:val="28"/>
          <w:rtl w:val="true"/>
          <w:lang w:bidi="fa-IR"/>
        </w:rPr>
        <w:t xml:space="preserve">أو بقصد الأمر بالإتمام، یتمکّن العبد من ذلک، فیصحّ الأخذ بالإطلاق علی التفصیل المحرّر فی المجلّد الأوّل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فی موارد الجهل و الغفلة فالصحّة بقانون ثانویّ متعرّض لحال المکلّف بعد الامتثال، و هو خارج عن مسألتنا، و تفصیله فی أبواب الخلل </w:t>
      </w:r>
      <w:r>
        <w:rPr>
          <w:rStyle w:val="FootnoteAnchor"/>
          <w:rtl w:val="true"/>
        </w:rPr>
        <w:footnoteReference w:id="817"/>
      </w:r>
      <w:r>
        <w:rPr>
          <w:rFonts w:ascii="IRNazanin" w:hAnsi="IRNazanin" w:eastAsia="IRNazanin"/>
          <w:color w:val="111111"/>
          <w:sz w:val="28"/>
          <w:sz w:val="28"/>
          <w:szCs w:val="28"/>
          <w:rtl w:val="true"/>
          <w:lang w:bidi="fa-IR"/>
        </w:rPr>
        <w:t>، فافهم و تأمّل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عندنا من الأمارات، فما دام یمکن التمسّک به لا تصل النوبة إلی قاعدة الفراغ، و تکون مثبتاته حجّة، فلا یتوجّه إلیه ما یتوجّه إلی القوم القائلین بخلاف ذلک، فاغتنم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مفاد التعلیل یرجع إلی أنّه فی هذه الصورة لا تعاد الصلاة؛ لأنّ حرمة نقض الیقین بالشک لا تختصّ بالموارد المعیّنة، بل هی عامّة تشمل موارد یکون الإحراز شرطا فی شرطیّة الطهارة، أو مانعیّة النجاسة، أو شرطیّة عدم النجاسة؛ حسب المحتملات فی المسألة الفقهیّة،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لأجله افید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و لا خصوصیّة لمورد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ذکرنا مواضع تحتاج إلی التدقیق الحقیق بالتصدیق، و هی مزالّ أقدام الأعلام، و الأعاظم القمقام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الیقین بلا قید، و عندئذ یختلف ما بین الصغری و الکبری فی هذه الروایة مع ما مرّ، و لا یتوجّه إلیهما ما یتوجّه إلی الروایة الاولی؛ لاحتیاج التقدیر هناک، و هو خلاف الأصل، إلّا أنّ مجرّد الإمکان لا یورث انعقاد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لا یجوز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تغییر اسلوب الکلام، کما صنعه بعض الأعلام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الکبری کلّیة ساریة فی جمیع أبواب الفقه مضافا إلی الطهارة الخبثیّة، إلّا ما اشیر إلیه و هو الظهور اللغویّ العرفیّ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الاختصاص،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وجه الإجمال فی الصغری لا یوجب سرایته إلی الکبری؛ لاختلاف إجمال المستثنی المتّصل مع ما نحن فیه، فإنّ الأمر هناک قطعیّ عندهم، و أمّا فی المقام فالتفریع لا یوجب ذلک، کما لا یخفی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العجب ما فی کلام الشیخ </w:t>
      </w:r>
      <w:r>
        <w:rPr>
          <w:rStyle w:val="FootnoteAnchor"/>
          <w:rtl w:val="true"/>
        </w:rPr>
        <w:footnoteReference w:id="818"/>
      </w:r>
      <w:r>
        <w:rPr>
          <w:rFonts w:ascii="IRNazanin" w:hAnsi="IRNazanin" w:eastAsia="IRNazanin"/>
          <w:color w:val="111111"/>
          <w:sz w:val="28"/>
          <w:sz w:val="28"/>
          <w:szCs w:val="28"/>
          <w:rtl w:val="true"/>
          <w:lang w:bidi="fa-IR"/>
        </w:rPr>
        <w:t xml:space="preserve">و غیره </w:t>
      </w:r>
      <w:r>
        <w:rPr>
          <w:rStyle w:val="FootnoteAnchor"/>
          <w:rtl w:val="true"/>
        </w:rPr>
        <w:footnoteReference w:id="8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استفادة الکلّیة الساریة</w:t>
      </w:r>
    </w:p>
    <w:p>
      <w:pPr>
        <w:pStyle w:val="BookText"/>
        <w:rPr/>
      </w:pPr>
      <w:r>
        <w:rPr>
          <w:rFonts w:ascii="IRNazanin" w:hAnsi="IRNazanin" w:eastAsia="IRNazanin"/>
          <w:color w:val="111111"/>
          <w:sz w:val="28"/>
          <w:sz w:val="28"/>
          <w:szCs w:val="28"/>
          <w:rtl w:val="true"/>
          <w:lang w:bidi="fa-IR"/>
        </w:rPr>
        <w:t>فی جمیع الأبواب تابعة لإرادة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و کان الیقین السابق هو تمام الموضوع للاعتبار و الحجّیة، یلزم کونه للعهد مع حصول المطلوب، إلّا علی وجه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فقدان شرط انعقاد الإطلاق؛ لکفایة الإجمال فی ذلک بعد ما عرفت و تحرّر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القدر المتیقّن ربّما یضرّ به، و ربّما یؤکّد الإطلاق، و ربّما لا یضرّ و لا ینفع </w:t>
      </w:r>
      <w:r>
        <w:rPr>
          <w:rStyle w:val="FootnoteAnchor"/>
          <w:rtl w:val="true"/>
        </w:rPr>
        <w:footnoteReference w:id="820"/>
      </w:r>
      <w:r>
        <w:rPr>
          <w:rFonts w:ascii="IRNazanin" w:hAnsi="IRNazanin" w:eastAsia="IRNazanin"/>
          <w:color w:val="111111"/>
          <w:sz w:val="28"/>
          <w:sz w:val="28"/>
          <w:szCs w:val="28"/>
          <w:rtl w:val="true"/>
          <w:lang w:bidi="fa-IR"/>
        </w:rPr>
        <w:t>، و المقام 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وجه لإجمال الصغری؛ لإمکان کونها أیضا أعمّ، و یکون ما نحن فیه قابلا لموردیّة قاعدة الیقین، و قابلا لموردیّة الاستصحاب؛ ضرورة أنّه یجوز فی زمان واحد صاحب الیقین الاستصحابیّ، و شکّه قبل الدخول فی الصلاة، ثمّ بعد ما نظر و لم یر شیئا استیقن بالطهارة بالیقین فی القاعدة، و لا معنی لکونه ناقضا لذلک الیقین الاستصحابیّ؛ لموافقتهما فی الأثر، ثمّ بعد الصلاة رأی فی ثوبه النجاسة المظنونة السابق الذکر، فیکون له 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أسبق، و یقین قبل الدخول فی الصلاة، و هو لا ینافی کونه مورد الاستصحاب حین الدخول؛ لحصول الشکّ الاستصحابیّ قبل النظر، و عدم صلاحیة طروّ الیقین الثانی لزوال الشکّ الاستصحابیّ؛ لکفایة حدوثه فی کونه مورد التعبّد بذلک الیقین، کما لا یصلح لناقضیّة الیقین الأسبق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بحسب الواقع إمّا قاعدة الیقین، أو الاستصحاب، و علی کلّ تقدیر تبقی الکبری الکلّیة حسبما حرّرناها علی حالها، فیتبیّن وجه حجّیة الاستصحاب، بل و القاعدة، کما یظهر وجه سریانهما فی جمیع أبواب الفقه، و یعلم مواضع ضعف یری فی کلماتهم کثیرا</w:t>
      </w:r>
      <w:r>
        <w:rPr>
          <w:rFonts w:eastAsia="IRNazanin" w:cs="IRNazanin"/>
          <w:color w:val="111111"/>
          <w:sz w:val="28"/>
          <w:szCs w:val="28"/>
          <w:rtl w:val="true"/>
          <w:lang w:bidi="fa-IR"/>
        </w:rPr>
        <w:t>.</w:t>
      </w:r>
      <w:bookmarkStart w:id="665" w:name="pg13177_118029"/>
    </w:p>
    <w:p>
      <w:pPr>
        <w:pStyle w:val="Heading6"/>
        <w:numPr>
          <w:ilvl w:val="5"/>
          <w:numId w:val="1"/>
        </w:numPr>
        <w:rPr/>
      </w:pPr>
      <w:bookmarkStart w:id="666" w:name="__RefHeading___Toc764044_3244359995"/>
      <w:bookmarkStart w:id="667" w:name="_Toc247"/>
      <w:bookmarkEnd w:id="665"/>
      <w:bookmarkEnd w:id="666"/>
      <w:r>
        <w:rPr>
          <w:rtl w:val="true"/>
        </w:rPr>
        <w:t>تنبیه</w:t>
      </w:r>
      <w:r>
        <w:rPr>
          <w:rtl w:val="true"/>
        </w:rPr>
        <w:t xml:space="preserve">: </w:t>
      </w:r>
      <w:r>
        <w:rPr>
          <w:rtl w:val="true"/>
        </w:rPr>
        <w:t xml:space="preserve">حول النسخة الواردة فیها </w:t>
      </w:r>
      <w:r>
        <w:rPr>
          <w:rtl w:val="true"/>
        </w:rPr>
        <w:t>«</w:t>
      </w:r>
      <w:r>
        <w:rPr>
          <w:rtl w:val="true"/>
        </w:rPr>
        <w:t>لم ذاک؟</w:t>
      </w:r>
      <w:r>
        <w:rPr>
          <w:rtl w:val="true"/>
        </w:rPr>
        <w:t>»</w:t>
      </w:r>
      <w:bookmarkEnd w:id="667"/>
    </w:p>
    <w:p>
      <w:pPr>
        <w:pStyle w:val="BookText"/>
        <w:rPr/>
      </w:pPr>
      <w:r>
        <w:rPr>
          <w:rFonts w:ascii="IRNazanin" w:hAnsi="IRNazanin" w:eastAsia="IRNazanin"/>
          <w:color w:val="111111"/>
          <w:sz w:val="28"/>
          <w:sz w:val="28"/>
          <w:szCs w:val="28"/>
          <w:rtl w:val="true"/>
          <w:lang w:bidi="fa-IR"/>
        </w:rPr>
        <w:t>فی بعض النسخ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للبعید، فلعلّه سؤال عن جواز الدخول فی الصلاة مع کونه شاکّا، و کأنّه کان جواز الدخول فیها مساوقا للصحّة من غیر حاجة إلی تعلیل، و عندئذ ترتفع الشبهة، و یصحّ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توجیه زرارة سؤاله عن الدخول دون الإعادة، استبعاده شدیدا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اختلفت النسخ لا یثبت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تبقی الکبری الکلّیة علی ما ذکرنا و حرّرناها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للبعید الغریب عند السائل و یؤیّده أنّ الإعادة و اللاإعادة أجنبیّتان عن البحث، بل الجهة القابلة للسؤال هی جواز دخوله فی الصلاة مع کونه مورد الشکّ بل و المنع عند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تبیّنت الجهة الثالثة فی طیّ الجهة الثانیة، و طالت المقالة، فلیعذرنی أخوانی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الفقرتین اللتین تدلّان أحیانا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علمت أنّه قد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 المفروض هو العلم بالنجاسة، و قد أمر علیه السّلام بالغسل حتّی یکون علی یقین من طهارته، مع أنّه لو غسل بعض تلک الناحیة یکون علی شکّ، و تجری القاعدة، بل و استصحاب عدم تنجّس الناحیة الاخری و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یرجع إلی العلم الإجمالیّ، و یکون دلیلا علی تنجیزه، بل و علی بقاء أثر العلم حتّی بعد ذهابه؛ ضرورة أنّه بعد غسل جانب من الناحیة المعلومة، لا یبقی العلم الإجمالیّ</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الاستصحاب؛ لاشتراک الجملة و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توهّم ارتباط المسألة بالعلم الإجمالیّ، قد غفل عن حقیقة ذلک العلم، فإنّه فی مورد یتباین الطرفان وجودا، کالإنائین و الثوبین، و أمّا إذا صلّی فی الثوبین فی زمان واحد، أو وقعت قطرة من إناء فی إناء آخر، فلا یعلم إجمالا بأنّه یصلّی فی النجس، أو یتوضّأ من المتنجّس؛ ضرورة أنّ مبدأ النجاسة و منشأها و عدم العلم بخصوص موضع النجس، لا ینافی أنّه یعلم تفصیلا بأنّه یصلّی فی النجس، فلیس المقام من موارد العلم الإجمالیّ بالضرورة، بل هو یعلم تفصیلا بتنجّس ما یصلّی فیه، و إذا غسل بعض تلک الناحیة یزول علمه بالضرورة، و لکن مقتضی الاستصحاب وجوب غسل تلک الناحیة؛ کی یکون علی یقین من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 علیه السّلام بالغسل مع أنّه غیر شاکّ؛ و الشکّ هو رکن له، أو یکون مورد جریانه الشکّ، علی خلاف موازین الاستصحاب، و یناسب العلم الإجمالیّ، و لذلک لم یستدلّ بتلک الفقرة إلّا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التفاته علیه السّلام إلی حدوث الشکّ له طبعا؛ لأنّه بحسب المتعارف یتدرّج فی غسله، یصحّ الأمر بالغسل؛ لأنّه بعد غسل موضع منه یکون مأمورا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 فیجوز للفقیه أن یأمره بغسل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غسله دفعة، فلا یشکّ فی زمان، و لذلک لم یستدل الجلّ بهذه الفقرة، فی غیر محلّه، و لا سیّما بحسب رعایة تلک الأزمنة و الأمکنة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بالغسل لأجل وجود النجاسة المعلومة بالعلم الوجدانیّ و التعبّدی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اشتراط الطهارة، لا اشتراط عدم النجاسة أو مانعیّتها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نیابة الفقیه عن العوامّ فی إجراء</w:t>
      </w:r>
      <w:bookmarkStart w:id="668" w:name="pg13177_118031"/>
    </w:p>
    <w:p>
      <w:pPr>
        <w:pStyle w:val="BookText"/>
        <w:rPr/>
      </w:pPr>
      <w:bookmarkEnd w:id="668"/>
      <w:r>
        <w:rPr>
          <w:rFonts w:ascii="IRNazanin" w:hAnsi="IRNazanin" w:eastAsia="IRNazanin"/>
          <w:color w:val="111111"/>
          <w:sz w:val="28"/>
          <w:sz w:val="28"/>
          <w:szCs w:val="28"/>
          <w:rtl w:val="true"/>
          <w:lang w:bidi="fa-IR"/>
        </w:rPr>
        <w:t>الاستصحاب؛ حتّی فی الشبهة الموضوعیّة، کما هو المحرّر عندنا</w:t>
      </w:r>
      <w:r>
        <w:rPr>
          <w:rStyle w:val="FootnoteAnchor"/>
          <w:rtl w:val="true"/>
        </w:rPr>
        <w:footnoteReference w:id="822"/>
      </w:r>
      <w:r>
        <w:rPr>
          <w:rFonts w:ascii="IRNazanin" w:hAnsi="IRNazanin" w:eastAsia="IRNazanin"/>
          <w:color w:val="111111"/>
          <w:sz w:val="28"/>
          <w:sz w:val="28"/>
          <w:szCs w:val="28"/>
          <w:rtl w:val="true"/>
          <w:lang w:bidi="fa-IR"/>
        </w:rPr>
        <w:t>، فلا یعتدّ بشکّه، و لا بیقینه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قضیّة حقیقیّة، و کأنّها وردت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نجاسة ثوبک تغسله حتّی تعلم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قاعدة الطهارة،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دلالته علی الاستصحاب فی الجملة واضحة، و علی حجّیته علی الإطلاق یحتاج إلی التقاریب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 من مورد قاعدة الیقین، فهو بحسب الثبوت جائز، إلّا أنّه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بأس بکونه جامعا لهما حسبما تحرّر</w:t>
      </w:r>
      <w:r>
        <w:rPr>
          <w:rStyle w:val="FootnoteAnchor"/>
          <w:rtl w:val="true"/>
        </w:rPr>
        <w:footnoteReference w:id="823"/>
      </w:r>
      <w:r>
        <w:rPr>
          <w:rFonts w:ascii="IRNazanin" w:hAnsi="IRNazanin" w:eastAsia="IRNazanin"/>
          <w:color w:val="111111"/>
          <w:sz w:val="28"/>
          <w:sz w:val="28"/>
          <w:szCs w:val="28"/>
          <w:rtl w:val="true"/>
          <w:lang w:bidi="fa-IR"/>
        </w:rPr>
        <w:t xml:space="preserve">، و لا سیّما أنّ 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ظهور موضوعیّة الیقین، و هذا ممّا یظهر بعد مراجعة سائر أدلّة المسألة فی باب اشتراط طهارة الثوب و البدن، فاغتنم</w:t>
      </w:r>
      <w:r>
        <w:rPr>
          <w:rFonts w:eastAsia="IRNazanin" w:cs="IRNazanin"/>
          <w:color w:val="111111"/>
          <w:sz w:val="28"/>
          <w:szCs w:val="28"/>
          <w:rtl w:val="true"/>
          <w:lang w:bidi="fa-IR"/>
        </w:rPr>
        <w:t>.</w:t>
      </w:r>
    </w:p>
    <w:p>
      <w:pPr>
        <w:pStyle w:val="Heading6"/>
        <w:numPr>
          <w:ilvl w:val="5"/>
          <w:numId w:val="1"/>
        </w:numPr>
        <w:rPr/>
      </w:pPr>
      <w:bookmarkStart w:id="669" w:name="__RefHeading___Toc764046_3244359995"/>
      <w:bookmarkStart w:id="670" w:name="_Toc248"/>
      <w:bookmarkEnd w:id="669"/>
      <w:r>
        <w:rPr>
          <w:rtl w:val="true"/>
        </w:rPr>
        <w:t>إیقاظ</w:t>
      </w:r>
      <w:r>
        <w:rPr>
          <w:rtl w:val="true"/>
        </w:rPr>
        <w:t xml:space="preserve">: </w:t>
      </w:r>
      <w:r>
        <w:rPr>
          <w:rtl w:val="true"/>
        </w:rPr>
        <w:t>حول دلالة الفقرة الثانیة علی عدم تنجیز العلم الإجمالی</w:t>
      </w:r>
      <w:bookmarkEnd w:id="670"/>
    </w:p>
    <w:p>
      <w:pPr>
        <w:pStyle w:val="BookText"/>
        <w:rPr/>
      </w:pPr>
      <w:r>
        <w:rPr>
          <w:rFonts w:ascii="IRNazanin" w:hAnsi="IRNazanin" w:eastAsia="IRNazanin"/>
          <w:color w:val="111111"/>
          <w:sz w:val="28"/>
          <w:sz w:val="28"/>
          <w:szCs w:val="28"/>
          <w:rtl w:val="true"/>
          <w:lang w:bidi="fa-IR"/>
        </w:rPr>
        <w:t>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الجملة ناظرة إلی أنّ العلم الإجمالیّ غیر منجّز، فإنّ المدار علی الرؤیة، لا العلم،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قد أصابها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کان الأنسب أن یؤتی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أنّه قد أصابه، و لم أدر أین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أجنبیّة عن الاستصحاب و تنجیز العلم الإجمالیّ، فیرجع إلی أنّ المدار فی الثوب الذی یصلّی فیه علی ما ذکر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الالتزام به غیر ممکن؛ لأنّه علم تفصیلیّ بتنجّس الثوب الذی یصلّی فیه و إن لم یدر موضع النجاسة، فإنّ هذا العلم الإجمالیّ لا أثر له</w:t>
      </w:r>
      <w:r>
        <w:rPr>
          <w:rFonts w:eastAsia="IRNazanin" w:cs="IRNazanin"/>
          <w:color w:val="111111"/>
          <w:sz w:val="28"/>
          <w:szCs w:val="28"/>
          <w:rtl w:val="true"/>
          <w:lang w:bidi="fa-IR"/>
        </w:rPr>
        <w:t>.</w:t>
      </w:r>
      <w:bookmarkStart w:id="671" w:name="pg13177_118032"/>
    </w:p>
    <w:p>
      <w:pPr>
        <w:pStyle w:val="Heading6"/>
        <w:numPr>
          <w:ilvl w:val="5"/>
          <w:numId w:val="1"/>
        </w:numPr>
        <w:rPr/>
      </w:pPr>
      <w:bookmarkStart w:id="672" w:name="__RefHeading___Toc764048_3244359995"/>
      <w:bookmarkStart w:id="673" w:name="_Toc249"/>
      <w:bookmarkEnd w:id="671"/>
      <w:bookmarkEnd w:id="672"/>
      <w:r>
        <w:rPr>
          <w:rtl w:val="true"/>
        </w:rPr>
        <w:t>وهم و دفع</w:t>
      </w:r>
      <w:bookmarkEnd w:id="673"/>
    </w:p>
    <w:p>
      <w:pPr>
        <w:pStyle w:val="BookText"/>
        <w:rPr/>
      </w:pPr>
      <w:r>
        <w:rPr>
          <w:rFonts w:ascii="IRNazanin" w:hAnsi="IRNazanin" w:eastAsia="IRNazanin"/>
          <w:color w:val="111111"/>
          <w:sz w:val="28"/>
          <w:sz w:val="28"/>
          <w:szCs w:val="28"/>
          <w:rtl w:val="true"/>
          <w:lang w:bidi="fa-IR"/>
        </w:rPr>
        <w:t>إنّ هذه الجملة لیست مرتبطة بالصلاة، بل هی سؤال آخر کلّی یترتّب علیه حدیث الملاقاة لبعض الثوب، و هی الشبهة العبائیّة، و لازم ذلک وجوب غسل الملاقی؛ لأجل العلم الإجمالیّ، فلا تدلّ علی الاستصحاب، و یکفی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السابقة و اللاحقة مربوطة بالصلاة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کونه مورد الاستصحاب، یدلّ علی أنّ الشکّ لیس جزء و دخیلا و رکنا، بل هو مورد جریانه، کما فی الأمارات، و یؤیّد مسلکنا من أنّه أمارة تعبّدیة شرعیّة و لو کان مغروسا فی الأذهان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فی ثوبی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عمّا مرّ من المناقضات و المناقشات السابقة المندفعة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خصوص الاستصحاب؛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شی‌ء أوقع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الصلاة صحیحة بالاستصحاب إلی الرؤیة، و تصحّ بالغسل فی الأثناء، و تغتفر الحالة الوسطی المشتغل بالغسل فیها، علی الوجه المحرّر فی الفقه </w:t>
      </w:r>
      <w:r>
        <w:rPr>
          <w:rStyle w:val="FootnoteAnchor"/>
          <w:rtl w:val="true"/>
        </w:rPr>
        <w:footnoteReference w:id="824"/>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یستظهر منه اختصاص الحجّیة بالاستصحاب، و لا تکون قاعدة الیقین حجّة، کما هو الظاهر من بعض الأخبار الاخر</w:t>
      </w:r>
      <w:r>
        <w:rPr>
          <w:rStyle w:val="FootnoteAnchor"/>
          <w:rtl w:val="true"/>
        </w:rPr>
        <w:footnoteReference w:id="825"/>
      </w: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قصور الکبری عن شمول القاعدة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لا یلزم من المورد قصور فی الإطلاق من جهة النجاسة الخبثیّة، کذلک الأمر من هذه الجهة علی الوجه المحرّر سابقا</w:t>
      </w:r>
      <w:r>
        <w:rPr>
          <w:rFonts w:eastAsia="IRNazanin" w:cs="IRNazanin"/>
          <w:color w:val="111111"/>
          <w:sz w:val="28"/>
          <w:szCs w:val="28"/>
          <w:rtl w:val="true"/>
          <w:lang w:bidi="fa-IR"/>
        </w:rPr>
        <w:t>.</w:t>
      </w:r>
      <w:bookmarkStart w:id="674" w:name="pg13177_118033"/>
    </w:p>
    <w:p>
      <w:pPr>
        <w:pStyle w:val="Heading6"/>
        <w:numPr>
          <w:ilvl w:val="5"/>
          <w:numId w:val="1"/>
        </w:numPr>
        <w:rPr/>
      </w:pPr>
      <w:bookmarkStart w:id="675" w:name="__RefHeading___Toc764050_3244359995"/>
      <w:bookmarkStart w:id="676" w:name="_Toc250"/>
      <w:bookmarkEnd w:id="674"/>
      <w:bookmarkEnd w:id="675"/>
      <w:r>
        <w:rPr>
          <w:rtl w:val="true"/>
        </w:rPr>
        <w:t>إشکال بدیع</w:t>
      </w:r>
      <w:r>
        <w:rPr>
          <w:rtl w:val="true"/>
        </w:rPr>
        <w:t xml:space="preserve">: </w:t>
      </w:r>
      <w:r>
        <w:rPr>
          <w:rtl w:val="true"/>
        </w:rPr>
        <w:t>مفاده تعذیر الاستصحاب دون تنجیزه</w:t>
      </w:r>
      <w:bookmarkEnd w:id="676"/>
    </w:p>
    <w:p>
      <w:pPr>
        <w:pStyle w:val="BookText"/>
        <w:rPr/>
      </w:pPr>
      <w:r>
        <w:rPr>
          <w:rFonts w:ascii="IRNazanin" w:hAnsi="IRNazanin" w:eastAsia="IRNazanin"/>
          <w:color w:val="111111"/>
          <w:sz w:val="28"/>
          <w:sz w:val="28"/>
          <w:szCs w:val="28"/>
          <w:rtl w:val="true"/>
          <w:lang w:bidi="fa-IR"/>
        </w:rPr>
        <w:t xml:space="preserve">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نقض الیقین بالشکّ، و تصیر النتیجة أنّ الاستصحاب أو قاعدة الیقین، حجّة للعبد علی المولی لا العکس، و یکون فیه التوسعة، فلو صلّی فی الثوب الاستصحابیّ، ثمّ تبیّن نجاسته، یکون معذورا، و أمّا إذا کان علی یقین من نجاسته فلا یکون حجّة، و تجری قاعدة الطهارة و البراءة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من جهة ظهور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الرجحان، کما هو کذلک فی کلمات الفقهاء فی الرسائل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المحرّمات لا یکفی؛ بعد وجود الأدلّة الاخر و القرائن الحافّة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بحجّة، کالظنّ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الحجّة علی الإطلاق، کالطرق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الحدّ الوسط المعبّر عندی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الترخیص، لا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أنّ حرمة نقض الیقین بالشکّ، لا معنی لها فی المندوبات الذاتیّة و حلّ المشکلة من الجهة الأخیرة و لو أمکن، إلّا أنّه یستلزم خلاف الظاهر، بخلاف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حجّة غیر منجّزة للواقع، بل هو حجّة معذّرة فی صورة التخلّف فقط، و النهی فی بعض الأخبار دلیل عند عدم وجود هذه الروایة؛ ضرورة أنّه یدلّ تعلیقا، و هذه تدلّ تنجیزا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سبب لصرف النهی و الأمر فی سائر الأخبار حسبما تحرّر؛ سواء کان ذلک بالجملة الإخباریّة، أو الإنشائیّة، ففی نفس هذه الروایة یکون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تغسل من ثوبک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التوسعة فی مسألة التعذیر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حجّیته ارتکازیّة خفیّة، و هی تناسب ما أبدعناه، بخلاف الحجج العقلائیّة الواضحة، و علی هذا لا حکومة للاستصحاب علی مثل قاعدة الطهارة و حدیث الرفع؛ کی یکون منجّزا و مضیّقا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شرب ماء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أن تصوم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تشرب 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الفرض الثانی أدب فی التعبیر عن أمر لازم، فلو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أن تلبس القلنسوة و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تدلّ علی أمر لازم، و لا تکون حجّة فی حدّ ذاتها، إلّا أنّه ربّما تکون حجّة؛ لوجود بعض القرائن الحافّة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الأوامر و النواهی الکثیرة المتراکمة کالمطلقات المتعاضدة فی مقابل القرینة الواحدة علی جواز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المحرّمات من غیر کونه مجازا؛ أی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تثبت قرینة الروایة المذکورة؛ لأنّ الأمر و النهی ظاهران عقلائیّان فی اللزوم،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عدم اللزوم، و لیست موضوعة لذلک کی تکون دلالتها تنجزیّة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هذه أوضح، و ذاک أکثر، فیصحّ أن تصیر تلک الکثرة قرینة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مدخولها أمر لازم و منجّز، کما هو 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 الآتیة تأکیدات متعاقبة، و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مفروغیّة کونه مسبوقا بالیقین، و لیس المراد الشکّ البدویّ فتأمّل، فیدور الأمر بین عموم هذه الجملة، و الظهور المذکور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محلّ إشکال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العمومات عندنا تحتاج إلی</w:t>
      </w:r>
    </w:p>
    <w:p>
      <w:pPr>
        <w:pStyle w:val="BookText"/>
        <w:rPr/>
      </w:pPr>
      <w:r>
        <w:rPr>
          <w:rFonts w:ascii="IRNazanin" w:hAnsi="IRNazanin" w:eastAsia="IRNazanin"/>
          <w:color w:val="111111"/>
          <w:sz w:val="28"/>
          <w:sz w:val="28"/>
          <w:szCs w:val="28"/>
          <w:rtl w:val="true"/>
          <w:lang w:bidi="fa-IR"/>
        </w:rPr>
        <w:t>مقدّمات الحکمة، فتقع المعارضة بین الأدلّة من هذه الجهة، و القدر المتیقّن معذّریة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الاعتماد علی الظنّ، أولی من الاعتماد علی الشکّ المسبوق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الشکّ زال الیقین بالضرورة، و علی هذا، الاتکاء علی الظنّ أولی من ذاک الیقین الزائل، و لا سیّما إذا کان له الظنّ علی خلاف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و فی نواقض الوضوء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یأتی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التعلیل طروّ الشکّ، و ظهوره فی أنّ الشکّ المسبوق بالیقین بلا خاصّیة، ربّما یکون أقوی من الجملة المذکورة، و لازمه أنّ الیقین السابق منجّز و معذّر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فی الروایة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الیقین لا یدفع بالشکّ</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المضمرة الثانیة غیر معلومة حجّیتها؛ لما مرّ</w:t>
      </w:r>
      <w:r>
        <w:rPr>
          <w:rStyle w:val="FootnoteAnchor"/>
          <w:rtl w:val="true"/>
        </w:rPr>
        <w:footnoteReference w:id="830"/>
      </w:r>
      <w:r>
        <w:rPr>
          <w:rFonts w:ascii="IRNazanin" w:hAnsi="IRNazanin" w:eastAsia="IRNazanin"/>
          <w:color w:val="111111"/>
          <w:sz w:val="28"/>
          <w:sz w:val="28"/>
          <w:szCs w:val="28"/>
          <w:rtl w:val="true"/>
          <w:lang w:bidi="fa-IR"/>
        </w:rPr>
        <w:t>، فسائر الأخبار تبقی علی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إجمال المضمرة غیر معارضة سائر الروایات معها، فإنّه فی صورة التعارض تکون الأخبار قرینة علی أنّ الأدب فی التعبیر یقتضی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الصورة الاولی تکون المضمرة قرینة علی أنّ النهی و الأمر لیسا إلزامیّین، و لیس الاستصحاب إلّا معذّرا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المضمرة مجملة، فتکون الإطلاقات مورد</w:t>
      </w:r>
      <w:bookmarkStart w:id="677" w:name="pg13177_118036"/>
    </w:p>
    <w:p>
      <w:pPr>
        <w:pStyle w:val="BookText"/>
        <w:rPr/>
      </w:pPr>
      <w:bookmarkEnd w:id="677"/>
      <w:r>
        <w:rPr>
          <w:rFonts w:ascii="IRNazanin" w:hAnsi="IRNazanin" w:eastAsia="IRNazanin"/>
          <w:color w:val="111111"/>
          <w:sz w:val="28"/>
          <w:sz w:val="28"/>
          <w:szCs w:val="28"/>
          <w:rtl w:val="true"/>
          <w:lang w:bidi="fa-IR"/>
        </w:rPr>
        <w:t xml:space="preserve">الاتکاء؛ لعدم سرایة المجمل المنفصل إلی المطلق، کما فی العامّ و الخاصّ، و إن قیل بالفرق بین العامّ و الخاصّ، و بین المطلق و المقید، و لذلک لا یقع النزاع فی مسألة جواز التمسّک بالمطلق فی مورد الشکّ فی الشبهة المصداقیّة للمقیّد؛ لتعنون المطلق بالیقین، کما صرّح به العلّامة الأراکیّ فی محلّه </w:t>
      </w:r>
      <w:r>
        <w:rPr>
          <w:rStyle w:val="FootnoteAnchor"/>
          <w:rtl w:val="true"/>
        </w:rPr>
        <w:footnoteReference w:id="831"/>
      </w:r>
      <w:r>
        <w:rPr>
          <w:rFonts w:ascii="IRNazanin" w:hAnsi="IRNazanin" w:eastAsia="IRNazanin"/>
          <w:color w:val="111111"/>
          <w:sz w:val="28"/>
          <w:sz w:val="28"/>
          <w:szCs w:val="28"/>
          <w:rtl w:val="true"/>
          <w:lang w:bidi="fa-IR"/>
        </w:rPr>
        <w:t>علی ما ببالی فلیراجع، و هو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تصبح معارضة قرینیّة مجموع الأخبار لهذه المضمرة، أو قرینیّة المضمرة لسائر الأخبار، و حیث إنّ استعمال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الإلزامیّات لیس مجازا یتعیّن الأوّل، فیبقی إطلاق سائر الأخبار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مناسبة الحکم و الموضوع، و إلغاء الخصوصیة، و مساعدة الاغتراس، و بعد التفکیک، کلّه یؤیّد الإطلاقات المزبورة، و إلّا فلا أصل لهذه الامور عندنا</w:t>
      </w:r>
      <w:r>
        <w:rPr>
          <w:rFonts w:eastAsia="IRNazanin" w:cs="IRNazanin"/>
          <w:color w:val="111111"/>
          <w:sz w:val="28"/>
          <w:szCs w:val="28"/>
          <w:rtl w:val="true"/>
          <w:lang w:bidi="fa-IR"/>
        </w:rPr>
        <w:t>.</w:t>
      </w:r>
    </w:p>
    <w:p>
      <w:pPr>
        <w:pStyle w:val="Heading5"/>
        <w:numPr>
          <w:ilvl w:val="4"/>
          <w:numId w:val="1"/>
        </w:numPr>
        <w:rPr/>
      </w:pPr>
      <w:bookmarkStart w:id="678" w:name="__RefHeading___Toc764052_3244359995"/>
      <w:bookmarkStart w:id="679" w:name="_Toc251"/>
      <w:bookmarkEnd w:id="678"/>
      <w:r>
        <w:rPr>
          <w:rtl w:val="true"/>
        </w:rPr>
        <w:t>و منها</w:t>
      </w:r>
      <w:r>
        <w:rPr>
          <w:rtl w:val="true"/>
        </w:rPr>
        <w:t xml:space="preserve">: </w:t>
      </w:r>
      <w:r>
        <w:rPr>
          <w:rtl w:val="true"/>
        </w:rPr>
        <w:t>المعتبرة الثالثة لزرارة</w:t>
      </w:r>
      <w:bookmarkEnd w:id="679"/>
    </w:p>
    <w:p>
      <w:pPr>
        <w:pStyle w:val="Heading6"/>
        <w:numPr>
          <w:ilvl w:val="5"/>
          <w:numId w:val="1"/>
        </w:numPr>
        <w:rPr/>
      </w:pPr>
      <w:bookmarkStart w:id="680" w:name="__RefHeading___Toc764054_3244359995"/>
      <w:bookmarkStart w:id="681" w:name="_Toc252"/>
      <w:bookmarkEnd w:id="680"/>
      <w:r>
        <w:rPr>
          <w:rtl w:val="true"/>
        </w:rPr>
        <w:t>اشارة</w:t>
      </w:r>
      <w:bookmarkEnd w:id="681"/>
    </w:p>
    <w:p>
      <w:pPr>
        <w:pStyle w:val="BookText"/>
        <w:rPr/>
      </w:pPr>
      <w:r>
        <w:rPr>
          <w:rFonts w:ascii="IRNazanin" w:hAnsi="IRNazanin" w:eastAsia="IRNazanin"/>
          <w:color w:val="111111"/>
          <w:sz w:val="28"/>
          <w:sz w:val="28"/>
          <w:szCs w:val="28"/>
          <w:rtl w:val="true"/>
          <w:lang w:bidi="fa-IR"/>
        </w:rPr>
        <w:t>عن أحدهما علیهما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أربع هو أو فی اثنتین، و قد أحرز الثنتین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رکعتین و أربع سجدات و هو قائم بفاتحة الکتاب، و یتشهّد و لا شی‌ء علیه، و إذا لم یدر فی ثلاث هو أو فی أربع، و قد أحرز الثلاث، قام فأضاف إلیها رکعة اخری،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682" w:name="pg13177_118037"/>
    </w:p>
    <w:p>
      <w:pPr>
        <w:pStyle w:val="BookText"/>
        <w:rPr/>
      </w:pPr>
      <w:bookmarkEnd w:id="682"/>
      <w:r>
        <w:rPr>
          <w:rFonts w:ascii="IRNazanin" w:hAnsi="IRNazanin" w:eastAsia="IRNazanin"/>
          <w:color w:val="111111"/>
          <w:sz w:val="28"/>
          <w:sz w:val="28"/>
          <w:szCs w:val="28"/>
          <w:rtl w:val="true"/>
          <w:lang w:bidi="fa-IR"/>
        </w:rPr>
        <w:t>الکلام هنا فی مراحل ثلاث مع رعایة الإجمال</w:t>
      </w:r>
      <w:r>
        <w:rPr>
          <w:rFonts w:eastAsia="IRNazanin" w:cs="IRNazanin"/>
          <w:color w:val="111111"/>
          <w:sz w:val="28"/>
          <w:szCs w:val="28"/>
          <w:rtl w:val="true"/>
          <w:lang w:bidi="fa-IR"/>
        </w:rPr>
        <w:t>:</w:t>
      </w:r>
    </w:p>
    <w:p>
      <w:pPr>
        <w:pStyle w:val="Heading6"/>
        <w:numPr>
          <w:ilvl w:val="5"/>
          <w:numId w:val="1"/>
        </w:numPr>
        <w:rPr/>
      </w:pPr>
      <w:bookmarkStart w:id="683" w:name="__RefHeading___Toc764056_3244359995"/>
      <w:bookmarkStart w:id="684" w:name="_Toc253"/>
      <w:bookmarkEnd w:id="683"/>
      <w:r>
        <w:rPr>
          <w:rtl w:val="true"/>
        </w:rPr>
        <w:t>المرحلة الاولی</w:t>
      </w:r>
      <w:r>
        <w:rPr>
          <w:rtl w:val="true"/>
        </w:rPr>
        <w:t xml:space="preserve">: </w:t>
      </w:r>
      <w:r>
        <w:rPr>
          <w:rtl w:val="true"/>
        </w:rPr>
        <w:t>حول مقتضی القاعدة فی مورد الشکّ فی الرکعات</w:t>
      </w:r>
      <w:bookmarkEnd w:id="684"/>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الإتیان بالزیادة الاحتمالیة؛ لأنّه علی کلّ تقدیر إذا أتی بالثنتین موصولة، فإمّا یکون ذلک موجبا للفراغ، أو تکون الزیادة غیر مبطلة؛ للشکّ فیها، فکما لو شکّ قبل الدخول فی الرکوع یجب علیه الرکوع؛ لأنّه مقتضی قاعدة الاشتغال، و احتمال الرکوع الزائد غیر مضرّ، کذلک الأمر بالنسبة إلی الرکعتین؛ و ذلک لأنّ الرکعة لیست إلّا الأجزاء، فلو شکّ قبل الدخول فی الرکوع یجب علیه الرکوع، فإذا أتی به ثمّ شکّ فی السجدتین تجب علیه السجدتان، و هکذا الأمر لو شکّ بین الثلاث و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وجوب إحراز الأربع بما هی أربع، فی غیر محلّه؛ ضرورة أنّه لو بنی علی الأربع، و أتی بالاحتیاطیّة، لم یحرز الأربع بما هی هی؛ لأنّ السلام العمدیّ انصراف و مضرّ و قاطع، مع أنّه فی الفرض المذکور یلزم عدم إحراز الأربع بالضرورة، کما لا یخفی</w:t>
      </w:r>
      <w:r>
        <w:rPr>
          <w:rFonts w:eastAsia="IRNazanin" w:cs="IRNazanin"/>
          <w:color w:val="111111"/>
          <w:sz w:val="28"/>
          <w:szCs w:val="28"/>
          <w:rtl w:val="true"/>
          <w:lang w:bidi="fa-IR"/>
        </w:rPr>
        <w:t>.</w:t>
      </w:r>
    </w:p>
    <w:p>
      <w:pPr>
        <w:pStyle w:val="Heading6"/>
        <w:numPr>
          <w:ilvl w:val="5"/>
          <w:numId w:val="1"/>
        </w:numPr>
        <w:rPr/>
      </w:pPr>
      <w:bookmarkStart w:id="685" w:name="__RefHeading___Toc764058_3244359995"/>
      <w:bookmarkStart w:id="686" w:name="_Toc254"/>
      <w:bookmarkEnd w:id="685"/>
      <w:r>
        <w:rPr>
          <w:rtl w:val="true"/>
        </w:rPr>
        <w:t>المرحلة الثانیة</w:t>
      </w:r>
      <w:r>
        <w:rPr>
          <w:rtl w:val="true"/>
        </w:rPr>
        <w:t xml:space="preserve">: </w:t>
      </w:r>
      <w:r>
        <w:rPr>
          <w:rtl w:val="true"/>
        </w:rPr>
        <w:t>فی فقه الروایة</w:t>
      </w:r>
      <w:bookmarkEnd w:id="686"/>
    </w:p>
    <w:p>
      <w:pPr>
        <w:pStyle w:val="Heading6"/>
        <w:numPr>
          <w:ilvl w:val="5"/>
          <w:numId w:val="1"/>
        </w:numPr>
        <w:rPr/>
      </w:pPr>
      <w:bookmarkStart w:id="687" w:name="__RefHeading___Toc764060_3244359995"/>
      <w:bookmarkStart w:id="688" w:name="_Toc255"/>
      <w:bookmarkEnd w:id="687"/>
      <w:r>
        <w:rPr>
          <w:rtl w:val="true"/>
        </w:rPr>
        <w:t>اشارة</w:t>
      </w:r>
      <w:bookmarkEnd w:id="68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الجملة الاولی فی الفرع الأوّل هو الإتیان بالرکعتین مفصولة؛ و ذلک لأنّ احتمال الإتیان بهما موصولة و إن کان یمکن، إلّا أنّ الظاهر هو الأوّل؛ و ذلک لأنّ مقتضی أصالة الجهة و التطابق هو الإتیان بهما مفصولة، ضرورة أنّ مقتضی وضوح المسألة هو الإتیان بأربع رکعات قائما، و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الشکّ یوجب أنّ النظر إلی حکم حدیث، و إلّا فلا حاجة إلی تذکیره علیه السّلام</w:t>
      </w:r>
    </w:p>
    <w:p>
      <w:pPr>
        <w:pStyle w:val="BookText"/>
        <w:rPr/>
      </w:pPr>
      <w:r>
        <w:rPr>
          <w:rFonts w:ascii="IRNazanin" w:hAnsi="IRNazanin" w:eastAsia="IRNazanin"/>
          <w:color w:val="111111"/>
          <w:sz w:val="28"/>
          <w:sz w:val="28"/>
          <w:szCs w:val="28"/>
          <w:rtl w:val="true"/>
          <w:lang w:bidi="fa-IR"/>
        </w:rPr>
        <w:t>بالإتیان بهما قائما، فهو دلیل علی أنّه یبنی علی الأربع و یتمّ، ثمّ یتدارک بالمفصولة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لحمل هذه الجملة علی التقیّة</w:t>
      </w:r>
      <w:r>
        <w:rPr>
          <w:rStyle w:val="FootnoteAnchor"/>
          <w:rtl w:val="true"/>
        </w:rPr>
        <w:footnoteReference w:id="833"/>
      </w:r>
      <w:r>
        <w:rPr>
          <w:rFonts w:ascii="IRNazanin" w:hAnsi="IRNazanin" w:eastAsia="IRNazanin"/>
          <w:color w:val="111111"/>
          <w:sz w:val="28"/>
          <w:sz w:val="28"/>
          <w:szCs w:val="28"/>
          <w:rtl w:val="true"/>
          <w:lang w:bidi="fa-IR"/>
        </w:rPr>
        <w:t>إلّا من جهة عدم التذکیر بالتشهّد و السلام، و لکنّه غیر تامّ؛ لأنّ حکم مثل هذه المسألة من هذه الجهة کان معلوما لمثل زرارة، بخلاف الإتیان بهما قائما؛ لإمکان جواز الإتیان بهما قاعدا، کما فی بعض الشکوک الاخر؛ بأن یأتی بأربع رکعات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البدویّ فیها هو تعیّن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التشهّد هنا، و عدم ذکره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یشهد علی أنّ المراد هی المفصولة؛ لاحتمال عدم وجوبه، لأنّه أتی بالتشهّد بعنوان الأربع، فإنّ المحرّر عندنا أنّ المفصولة لیست إلّا لتدارک النقیصة، لا تبدیل الامتثال کما ذهب إلیه الأکثر</w:t>
      </w:r>
      <w:r>
        <w:rPr>
          <w:rStyle w:val="FootnoteAnchor"/>
          <w:rtl w:val="true"/>
        </w:rPr>
        <w:footnoteReference w:id="834"/>
      </w:r>
      <w:r>
        <w:rPr>
          <w:rFonts w:ascii="IRNazanin" w:hAnsi="IRNazanin" w:eastAsia="IRNazanin"/>
          <w:color w:val="111111"/>
          <w:sz w:val="28"/>
          <w:sz w:val="28"/>
          <w:szCs w:val="28"/>
          <w:rtl w:val="true"/>
          <w:lang w:bidi="fa-IR"/>
        </w:rPr>
        <w:t>، و تفصیله فی تحریراتنا الفقهیّة</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القرینة الاولی لتوهّم أنّ المراد هی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الظهور فی الموصولة قطعیّ، فلا تجری فیها أصالة الجهة؛ لذهاب الأوزاعیّ و الشافعیّ و أحمد إلی تعیّن الفاتحة فی جمیع الرکعات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 التقیّة له شرائط، و هی هنا معدومة، مثلا هذه الروایة إمّا فی عصر الباقر علیه السّلام أو الصادق علیه السّلام و الشافعیّ و أحمد توفّیا سنة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وجه للخوف منهما، و الأوزاعیّ توفّی سنة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لم یکن فی عصرهما علیهما السّلام بشی‌ء، بل خلفاء الجور کانوا متّبعین لرأی أبی حنیفة المتوفّی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أیضا کان مفقودا فی عصر صدور الروایة؛ کی تحمل علی خلاف جهة الصدور، فالروایة من جهة التقیّة نقیّة عندنا علی تقدیر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الجملة الاولی لا معارضة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الجملة الثانیة، فهی و إن کانت ظاهرة فی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بعد فقد الشواهد فی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تعیّن القیام، مع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فأضاف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الوصل إلّا أنّ احتمال حدوث المتّقی منه فی الأثناء بعید جدّا، مع أنّ الجملة الثانیة بدویّة، و لیست جوابا، و لا یخفی علی الإمام علیه السّلام وجود المتّقی منه فی المجلس؛ کی تلزم السعایة عند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 بعض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ذکر الفاتحة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 أنّ مثل أولئک المذکورین لم یکونوا مورد الاتقاء، و إلّا کان ینبغی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فأضاف إلیها رکعة اخری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المنظور تجویز القیام فی قبال الأخبار الاخر الظاهرة فی تعیّن القعود</w:t>
      </w:r>
      <w:r>
        <w:rPr>
          <w:rStyle w:val="FootnoteAnchor"/>
          <w:rtl w:val="true"/>
        </w:rPr>
        <w:footnoteReference w:id="837"/>
      </w:r>
      <w:r>
        <w:rPr>
          <w:rFonts w:ascii="IRNazanin" w:hAnsi="IRNazanin" w:eastAsia="IRNazanin"/>
          <w:color w:val="111111"/>
          <w:sz w:val="28"/>
          <w:sz w:val="28"/>
          <w:szCs w:val="28"/>
          <w:rtl w:val="true"/>
          <w:lang w:bidi="fa-IR"/>
        </w:rPr>
        <w:t xml:space="preserve">، و لذلک ذهب جمع إلیه </w:t>
      </w:r>
      <w:r>
        <w:rPr>
          <w:rStyle w:val="FootnoteAnchor"/>
          <w:rtl w:val="true"/>
        </w:rPr>
        <w:footnoteReference w:id="838"/>
      </w:r>
      <w:r>
        <w:rPr>
          <w:rFonts w:ascii="IRNazanin" w:hAnsi="IRNazanin" w:eastAsia="IRNazanin"/>
          <w:color w:val="111111"/>
          <w:sz w:val="28"/>
          <w:sz w:val="28"/>
          <w:szCs w:val="28"/>
          <w:rtl w:val="true"/>
          <w:lang w:bidi="fa-IR"/>
        </w:rPr>
        <w:t>، و جمع من المتأخّرین إلی الاحتیاط هنا؛ بأن یأتی بها قاعدا</w:t>
      </w:r>
      <w:r>
        <w:rPr>
          <w:rStyle w:val="FootnoteAnchor"/>
          <w:rtl w:val="true"/>
        </w:rPr>
        <w:footnoteReference w:id="839"/>
      </w:r>
      <w:r>
        <w:rPr>
          <w:rFonts w:ascii="IRNazanin" w:hAnsi="IRNazanin" w:eastAsia="IRNazanin"/>
          <w:color w:val="111111"/>
          <w:sz w:val="28"/>
          <w:sz w:val="28"/>
          <w:szCs w:val="28"/>
          <w:rtl w:val="true"/>
          <w:lang w:bidi="fa-IR"/>
        </w:rPr>
        <w:t>، فعدم ذکر التخییر لمعلومیّته، فیکون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تلک الأخبار فی مقام الجمع لازما؛ لیعلم جوازه، کما ذهب المشهور إلی التخییر فی الشکّ بین الاثنتین و الثلاث بعد إکمال السجدتین </w:t>
      </w:r>
      <w:r>
        <w:rPr>
          <w:rStyle w:val="FootnoteAnchor"/>
          <w:rtl w:val="true"/>
        </w:rPr>
        <w:footnoteReference w:id="840"/>
      </w:r>
      <w:r>
        <w:rPr>
          <w:rFonts w:ascii="IRNazanin" w:hAnsi="IRNazanin" w:eastAsia="IRNazanin"/>
          <w:color w:val="111111"/>
          <w:sz w:val="28"/>
          <w:sz w:val="28"/>
          <w:szCs w:val="28"/>
          <w:rtl w:val="true"/>
          <w:lang w:bidi="fa-IR"/>
        </w:rPr>
        <w:t>، فأصالة جهة الصدور باقیة فی فقه الحدیث علی الأظهر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فی مورد دوران الأمر بین أصالة الجهة، و بین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w:t>
      </w:r>
      <w:bookmarkStart w:id="689" w:name="pg13177_118040"/>
    </w:p>
    <w:p>
      <w:pPr>
        <w:pStyle w:val="BookText"/>
        <w:rPr/>
      </w:pPr>
      <w:bookmarkEnd w:id="689"/>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تعیّن الموصولة، مع وجود الأخبار الاخر الصریحة فی جواز القعود</w:t>
      </w:r>
      <w:r>
        <w:rPr>
          <w:rStyle w:val="FootnoteAnchor"/>
          <w:rtl w:val="true"/>
        </w:rPr>
        <w:footnoteReference w:id="841"/>
      </w:r>
      <w:r>
        <w:rPr>
          <w:rFonts w:ascii="IRNazanin" w:hAnsi="IRNazanin" w:eastAsia="IRNazanin"/>
          <w:color w:val="111111"/>
          <w:sz w:val="28"/>
          <w:sz w:val="28"/>
          <w:szCs w:val="28"/>
          <w:rtl w:val="true"/>
          <w:lang w:bidi="fa-IR"/>
        </w:rPr>
        <w:t>، لا یبقی وجه لتخیّل تقدیم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قطع النظر عن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الأمر أیضا کما تحرّر؛ لاحتمال اشتهار المسألة و الإتیان بها قاعدا، فأفاد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یجوز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فأضاف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ذکر التشهّد، مشکلة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حدیث امتناع الإضافة و الزیادة الواقعیّة، و هو و إن أمکن عقلا، و لکنّه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فأضاف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عدم الإتیان بالرابعة؛ و لیس ما یأتی به إضافة، بخلاف ما إذا ارید به المنفصلة، فإنّه أمر جدید و صلاة مستقلّة، و یجوز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إلیها صلاة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قیل فی موارد النوافل المأتیّ بها قاعدا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یضیف إلیها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النسخة الموجودة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أضاف إلیها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764062_3244359995"/>
      <w:bookmarkStart w:id="691" w:name="_Toc256"/>
      <w:bookmarkEnd w:id="690"/>
      <w:r>
        <w:rPr>
          <w:rtl w:val="true"/>
        </w:rPr>
        <w:t>تکملة</w:t>
      </w:r>
      <w:r>
        <w:rPr>
          <w:rtl w:val="true"/>
        </w:rPr>
        <w:t xml:space="preserve">: </w:t>
      </w:r>
      <w:r>
        <w:rPr>
          <w:rtl w:val="true"/>
        </w:rPr>
        <w:t>حول حجّیة هذه الروایة لو کانت تقیّة</w:t>
      </w:r>
      <w:bookmarkEnd w:id="691"/>
    </w:p>
    <w:p>
      <w:pPr>
        <w:pStyle w:val="BookText"/>
        <w:rPr/>
      </w:pPr>
      <w:r>
        <w:rPr>
          <w:rFonts w:ascii="IRNazanin" w:hAnsi="IRNazanin" w:eastAsia="IRNazanin"/>
          <w:color w:val="111111"/>
          <w:sz w:val="28"/>
          <w:sz w:val="28"/>
          <w:szCs w:val="28"/>
          <w:rtl w:val="true"/>
          <w:lang w:bidi="fa-IR"/>
        </w:rPr>
        <w:t>فإنّ الإعراض و مخالفتها للشهرة توجب عدم حجّیتها، و إنّما التقیة من المرجّحات عند جمع أو الممیّزات، و أمّا الشهرة فیما نحن فیه فهی من الممیّزات بالضرورة، و علی هذا تندرج المسألة فی مسألة التفکیک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 أسوأ حالا منه، کما یظهر إن شاء اللّه تعالی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إمکان کون التطبیق تقیّة دون الکبری الکلّیة، غیر کاف؛ لأنّ المسألة</w:t>
      </w:r>
      <w:bookmarkStart w:id="692" w:name="pg13177_118041"/>
    </w:p>
    <w:p>
      <w:pPr>
        <w:pStyle w:val="BookText"/>
        <w:rPr/>
      </w:pPr>
      <w:bookmarkEnd w:id="692"/>
      <w:r>
        <w:rPr>
          <w:rFonts w:ascii="IRNazanin" w:hAnsi="IRNazanin" w:eastAsia="IRNazanin"/>
          <w:color w:val="111111"/>
          <w:sz w:val="28"/>
          <w:sz w:val="28"/>
          <w:szCs w:val="28"/>
          <w:rtl w:val="true"/>
          <w:lang w:bidi="fa-IR"/>
        </w:rPr>
        <w:t xml:space="preserve">علی مبنی عقلائیّ، فالأمثلة المذکورة فی کلمات العلّامة الأراکیّ </w:t>
      </w:r>
      <w:r>
        <w:rPr>
          <w:rStyle w:val="FootnoteAnchor"/>
          <w:rtl w:val="true"/>
        </w:rPr>
        <w:footnoteReference w:id="843"/>
      </w:r>
      <w:r>
        <w:rPr>
          <w:rFonts w:ascii="Amiri" w:hAnsi="Amiri" w:eastAsia="Amiri" w:cs="Amiri"/>
          <w:color w:val="111111"/>
          <w:sz w:val="28"/>
          <w:sz w:val="28"/>
          <w:szCs w:val="28"/>
          <w:rtl w:val="true"/>
          <w:lang w:bidi="ar-SA"/>
        </w:rPr>
        <w:t xml:space="preserve">و النائینیّ </w:t>
      </w:r>
      <w:r>
        <w:rPr>
          <w:rStyle w:val="FootnoteAnchor"/>
          <w:rtl w:val="true"/>
        </w:rPr>
        <w:footnoteReference w:id="844"/>
      </w:r>
      <w:r>
        <w:rPr>
          <w:rFonts w:ascii="IRNazanin" w:hAnsi="IRNazanin" w:eastAsia="IRNazanin"/>
          <w:color w:val="111111"/>
          <w:sz w:val="28"/>
          <w:sz w:val="28"/>
          <w:szCs w:val="28"/>
          <w:rtl w:val="true"/>
          <w:lang w:bidi="fa-IR"/>
        </w:rPr>
        <w:t>و غیرهما</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مفروضیّتها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کافیة؛ لأنّ البحث حول الأمر الزائد علی الإمکان، و إنّما الحاجة إلی قیام دلیل علی حجّیة الروایة علی وجه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أشرنا إلیه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الفرعین مضافا إلی موافقتهما بحسب الدلالة الابتدائیّة للمذهب الحقّ؛ و هو الإتیان مفصولة، یکون مقتضی الجمع العرفیّ و العقلائیّ بینها و بین سائر الأخبار، ذلک أیضا؛ ضرورة أنّ المشهور خبرا</w:t>
      </w:r>
      <w:r>
        <w:rPr>
          <w:rStyle w:val="FootnoteAnchor"/>
          <w:rtl w:val="true"/>
        </w:rPr>
        <w:footnoteReference w:id="846"/>
      </w:r>
      <w:r>
        <w:rPr>
          <w:rFonts w:ascii="IRNazanin" w:hAnsi="IRNazanin" w:eastAsia="IRNazanin"/>
          <w:color w:val="111111"/>
          <w:sz w:val="28"/>
          <w:sz w:val="28"/>
          <w:szCs w:val="28"/>
          <w:rtl w:val="true"/>
          <w:lang w:bidi="fa-IR"/>
        </w:rPr>
        <w:t xml:space="preserve">و فتوی هو العقود فی الفرع الثانی </w:t>
      </w:r>
      <w:r>
        <w:rPr>
          <w:rStyle w:val="FootnoteAnchor"/>
          <w:rtl w:val="true"/>
        </w:rPr>
        <w:footnoteReference w:id="847"/>
      </w:r>
      <w:r>
        <w:rPr>
          <w:rFonts w:ascii="IRNazanin" w:hAnsi="IRNazanin" w:eastAsia="IRNazanin"/>
          <w:color w:val="111111"/>
          <w:sz w:val="28"/>
          <w:sz w:val="28"/>
          <w:szCs w:val="28"/>
          <w:rtl w:val="true"/>
          <w:lang w:bidi="fa-IR"/>
        </w:rPr>
        <w:t>، و حیث کان المعروف فی عصر الروایة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هو المعروف بین أرباب الکتب و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اشیر إلی أنّ القعود غیر متعیّن، و القیام مرخّص فیه، و لا معنی للأمر بالقیام متّصلة بعد کون ذلک مقتضی القاعدة، کما عرفت فی الجهة الاولی </w:t>
      </w:r>
      <w:r>
        <w:rPr>
          <w:rStyle w:val="FootnoteAnchor"/>
          <w:rtl w:val="true"/>
        </w:rPr>
        <w:footnoteReference w:id="848"/>
      </w:r>
      <w:r>
        <w:rPr>
          <w:rFonts w:ascii="IRNazanin" w:hAnsi="IRNazanin" w:eastAsia="IRNazanin"/>
          <w:color w:val="111111"/>
          <w:sz w:val="28"/>
          <w:sz w:val="28"/>
          <w:szCs w:val="28"/>
          <w:rtl w:val="true"/>
          <w:lang w:bidi="fa-IR"/>
        </w:rPr>
        <w:t>،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یفید جواز المفصولة قاعدا و قائما، و یفید مذهب الحقّ</w:t>
      </w:r>
      <w:r>
        <w:rPr>
          <w:rFonts w:eastAsia="IRNazanin" w:cs="IRNazanin"/>
          <w:color w:val="111111"/>
          <w:sz w:val="28"/>
          <w:szCs w:val="28"/>
          <w:rtl w:val="true"/>
          <w:lang w:bidi="fa-IR"/>
        </w:rPr>
        <w:t>.</w:t>
      </w:r>
    </w:p>
    <w:p>
      <w:pPr>
        <w:pStyle w:val="Heading6"/>
        <w:numPr>
          <w:ilvl w:val="5"/>
          <w:numId w:val="1"/>
        </w:numPr>
        <w:rPr/>
      </w:pPr>
      <w:bookmarkStart w:id="693" w:name="__RefHeading___Toc764064_3244359995"/>
      <w:bookmarkStart w:id="694" w:name="_Toc257"/>
      <w:bookmarkEnd w:id="693"/>
      <w:r>
        <w:rPr>
          <w:rtl w:val="true"/>
        </w:rPr>
        <w:t>المرحلة الثالثة</w:t>
      </w:r>
      <w:r>
        <w:rPr>
          <w:rtl w:val="true"/>
        </w:rPr>
        <w:t xml:space="preserve">: </w:t>
      </w:r>
      <w:r>
        <w:rPr>
          <w:rtl w:val="true"/>
        </w:rPr>
        <w:t>فیما یرتبط بما نحن فیه و هو قوله علیه السّلام</w:t>
      </w:r>
      <w:r>
        <w:rPr>
          <w:rtl w:val="true"/>
        </w:rPr>
        <w:t>: «</w:t>
      </w:r>
      <w:r>
        <w:rPr>
          <w:rtl w:val="true"/>
        </w:rPr>
        <w:t xml:space="preserve">و لا ینقض الیقین بالشکّ </w:t>
      </w:r>
      <w:r>
        <w:rPr>
          <w:rtl w:val="true"/>
        </w:rPr>
        <w:t>...»</w:t>
      </w:r>
      <w:bookmarkEnd w:id="694"/>
    </w:p>
    <w:p>
      <w:pPr>
        <w:pStyle w:val="Heading6"/>
        <w:numPr>
          <w:ilvl w:val="5"/>
          <w:numId w:val="1"/>
        </w:numPr>
        <w:rPr/>
      </w:pPr>
      <w:bookmarkStart w:id="695" w:name="__RefHeading___Toc764066_3244359995"/>
      <w:bookmarkStart w:id="696" w:name="_Toc258"/>
      <w:bookmarkEnd w:id="695"/>
      <w:r>
        <w:rPr>
          <w:rtl w:val="true"/>
        </w:rPr>
        <w:t>اشارة</w:t>
      </w:r>
      <w:bookmarkEnd w:id="69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أنّه بعد شدّة ارتباط هذه الجمل بالسابقة، لا یمکن حمل الفرعین علی خلاف المذهب، و الأخذ بهذه الجمل لحجّیة الاستصحاب؛ لأنّ</w:t>
      </w:r>
    </w:p>
    <w:p>
      <w:pPr>
        <w:pStyle w:val="BookText"/>
        <w:rPr/>
      </w:pPr>
      <w:r>
        <w:rPr>
          <w:rFonts w:ascii="IRNazanin" w:hAnsi="IRNazanin" w:eastAsia="IRNazanin"/>
          <w:color w:val="111111"/>
          <w:sz w:val="28"/>
          <w:sz w:val="28"/>
          <w:szCs w:val="28"/>
          <w:rtl w:val="true"/>
          <w:lang w:bidi="fa-IR"/>
        </w:rPr>
        <w:t>أصالة عدم السهو و الخطأ و الغفلة و النسیان و الاشتباه، تجری فی موارد عدم وجود ما یصلح للقرینیّة، فلو کان الفرعان أو الثانی خلاف المذهب، و ساقطا غیر معتبر فلا معنی لتوهّم حجّیة الکبری؛ لعدم دلیل علی التفکیک، و بناء العقلاء لا یقتضی فی هذه الموارد حجّیتها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فلازم ما توهّمه القوم سقوط الصحیحة الثالثة عن سندیّتها لحجّیة الاستصحاب؛ لأنّ المفروض فقدان الدلیل علیها، و انحصاره فیها، فلا یقاس بالأمثلة الاخری المذکورة فی حدیث الرفع فی قصّة التمسّک به علی بطلان الحلف بالطلاق و العتاق و الصدقة و غیر ذلک </w:t>
      </w:r>
      <w:r>
        <w:rPr>
          <w:rStyle w:val="FootnoteAnchor"/>
          <w:rtl w:val="true"/>
        </w:rPr>
        <w:footnoteReference w:id="849"/>
      </w:r>
      <w:r>
        <w:rPr>
          <w:rFonts w:ascii="IRNazanin" w:hAnsi="IRNazanin" w:eastAsia="IRNazanin"/>
          <w:color w:val="111111"/>
          <w:sz w:val="28"/>
          <w:sz w:val="28"/>
          <w:szCs w:val="28"/>
          <w:rtl w:val="true"/>
          <w:lang w:bidi="fa-IR"/>
        </w:rPr>
        <w:t>،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هنا یظهر وجه ضعف کلمات القوم </w:t>
      </w:r>
      <w:r>
        <w:rPr>
          <w:rStyle w:val="FootnoteAnchor"/>
          <w:rtl w:val="true"/>
        </w:rPr>
        <w:footnoteReference w:id="850"/>
      </w:r>
      <w:r>
        <w:rPr>
          <w:rFonts w:ascii="IRNazanin" w:hAnsi="IRNazanin" w:eastAsia="IRNazanin"/>
          <w:color w:val="111111"/>
          <w:sz w:val="28"/>
          <w:sz w:val="28"/>
          <w:szCs w:val="28"/>
          <w:rtl w:val="true"/>
          <w:lang w:bidi="fa-IR"/>
        </w:rPr>
        <w:t xml:space="preserve">، و وجه ضعف احتمال الشیخ رحمه اللّه بالنسبة إلی فقه الحدیث </w:t>
      </w:r>
      <w:r>
        <w:rPr>
          <w:rStyle w:val="FootnoteAnchor"/>
          <w:rtl w:val="true"/>
        </w:rPr>
        <w:footnoteReference w:id="851"/>
      </w:r>
      <w:r>
        <w:rPr>
          <w:rFonts w:ascii="IRNazanin" w:hAnsi="IRNazanin" w:eastAsia="IRNazanin"/>
          <w:color w:val="111111"/>
          <w:sz w:val="28"/>
          <w:sz w:val="28"/>
          <w:szCs w:val="28"/>
          <w:rtl w:val="true"/>
          <w:lang w:bidi="fa-IR"/>
        </w:rPr>
        <w:t>، و هکذا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هذه الجمل، فهی و إن کانت تتحمّل الاحتمالات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و غیره </w:t>
      </w:r>
      <w:r>
        <w:rPr>
          <w:rStyle w:val="FootnoteAnchor"/>
          <w:rtl w:val="true"/>
        </w:rPr>
        <w:footnoteReference w:id="854"/>
      </w:r>
      <w:r>
        <w:rPr>
          <w:rFonts w:ascii="IRNazanin" w:hAnsi="IRNazanin" w:eastAsia="IRNazanin"/>
          <w:color w:val="111111"/>
          <w:sz w:val="28"/>
          <w:sz w:val="28"/>
          <w:szCs w:val="28"/>
          <w:rtl w:val="true"/>
          <w:lang w:bidi="fa-IR"/>
        </w:rPr>
        <w:t>، إلّا أنّا لا نطیل الکلام بذکرها، فإنّ الذی یظهر لی بعد التأمّل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الاولی، هما الیقین و الشکّ الاستصحابیّین، و یکونان هما بنفسهما و بعنوانهما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 دلیلا علی أنّ القیام للرکعة الاخری أو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الأخبار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لأنّه کان علی یقین بوجوب الأربع الموصولة إذا لم یشکّ، و المفصولة إذا شکّ؛ و أنّ ذلک من الأحکام الواقعیّة الأوّلیة،</w:t>
      </w:r>
    </w:p>
    <w:p>
      <w:pPr>
        <w:pStyle w:val="BookText"/>
        <w:rPr/>
      </w:pPr>
      <w:r>
        <w:rPr>
          <w:rFonts w:ascii="IRNazanin" w:hAnsi="IRNazanin" w:eastAsia="IRNazanin"/>
          <w:color w:val="111111"/>
          <w:sz w:val="28"/>
          <w:sz w:val="28"/>
          <w:szCs w:val="28"/>
          <w:rtl w:val="true"/>
          <w:lang w:bidi="fa-IR"/>
        </w:rPr>
        <w:t>و إذا شکّ فعلیه المفصولة، و عدم الاکتفاء بالثلاث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ارید حسب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معناهما، و لا شبهة فی انتقاض الیقین بوجوب الموصولة؛ لاحتمال الإتیان بها، و لکنّه تعبّدا لا ینتقض ذلک الیقین بالشکّ، فعلیه الوظیفة المحرّرة للشاکّ فی الرکعات کی ینتقض عملا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علی یقین بالأربع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کما فی کلام العلّامة النائینیّ رحمه اللّه </w:t>
      </w:r>
      <w:r>
        <w:rPr>
          <w:rStyle w:val="FootnoteAnchor"/>
          <w:rtl w:val="true"/>
        </w:rPr>
        <w:footnoteReference w:id="855"/>
      </w:r>
      <w:r>
        <w:rPr>
          <w:rFonts w:ascii="IRNazanin" w:hAnsi="IRNazanin" w:eastAsia="IRNazanin"/>
          <w:color w:val="111111"/>
          <w:sz w:val="28"/>
          <w:sz w:val="28"/>
          <w:szCs w:val="28"/>
          <w:rtl w:val="true"/>
          <w:lang w:bidi="fa-IR"/>
        </w:rPr>
        <w:t>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وجوب المفصولة لا ینافی الاستصحاب، مع أنّه کان علی یقین بوجوب الأربع الموصولة إذا لم یشکّ فی الأثناء، فتأمّل، و سیمرّ علیک بعض الکلام حوله إن شاء اللّه تعالی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کان علی یقین بالأربع الموصولة، إلّا أنّه إذا شکّ فی المصداق المشتغل به کانت وظیفته المفصولة، و عندئذ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المشکوک فی الثلاث المحرزة؛ و ذلک لأنّ الإدخال و الاختلاط باختیاره، بخلاف الیقین و الشکّ و النقض المستند إلی الیقین، فهاهنا قرینة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الثانیة هو المتیقّن و المشکوک، و هی الرکعات الثلاث الموصولة، و الرابعة المشکوکة التی باختیاره وصلا و فصلا، فقد نهی عن الوصل و الخلط و الإدخال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ذلک شواهد علی أنّ الفرعین مطابقان للمذهب، و علی أنّ الاستصحاب حجّة، و هو استصحاب الاشتغال، و تشهد الروایة علی أنّه فی موارد الشکّ فی الفراغ، یکون الاستصحاب محکّما، لا القاعدة، کما هو التحقیق عندنا، و حرّرناه فی محلّه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bookmarkStart w:id="697" w:name="pg13177_118044"/>
    </w:p>
    <w:p>
      <w:pPr>
        <w:pStyle w:val="BookText"/>
        <w:rPr/>
      </w:pPr>
      <w:bookmarkEnd w:id="697"/>
      <w:r>
        <w:rPr>
          <w:rFonts w:ascii="IRNazanin" w:hAnsi="IRNazanin" w:eastAsia="IRNazanin"/>
          <w:color w:val="111111"/>
          <w:sz w:val="28"/>
          <w:sz w:val="28"/>
          <w:szCs w:val="28"/>
          <w:rtl w:val="true"/>
          <w:lang w:bidi="fa-IR"/>
        </w:rPr>
        <w:t>و إلیه یشیر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الشکّ فی الفراغ بالیقین بالفراغ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بالفراغ تعبّدا، و لذلک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أنّه لا یعقل إلّا علی نحو البناء العملیّ، و إذا کان صاحب الیقین بالاشتغال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یحصل له الیقین بالفراغ تعبّدا</w:t>
      </w:r>
      <w:r>
        <w:rPr>
          <w:rFonts w:eastAsia="IRNazanin" w:cs="IRNazanin"/>
          <w:color w:val="111111"/>
          <w:sz w:val="28"/>
          <w:szCs w:val="28"/>
          <w:rtl w:val="true"/>
          <w:lang w:bidi="fa-IR"/>
        </w:rPr>
        <w:t>.</w:t>
      </w:r>
    </w:p>
    <w:p>
      <w:pPr>
        <w:pStyle w:val="Heading6"/>
        <w:numPr>
          <w:ilvl w:val="5"/>
          <w:numId w:val="1"/>
        </w:numPr>
        <w:rPr/>
      </w:pPr>
      <w:bookmarkStart w:id="698" w:name="__RefHeading___Toc764068_3244359995"/>
      <w:bookmarkStart w:id="699" w:name="_Toc259"/>
      <w:bookmarkEnd w:id="698"/>
      <w:r>
        <w:rPr>
          <w:rtl w:val="true"/>
        </w:rPr>
        <w:t>تکمیل</w:t>
      </w:r>
      <w:r>
        <w:rPr>
          <w:rtl w:val="true"/>
        </w:rPr>
        <w:t xml:space="preserve">: </w:t>
      </w:r>
      <w:r>
        <w:rPr>
          <w:rtl w:val="true"/>
        </w:rPr>
        <w:t>الاستدلال بالمعتبرة الثالثة لزرارة</w:t>
      </w:r>
      <w:bookmarkEnd w:id="69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مجری الاستصحاب نفس الیقین بالاشتغال و الشکّ فی بقاء الشغل، و ینتقض الیقین بیقین آخر، کما ورد فی الروایة السابقة؛ بناء علی دلالتها علی الاستصحاب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الیقین بالاشتغال لا أثر له، فی غیر محلّه؛ لما سیمرّ علیک فی التنبیهات من عدم لزوم کون المستصحب حکما أو موضوعا ذا حکم </w:t>
      </w:r>
      <w:r>
        <w:rPr>
          <w:rStyle w:val="FootnoteAnchor"/>
          <w:rtl w:val="true"/>
        </w:rPr>
        <w:footnoteReference w:id="858"/>
      </w:r>
      <w:r>
        <w:rPr>
          <w:rFonts w:ascii="IRNazanin" w:hAnsi="IRNazanin" w:eastAsia="IRNazanin"/>
          <w:color w:val="111111"/>
          <w:sz w:val="28"/>
          <w:sz w:val="28"/>
          <w:szCs w:val="28"/>
          <w:rtl w:val="true"/>
          <w:lang w:bidi="fa-IR"/>
        </w:rPr>
        <w:t>، کما هو کذلک فی استصحاب عدم الجعل و الوجوب و الحرمة، و فی استصحاب الأعدام المضافة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و الشکّ فعلیّان علی نحو القضایا الحقیقیّة فی ظرف وجود موضوعاتها، و إلّا فالإمام علیه السّلام لیس بشاکّ، و مع ذلک یحکم بحجّیة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الشکّ لیس رکنا عندنا، بل هو کالشکّ فی موارد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 أن یکون المستصحب اشتغاله بالأمر المعیّن المعلوم، و لا معنی لأن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بالتکلیف المجمل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معلوم بحسب مقام جعل التکلیف علی الطبیعة، فإنّه علی یقین عند دخول الوقت باشتغال ذمّته بالأربع الموصولة، إلّا أنّه بعد الاشتغال الخارجیّ بالصلاة و طروّ الشکّ، لا بدّ من الیقین بفراغ ذمّته، و الإتیان مفصولة موجب</w:t>
      </w:r>
    </w:p>
    <w:p>
      <w:pPr>
        <w:pStyle w:val="BookText"/>
        <w:rPr/>
      </w:pPr>
      <w:r>
        <w:rPr>
          <w:rFonts w:ascii="IRNazanin" w:hAnsi="IRNazanin" w:eastAsia="IRNazanin"/>
          <w:color w:val="111111"/>
          <w:sz w:val="28"/>
          <w:sz w:val="28"/>
          <w:szCs w:val="28"/>
          <w:rtl w:val="true"/>
          <w:lang w:bidi="fa-IR"/>
        </w:rPr>
        <w:t xml:space="preserve">لفراغ الذمّة تعبّدا، و هذا لیس تعبّدا مطلقا،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و التقریرات للنائینیّ رحمه اللّه </w:t>
      </w:r>
      <w:r>
        <w:rPr>
          <w:rStyle w:val="FootnoteAnchor"/>
          <w:rtl w:val="true"/>
        </w:rPr>
        <w:footnoteReference w:id="860"/>
      </w:r>
      <w:r>
        <w:rPr>
          <w:rFonts w:ascii="IRNazanin" w:hAnsi="IRNazanin" w:eastAsia="IRNazanin"/>
          <w:color w:val="111111"/>
          <w:sz w:val="28"/>
          <w:sz w:val="28"/>
          <w:szCs w:val="28"/>
          <w:rtl w:val="true"/>
          <w:lang w:bidi="fa-IR"/>
        </w:rPr>
        <w:t>بل حکومة بحسب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بعدم الإتیان بالرابعة؛ لأنّ التعبّد به من المثبتات، و هم لا یقولون به؛ ضرورة أنّ الواجب هو الصلاة الفانیة فیها الأجزاء و الرکعات؛ حسبما تحرّر فی الأقلّ و الأکثر</w:t>
      </w:r>
      <w:r>
        <w:rPr>
          <w:rStyle w:val="FootnoteAnchor"/>
          <w:rtl w:val="true"/>
        </w:rPr>
        <w:footnoteReference w:id="861"/>
      </w:r>
      <w:r>
        <w:rPr>
          <w:rFonts w:ascii="IRNazanin" w:hAnsi="IRNazanin" w:eastAsia="IRNazanin"/>
          <w:color w:val="111111"/>
          <w:sz w:val="28"/>
          <w:sz w:val="28"/>
          <w:szCs w:val="28"/>
          <w:rtl w:val="true"/>
          <w:lang w:bidi="fa-IR"/>
        </w:rPr>
        <w:t>، فهناک تقیّد و معنی حرفیّ لا یمکن إحرازه بعدم الإتیان بالرابعة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المجعول علی نعت الکلّی العنوانیّ هو التمام مثلا، و هو متعلّق الیقین؛ أی هو علی یقین بوجوب الأربع الموصولة، و لا شکّ فی أنّه إذا أتی بالمفصولة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الأدلّة الخاصّة المتکفّلة لحال المکلّف عند الاشتغال بالمصداق و الإتیان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أمرا أجنبیّا عن الاستصحاب، فیسقط جمیع ما افید فی تقریرات الأساتذة و التلامذة، بخلاف ما إذا کان المستصحب اشتغاله بالتکلیف من غیر النظر إلی الصلاة و غیرها فی الجملة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قانون عامّ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فی سائر الأخبار، و فی نفس هذا الخبر عند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الشکّ و الیقین الحاصلان بعد الشکّ القابل لناقضیّة الیقین الأوّل حکومة و ادعاء؛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فیبنی علیه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استصحاب عدم الإتیان بالرکعة الواجبة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الموصولة حسبما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فقدان الشکّ، و بقاء الیقین أو المتیقّن تعبّدا، و لا یعقل اندراجه فی أدلّة الشکوک بین الأقلّ و الأکثر؛ للزوم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خصوص الصحیحة الثالثة</w:t>
      </w:r>
    </w:p>
    <w:p>
      <w:pPr>
        <w:pStyle w:val="BookText"/>
        <w:rPr/>
      </w:pPr>
      <w:r>
        <w:rPr>
          <w:rFonts w:ascii="IRNazanin" w:hAnsi="IRNazanin" w:eastAsia="IRNazanin"/>
          <w:color w:val="111111"/>
          <w:sz w:val="28"/>
          <w:sz w:val="28"/>
          <w:szCs w:val="28"/>
          <w:rtl w:val="true"/>
          <w:lang w:bidi="fa-IR"/>
        </w:rPr>
        <w:t>أیضا لا معنی للتقیید بالنسبة إلی أدلّة الاستصحاب؛ لأنّ إحدی القضیّتین رکن فیه، فلو شکّ بقاء عهدته بالصلاة،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الزکاة، لا یکون ذلک تقییدا لإطلاق دلیل الاستصحاب، کما فی کلماتهم </w:t>
      </w:r>
      <w:r>
        <w:rPr>
          <w:rStyle w:val="FootnoteAnchor"/>
          <w:rtl w:val="true"/>
        </w:rPr>
        <w:footnoteReference w:id="862"/>
      </w:r>
      <w:r>
        <w:rPr>
          <w:rFonts w:ascii="IRNazanin" w:hAnsi="IRNazanin" w:eastAsia="IRNazanin"/>
          <w:color w:val="111111"/>
          <w:sz w:val="28"/>
          <w:sz w:val="28"/>
          <w:szCs w:val="28"/>
          <w:rtl w:val="true"/>
          <w:lang w:bidi="fa-IR"/>
        </w:rPr>
        <w:t>علی ما اشیر إلیه،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أقرب إلی الجملات المذکورة فی الصحیحة إثباتا، و أخلص من الشبهات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ما ذکرناه حجّیة الاستصحاب علی الإطلاق، لا فی خصوص الرکعات، و أمّا علی ما أفاده القوم فیصحّ الإشکال کما اشیر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و لا یکفی جوابا عنه، الاستدلال بالأخبار الاخر</w:t>
      </w:r>
      <w:r>
        <w:rPr>
          <w:rStyle w:val="FootnoteAnchor"/>
          <w:rtl w:val="true"/>
        </w:rPr>
        <w:footnoteReference w:id="864"/>
      </w:r>
      <w:r>
        <w:rPr>
          <w:rFonts w:ascii="IRNazanin" w:hAnsi="IRNazanin" w:eastAsia="IRNazanin"/>
          <w:color w:val="111111"/>
          <w:sz w:val="28"/>
          <w:sz w:val="28"/>
          <w:szCs w:val="28"/>
          <w:rtl w:val="true"/>
          <w:lang w:bidi="fa-IR"/>
        </w:rPr>
        <w:t>کما هو الظاهر، و لا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لأنّ عمومه أو إطلاقه یقتضی الاحتیاط فی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 الشکّ الاستصحابیّ 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مجمل سار، أو ناظر إلی حال من حالات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بالاشتغال، فیشکل أیضا عموم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المتّبع هو إطلاق القاعدة الکلّیة و الضباطة العامّة، و إنّما أردنا فیما سبق توضیح مفاد الروایة بحسب المورد؛ لأجل انحلال الکلّیة العامّة انحلالا حکمیّا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الروایة مع اغتشاشها حسب فهمنا، فی غایة الاعتلاء؛ لاحتوائها علی مسائل اصولیّة عملیّة و علمیّة</w:t>
      </w:r>
      <w:r>
        <w:rPr>
          <w:rFonts w:eastAsia="IRNazanin" w:cs="IRNazanin"/>
          <w:color w:val="111111"/>
          <w:sz w:val="28"/>
          <w:szCs w:val="28"/>
          <w:rtl w:val="true"/>
          <w:lang w:bidi="fa-IR"/>
        </w:rPr>
        <w:t>.</w:t>
      </w:r>
      <w:bookmarkStart w:id="700" w:name="pg13177_118047"/>
    </w:p>
    <w:p>
      <w:pPr>
        <w:pStyle w:val="BookText"/>
        <w:rPr/>
      </w:pPr>
      <w:bookmarkEnd w:id="700"/>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إن کان تقیّة، و محطّ الإعراض، و مخالفا للمذهب، فیستلزم ذلک سقوط حجّیة الصحیحة رأسا، و إن کان موافقا للمذهب فالقاعدة الکلّیة أیضا موافقة للعامّة، فلا تقیّة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هو الاشتغال بالموصولة من أوّل الأمر، و لا إهمال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المفصولة عملا من قبیل الحکومة، لا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المستصحب عدم الإتیان بالرابعة؛ کی یلزم التقیّة فی خصوص الروایة کما عرفت، مع ما عرفت من المناقشات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عموم الحجّیة علی ما أسّسناه، و جریان استصحاب الاشتغال الوارد علی قاعدته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تبیّن وجه فعلیّة الیقین و الشکّ فی مطلق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أن یکون المراد هو الیقین بعدم الإتیان بالأربع بما هی أربع، لا الرابعة، فیأتی تحقیقه فی الروایة الآتیة إن شاء اللّه تعالی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764070_3244359995"/>
      <w:bookmarkStart w:id="702" w:name="_Toc260"/>
      <w:bookmarkEnd w:id="701"/>
      <w:r>
        <w:rPr>
          <w:rtl w:val="true"/>
        </w:rPr>
        <w:t>بقی شی‌ء</w:t>
      </w:r>
      <w:r>
        <w:rPr>
          <w:rtl w:val="true"/>
        </w:rPr>
        <w:t xml:space="preserve">: </w:t>
      </w:r>
      <w:r>
        <w:rPr>
          <w:rtl w:val="true"/>
        </w:rPr>
        <w:t xml:space="preserve">توهم عدم دلالة </w:t>
      </w:r>
      <w:r>
        <w:rPr>
          <w:rtl w:val="true"/>
        </w:rPr>
        <w:t>«</w:t>
      </w:r>
      <w:r>
        <w:rPr>
          <w:rtl w:val="true"/>
        </w:rPr>
        <w:t>و لا ینقض الیقین</w:t>
      </w:r>
      <w:r>
        <w:rPr>
          <w:rtl w:val="true"/>
        </w:rPr>
        <w:t xml:space="preserve">» </w:t>
      </w:r>
      <w:r>
        <w:rPr>
          <w:rtl w:val="true"/>
        </w:rPr>
        <w:t>علی المدّعی</w:t>
      </w:r>
      <w:bookmarkEnd w:id="702"/>
    </w:p>
    <w:p>
      <w:pPr>
        <w:pStyle w:val="BookText"/>
        <w:rPr/>
      </w:pP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دلیلا و حجّة علی المدّعی؛ کی یستدلّ به علی المطلوب، و لعلّه یشبه الاستحسان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وروده علی نعت الجمل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ورودها فی موارد کثیرة کنایة عن الإیجاب و التحریم، لا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کنایة عن النهی و الجری العملیّ؛ لانتقاض الیقین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لا یختصّ بالرکعات و الصلاة، بل هو أمر کلّی ذکره علیه السّلام بعد انطباقه علی المورد، فلا حاجة إلی التعلیل فی استفادة القاعدة الکلّیة</w:t>
      </w:r>
      <w:r>
        <w:rPr>
          <w:rFonts w:eastAsia="IRNazanin" w:cs="IRNazanin"/>
          <w:color w:val="111111"/>
          <w:sz w:val="28"/>
          <w:szCs w:val="28"/>
          <w:rtl w:val="true"/>
          <w:lang w:bidi="fa-IR"/>
        </w:rPr>
        <w:t>.</w:t>
      </w:r>
    </w:p>
    <w:p>
      <w:pPr>
        <w:pStyle w:val="Heading5"/>
        <w:numPr>
          <w:ilvl w:val="4"/>
          <w:numId w:val="1"/>
        </w:numPr>
        <w:rPr/>
      </w:pPr>
      <w:bookmarkStart w:id="703" w:name="__RefHeading___Toc764072_3244359995"/>
      <w:bookmarkStart w:id="704" w:name="_Toc261"/>
      <w:bookmarkEnd w:id="703"/>
      <w:r>
        <w:rPr>
          <w:rtl w:val="true"/>
        </w:rPr>
        <w:t>و منها</w:t>
      </w:r>
      <w:r>
        <w:rPr>
          <w:rtl w:val="true"/>
        </w:rPr>
        <w:t xml:space="preserve">: </w:t>
      </w:r>
      <w:r>
        <w:rPr>
          <w:rtl w:val="true"/>
        </w:rPr>
        <w:t>معتبر إسحاق بن عمّار</w:t>
      </w:r>
      <w:bookmarkEnd w:id="70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لا معنی للشکّ فی أصل الصدور، لا وجه لإسقاط أصالة الجدّ،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و مجرّد المناسبة مع التقیّة لا یکفی لتمامیّة حجّة المولی علی العبد، و لا سیّما بعد صدوره ابتداء، فإنّه بعید عن التقیّة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احتمالات المتن، فربّما تبلغ فی الکثرة إلی حدّ الإجمال؛ ضرورة أنّه یحتمل اختصاصه بالشکّ فی الرکعات، و أداء الرکعة حسب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لأنّه یرجع إلی تحصیل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اختصاصه بالشبهة البدویّة و إیجاب الاحتیاط عملا، کما فی کلام الشیخ رحمه اللّه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یحتمل کونه دلیل البراءة؛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 بالإباحة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المأمور به هو البناء علی الیقین، و هذا ممّا لا یعقل، فحمله علی تحصیل الیقین غلط؛ لخروجه عن أدب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یحتمل کون الهیئة نفسیّا، کما یحتمل کونه منجّزا بالنسبة إلی الواقع عند الإصابة، و یحتمل کونه ترخیصا و تأسیسا بجعل الیقین حجّة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المتیقّن و المشکوک، أو عنوانهما، و علی التقدیرین الاستصحاب، أو قاعدة الیقین، أو هما معا؛ لأنّ الجمع ممکن؛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الجهل المرکّب، و 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حذف متعلّق الشکّ و الیقین، دلیل علی أنّه معنی عامّ و قانون کلّی، و لا سیّما بعد السؤال و الجواب فإنّ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إلقاء الاصول، و علینا التفریع، فیتّبع حسب المورد، فإن کان من الاستصحاب فیؤخذ به، و إن کان من قاعدة الیقین فهکذا، و إن کان من الشکّ البدویّ فلا یعقل البناء علی الیقین بالحرمة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یعقل البناء علی الوجوب و الإباحة بالمعنی الأعمّ، و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ظاهرا فی سبق الیقین علی الشکّ، 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تأتی فی أمثال سبق أمر تکوینیّ أو تشریعیّ، فعلی هذا دلالته علی حجّیة الاستصحاب و قاعدة الیقین قویّة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لإیجابه الاحتیاط؛ لاحتمال کونه فی مقام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أنّه من أدلّة البراءة أو الاحتیاط، فلا بأس بالأخذ بعدم وجوب الاحتیاط؛ للأدلّة السابقة، فیبقی الشکّ المسبوق بالیقین، فلا وجه لکون الیقین فی الخبر مردّدا بین السابق و اللاحق، بل هو تابع لمورده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هذا القانون العامّ القابل للانحلال؛ هو أنّه إذا شکّ فی رکعات الصلاة فلازمه الشکّ فی الإتیان بالأربع؛ لاحتمال الإتیان بها، و لازم الشکّ فیه هو البناء علی الیقین بعدم الإتیان بها، فیجب عملا الإتیان بالأربع الاخر، أو الإتیان بالرکعات الاحتیاطیّة؛ لأنّه مضافا إلی عدم دلیل علی حرمة الانصراف عمّا فی یده إذا أتی برکعات الاحتیاط المفصولة، یلزم البناء علی عدم الإتیان بالأربع، و أمّا فی مقام الفراغ فعلیه المنفصلة؛ للأدلّة الخاصّة، لما عرفت فیما سبق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bookmarkStart w:id="705" w:name="pg13177_118050"/>
    </w:p>
    <w:p>
      <w:pPr>
        <w:pStyle w:val="Heading5"/>
        <w:numPr>
          <w:ilvl w:val="4"/>
          <w:numId w:val="1"/>
        </w:numPr>
        <w:rPr/>
      </w:pPr>
      <w:bookmarkStart w:id="706" w:name="__RefHeading___Toc764074_3244359995"/>
      <w:bookmarkStart w:id="707" w:name="_Toc262"/>
      <w:bookmarkEnd w:id="705"/>
      <w:bookmarkEnd w:id="706"/>
      <w:r>
        <w:rPr>
          <w:rtl w:val="true"/>
        </w:rPr>
        <w:t>و منها</w:t>
      </w:r>
      <w:r>
        <w:rPr>
          <w:rtl w:val="true"/>
        </w:rPr>
        <w:t xml:space="preserve">: </w:t>
      </w:r>
      <w:r>
        <w:rPr>
          <w:rtl w:val="true"/>
        </w:rPr>
        <w:t xml:space="preserve">روایة </w:t>
      </w:r>
      <w:r>
        <w:rPr>
          <w:rtl w:val="true"/>
        </w:rPr>
        <w:t>«</w:t>
      </w:r>
      <w:r>
        <w:rPr>
          <w:rtl w:val="true"/>
        </w:rPr>
        <w:t>الخصال</w:t>
      </w:r>
      <w:r>
        <w:rPr>
          <w:rtl w:val="true"/>
        </w:rPr>
        <w:t>»</w:t>
      </w:r>
      <w:bookmarkEnd w:id="707"/>
    </w:p>
    <w:p>
      <w:pPr>
        <w:pStyle w:val="Heading6"/>
        <w:numPr>
          <w:ilvl w:val="5"/>
          <w:numId w:val="1"/>
        </w:numPr>
        <w:rPr/>
      </w:pPr>
      <w:bookmarkStart w:id="708" w:name="__RefHeading___Toc764076_3244359995"/>
      <w:bookmarkStart w:id="709" w:name="_Toc263"/>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بإسناده عن أبی بصیر و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جدّی،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السّلام علّم أصحابه فی مجلس واحد أربعمائة باب ممّا یصلح للمسلم فی دینه و دنیاه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 فلیمض علی یقینه فإنّ الیقین لا یدفع بالشکّ</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سنده مضافا إلی محمّد بن عیسی الیقطینیّ، القاسم بن یحیی، و جدّه الحسن بن راشد، و عندی یعتبر الأوّل و الأخیر، إلّا أنّ اشتراکه مع ابن راشد الطغاویّ ربّما یوجب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أبناء راشد ثلاثة، و لا یبعد اعتبار الکلّ دون اتحادهم، و ما تخیّله العلّامة النوریّ قدّس سرّه </w:t>
      </w:r>
      <w:r>
        <w:rPr>
          <w:rStyle w:val="FootnoteAnchor"/>
          <w:rtl w:val="true"/>
        </w:rPr>
        <w:footnoteReference w:id="873"/>
      </w:r>
      <w:r>
        <w:rPr>
          <w:rFonts w:ascii="IRNazanin" w:hAnsi="IRNazanin" w:eastAsia="IRNazanin"/>
          <w:color w:val="111111"/>
          <w:sz w:val="28"/>
          <w:sz w:val="28"/>
          <w:szCs w:val="28"/>
          <w:rtl w:val="true"/>
          <w:lang w:bidi="fa-IR"/>
        </w:rPr>
        <w:t xml:space="preserve">لا یوجب تعدّدهم، و التفصیل فی محلّه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القاسم فهو و إن لم یضعّفه المشایخ الرجالیّون، إلّا الغضائریّ المرمی تضعیفه </w:t>
      </w:r>
      <w:r>
        <w:rPr>
          <w:rStyle w:val="FootnoteAnchor"/>
          <w:rtl w:val="true"/>
        </w:rPr>
        <w:footnoteReference w:id="875"/>
      </w:r>
      <w:r>
        <w:rPr>
          <w:rFonts w:ascii="IRNazanin" w:hAnsi="IRNazanin" w:eastAsia="IRNazanin"/>
          <w:color w:val="111111"/>
          <w:sz w:val="28"/>
          <w:sz w:val="28"/>
          <w:szCs w:val="28"/>
          <w:rtl w:val="true"/>
          <w:lang w:bidi="fa-IR"/>
        </w:rPr>
        <w:t xml:space="preserve">لرجوعه إلی ما لا یرجع إلی محصّل، و لم یوثّقوه، و تضعیف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عندنا غیر جارح، و لا سیّما إن رجع إلی تضعیف الغضائریّ کما</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877"/>
      </w:r>
      <w:r>
        <w:rPr>
          <w:rFonts w:ascii="IRNazanin" w:hAnsi="IRNazanin" w:eastAsia="IRNazanin"/>
          <w:color w:val="111111"/>
          <w:sz w:val="28"/>
          <w:sz w:val="28"/>
          <w:szCs w:val="28"/>
          <w:rtl w:val="true"/>
          <w:lang w:bidi="fa-IR"/>
        </w:rPr>
        <w:t>، و لکنّ الأمارات العامّة ناهضة علی اعتباره، کروایة أحمد بن محمّد بن عیسی، و کون کتابه هو حدیث الأربعمائة علی الأشبه، مع بعض ما ذکرنا فی وجه حجّیة خبر الواحد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 اعتبار الخبر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Style w:val="FootnoteAnchor"/>
          <w:rtl w:val="true"/>
        </w:rPr>
        <w:footnoteReference w:id="879"/>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مرسلات الصدوق عندی غیر نقیّة مطلقا؛ لأنّه کان صافی الضمیر سریع الوثوق، بخلاف مثل المفید رحمه اللّه فإسناده إلیه علیه السّلام یشهد علی وجود ما یوجب وثوقنا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الروایة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معنی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السجّاد علیه السّلام لأنّ الواسطة تنحصر فی الحسین علیه السّلام اللهمّ إلّا أن یکون المراد أعمّ من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الاثنین،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الشیخ إلی أنّه دلیل قاعدة الیقین </w:t>
      </w:r>
      <w:r>
        <w:rPr>
          <w:rStyle w:val="FootnoteAnchor"/>
          <w:rtl w:val="true"/>
        </w:rPr>
        <w:footnoteReference w:id="880"/>
      </w:r>
      <w:r>
        <w:rPr>
          <w:rFonts w:ascii="IRNazanin" w:hAnsi="IRNazanin" w:eastAsia="IRNazanin"/>
          <w:color w:val="111111"/>
          <w:sz w:val="28"/>
          <w:sz w:val="28"/>
          <w:szCs w:val="28"/>
          <w:rtl w:val="true"/>
          <w:lang w:bidi="fa-IR"/>
        </w:rPr>
        <w:t>نظرا إلی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أنّه کان فی الزمان السابق علی یقین، و هو الآن لیس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فی الاستصحاب هو علی یقین فعلا بالنسبة إلی الطهارة مثلا، و إنّما المتیقّن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الدقّة تقتضی أنّه کان علی یقین فشکّ فی عین ما تیقّن به؛ و هو الحدث مثلا، و فی الاستصحاب یشکّ فی بقائه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الثانی لزرارة</w:t>
      </w:r>
      <w:r>
        <w:rPr>
          <w:rStyle w:val="FootnoteAnchor"/>
          <w:rtl w:val="true"/>
        </w:rPr>
        <w:footnoteReference w:id="881"/>
      </w:r>
      <w:r>
        <w:rPr>
          <w:rFonts w:ascii="IRNazanin" w:hAnsi="IRNazanin" w:eastAsia="IRNazanin"/>
          <w:color w:val="111111"/>
          <w:sz w:val="28"/>
          <w:sz w:val="28"/>
          <w:szCs w:val="28"/>
          <w:rtl w:val="true"/>
          <w:lang w:bidi="fa-IR"/>
        </w:rPr>
        <w:t>أولی بکونه دلیل القاعدة، دون</w:t>
      </w:r>
    </w:p>
    <w:p>
      <w:pPr>
        <w:pStyle w:val="BookText"/>
        <w:rPr/>
      </w:pPr>
      <w:r>
        <w:rPr>
          <w:rFonts w:ascii="IRNazanin" w:hAnsi="IRNazanin" w:eastAsia="IRNazanin"/>
          <w:color w:val="111111"/>
          <w:sz w:val="28"/>
          <w:sz w:val="28"/>
          <w:szCs w:val="28"/>
          <w:rtl w:val="true"/>
          <w:lang w:bidi="fa-IR"/>
        </w:rPr>
        <w:t>الاستصحاب؛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اتصال زمان الشکّ بالیقین، بخلاف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للانفصال، فلو تخلّل الیقین الآخر، ثمّ شکّ، یجوز التعبیر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الدقّة المذکورة تأتی فی کبری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البحث فی اشتمال الأفعال علی الأزمان، إنّ حذف متعلّق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تعلّقهما بشی‌ء؛ لأنّهما من الأوصاف ذات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لإفادة اعتبار الاستصحاب و القاعدة؛ فإنّ الشکّ فی البقاء غیر دخیل فی حجّیة الاستصحاب، و 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بإبقاء ما کان</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تعریف بأردأ الوجوه، نعم هو من تبعاته خارجا بل المعتبر سبق الیقین، و لحوق الشکّ الزمانیّ أو الرتبیّ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حجّیة الاستصحاب الاستقبالیّ إشکال لو انحصر الدلیل فی هذا التعبیر، بل و الرتبیّ؛ بناء علی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جملة من الاستصحابات؛ لأنّ معنی الیقین غیر العلم، فإنّه لا یستعمل بالنسبة إلی اللّه تعالی؛ لأنّه العلم الحاصل عن نظر و استدلال، فاغتنم، و سیأتیک ما ینفعک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المسألة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یأتی علیه ما أورده علی الجملة الاولی؛ و ذلک إمّا لفهم العرف، أو لأنّ عکس النقیض من القضایا المعتبرة، و عکس نقیض هذه الجملة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ینقض الیقین غیر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أوضحنا المسألة فی ذیل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ذکرناه تظهر مواضع ضعف کلمات القوم حسب الصناعة، کما تبیّن ضعف إشکال الشیخ رحمه اللّه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bookmarkStart w:id="710" w:name="pg13177_118053"/>
    </w:p>
    <w:p>
      <w:pPr>
        <w:pStyle w:val="BookText"/>
        <w:rPr/>
      </w:pPr>
      <w:bookmarkEnd w:id="71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 ثمّ استفادة لزوم کونه متیقّنا حین الشکّ من الروایة، کی لا تنطبق علی القاعدة، خروج عن دأب المجتهدین المدقّقین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الصدر محمولا علی الیقین و الشکّ فی الرکعات، و لکن الذیل تعلیل عامّ و إفادة قانون کلّی</w:t>
      </w:r>
      <w:r>
        <w:rPr>
          <w:rFonts w:eastAsia="IRNazanin" w:cs="IRNazanin"/>
          <w:color w:val="111111"/>
          <w:sz w:val="28"/>
          <w:szCs w:val="28"/>
          <w:rtl w:val="true"/>
          <w:lang w:bidi="fa-IR"/>
        </w:rPr>
        <w:t>.</w:t>
      </w:r>
    </w:p>
    <w:p>
      <w:pPr>
        <w:pStyle w:val="Heading6"/>
        <w:numPr>
          <w:ilvl w:val="5"/>
          <w:numId w:val="1"/>
        </w:numPr>
        <w:rPr/>
      </w:pPr>
      <w:bookmarkStart w:id="711" w:name="__RefHeading___Toc764078_3244359995"/>
      <w:bookmarkStart w:id="712" w:name="_Toc264"/>
      <w:bookmarkEnd w:id="711"/>
      <w:r>
        <w:rPr>
          <w:rtl w:val="true"/>
        </w:rPr>
        <w:t>بقی شی‌ء</w:t>
      </w:r>
      <w:r>
        <w:rPr>
          <w:rtl w:val="true"/>
        </w:rPr>
        <w:t xml:space="preserve">: </w:t>
      </w:r>
      <w:r>
        <w:rPr>
          <w:rtl w:val="true"/>
        </w:rPr>
        <w:t>حول شمول الروایة للزمان و الزمانی و اختصاصها بالاستصحاب و عدمه</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النظر إلی الزمان و الزمانیّ، و لا ینقض الشکّ الیقین علی إطلاقهما، فلو شکّ یوم السبت فی نجاسة شی‌ء، ثمّ استیقن بنجاسته یوم الأحد، ثمّ شکّ فی النجاسة یومی السبت و الأحد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الشکّ فی یوم الاثنین، أو یوم السبت، بعد کون متعلّقهما واحدا، و لم یتخلّل الیقین بینهما، فإنّه ینقض الیقین بیقین آخر، کما فی الروایة الاولی </w:t>
      </w:r>
      <w:r>
        <w:rPr>
          <w:rStyle w:val="FootnoteAnchor"/>
          <w:rtl w:val="true"/>
        </w:rPr>
        <w:footnoteReference w:id="886"/>
      </w:r>
      <w:r>
        <w:rPr>
          <w:rFonts w:ascii="IRNazanin" w:hAnsi="IRNazanin" w:eastAsia="IRNazanin"/>
          <w:color w:val="111111"/>
          <w:sz w:val="28"/>
          <w:sz w:val="28"/>
          <w:szCs w:val="28"/>
          <w:rtl w:val="true"/>
          <w:lang w:bidi="fa-IR"/>
        </w:rPr>
        <w:t xml:space="preserve">، أو هو مقتضی عکس النقیض؛ ضرورة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ینقضه غیر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ینقضه الیقین، فاغتنم و تأمّل؛ فإنّه حقیق و دقیق، فما أفاده الشیخ </w:t>
      </w:r>
      <w:r>
        <w:rPr>
          <w:rStyle w:val="FootnoteAnchor"/>
          <w:rtl w:val="true"/>
        </w:rPr>
        <w:footnoteReference w:id="887"/>
      </w:r>
      <w:r>
        <w:rPr>
          <w:rFonts w:ascii="IRNazanin" w:hAnsi="IRNazanin" w:eastAsia="IRNazanin"/>
          <w:color w:val="111111"/>
          <w:sz w:val="28"/>
          <w:sz w:val="28"/>
          <w:szCs w:val="28"/>
          <w:rtl w:val="true"/>
          <w:lang w:bidi="fa-IR"/>
        </w:rPr>
        <w:t>و تبعه بعض آخر</w:t>
      </w:r>
      <w:r>
        <w:rPr>
          <w:rStyle w:val="FootnoteAnchor"/>
          <w:rtl w:val="true"/>
        </w:rPr>
        <w:footnoteReference w:id="888"/>
      </w:r>
      <w:r>
        <w:rPr>
          <w:rFonts w:ascii="Amiri" w:hAnsi="Amiri" w:eastAsia="Amiri" w:cs="Amiri"/>
          <w:color w:val="111111"/>
          <w:sz w:val="28"/>
          <w:sz w:val="28"/>
          <w:szCs w:val="28"/>
          <w:rtl w:val="true"/>
          <w:lang w:bidi="ar-SA"/>
        </w:rPr>
        <w:t>، لا محصّل 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جملة من الأفاضل کالعلّامة الأراکیّ </w:t>
      </w:r>
      <w:r>
        <w:rPr>
          <w:rStyle w:val="FootnoteAnchor"/>
          <w:rtl w:val="true"/>
        </w:rPr>
        <w:footnoteReference w:id="889"/>
      </w:r>
      <w:r>
        <w:rPr>
          <w:rFonts w:ascii="IRNazanin" w:hAnsi="IRNazanin" w:eastAsia="IRNazanin"/>
          <w:color w:val="111111"/>
          <w:sz w:val="28"/>
          <w:sz w:val="28"/>
          <w:szCs w:val="28"/>
          <w:rtl w:val="true"/>
          <w:lang w:bidi="fa-IR"/>
        </w:rPr>
        <w:t xml:space="preserve">، و النائینیّ </w:t>
      </w:r>
      <w:r>
        <w:rPr>
          <w:rStyle w:val="FootnoteAnchor"/>
          <w:rtl w:val="true"/>
        </w:rPr>
        <w:footnoteReference w:id="890"/>
      </w:r>
      <w:r>
        <w:rPr>
          <w:rFonts w:ascii="Amiri" w:hAnsi="Amiri" w:eastAsia="Amiri" w:cs="Amiri"/>
          <w:color w:val="111111"/>
          <w:sz w:val="28"/>
          <w:sz w:val="28"/>
          <w:szCs w:val="28"/>
          <w:rtl w:val="true"/>
          <w:lang w:bidi="ar-SA"/>
        </w:rPr>
        <w:t>، و طائفة من</w:t>
      </w:r>
    </w:p>
    <w:p>
      <w:pPr>
        <w:pStyle w:val="BookText"/>
        <w:rPr/>
      </w:pPr>
      <w:r>
        <w:rPr>
          <w:rFonts w:ascii="IRNazanin" w:hAnsi="IRNazanin" w:eastAsia="IRNazanin"/>
          <w:color w:val="111111"/>
          <w:sz w:val="28"/>
          <w:sz w:val="28"/>
          <w:szCs w:val="28"/>
          <w:rtl w:val="true"/>
          <w:lang w:bidi="fa-IR"/>
        </w:rPr>
        <w:t>تلامذتهما</w:t>
      </w:r>
      <w:r>
        <w:rPr>
          <w:rStyle w:val="FootnoteAnchor"/>
          <w:rtl w:val="true"/>
        </w:rPr>
        <w:footnoteReference w:id="891"/>
      </w:r>
      <w:r>
        <w:rPr>
          <w:rFonts w:ascii="IRNazanin" w:hAnsi="IRNazanin" w:eastAsia="IRNazanin"/>
          <w:color w:val="111111"/>
          <w:sz w:val="28"/>
          <w:sz w:val="28"/>
          <w:szCs w:val="28"/>
          <w:rtl w:val="true"/>
          <w:lang w:bidi="fa-IR"/>
        </w:rPr>
        <w:t xml:space="preserve">، إلی تعیّن الروایة فی الاستصحاب، أو قیل بامتناع غیره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جمع إلی ظهورها فیه؛ نظرا إلی مقایستها مع سائر الأخبار،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Style w:val="FootnoteAnchor"/>
          <w:rtl w:val="true"/>
        </w:rPr>
        <w:footnoteReference w:id="893"/>
      </w:r>
      <w:r>
        <w:rPr>
          <w:rFonts w:ascii="Amiri" w:hAnsi="Amiri" w:eastAsia="Amiri" w:cs="Amiri"/>
          <w:color w:val="111111"/>
          <w:sz w:val="28"/>
          <w:sz w:val="28"/>
          <w:szCs w:val="28"/>
          <w:rtl w:val="true"/>
          <w:lang w:bidi="ar-SA"/>
        </w:rPr>
        <w:t>و هو مختار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الأفعال خالیة عن التقیید بالزمان، و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الإمضاء علی ما هو المحتمل بقاؤه، فلا ینطبق علی غیر الاستصحاب، و أنّ نسبة الیقین إلیه ظاهرة فی فعلیّة الیقین و الشکّ، و لا فعلیّة للیقین فی القاعدة، و أنّ المشتقّ بالنسبة إلی الزمان الماضی و حال عدم التلبّس مجاز، فلا یعقل علی المبنی المحرّر</w:t>
      </w:r>
      <w:r>
        <w:rPr>
          <w:rStyle w:val="FootnoteAnchor"/>
          <w:rtl w:val="true"/>
        </w:rPr>
        <w:footnoteReference w:id="895"/>
      </w:r>
      <w:r>
        <w:rPr>
          <w:rFonts w:ascii="IRNazanin" w:hAnsi="IRNazanin" w:eastAsia="IRNazanin"/>
          <w:color w:val="111111"/>
          <w:sz w:val="28"/>
          <w:sz w:val="28"/>
          <w:szCs w:val="28"/>
          <w:rtl w:val="true"/>
          <w:lang w:bidi="fa-IR"/>
        </w:rPr>
        <w:t>انتسابه إلی من کان علی یقین و زال الیقین المتلبّس به إلّا علی القول بالأعمّ، و هو باطل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المقالات ناشئة عن النظر إلی أمرین أو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المدار علی الیقین و الشکّ من غیر النظر إلی خصوصیّة، کما تمسّکوا بإطلاق أدلّته لجریان الاستصحاب فی التنبیهات الکثیرة الآتیة إن شاء اللّه تعالی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 و المشکوک، و أنّه لا بدّ من کونه حین الشکّ متیقّنا بالطهارة مثلا، و هذا أمر لا یوجد فی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معنی للقاعدة؛ لما لا یکون متیقّنا فی ظرف الشکّ إلّا علی القول بالأعمّ، و أنت تری</w:t>
      </w:r>
    </w:p>
    <w:p>
      <w:pPr>
        <w:pStyle w:val="BookText"/>
        <w:rPr/>
      </w:pPr>
      <w:r>
        <w:rPr>
          <w:rFonts w:ascii="IRNazanin" w:hAnsi="IRNazanin" w:eastAsia="IRNazanin"/>
          <w:color w:val="111111"/>
          <w:sz w:val="28"/>
          <w:sz w:val="28"/>
          <w:szCs w:val="28"/>
          <w:rtl w:val="true"/>
          <w:lang w:bidi="fa-IR"/>
        </w:rPr>
        <w:t>خروجه عن الاجتهاد و دقّة المجتهدین فی فهم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التفاتهم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من العناوین و المفاهیم، و هما هنا لا یوصفان بالطریقیّة و الموضوعیّة، و لا بالزمان؛ لأنّ الفعل المضارع فارغ منه، و تفصیله فی محلّه </w:t>
      </w:r>
      <w:r>
        <w:rPr>
          <w:rStyle w:val="FootnoteAnchor"/>
          <w:rtl w:val="true"/>
        </w:rPr>
        <w:footnoteReference w:id="897"/>
      </w:r>
      <w:r>
        <w:rPr>
          <w:rFonts w:ascii="IRNazanin" w:hAnsi="IRNazanin" w:eastAsia="IRNazanin"/>
          <w:color w:val="111111"/>
          <w:sz w:val="28"/>
          <w:sz w:val="28"/>
          <w:szCs w:val="28"/>
          <w:rtl w:val="true"/>
          <w:lang w:bidi="fa-IR"/>
        </w:rPr>
        <w:t>، و إن کان الفعل الماضی منصرفا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المشتقّات الجاریة فیها النزاعات؛ لأنّ وضع الیقین شخصیّ لا نوعیّ، و لیس هو مثل العلم کما اشیر إلیه </w:t>
      </w:r>
      <w:r>
        <w:rPr>
          <w:rStyle w:val="FootnoteAnchor"/>
          <w:rtl w:val="true"/>
        </w:rPr>
        <w:footnoteReference w:id="898"/>
      </w:r>
      <w:r>
        <w:rPr>
          <w:rFonts w:ascii="IRNazanin" w:hAnsi="IRNazanin" w:eastAsia="IRNazanin"/>
          <w:color w:val="111111"/>
          <w:sz w:val="28"/>
          <w:sz w:val="28"/>
          <w:szCs w:val="28"/>
          <w:rtl w:val="true"/>
          <w:lang w:bidi="fa-IR"/>
        </w:rPr>
        <w:t>، إلّا أنّه لمکان الاستدلال بالأمر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الشرع بصدد ضرب القانون أو القانونین النافعة فی المسائل الحقوقیّة و الاجتماعیّة و الفروع الفقهیّة و الاصولیّة، کما تری فی هذین المعتبرین، و فی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فاجتماع قاعدة الیقین و الاستصحاب تحت العنوان الفرید و المفهوم الوحید علی التقریب المذکور، ممکن جدّا، و لا وجه لصرف الأدلّة إلی أحدهما إلّا فهم الأعلام و اشتهار الاستصحاب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اختصاص الحجّیة بالاستصحاب خلاف الاعتبار؛ لاشتهاره بینهم، مع اشتراک القاعدة معه فی أساس السبب المنتهی إلی اعتبار الحجّیة، فلعلّ التعبیر المذکور سیق لإفادتهما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النقض إلی الیقین، أو المضیّ علیه، 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صحیح؛ لأنّ المسند إلیه عنوانه لا مصداقه؛ ضرورة انتفاء مصداقه فی الاستصحاب و القاعدة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أنّ المسألة خارجة عن قضیّة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ظرف الإجراء مسکوت عنه؛ لجواز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الشکّ لا ینقض الیقین الذی کنت علیه، و الآن</w:t>
      </w:r>
    </w:p>
    <w:p>
      <w:pPr>
        <w:pStyle w:val="BookText"/>
        <w:rPr/>
      </w:pPr>
      <w:r>
        <w:rPr>
          <w:rFonts w:ascii="IRNazanin" w:hAnsi="IRNazanin" w:eastAsia="IRNazanin"/>
          <w:color w:val="111111"/>
          <w:sz w:val="28"/>
          <w:sz w:val="28"/>
          <w:szCs w:val="28"/>
          <w:rtl w:val="true"/>
          <w:lang w:bidi="fa-IR"/>
        </w:rPr>
        <w:t>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 الذی کان موجودا و انعدم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یدفع الیقین الموجود فی السابق بالشکّ الساری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جمیع هذه الجمل صحیحة، و لا یلزم مجاز، و لا یبقی وجه لما توهّم من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 الیقین، لما لا یعقل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إرادة المتیقّن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غیر جائزة لغة؛ لأنّه لیس مصدرا، بل هو اسم للعلم الحاصل بالاستدلال و النظر، فلیس من قبیل المصادر المراد بها المفعول أو الفاعل فاغتنم؛ فإنّ فیما ذکرنا غنی و کفایة وضوء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المعتبر فی حجّیة الاستصحاب و القاعدة، مستفاد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سبق الیقین علی الشکّ زمانا أو رتبة، و فعلیّتهما فی ظرف وجودهما المصداقیّ، دون تقدیر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وجود الیقین و بقائه فی ظرف الشکّ، فلیس بمعتبر فی الحجّیة، و إن کان فرق الاستصحاب عن القاعدة مخصوصا بهذه الجهة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اقتضاء کثرة الابتلاء بالاستصحاب و اقتضاء المقایسة بین الروایة و سائر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ظهور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یقینه فی ظرف الشکّ، فی غیر محلّه؛ لممنوعیّة الانصراف، و أنّه لا معنی للمقایسة بعد أعمّیة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الکلام فی دلالة کلّ واحد منها مستقلّا، و أنّه لو کان النظر إلی اعتبار الفعلیة المذکورة لکان ینبغی أن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یعلم منه أنّ المراد نفس ذلک الیقین الموجود دواما و بقاء، فعدم الإتیان بأداة العهد الذکریّ یشهد علی خلافه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الظهور هو الوضوح، فلو کان مخفیّا علی من سبق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الوالد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واضحا ظاهرا؟</w:t>
      </w:r>
      <w:r>
        <w:rPr>
          <w:rFonts w:eastAsia="IRNazanin" w:cs="IRNazanin"/>
          <w:color w:val="111111"/>
          <w:sz w:val="28"/>
          <w:szCs w:val="28"/>
          <w:rtl w:val="true"/>
          <w:lang w:bidi="fa-IR"/>
        </w:rPr>
        <w:t>!</w:t>
      </w:r>
      <w:bookmarkStart w:id="713" w:name="pg13177_118057"/>
    </w:p>
    <w:p>
      <w:pPr>
        <w:pStyle w:val="BookText"/>
        <w:rPr/>
      </w:pPr>
      <w:bookmarkEnd w:id="713"/>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حاصلا عن النظر 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الشکّ الساری بعیدا جدّا و نادرا ندرة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یکفی للانصراف کما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الممکن عدم جواز إسناده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لأجل أنّه مقابل الشکّ، و أنّه یلزم اختصاص حجّیة الاستصحاب بموارد حصول العلم عن نظر و استدلال، و هو ممنوع علی الأشبه،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الأقرب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الیقین، و حیث لا معنی له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المتیقّن و لو مجازا، محلّ منع کما مرّ، و هو واضح جدّا</w:t>
      </w:r>
      <w:r>
        <w:rPr>
          <w:rFonts w:eastAsia="IRNazanin" w:cs="IRNazanin"/>
          <w:color w:val="111111"/>
          <w:sz w:val="28"/>
          <w:szCs w:val="28"/>
          <w:rtl w:val="true"/>
          <w:lang w:bidi="fa-IR"/>
        </w:rPr>
        <w:t>.</w:t>
      </w:r>
    </w:p>
    <w:p>
      <w:pPr>
        <w:pStyle w:val="Heading6"/>
        <w:numPr>
          <w:ilvl w:val="5"/>
          <w:numId w:val="1"/>
        </w:numPr>
        <w:rPr/>
      </w:pPr>
      <w:bookmarkStart w:id="714" w:name="__RefHeading___Toc764080_3244359995"/>
      <w:bookmarkStart w:id="715" w:name="_Toc265"/>
      <w:bookmarkEnd w:id="714"/>
      <w:r>
        <w:rPr>
          <w:rtl w:val="true"/>
        </w:rPr>
        <w:t>بقی شی‌ء</w:t>
      </w:r>
      <w:r>
        <w:rPr>
          <w:rtl w:val="true"/>
        </w:rPr>
        <w:t xml:space="preserve">: </w:t>
      </w:r>
      <w:r>
        <w:rPr>
          <w:rtl w:val="true"/>
        </w:rPr>
        <w:t>فی استفادة اختصاص الروایة بالاستصحاب</w:t>
      </w:r>
      <w:bookmarkEnd w:id="71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القاعدة، فإنّ الجهل المرکّب لیس علما، و قد فسّر الیقین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الشکّ، فالیقین فی موارد الشکّ الساری مورد الشکّ فی أنّه علم و یقین واقعا أو تخیّلا، و قد ورد فی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Style w:val="FootnoteAnchor"/>
          <w:rtl w:val="true"/>
        </w:rPr>
        <w:footnoteReference w:id="900"/>
      </w:r>
      <w:r>
        <w:rPr>
          <w:rFonts w:ascii="Amiri" w:hAnsi="Amiri" w:eastAsia="Amiri" w:cs="Amiri"/>
          <w:color w:val="111111"/>
          <w:sz w:val="28"/>
          <w:sz w:val="28"/>
          <w:szCs w:val="28"/>
          <w:rtl w:val="true"/>
          <w:lang w:bidi="ar-SA"/>
        </w:rPr>
        <w:t>و حَقُّ الْیَقِینِ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و عَیْنَ الْیَقِینِ </w:t>
      </w:r>
      <w:r>
        <w:rPr>
          <w:rStyle w:val="FootnoteAnchor"/>
          <w:rtl w:val="true"/>
        </w:rPr>
        <w:footnoteReference w:id="902"/>
      </w:r>
      <w:r>
        <w:rPr>
          <w:rFonts w:ascii="IRNazanin" w:hAnsi="IRNazanin" w:eastAsia="IRNazanin"/>
          <w:color w:val="111111"/>
          <w:sz w:val="28"/>
          <w:sz w:val="28"/>
          <w:szCs w:val="28"/>
          <w:rtl w:val="true"/>
          <w:lang w:bidi="fa-IR"/>
        </w:rPr>
        <w:t>و الجاهل المرکّب یتوهّم أنّه علی یقین عند وجوده، و بعد الشکّ الساری یشکّ من أنّه کان علی الیقین و العلم، أم لم یکن، و هذا یکفی لإسقاط حجّیة القاعدة بمثل هذه الروایات؛ لکونه من الشبهة المفهومیّة،</w:t>
      </w:r>
      <w:bookmarkStart w:id="716" w:name="pg13177_118058"/>
    </w:p>
    <w:p>
      <w:pPr>
        <w:pStyle w:val="BookText"/>
        <w:rPr/>
      </w:pPr>
      <w:bookmarkEnd w:id="716"/>
      <w:r>
        <w:rPr>
          <w:rFonts w:ascii="IRNazanin" w:hAnsi="IRNazanin" w:eastAsia="IRNazanin"/>
          <w:color w:val="111111"/>
          <w:sz w:val="28"/>
          <w:sz w:val="28"/>
          <w:szCs w:val="28"/>
          <w:rtl w:val="true"/>
          <w:lang w:bidi="fa-IR"/>
        </w:rPr>
        <w:t>و القدر المتیقّن منها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ألسنة مختلفة، و هی إمّا ظاهرة فی خصوص الاستصحاب، أو مجملة یؤخذ بالقدر المتیقّن منها؛ و هو الاستصحاب، أو ظاهر بعضها فی القاعدة من جهة الهیئة الترکیبیّة، و لکنّه مجمل من هذه الجهة، فیردّ إلی المبیّنات فیرفع إجماله بالمبیّن، أو یردّ علمه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علی تقدیر احتمال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الجهل المرکّب، و إلّا فلا منع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شمولها لهما</w:t>
      </w:r>
      <w:r>
        <w:rPr>
          <w:rFonts w:eastAsia="IRNazanin" w:cs="IRNazanin"/>
          <w:color w:val="111111"/>
          <w:sz w:val="28"/>
          <w:szCs w:val="28"/>
          <w:rtl w:val="true"/>
          <w:lang w:bidi="fa-IR"/>
        </w:rPr>
        <w:t>.</w:t>
      </w:r>
    </w:p>
    <w:p>
      <w:pPr>
        <w:pStyle w:val="Heading5"/>
        <w:numPr>
          <w:ilvl w:val="4"/>
          <w:numId w:val="1"/>
        </w:numPr>
        <w:rPr/>
      </w:pPr>
      <w:bookmarkStart w:id="717" w:name="__RefHeading___Toc764082_3244359995"/>
      <w:bookmarkStart w:id="718" w:name="_Toc266"/>
      <w:bookmarkEnd w:id="717"/>
      <w:r>
        <w:rPr>
          <w:rtl w:val="true"/>
        </w:rPr>
        <w:t>و منها</w:t>
      </w:r>
      <w:r>
        <w:rPr>
          <w:rtl w:val="true"/>
        </w:rPr>
        <w:t xml:space="preserve">: </w:t>
      </w:r>
      <w:r>
        <w:rPr>
          <w:rtl w:val="true"/>
        </w:rPr>
        <w:t>مکاتبة علی بن محمّد القاسانی</w:t>
      </w:r>
      <w:bookmarkEnd w:id="718"/>
    </w:p>
    <w:p>
      <w:pPr>
        <w:pStyle w:val="Heading6"/>
        <w:numPr>
          <w:ilvl w:val="5"/>
          <w:numId w:val="1"/>
        </w:numPr>
        <w:rPr/>
      </w:pPr>
      <w:bookmarkStart w:id="719" w:name="__RefHeading___Toc764084_3244359995"/>
      <w:bookmarkStart w:id="720" w:name="_Toc267"/>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و أنا بالمدینة أسأله عن الیوم الذی یشکّ فیه من رمضان، هل یصام فیه أم لا؟</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 صم للرؤیة، و أفطر للرؤیة</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الصفّار إشکالا قابلا للحلّ إن کان فیه أحمد بن محمّد بن الحسن بن الولید؛ لأنّه شیخ المفید و الغضائریّ و ابن عبدون، و لبعض القرائن الاخر، و إن کان سنده الآخر ففیه ابن أبی جید القمّی، فإنّه مشکل، و یکفینا الأوّل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علیّ بن محمّد القاسانیّ مورد الکلام من حیث الوحدة و التعدّد، و من حیث الوثاقة علی الفرض الثانی، و هو علیّ بن محمّد بن شیرة القاسانیّ کما فی</w:t>
      </w:r>
    </w:p>
    <w:p>
      <w:pPr>
        <w:pStyle w:val="BookText"/>
        <w:rPr/>
      </w:pPr>
      <w:r>
        <w:rPr>
          <w:rFonts w:ascii="Amiri" w:hAnsi="Amiri" w:eastAsia="Amiri" w:cs="Amiri"/>
          <w:color w:val="111111"/>
          <w:sz w:val="28"/>
          <w:sz w:val="28"/>
          <w:szCs w:val="28"/>
          <w:rtl w:val="true"/>
          <w:lang w:bidi="ar-SA"/>
        </w:rPr>
        <w:t xml:space="preserve">النجّاشی </w:t>
      </w:r>
      <w:r>
        <w:rPr>
          <w:rStyle w:val="FootnoteAnchor"/>
          <w:rtl w:val="true"/>
        </w:rPr>
        <w:footnoteReference w:id="904"/>
      </w:r>
      <w:r>
        <w:rPr>
          <w:rFonts w:ascii="IRNazanin" w:hAnsi="IRNazanin" w:eastAsia="IRNazanin"/>
          <w:color w:val="111111"/>
          <w:sz w:val="28"/>
          <w:sz w:val="28"/>
          <w:szCs w:val="28"/>
          <w:rtl w:val="true"/>
          <w:lang w:bidi="fa-IR"/>
        </w:rPr>
        <w:t xml:space="preserve">، و لا یبعد الاتحاد، و التفصیل فی محلّه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الروایة مضمرة، و لیس المضمر کزرارة و أشباهه، مع ما عرفت منّا فی إضمارهم </w:t>
      </w:r>
      <w:r>
        <w:rPr>
          <w:rStyle w:val="FootnoteAnchor"/>
          <w:rtl w:val="true"/>
        </w:rPr>
        <w:footnoteReference w:id="906"/>
      </w:r>
      <w:r>
        <w:rPr>
          <w:rFonts w:ascii="IRNazanin" w:hAnsi="IRNazanin" w:eastAsia="IRNazanin"/>
          <w:color w:val="111111"/>
          <w:sz w:val="28"/>
          <w:sz w:val="28"/>
          <w:szCs w:val="28"/>
          <w:rtl w:val="true"/>
          <w:lang w:bidi="fa-IR"/>
        </w:rPr>
        <w:t>، فضلا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تبعد الشهرة الموافقة معها، إلّا أنّها لیست علیها، و لا یطابق الشهرة الکاشفة عن خصوص کونها علیها؛ بعد احتمال کونها من أخبار الباب الثالث مفادا</w:t>
      </w:r>
      <w:r>
        <w:rPr>
          <w:rStyle w:val="FootnoteAnchor"/>
          <w:rtl w:val="true"/>
        </w:rPr>
        <w:footnoteReference w:id="907"/>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الشیخ الأعظم قدّس سرّه اختار أظهریّتها من غیرها</w:t>
      </w:r>
      <w:r>
        <w:rPr>
          <w:rStyle w:val="FootnoteAnchor"/>
          <w:rtl w:val="true"/>
        </w:rPr>
        <w:footnoteReference w:id="908"/>
      </w:r>
      <w:r>
        <w:rPr>
          <w:rFonts w:ascii="IRNazanin" w:hAnsi="IRNazanin" w:eastAsia="IRNazanin"/>
          <w:color w:val="111111"/>
          <w:sz w:val="28"/>
          <w:sz w:val="28"/>
          <w:szCs w:val="28"/>
          <w:rtl w:val="true"/>
          <w:lang w:bidi="fa-IR"/>
        </w:rPr>
        <w:t>لأنّ الیقین لا یبطل بالشکّ، و التفریع فی جانبی شهر رمضان استصحابان، فهذا بأجمعه یوجب أظهریّتها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 العلّامة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الاستصحاب المثبت؛ لأنّ استصحاب بقاء شعبان و رمضان و إن کان جاریا، إلّا أنّ الأثر مترتّب علی أنّ الزمان المشکوک من رمضان، أو من شعبان، أو غیر ذلک، و هذا لیس له الحالة السابقة بالضرورة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غریب؛ ضرورة أنّ الواجب صوم شهر رمضان، و الحرام أو الواجب صوم یوم الشکّ من شوال، و استصحاب عدم مجی‌ء رمضان، أو عدم مجی‌ء شوال، کاف و لو قلنا بعدم حجّیة الأصل المثبت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استصحاب بقاء شعبان و رمضان حسب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فکاف؛ لأنّ صوم شعبان مستحبّ، و هکذا صوم رمضان واجب و لو کان الحکم حسب القطعات</w:t>
      </w:r>
    </w:p>
    <w:p>
      <w:pPr>
        <w:pStyle w:val="BookText"/>
        <w:rPr/>
      </w:pPr>
      <w:r>
        <w:rPr>
          <w:rFonts w:ascii="IRNazanin" w:hAnsi="IRNazanin" w:eastAsia="IRNazanin"/>
          <w:color w:val="111111"/>
          <w:sz w:val="28"/>
          <w:sz w:val="28"/>
          <w:szCs w:val="28"/>
          <w:rtl w:val="true"/>
          <w:lang w:bidi="fa-IR"/>
        </w:rPr>
        <w:t>ینحلّ إلی الکثیر، کاستصحاب أنّ زیدا موجود لترتیب الآثار المختلفة المتضادّة علیه حسب قطعات حیاته الباقیة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و تقریرات العلّامة النائینی </w:t>
      </w:r>
      <w:r>
        <w:rPr>
          <w:rStyle w:val="FootnoteAnchor"/>
          <w:rtl w:val="true"/>
        </w:rPr>
        <w:footnoteReference w:id="9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و لو کان یمکن تقریب الاستصحاب بها، إلّا أنّ مقایستها بالأخبار الکثیرة الواردة فی الباب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یوجب الاطمئنان بأنّها منها، و لا أقلّ من إجمالها؛ و ذلک لأنّ فی تلک الأخبار ما یدلّ علی ممنوعیّة صوم یوم الشکّ من غیر النظر إلی الاستصحاب، بل النظر إلی عدم جواز خلط المعلوم بالمشکوک، أو إلی اعتبار الیقین علی وجه الصفتیّة، أو الطریقیّة الکاملة، لا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جواز الاتکاء لسائر الأمارات القائمة علی دخول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للأمر بالإفطار بعد الرؤیة، أو لأجل الرؤیة، أو عند الرؤیة،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تقریرات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دلالتها؛ لأنّ الفرع الثانی یرفع إجمال الصدر؛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الفرع الأوّل یرفع احتمال کون المراد منها قاعدة الاشتغال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الاستصحاب بحسب اللغة، و یشبه الصلاة و الرکعة المشکوک فیها المأمور بها منفصلة، و لا معنی لرفع الإجمال بالتفریع الثانی؛ لأنّه لا إجمال فیه فی حدّ نفسه، بل یوجب الوثوق بوجود القرینة المحذوفة، أو بأنّ الدخول فی رمضان لا یمکن إلّا بالعلم الوجدانیّ</w:t>
      </w:r>
      <w:bookmarkStart w:id="721" w:name="pg13177_118061"/>
    </w:p>
    <w:p>
      <w:pPr>
        <w:pStyle w:val="BookText"/>
        <w:rPr/>
      </w:pPr>
      <w:bookmarkEnd w:id="721"/>
      <w:r>
        <w:rPr>
          <w:rFonts w:ascii="IRNazanin" w:hAnsi="IRNazanin" w:eastAsia="IRNazanin"/>
          <w:color w:val="111111"/>
          <w:sz w:val="28"/>
          <w:sz w:val="28"/>
          <w:szCs w:val="28"/>
          <w:rtl w:val="true"/>
          <w:lang w:bidi="fa-IR"/>
        </w:rPr>
        <w:t>أو التنزیلیّ، و الأوّل منتف؛ لاستصحاب عدم دخول شهر رمضان، أو عدم تحقّقه، أو أنّه ما کان یشهد الشهر،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الفرع الثانی إمّا یستصحب بقاء شهر رمضان إلی الرؤیة، و ینقض الیقین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إیجاب الصوم، و أمّا وجوب الإفطار فهو من آثار العید، فیستصحب 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الأمر بالإفطار عقیب التحذیر و الوجوب المضادّ له بوجه، فالاستصحاب الجاری هنا وجودیّ و عدمیّ، فیکون أظهر من هذه الجهة و من أجل التفریعین، أو هناک ثلاثة استصحابات وجودیّة و عدمیّة، و علی هذا لا یدخل الشکّ فی الیقین، و لا یدخل الیقین فیه المشکوک</w:t>
      </w:r>
      <w:r>
        <w:rPr>
          <w:rFonts w:eastAsia="IRNazanin" w:cs="IRNazanin"/>
          <w:color w:val="111111"/>
          <w:sz w:val="28"/>
          <w:szCs w:val="28"/>
          <w:rtl w:val="true"/>
          <w:lang w:bidi="fa-IR"/>
        </w:rPr>
        <w:t>.</w:t>
      </w:r>
    </w:p>
    <w:p>
      <w:pPr>
        <w:pStyle w:val="Heading6"/>
        <w:numPr>
          <w:ilvl w:val="5"/>
          <w:numId w:val="1"/>
        </w:numPr>
        <w:rPr/>
      </w:pPr>
      <w:bookmarkStart w:id="722" w:name="__RefHeading___Toc764086_3244359995"/>
      <w:bookmarkStart w:id="723" w:name="_Toc268"/>
      <w:bookmarkEnd w:id="722"/>
      <w:r>
        <w:rPr>
          <w:rtl w:val="true"/>
        </w:rPr>
        <w:t>تذنیب</w:t>
      </w:r>
      <w:r>
        <w:rPr>
          <w:rtl w:val="true"/>
        </w:rPr>
        <w:t xml:space="preserve">: </w:t>
      </w:r>
      <w:r>
        <w:rPr>
          <w:rtl w:val="true"/>
        </w:rPr>
        <w:t>فی بیان رفع الإجمال عن المکاتبة</w:t>
      </w:r>
      <w:bookmarkEnd w:id="723"/>
    </w:p>
    <w:p>
      <w:pPr>
        <w:pStyle w:val="BookText"/>
        <w:rPr/>
      </w:pPr>
      <w:r>
        <w:rPr>
          <w:rFonts w:ascii="IRNazanin" w:hAnsi="IRNazanin" w:eastAsia="IRNazanin"/>
          <w:color w:val="111111"/>
          <w:sz w:val="28"/>
          <w:sz w:val="28"/>
          <w:szCs w:val="28"/>
          <w:rtl w:val="true"/>
          <w:lang w:bidi="fa-IR"/>
        </w:rPr>
        <w:t xml:space="preserve">فبناء علی هذا لا إجمال من ناحیة یوم الشکّ، بل هو أعمّ من الیوم الأوّل و الآخر، و لا 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یرید به إزالة الشکّ تعبّدا و تفسیر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لا یبطل الیقین بالشکّ، و لا یکون مدخولا و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للخروج عن آداب الاجتهاد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حاجة إلی التفسیر المذکور، و لا إلی التمسّک بالفرع الثانی لرفعه </w:t>
      </w:r>
      <w:r>
        <w:rPr>
          <w:rStyle w:val="FootnoteAnchor"/>
          <w:rtl w:val="true"/>
        </w:rPr>
        <w:footnoteReference w:id="915"/>
      </w:r>
      <w:r>
        <w:rPr>
          <w:rFonts w:ascii="IRNazanin" w:hAnsi="IRNazanin" w:eastAsia="IRNazanin"/>
          <w:color w:val="111111"/>
          <w:sz w:val="28"/>
          <w:sz w:val="28"/>
          <w:szCs w:val="28"/>
          <w:rtl w:val="true"/>
          <w:lang w:bidi="fa-IR"/>
        </w:rPr>
        <w:t>لأنّ الکلام و الکبری سیقت للتعبّد، و لیست إخبارا عن أمر تکوینیّ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کون الأصل مثبتا؛ لأنّه ما کان شهد شهر رمضان فلا یجب، و ما کان أدرک العید فلا یحرم، و کان شاهدا لرمضان فیجب الصوم، و لا یلزم مناقضة الصدر و الذیل؛ و هو دخول المشکوک فیه فی الیقین آخر الشهر حسب الفرع الثانی،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السؤال و ظاهره هو الجواب عن الشبهة الحکمیّة؛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سؤال عنها، فیستصحب عدم وجوب الصوم، و بقاء وجوب الصوم، و عدم حرمة الصوم حسب 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وجود الأصل الموضوعیّ لا تصل النوبة إلی الحکمیّ، و القواعد المتعارفة تقتضی کون الجواب علی وفق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یتعیّن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بالصوم للرؤیة لأجل شرطیّة الیقین حسب الأخبار الاخر</w:t>
      </w:r>
      <w:r>
        <w:rPr>
          <w:rStyle w:val="FootnoteAnchor"/>
          <w:rtl w:val="true"/>
        </w:rPr>
        <w:footnoteReference w:id="916"/>
      </w:r>
      <w:r>
        <w:rPr>
          <w:rFonts w:ascii="IRNazanin" w:hAnsi="IRNazanin" w:eastAsia="IRNazanin"/>
          <w:color w:val="111111"/>
          <w:sz w:val="28"/>
          <w:sz w:val="28"/>
          <w:szCs w:val="28"/>
          <w:rtl w:val="true"/>
          <w:lang w:bidi="fa-IR"/>
        </w:rPr>
        <w:t xml:space="preserve">، و الأمر بالإفطار بعد الرؤیة لأجل الاشتغال بالأمر الیقینیّ،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المحقّق من نقضه بالفرع الأوّل </w:t>
      </w:r>
      <w:r>
        <w:rPr>
          <w:rStyle w:val="FootnoteAnchor"/>
          <w:rtl w:val="true"/>
        </w:rPr>
        <w:footnoteReference w:id="917"/>
      </w:r>
      <w:r>
        <w:rPr>
          <w:rFonts w:ascii="IRNazanin" w:hAnsi="IRNazanin" w:eastAsia="IRNazanin"/>
          <w:color w:val="111111"/>
          <w:sz w:val="28"/>
          <w:sz w:val="28"/>
          <w:szCs w:val="28"/>
          <w:rtl w:val="true"/>
          <w:lang w:bidi="fa-IR"/>
        </w:rPr>
        <w:t>، فی غیر محلّه؛ لعدم وجود الشرط الشرعیّ هنا، لا آخر الشهر،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 علیک شبهة جریان الاستصحاب فی الشبهات الموضوعیّة التی کانت الاصول الحکمیّة موافقة معها</w:t>
      </w:r>
      <w:r>
        <w:rPr>
          <w:rStyle w:val="FootnoteAnchor"/>
          <w:rtl w:val="true"/>
        </w:rPr>
        <w:footnoteReference w:id="918"/>
      </w:r>
      <w:r>
        <w:rPr>
          <w:rFonts w:ascii="IRNazanin" w:hAnsi="IRNazanin" w:eastAsia="IRNazanin"/>
          <w:color w:val="111111"/>
          <w:sz w:val="28"/>
          <w:sz w:val="28"/>
          <w:szCs w:val="28"/>
          <w:rtl w:val="true"/>
          <w:lang w:bidi="fa-IR"/>
        </w:rPr>
        <w:t>، کما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کلّیة؛ لحذف المتعلّق، و مجراها حکمیّة، و لذلک أمر بالصوم و الإفطار بعد الرؤیة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الصناعة العلمیّة مرعیّة فی غیر المقام الذی هو علیه السّلام ینظر إلی الواقع، کما مرّ</w:t>
      </w:r>
      <w:r>
        <w:rPr>
          <w:rStyle w:val="FootnoteAnchor"/>
          <w:rtl w:val="true"/>
        </w:rPr>
        <w:footnoteReference w:id="919"/>
      </w:r>
      <w:r>
        <w:rPr>
          <w:rFonts w:ascii="IRNazanin" w:hAnsi="IRNazanin" w:eastAsia="IRNazanin"/>
          <w:color w:val="111111"/>
          <w:sz w:val="28"/>
          <w:sz w:val="28"/>
          <w:szCs w:val="28"/>
          <w:rtl w:val="true"/>
          <w:lang w:bidi="fa-IR"/>
        </w:rPr>
        <w:t>فی روایة مسعدة</w:t>
      </w:r>
      <w:r>
        <w:rPr>
          <w:rStyle w:val="FootnoteAnchor"/>
          <w:rtl w:val="true"/>
        </w:rPr>
        <w:footnoteReference w:id="920"/>
      </w:r>
      <w:r>
        <w:rPr>
          <w:rFonts w:ascii="IRNazanin" w:hAnsi="IRNazanin" w:eastAsia="IRNazanin"/>
          <w:color w:val="111111"/>
          <w:sz w:val="28"/>
          <w:sz w:val="28"/>
          <w:szCs w:val="28"/>
          <w:rtl w:val="true"/>
          <w:lang w:bidi="fa-IR"/>
        </w:rPr>
        <w:t>و غیرها</w:t>
      </w:r>
      <w:r>
        <w:rPr>
          <w:rStyle w:val="FootnoteAnchor"/>
          <w:rtl w:val="true"/>
        </w:rPr>
        <w:footnoteReference w:id="921"/>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bookmarkStart w:id="724" w:name="pg13177_118063"/>
    </w:p>
    <w:p>
      <w:pPr>
        <w:pStyle w:val="Heading6"/>
        <w:numPr>
          <w:ilvl w:val="5"/>
          <w:numId w:val="1"/>
        </w:numPr>
        <w:rPr/>
      </w:pPr>
      <w:bookmarkStart w:id="725" w:name="__RefHeading___Toc764088_3244359995"/>
      <w:bookmarkStart w:id="726" w:name="_Toc269"/>
      <w:bookmarkEnd w:id="724"/>
      <w:bookmarkEnd w:id="725"/>
      <w:r>
        <w:rPr>
          <w:rtl w:val="true"/>
        </w:rPr>
        <w:t>تذنیبان</w:t>
      </w:r>
      <w:bookmarkEnd w:id="726"/>
    </w:p>
    <w:p>
      <w:pPr>
        <w:pStyle w:val="Heading6"/>
        <w:numPr>
          <w:ilvl w:val="5"/>
          <w:numId w:val="1"/>
        </w:numPr>
        <w:rPr/>
      </w:pPr>
      <w:bookmarkStart w:id="727" w:name="__RefHeading___Toc764090_3244359995"/>
      <w:bookmarkStart w:id="728" w:name="_Toc270"/>
      <w:bookmarkEnd w:id="727"/>
      <w:r>
        <w:rPr>
          <w:rtl w:val="true"/>
        </w:rPr>
        <w:t>التذنیب الأوّل</w:t>
      </w:r>
      <w:r>
        <w:rPr>
          <w:rtl w:val="true"/>
        </w:rPr>
        <w:t xml:space="preserve">: </w:t>
      </w:r>
      <w:r>
        <w:rPr>
          <w:rtl w:val="true"/>
        </w:rPr>
        <w:t>فی جملة من الأخبار التی استدلّ بها جلّ الأعلام دون کلّهم</w:t>
      </w:r>
      <w:bookmarkEnd w:id="728"/>
    </w:p>
    <w:p>
      <w:pPr>
        <w:pStyle w:val="Heading6"/>
        <w:numPr>
          <w:ilvl w:val="5"/>
          <w:numId w:val="1"/>
        </w:numPr>
        <w:rPr/>
      </w:pPr>
      <w:bookmarkStart w:id="729" w:name="__RefHeading___Toc764092_3244359995"/>
      <w:bookmarkStart w:id="730" w:name="_Toc271"/>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و لنا أن نذکر المشابهات کافّة،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حَتَّی یَتَبَیَّنَ لَکُمُ الْخَیْطُ الْأَبْیَضُ مِنَ الْخَیْطِ الْأَسْوَدِ</w:t>
      </w:r>
      <w:r>
        <w:rPr>
          <w:rStyle w:val="FootnoteAnchor"/>
          <w:rtl w:val="true"/>
        </w:rPr>
        <w:footnoteReference w:id="922"/>
      </w:r>
      <w:r>
        <w:rPr>
          <w:rFonts w:ascii="IRNazanin" w:hAnsi="IRNazanin" w:eastAsia="IRNazanin"/>
          <w:color w:val="111111"/>
          <w:sz w:val="28"/>
          <w:sz w:val="28"/>
          <w:szCs w:val="28"/>
          <w:rtl w:val="true"/>
          <w:lang w:bidi="fa-IR"/>
        </w:rPr>
        <w:t xml:space="preserve">و یأتی تقریب الاستدلال به إن شاء اللّه تعالی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فی ذیل حدیث عمّار الساباطیّ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 فی اعتبار سنده إشکال؛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السند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یحیی، عن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من ابن فضّال إلی عمّار لا غمز فیه عندنا، و هکذا من الشیخ إلی محمّد بن أحمد و إن یحتمل وجود کتابه عنده،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الموجود فی أکثر النسخ فهو غیر ثابت اعتباره، و لیس هذا هو الذی یروی عنه ابن أبی نصر بالضرورة، و لا یتمیّز عن أبی جعفر ابن أخی ذبیان الثقة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یحیی، ففی هذه الطبقة یدور الأمر بین الثقة و غیره، و بین ما</w:t>
      </w:r>
    </w:p>
    <w:p>
      <w:pPr>
        <w:pStyle w:val="BookText"/>
        <w:rPr/>
      </w:pPr>
      <w:r>
        <w:rPr>
          <w:rFonts w:ascii="IRNazanin" w:hAnsi="IRNazanin" w:eastAsia="IRNazanin"/>
          <w:color w:val="111111"/>
          <w:sz w:val="28"/>
          <w:sz w:val="28"/>
          <w:szCs w:val="28"/>
          <w:rtl w:val="true"/>
          <w:lang w:bidi="fa-IR"/>
        </w:rPr>
        <w:t>هو الضعیف، و لعلّه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المعاذیّ المعروف، و لیس هو الخزّاز الثقة؛ لأنّ أحمد بن فضّال المتوفّی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و ذاک یروی عن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روایة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مسعدة غیر ثابت اعتباره عندی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کلّها علی هذا حتّی یستبین لک غیر 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خبر حمّاد بن عثمان،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یعلم أنّه قذر</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البحث حول هذه علی وجه یشمل ضعاف أقاویل القوم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المحتملات و مختارات بعضهم، و لا سیّما بعد ضعف سند الأخبار المستدلّ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المعروف من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غیر ما فی صدر خبر مسعدة، أو ذیل روایة الساباطیّ،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 أن تدرج فی هذه الأخبار روایات کثیرة مضمونها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أبدا، حتّی تعرف الحرام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إن شاء اللّه وجه الاستدلال بها</w:t>
      </w:r>
      <w:r>
        <w:rPr>
          <w:rStyle w:val="FootnoteAnchor"/>
          <w:rtl w:val="true"/>
        </w:rPr>
        <w:footnoteReference w:id="927"/>
      </w:r>
      <w:r>
        <w:rPr>
          <w:rFonts w:ascii="IRNazanin" w:hAnsi="IRNazanin" w:eastAsia="IRNazanin"/>
          <w:color w:val="111111"/>
          <w:sz w:val="28"/>
          <w:sz w:val="28"/>
          <w:szCs w:val="28"/>
          <w:rtl w:val="true"/>
          <w:lang w:bidi="fa-IR"/>
        </w:rPr>
        <w:t>، و فیها الأخبار المعتبرة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مشتمل علی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المتیقّنة، و المشکوک فیها، کما</w:t>
      </w:r>
    </w:p>
    <w:p>
      <w:pPr>
        <w:pStyle w:val="BookText"/>
        <w:rPr/>
      </w:pPr>
      <w:r>
        <w:rPr>
          <w:rFonts w:ascii="IRNazanin" w:hAnsi="IRNazanin" w:eastAsia="IRNazanin"/>
          <w:color w:val="111111"/>
          <w:sz w:val="28"/>
          <w:sz w:val="28"/>
          <w:szCs w:val="28"/>
          <w:rtl w:val="true"/>
          <w:lang w:bidi="fa-IR"/>
        </w:rPr>
        <w:t xml:space="preserve">سیأتی تحقیقه </w:t>
      </w:r>
      <w:r>
        <w:rPr>
          <w:rStyle w:val="FootnoteAnchor"/>
          <w:rtl w:val="true"/>
        </w:rPr>
        <w:footnoteReference w:id="928"/>
      </w:r>
      <w:r>
        <w:rPr>
          <w:rFonts w:ascii="IRNazanin" w:hAnsi="IRNazanin" w:eastAsia="IRNazanin"/>
          <w:color w:val="111111"/>
          <w:sz w:val="28"/>
          <w:sz w:val="28"/>
          <w:szCs w:val="28"/>
          <w:rtl w:val="true"/>
          <w:lang w:bidi="fa-IR"/>
        </w:rPr>
        <w:t>، و أنّ اتحادهما یکون فی الموضوع، و أمّا فی المحمول ففی المتیقّنة یکون الحمل جزمیّا، و فی المشکوک فیها یتردّد المحمول إلّا فی الاستصحاب التعلیقیّ،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بقاء الشی‌ء أو اعتبار الاستمرار فیه، فهو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اتصال زمان القضیّتین؛ فإنّ الیقین یتعلّق هنا بالقضیّة، و الشکّ شکّ فی القضیّة، و حیث یمکن ذلک مع نقض الحالة السابقة نعتبر اتصال القضیّتین زمانا؛ لما فی نفس الأخبار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بأنّ زیدا عالم، ثمّ علم بأنّه صار جاهلا، ثمّ شکّ فی علمه،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علی یقین بأنّ زیدا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شاکّ فعلا فی أنّه عالم أم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یکفی مجرّد اتحاد القضیّتین، بل لا بدّ من اتصال زمان الشکّ فی أنّه عالم أم جاهل، بزمان الیقین بأنّه کان عالما، و هذا لا یجتمع مع العلم فی الزمان المتوسّط بأنّه صار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ترجع حقیقة اشتراط اتصال زمان الشکّ بالیقین، و إلّا فلا معنی له، بل هو أمر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تری هنا فی کلماتهم من استفادة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الأخبار، أو تری فیها من عدم دلالة هذه الجمل و الروایات علی الاستمرار المعتبر، أو الشکّ فی البقاء المعتبر فی الاستصحاب، فکلّه ناشئ عن عدم الوصول إلی مغزی المسألة، و اللّه تعالی هو الهادی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حجّیة الاستصحاب حدیث الاستمرار و الشکّ فی البقاء؛ فإنّ هذه الامور ترتبط بمثل الحرکة و الزمان و الوجود، دون القضایا التصدیقیّة البتّیة، أو المردّدة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فلا بدّ هنا من القضیّة المتیقّنة، و هی أمر مفروغ منه فی هذه الأخبار؛ لأنّ الصدر سواء تصدّی لإفادة الطهارة و الحلّیة الواقعیّتین، أو الظاهریّتین، أو هما معا، یفید العلم بهما و بتلک القضیّة الراجعة إلی مؤدّی الأمارات، أو مؤدّی الاصول و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الحکم ثابت إلی حال المعرفة بالحرام و العلم بالطهارة، و هذه العناوین و إن لم تکن لها الطریقیّة و الموضوعیّة، إلّا أنّ مصداقها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فی الأدلّة حسب الفهم العرفیّ و بناء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فیحدث أمر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الحالة الثالثة، و هو الشکّ و التردید، بعد الیقین بالطهارة و الحلّیة و النظافة الواقعیّة و الظاهریّة بمقتضی الصدر، و عندئذ یستصحب مؤدّی الدلیل الاجتهادیّ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الاجتهادیّ و الاصول واحد جامع لامور ثلاثة، کما هو مختار العلّامة الخراسانیّ فی الحاشیة</w:t>
      </w:r>
      <w:r>
        <w:rPr>
          <w:rStyle w:val="FootnoteAnchor"/>
          <w:rtl w:val="true"/>
        </w:rPr>
        <w:footnoteReference w:id="929"/>
      </w:r>
      <w:r>
        <w:rPr>
          <w:rFonts w:ascii="IRNazanin" w:hAnsi="IRNazanin" w:eastAsia="IRNazanin"/>
          <w:color w:val="111111"/>
          <w:sz w:val="28"/>
          <w:sz w:val="28"/>
          <w:szCs w:val="28"/>
          <w:rtl w:val="true"/>
          <w:lang w:bidi="fa-IR"/>
        </w:rPr>
        <w:t xml:space="preserve">، خلافا لاختیاره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بین القاعدة و الاستصحاب فقط</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غیر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نظیف </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یشتمل علی قواعد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الواقعیّة، و الظاهریّة، و الحلّیة الواقعیّة، و الظاهریّة، و الاستصحاب، فإنّ المحرّم أکله لیس بنظیف، و یکون قذرا فی محیط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یشعر بذلک عدم أخذ الشکّ فی الصدر قیدا؛ کی یعلم أنّ الجهة التعلیلیّة و التقییدیّة للشکّ أو الخلوّ منهما، لا مدخلیّة لها فی ضرب القانون العامّ الکلّی المنحلّ حسب اختلاف محالّه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دخالة الشکّ فی کون الحکم ظاهریّا، یستفاد بعد انحلال العامّ المذکور،</w:t>
      </w:r>
    </w:p>
    <w:p>
      <w:pPr>
        <w:pStyle w:val="BookText"/>
        <w:rPr/>
      </w:pPr>
      <w:r>
        <w:rPr>
          <w:rFonts w:ascii="IRNazanin" w:hAnsi="IRNazanin" w:eastAsia="IRNazanin"/>
          <w:color w:val="111111"/>
          <w:sz w:val="28"/>
          <w:sz w:val="28"/>
          <w:szCs w:val="28"/>
          <w:rtl w:val="true"/>
          <w:lang w:bidi="fa-IR"/>
        </w:rPr>
        <w:t>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کلام جمع من امتناع الجمع ثبوتا بین تلک القواعد؛ لأنّ الحلّیة الواقعیّة مثلا فارغة عن الشکّ، و الظاهریّة مرهونة بالشکّ، و لا یعقل الجمع بین بشرط لا و بشرط شی‌ء</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الشکّ فی الحلّیة و الطهارة طولیّ </w:t>
      </w:r>
      <w:r>
        <w:rPr>
          <w:rStyle w:val="FootnoteAnchor"/>
          <w:rtl w:val="true"/>
        </w:rPr>
        <w:footnoteReference w:id="933"/>
      </w:r>
      <w:r>
        <w:rPr>
          <w:rFonts w:ascii="IRNazanin" w:hAnsi="IRNazanin" w:eastAsia="IRNazanin"/>
          <w:color w:val="111111"/>
          <w:sz w:val="28"/>
          <w:sz w:val="28"/>
          <w:szCs w:val="28"/>
          <w:rtl w:val="true"/>
          <w:lang w:bidi="fa-IR"/>
        </w:rPr>
        <w:t>، و لو أمکن استعمال الواحد فی الکثیر لا یمکن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الصدر بالنسبة إلی الواقعیّة إخبار، و بالنسبة إلی الظاهریّة إنشاء، و الجمع بینهما ممتنع فی کلام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جواز ذلک ثبوتا و لکنّه غیر متعارف إثباتا فی ضرب القوانین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فکلّه غیر تامّ کما سیظهر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الغریب تخصیص الشیخ </w:t>
      </w:r>
      <w:r>
        <w:rPr>
          <w:rStyle w:val="FootnoteAnchor"/>
          <w:rtl w:val="true"/>
        </w:rPr>
        <w:footnoteReference w:id="935"/>
      </w:r>
      <w:r>
        <w:rPr>
          <w:rFonts w:ascii="IRNazanin" w:hAnsi="IRNazanin" w:eastAsia="IRNazanin"/>
          <w:color w:val="111111"/>
          <w:sz w:val="28"/>
          <w:sz w:val="28"/>
          <w:szCs w:val="28"/>
          <w:rtl w:val="true"/>
          <w:lang w:bidi="fa-IR"/>
        </w:rPr>
        <w:t xml:space="preserve">استفادة الاستصحاب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القضیّة المتیقّنة تحصل بنفس الصدر، و لا نحتاج فی تحصیل الیقین إلی أنّ الماء بطبیعته طاهر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علی المحکیّ عنه </w:t>
      </w:r>
      <w:r>
        <w:rPr>
          <w:rStyle w:val="FootnoteAnchor"/>
          <w:rtl w:val="true"/>
        </w:rPr>
        <w:footnoteReference w:id="938"/>
      </w:r>
      <w:r>
        <w:rPr>
          <w:rFonts w:ascii="IRNazanin" w:hAnsi="IRNazanin" w:eastAsia="IRNazanin"/>
          <w:color w:val="111111"/>
          <w:sz w:val="28"/>
          <w:sz w:val="28"/>
          <w:szCs w:val="28"/>
          <w:rtl w:val="true"/>
          <w:lang w:bidi="fa-IR"/>
        </w:rPr>
        <w:t xml:space="preserve">فی القاعدة المشار إلیها آنفا، و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جمیع هذه العبارات فی مقام الجعل المشترک</w:t>
      </w:r>
    </w:p>
    <w:p>
      <w:pPr>
        <w:pStyle w:val="BookText"/>
        <w:rPr/>
      </w:pPr>
      <w:r>
        <w:rPr>
          <w:rFonts w:ascii="Amiri" w:hAnsi="Amiri" w:eastAsia="Amiri" w:cs="Amiri"/>
          <w:color w:val="111111"/>
          <w:sz w:val="28"/>
          <w:sz w:val="28"/>
          <w:szCs w:val="28"/>
          <w:rtl w:val="true"/>
          <w:lang w:bidi="ar-SA"/>
        </w:rPr>
        <w:t>فی 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بالقاعدتین دون الخمس </w:t>
      </w:r>
      <w:r>
        <w:rPr>
          <w:rStyle w:val="FootnoteAnchor"/>
          <w:rtl w:val="true"/>
        </w:rPr>
        <w:footnoteReference w:id="939"/>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بالثلاث </w:t>
      </w:r>
      <w:r>
        <w:rPr>
          <w:rStyle w:val="FootnoteAnchor"/>
          <w:rtl w:val="true"/>
        </w:rPr>
        <w:footnoteReference w:id="940"/>
      </w:r>
      <w:r>
        <w:rPr>
          <w:rFonts w:ascii="IRNazanin" w:hAnsi="IRNazanin" w:eastAsia="IRNazanin"/>
          <w:color w:val="111111"/>
          <w:sz w:val="28"/>
          <w:sz w:val="28"/>
          <w:szCs w:val="28"/>
          <w:rtl w:val="true"/>
          <w:lang w:bidi="fa-IR"/>
        </w:rPr>
        <w:t>، ضرورة أنّ الطهارة و النجاسة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ممّا کشف عنهما الشرع المقدّس، بل هما مجعولتان حسب المصالح العامّة السیاسیّة و المفاسد الخاصّة النوعیّة</w:t>
      </w:r>
      <w:r>
        <w:rPr>
          <w:rStyle w:val="FootnoteAnchor"/>
          <w:rtl w:val="true"/>
        </w:rPr>
        <w:footnoteReference w:id="941"/>
      </w:r>
      <w:r>
        <w:rPr>
          <w:rFonts w:ascii="IRNazanin" w:hAnsi="IRNazanin" w:eastAsia="IRNazanin"/>
          <w:color w:val="111111"/>
          <w:sz w:val="28"/>
          <w:sz w:val="28"/>
          <w:szCs w:val="28"/>
          <w:rtl w:val="true"/>
          <w:lang w:bidi="fa-IR"/>
        </w:rPr>
        <w:t>، و هکذا الحلّیة و الحرمة و المنع العامّان، فلا یلزم اجتماع الإخبار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 الأولی غیر مجعولة، و الثانیة مجعولة، فلتکن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عمّا هو الواقع و عمّا هو المنشأ، لا بهذه الجملة، فعند ذلک یحصل الیقین من الجملة الاولی بالقضیّة المتیقّنة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کان طاهرا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بقاء طهارته الواقعیّة؛ إمّا من جهة احتمال نسخ، أو احتمال طروّ ما ینجّسه ظاهرا، فهو أیضا علی الطهارة إلی أن یعلم أو ما بحکم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شکّ فی الحیوان المتولّد من الحیوانین أنّه طاهر أو نجس، یبنی علی أنّه طاهر؛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و هو ینحلّ إلی القضایا الکثیرة انحلالا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بعد ذلک أنّه صار نجسا فیستصحب تلک الطهارة البنائیّة، و یبنی علیها إلی أن یعلم بالنجاسة أو ما بحکم العلم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الاستصحاب السببیّ و المسبّبی، و هما طولیّان، و أحدهما حاکم علی الآخر، و لیس ذلک إلّا للانحلال، کذلک الأمر فی المقام،</w:t>
      </w:r>
    </w:p>
    <w:p>
      <w:pPr>
        <w:pStyle w:val="BookText"/>
        <w:rPr/>
      </w:pPr>
      <w:r>
        <w:rPr>
          <w:rFonts w:ascii="IRNazanin" w:hAnsi="IRNazanin" w:eastAsia="IRNazanin"/>
          <w:color w:val="111111"/>
          <w:sz w:val="28"/>
          <w:sz w:val="28"/>
          <w:szCs w:val="28"/>
          <w:rtl w:val="true"/>
          <w:lang w:bidi="fa-IR"/>
        </w:rPr>
        <w:t xml:space="preserve">فلا شبهة ثبوتا خلافا لجمع، منهم العلّامة الأراکیّ </w:t>
      </w:r>
      <w:r>
        <w:rPr>
          <w:rStyle w:val="FootnoteAnchor"/>
          <w:rtl w:val="true"/>
        </w:rPr>
        <w:footnoteReference w:id="943"/>
      </w:r>
      <w:r>
        <w:rPr>
          <w:rFonts w:ascii="IRNazanin" w:hAnsi="IRNazanin" w:eastAsia="IRNazanin"/>
          <w:color w:val="111111"/>
          <w:sz w:val="28"/>
          <w:sz w:val="28"/>
          <w:szCs w:val="28"/>
          <w:rtl w:val="true"/>
          <w:lang w:bidi="fa-IR"/>
        </w:rPr>
        <w:t xml:space="preserve">، و النائینیّ </w:t>
      </w:r>
      <w:r>
        <w:rPr>
          <w:rStyle w:val="FootnoteAnchor"/>
          <w:rtl w:val="true"/>
        </w:rPr>
        <w:footnoteReference w:id="944"/>
      </w:r>
      <w:r>
        <w:rPr>
          <w:rFonts w:ascii="IRNazanin" w:hAnsi="IRNazanin" w:eastAsia="IRNazanin"/>
          <w:color w:val="111111"/>
          <w:sz w:val="28"/>
          <w:sz w:val="28"/>
          <w:szCs w:val="28"/>
          <w:rtl w:val="true"/>
          <w:lang w:bidi="fa-IR"/>
        </w:rPr>
        <w:t>و المحقّق الوالد</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حاجة إلی استفادة الاستمرار و البقاء فی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فرق بین الطهارة الظاهریّة؛ و الطهارة التی تعتبر علی المشکوک المطلق، أو المقیّد، فإنّها تعدّ من الواقعیّة علی العنوان المذکور، کجعلها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النجاسة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ما هو مرام المتکلّم و مراده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 أنّ إلغاء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توجب استفادة الطهارة الواقعیّة إذا قیست إلی ذوات الأشیاء و عناوینها، و استفادة الطهارة الظاهریّة و هکذا فی جانب الحلّیة إذا قیست إلی شی‌ء شکّ فی طهارته أو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أخذ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أداة العموم الداخلة علی النکرة؛ و 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المغیّا، إیماء إلی إفادة المعنی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اصطلحنا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للأدلّة الخاصّة، لا یستلزم طرح الخبر الواحد الجامع المشتمل علی تلک الخمس مع إشعاره بالقرینة، فهذا لیس أمرا بعیدا عن الأذهان العرفیّة بدوا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انس أذهان المحصّلین بالقواعد الخمس و کثرتها، یصعب التصدیق باستنباطها من الجملة الواحدة، مع أنّها ضوء یستضاء به فی جمیع موارد الشکّ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یمکن إثبات الحجّیة المطلقة به؛ فإنّ استصحاب العدم الأزلیّ أجنبیّ عن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استفادة جواز الأکل فی مورد الشکّ فی التبیّن؛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وَ اشْرَبُوا</w:t>
      </w:r>
      <w:r>
        <w:rPr>
          <w:rStyle w:val="FootnoteAnchor"/>
          <w:rtl w:val="true"/>
        </w:rPr>
        <w:footnoteReference w:id="946"/>
      </w:r>
      <w:r>
        <w:rPr>
          <w:rFonts w:ascii="IRNazanin" w:hAnsi="IRNazanin" w:eastAsia="IRNazanin"/>
          <w:color w:val="111111"/>
          <w:sz w:val="28"/>
          <w:sz w:val="28"/>
          <w:szCs w:val="28"/>
          <w:rtl w:val="true"/>
          <w:lang w:bidi="fa-IR"/>
        </w:rPr>
        <w:t>یورث القطع</w:t>
      </w:r>
      <w:bookmarkStart w:id="731" w:name="pg13177_118070"/>
    </w:p>
    <w:p>
      <w:pPr>
        <w:pStyle w:val="BookText"/>
        <w:rPr/>
      </w:pPr>
      <w:bookmarkEnd w:id="731"/>
      <w:r>
        <w:rPr>
          <w:rFonts w:ascii="IRNazanin" w:hAnsi="IRNazanin" w:eastAsia="IRNazanin"/>
          <w:color w:val="111111"/>
          <w:sz w:val="28"/>
          <w:sz w:val="28"/>
          <w:szCs w:val="28"/>
          <w:rtl w:val="true"/>
          <w:lang w:bidi="fa-IR"/>
        </w:rPr>
        <w:t>بجواز الأکل، و أمّا إذا حصل الیقین بالتبیّن و الضوء من ناحیة الشمس دون القمر مثلا، فینتفی جواز الأکل، و فی مورد الشکّ یشکّ فی بقاء اللیل موضوعا لا مفهوما، و لا یعقل تصدّی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لتجویز الأکل و الشرب فی مورد الشکّ، مع أنّ موضوعه اللیل، أو ظرفه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انحلّ إلی الکثیر و لو حکما کما هو التحقیق، فیتصدّی لتجویز الأکل واقعا فی مورد العلم باللیل، و أیضا یتصدّی لتجویزه ظاهرا عند الشکّ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و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ضیق الخناق، و إلّا فما هو الاستصحاب هو التعبّد بالمحمول فی القضیّة المشکوک فیها، المردّد تکوینا محمولها بین الأمرین، کالجواز و عدمه فی المثال المذکور، و سیأتی تحقیق المسألة فی التنبیه الثانی </w:t>
      </w:r>
      <w:r>
        <w:rPr>
          <w:rStyle w:val="FootnoteAnchor"/>
          <w:rtl w:val="true"/>
        </w:rPr>
        <w:footnoteReference w:id="947"/>
      </w:r>
      <w:r>
        <w:rPr>
          <w:rFonts w:ascii="IRNazanin" w:hAnsi="IRNazanin" w:eastAsia="IRNazanin"/>
          <w:color w:val="111111"/>
          <w:sz w:val="28"/>
          <w:sz w:val="28"/>
          <w:szCs w:val="28"/>
          <w:rtl w:val="true"/>
          <w:lang w:bidi="fa-IR"/>
        </w:rPr>
        <w:t>و بعض التنبیهات الاخر</w:t>
      </w:r>
      <w:r>
        <w:rPr>
          <w:rStyle w:val="FootnoteAnchor"/>
          <w:rtl w:val="true"/>
        </w:rPr>
        <w:footnoteReference w:id="948"/>
      </w:r>
      <w:r>
        <w:rPr>
          <w:rFonts w:ascii="IRNazanin" w:hAnsi="IRNazanin" w:eastAsia="IRNazanin"/>
          <w:color w:val="111111"/>
          <w:sz w:val="28"/>
          <w:sz w:val="28"/>
          <w:szCs w:val="28"/>
          <w:rtl w:val="true"/>
          <w:lang w:bidi="fa-IR"/>
        </w:rPr>
        <w:t>، فلیتدبّر، و اغتنم جیّدا</w:t>
      </w:r>
      <w:r>
        <w:rPr>
          <w:rFonts w:eastAsia="IRNazanin" w:cs="IRNazanin"/>
          <w:color w:val="111111"/>
          <w:sz w:val="28"/>
          <w:szCs w:val="28"/>
          <w:rtl w:val="true"/>
          <w:lang w:bidi="fa-IR"/>
        </w:rPr>
        <w:t>.</w:t>
      </w:r>
    </w:p>
    <w:p>
      <w:pPr>
        <w:pStyle w:val="Heading6"/>
        <w:numPr>
          <w:ilvl w:val="5"/>
          <w:numId w:val="1"/>
        </w:numPr>
        <w:rPr/>
      </w:pPr>
      <w:bookmarkStart w:id="732" w:name="__RefHeading___Toc764094_3244359995"/>
      <w:bookmarkStart w:id="733" w:name="_Toc272"/>
      <w:bookmarkEnd w:id="732"/>
      <w:r>
        <w:rPr>
          <w:rtl w:val="true"/>
        </w:rPr>
        <w:t>بقی شی‌ء</w:t>
      </w:r>
      <w:r>
        <w:rPr>
          <w:rtl w:val="true"/>
        </w:rPr>
        <w:t xml:space="preserve">: </w:t>
      </w:r>
      <w:r>
        <w:rPr>
          <w:rtl w:val="true"/>
        </w:rPr>
        <w:t>فی بیان ضعف التمسّک بالأخبار السابقة</w:t>
      </w:r>
      <w:bookmarkEnd w:id="73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الأخبار بین ما لا سند له کما عرفت </w:t>
      </w:r>
      <w:r>
        <w:rPr>
          <w:rStyle w:val="FootnoteAnchor"/>
          <w:rtl w:val="true"/>
        </w:rPr>
        <w:footnoteReference w:id="949"/>
      </w:r>
      <w:r>
        <w:rPr>
          <w:rFonts w:ascii="IRNazanin" w:hAnsi="IRNazanin" w:eastAsia="IRNazanin"/>
          <w:color w:val="111111"/>
          <w:sz w:val="28"/>
          <w:sz w:val="28"/>
          <w:szCs w:val="28"/>
          <w:rtl w:val="true"/>
          <w:lang w:bidi="fa-IR"/>
        </w:rPr>
        <w:t xml:space="preserve">، و ما هو لا یبعد اعتباره کذیل خبر الساباطیّ </w:t>
      </w:r>
      <w:r>
        <w:rPr>
          <w:rStyle w:val="FootnoteAnchor"/>
          <w:rtl w:val="true"/>
        </w:rPr>
        <w:footnoteReference w:id="950"/>
      </w:r>
      <w:r>
        <w:rPr>
          <w:rFonts w:ascii="IRNazanin" w:hAnsi="IRNazanin" w:eastAsia="IRNazanin"/>
          <w:color w:val="111111"/>
          <w:sz w:val="28"/>
          <w:sz w:val="28"/>
          <w:szCs w:val="28"/>
          <w:rtl w:val="true"/>
          <w:lang w:bidi="fa-IR"/>
        </w:rPr>
        <w:t>، إلّا أنّه مورد الإشکال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 فقد قذر، 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یورث اعتبار العلم جزء الموضوع؛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فی مقام القاعدة الظاهریّة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موثّقة ابن بکیر</w:t>
      </w:r>
      <w:r>
        <w:rPr>
          <w:rStyle w:val="FootnoteAnchor"/>
          <w:rtl w:val="true"/>
        </w:rPr>
        <w:footnoteReference w:id="9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w:t>
      </w:r>
      <w:bookmarkStart w:id="734" w:name="pg13177_118071"/>
    </w:p>
    <w:p>
      <w:pPr>
        <w:pStyle w:val="BookText"/>
        <w:rPr/>
      </w:pPr>
      <w:bookmarkEnd w:id="734"/>
      <w:r>
        <w:rPr>
          <w:rFonts w:ascii="IRNazanin" w:hAnsi="IRNazanin" w:eastAsia="IRNazanin"/>
          <w:color w:val="111111"/>
          <w:sz w:val="28"/>
          <w:sz w:val="28"/>
          <w:szCs w:val="28"/>
          <w:rtl w:val="true"/>
          <w:lang w:bidi="fa-IR"/>
        </w:rPr>
        <w:t>دخیل فی الطهارة</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القذارة، إلّا أنّه لا بدّ و أن تحمل إمّا علی القذارة الاقتضائیّة، أو العرفیّة، أو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هو المجمل، مثل الأخبار الکثیرة المشتملة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کتاب الأطعمة و الأشربة، أبواب الأطعمة المباحة،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تفصیله فی مسألة البراءة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ذلک فهو فی مقابل العلم الإجمالیّ و لو کانت الأطراف محصورة، و یؤیّد ما سلکناه فی المحصورة، و لازم عمومها جواز الإفتاء بالخبرین المتعارضین غیر المعلوم حلّیة الإفتاء علی أحدهما و عدم حلّیته، فعموم ذلک یسری إلی هذه المراحل احتمالا</w:t>
      </w:r>
      <w:r>
        <w:rPr>
          <w:rFonts w:eastAsia="IRNazanin" w:cs="IRNazanin"/>
          <w:color w:val="111111"/>
          <w:sz w:val="28"/>
          <w:szCs w:val="28"/>
          <w:rtl w:val="true"/>
          <w:lang w:bidi="fa-IR"/>
        </w:rPr>
        <w:t>.</w:t>
      </w:r>
    </w:p>
    <w:p>
      <w:pPr>
        <w:pStyle w:val="Heading6"/>
        <w:numPr>
          <w:ilvl w:val="5"/>
          <w:numId w:val="1"/>
        </w:numPr>
        <w:rPr/>
      </w:pPr>
      <w:bookmarkStart w:id="735" w:name="__RefHeading___Toc764096_3244359995"/>
      <w:bookmarkStart w:id="736" w:name="_Toc273"/>
      <w:bookmarkEnd w:id="735"/>
      <w:r>
        <w:rPr>
          <w:rtl w:val="true"/>
        </w:rPr>
        <w:t>التذنیب الثانی</w:t>
      </w:r>
      <w:r>
        <w:rPr>
          <w:rtl w:val="true"/>
        </w:rPr>
        <w:t xml:space="preserve">: </w:t>
      </w:r>
      <w:r>
        <w:rPr>
          <w:rtl w:val="true"/>
        </w:rPr>
        <w:t>فی جملة من الأخبار التی لا یتمسّک بها إلّا الآحاد</w:t>
      </w:r>
      <w:bookmarkEnd w:id="736"/>
    </w:p>
    <w:p>
      <w:pPr>
        <w:pStyle w:val="BookText"/>
        <w:rPr/>
      </w:pPr>
      <w:r>
        <w:rPr>
          <w:rFonts w:ascii="Amiri" w:hAnsi="Amiri" w:eastAsia="Amiri" w:cs="Amiri"/>
          <w:color w:val="111111"/>
          <w:sz w:val="28"/>
          <w:sz w:val="28"/>
          <w:szCs w:val="28"/>
          <w:rtl w:val="true"/>
          <w:lang w:bidi="ar-SA"/>
        </w:rPr>
        <w:t xml:space="preserve">و قد تمسّک العلّامة الأراکیّ قدّس سرّه </w:t>
      </w:r>
      <w:r>
        <w:rPr>
          <w:rStyle w:val="FootnoteAnchor"/>
          <w:rtl w:val="true"/>
        </w:rPr>
        <w:footnoteReference w:id="954"/>
      </w:r>
      <w:r>
        <w:rPr>
          <w:rFonts w:ascii="IRNazanin" w:hAnsi="IRNazanin" w:eastAsia="IRNazanin"/>
          <w:color w:val="111111"/>
          <w:sz w:val="28"/>
          <w:sz w:val="28"/>
          <w:szCs w:val="28"/>
          <w:rtl w:val="true"/>
          <w:lang w:bidi="fa-IR"/>
        </w:rPr>
        <w:t>بحدیث معتبر عن عبد اللّه بن بکیر،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قد توضّأت فإیّاک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استیقنت أنّک قد أحدثت فتوضّأ، و إیّاک أن تحدث وضوء أبدا حتّی تستیقن أنّک قد أحدثت</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یکتفی الشرع فی ظرف الشکّ مع سبق الیقین بذلک الوضوء؛ من غیر التعبّد بالبقاء فی ظرف الشکّ، أو إلغاء الشکّ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قریبة بالنسبة إلی تلک الأخبار، إلّا أنّ حقیقة الاستصحاب</w:t>
      </w:r>
      <w:bookmarkStart w:id="737" w:name="pg13177_118072"/>
    </w:p>
    <w:p>
      <w:pPr>
        <w:pStyle w:val="BookText"/>
        <w:rPr/>
      </w:pPr>
      <w:bookmarkEnd w:id="737"/>
      <w:r>
        <w:rPr>
          <w:rFonts w:ascii="IRNazanin" w:hAnsi="IRNazanin" w:eastAsia="IRNazanin"/>
          <w:color w:val="111111"/>
          <w:sz w:val="28"/>
          <w:sz w:val="28"/>
          <w:szCs w:val="28"/>
          <w:rtl w:val="true"/>
          <w:lang w:bidi="fa-IR"/>
        </w:rPr>
        <w:t>لمّا کانت تعبّدا بوجود المحمول المردّد المقطوع به فی القضیّة المتیقّنة، و لا وجه لحدیث الاستمرار و البقاء، کان التمسّک بتلک الأخبار و الخبر المذکور ممکنا، و الأمر هنا أولی؛ لأنّه فی صورة الشکّ فی وجود الشرط لا بدّ من تحصیله، أو إلغاء الشرط فی ظرف الشکّ، و الثانی لا یصیر إلیه، و الأوّل متعیّن، فیلزم کونه من فروع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صراحة له؛ للاحتمالات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یمکن التمسّک بعدم القول بالفصل؛ بعد اختلاف أصحابنا إلی أقوال کثیرة، فما فی کلامه رحمه اللّه غیر سدید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الروایة من أجل الاستصحاب، تکون هی دلیلا علی أنّ الاستصحاب حجّة منجّزة و معذّرة؛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التحذیر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منع واضح، بل هو دلیل أماریّة الاستصحاب؛ و أنّ الشرع اعتبره أمارة، فیلزم التشریع لو توضأ إلّا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جوازه، و إلّا فالخبر یشهد علی أنّه غیر مشروع علی الإطلاق و لو احتیاطا، لا نظرا إلی سدّ التوسوس المبغوض فی الشریعة، بل إلی عدم إمکان الاحتیاط، کما لا یخفی</w:t>
      </w:r>
      <w:r>
        <w:rPr>
          <w:rFonts w:eastAsia="IRNazanin" w:cs="IRNazanin"/>
          <w:color w:val="111111"/>
          <w:sz w:val="28"/>
          <w:szCs w:val="28"/>
          <w:rtl w:val="true"/>
          <w:lang w:bidi="fa-IR"/>
        </w:rPr>
        <w:t>.</w:t>
      </w:r>
    </w:p>
    <w:p>
      <w:pPr>
        <w:pStyle w:val="Heading5"/>
        <w:numPr>
          <w:ilvl w:val="4"/>
          <w:numId w:val="1"/>
        </w:numPr>
        <w:rPr/>
      </w:pPr>
      <w:bookmarkStart w:id="738" w:name="__RefHeading___Toc764098_3244359995"/>
      <w:bookmarkStart w:id="739" w:name="_Toc274"/>
      <w:bookmarkEnd w:id="738"/>
      <w:r>
        <w:rPr>
          <w:rtl w:val="true"/>
        </w:rPr>
        <w:t>و منها</w:t>
      </w:r>
      <w:r>
        <w:rPr>
          <w:rtl w:val="true"/>
        </w:rPr>
        <w:t xml:space="preserve">: </w:t>
      </w:r>
      <w:r>
        <w:rPr>
          <w:rtl w:val="true"/>
        </w:rPr>
        <w:t>معتبرة عبد اللّه بن سنان</w:t>
      </w:r>
      <w:bookmarkEnd w:id="739"/>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أبی أبا عبد اللّه علیه السّلام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أعیر الذمّی ثوبی، و أنا أعلم أنّه یشرب الخمر، و یأکل لحم الخنزیر، فیردّه علیّ، فأغسله قبل أن اصلّی فیه؟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w:t>
      </w:r>
      <w:bookmarkStart w:id="740" w:name="pg13177_118073"/>
    </w:p>
    <w:p>
      <w:pPr>
        <w:pStyle w:val="BookText"/>
        <w:rPr/>
      </w:pPr>
      <w:bookmarkEnd w:id="740"/>
      <w:r>
        <w:rPr>
          <w:rFonts w:ascii="Amiri" w:hAnsi="Amiri" w:eastAsia="Amiri" w:cs="Amiri"/>
          <w:color w:val="111111"/>
          <w:sz w:val="28"/>
          <w:sz w:val="28"/>
          <w:szCs w:val="28"/>
          <w:rtl w:val="true"/>
          <w:lang w:bidi="ar-SA"/>
        </w:rPr>
        <w:t>نجسّه</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کتاب الطهارة، أبواب النجاسات، 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القضیّة المتیقّنة،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القضیّة المشکوک فیها،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التعبّد بوجود المحمول المردّد فیها تکوینا،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أعرته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یورث أنّ ما هو العلّة هو الیقین بطهارته و التردّد فیها بعد الردّ، من غیر خصوصیّة لغیر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الظهور غیر الإطلاق غیر المنعقد بمجرّد وجود ما یصلح للقرینیّة</w:t>
      </w:r>
      <w:r>
        <w:rPr>
          <w:rFonts w:eastAsia="IRNazanin" w:cs="IRNazanin"/>
          <w:color w:val="111111"/>
          <w:sz w:val="28"/>
          <w:szCs w:val="28"/>
          <w:rtl w:val="true"/>
          <w:lang w:bidi="fa-IR"/>
        </w:rPr>
        <w:t>.</w:t>
      </w:r>
    </w:p>
    <w:p>
      <w:pPr>
        <w:pStyle w:val="Heading5"/>
        <w:numPr>
          <w:ilvl w:val="4"/>
          <w:numId w:val="1"/>
        </w:numPr>
        <w:rPr/>
      </w:pPr>
      <w:bookmarkStart w:id="741" w:name="__RefHeading___Toc764100_3244359995"/>
      <w:bookmarkStart w:id="742" w:name="_Toc275"/>
      <w:bookmarkEnd w:id="741"/>
      <w:r>
        <w:rPr>
          <w:rtl w:val="true"/>
        </w:rPr>
        <w:t>و منها</w:t>
      </w:r>
      <w:r>
        <w:rPr>
          <w:rtl w:val="true"/>
        </w:rPr>
        <w:t xml:space="preserve">: </w:t>
      </w:r>
      <w:r>
        <w:rPr>
          <w:rtl w:val="true"/>
        </w:rPr>
        <w:t>الأخبار الاخر الکثیرة المنتشرة فی الأبواب المختلفة</w:t>
      </w:r>
      <w:bookmarkEnd w:id="742"/>
    </w:p>
    <w:p>
      <w:pPr>
        <w:pStyle w:val="BookText"/>
        <w:rPr/>
      </w:pPr>
      <w:r>
        <w:rPr>
          <w:rFonts w:ascii="IRNazanin" w:hAnsi="IRNazanin" w:eastAsia="IRNazanin"/>
          <w:color w:val="111111"/>
          <w:sz w:val="28"/>
          <w:sz w:val="28"/>
          <w:szCs w:val="28"/>
          <w:rtl w:val="true"/>
          <w:lang w:bidi="fa-IR"/>
        </w:rPr>
        <w:t>و لا سیّما فی کتاب الطهارة</w:t>
      </w:r>
      <w:r>
        <w:rPr>
          <w:rStyle w:val="FootnoteAnchor"/>
          <w:rtl w:val="true"/>
        </w:rPr>
        <w:footnoteReference w:id="957"/>
      </w:r>
      <w:r>
        <w:rPr>
          <w:rFonts w:ascii="IRNazanin" w:hAnsi="IRNazanin" w:eastAsia="IRNazanin"/>
          <w:color w:val="111111"/>
          <w:sz w:val="28"/>
          <w:sz w:val="28"/>
          <w:szCs w:val="28"/>
          <w:rtl w:val="true"/>
          <w:lang w:bidi="fa-IR"/>
        </w:rPr>
        <w:t>، و فی کتاب الشهادة</w:t>
      </w:r>
      <w:r>
        <w:rPr>
          <w:rStyle w:val="FootnoteAnchor"/>
          <w:rtl w:val="true"/>
        </w:rPr>
        <w:footnoteReference w:id="958"/>
      </w:r>
      <w:r>
        <w:rPr>
          <w:rFonts w:ascii="IRNazanin" w:hAnsi="IRNazanin" w:eastAsia="IRNazanin"/>
          <w:color w:val="111111"/>
          <w:sz w:val="28"/>
          <w:sz w:val="28"/>
          <w:szCs w:val="28"/>
          <w:rtl w:val="true"/>
          <w:lang w:bidi="fa-IR"/>
        </w:rPr>
        <w:t xml:space="preserve">، و قد أفتی بها الأصحاب رحمهم اللّه </w:t>
      </w:r>
      <w:r>
        <w:rPr>
          <w:rStyle w:val="FootnoteAnchor"/>
          <w:rtl w:val="true"/>
        </w:rPr>
        <w:footnoteReference w:id="959"/>
      </w:r>
      <w:r>
        <w:rPr>
          <w:rFonts w:ascii="Amiri" w:hAnsi="Amiri" w:eastAsia="Amiri" w:cs="Amiri"/>
          <w:color w:val="111111"/>
          <w:sz w:val="28"/>
          <w:sz w:val="28"/>
          <w:szCs w:val="28"/>
          <w:rtl w:val="true"/>
          <w:lang w:bidi="ar-SA"/>
        </w:rPr>
        <w:t>و فیهم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 xml:space="preserve">مع صلابتهم و صلابة الأخبار فی حدیث الشهادة و منعها بغیر علم، بل بغیر حسّ، کما فی قصّة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اله و سلّم و قد سئل عن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حجّة معذّرة حسب الأخبار، و فی کونه منجّزة إشکال، إلّا أنّ المجموع المحصّل من تلک الأخبار المتشتّتة فی مختلف الکتب و الأبواب، حجّیته علی الإطلاق؛ نظرا إلی بعد التفکیک و غیره و لو أمکن</w:t>
      </w:r>
      <w:bookmarkStart w:id="743" w:name="pg13177_118074"/>
    </w:p>
    <w:p>
      <w:pPr>
        <w:pStyle w:val="BookText"/>
        <w:rPr/>
      </w:pPr>
      <w:bookmarkEnd w:id="743"/>
      <w:r>
        <w:rPr>
          <w:rFonts w:ascii="IRNazanin" w:hAnsi="IRNazanin" w:eastAsia="IRNazanin"/>
          <w:color w:val="111111"/>
          <w:sz w:val="28"/>
          <w:sz w:val="28"/>
          <w:szCs w:val="28"/>
          <w:rtl w:val="true"/>
          <w:lang w:bidi="fa-IR"/>
        </w:rPr>
        <w:t>المناقشة فی کلّ واحد من هذه المآثیر، و لکن بالنظر إلی المجموع ربّما یطمئنّ الفقیه بالمطلوب و المقصود،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أخبار المسألة</w:t>
      </w:r>
      <w:r>
        <w:rPr>
          <w:rFonts w:eastAsia="IRNazanin" w:cs="IRNazanin"/>
          <w:color w:val="111111"/>
          <w:sz w:val="28"/>
          <w:szCs w:val="28"/>
          <w:rtl w:val="true"/>
          <w:lang w:bidi="fa-IR"/>
        </w:rPr>
        <w:t>.</w:t>
      </w:r>
    </w:p>
    <w:p>
      <w:pPr>
        <w:pStyle w:val="Heading3"/>
        <w:numPr>
          <w:ilvl w:val="2"/>
          <w:numId w:val="1"/>
        </w:numPr>
        <w:rPr/>
      </w:pPr>
      <w:bookmarkStart w:id="744" w:name="__RefHeading___Toc764102_3244359995"/>
      <w:bookmarkStart w:id="745" w:name="_Toc276"/>
      <w:bookmarkEnd w:id="744"/>
      <w:r>
        <w:rPr>
          <w:rtl w:val="true"/>
        </w:rPr>
        <w:t>[</w:t>
      </w:r>
      <w:r>
        <w:rPr>
          <w:rtl w:val="true"/>
        </w:rPr>
        <w:t>اشارة الی بعض امور قبل التنبیهات</w:t>
      </w:r>
      <w:bookmarkEnd w:id="745"/>
    </w:p>
    <w:p>
      <w:pPr>
        <w:pStyle w:val="Heading4"/>
        <w:numPr>
          <w:ilvl w:val="3"/>
          <w:numId w:val="1"/>
        </w:numPr>
        <w:rPr/>
      </w:pPr>
      <w:bookmarkStart w:id="746" w:name="__RefHeading___Toc764104_3244359995"/>
      <w:bookmarkStart w:id="747" w:name="_Toc277"/>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ثمّ إنّه قبل التعرّض لتنبیهات المقصد، لا بدّ و أن نشیر إلی بعض امور</w:t>
      </w:r>
      <w:r>
        <w:rPr>
          <w:rFonts w:eastAsia="IRNazanin" w:cs="IRNazanin"/>
          <w:color w:val="111111"/>
          <w:sz w:val="28"/>
          <w:szCs w:val="28"/>
          <w:rtl w:val="true"/>
          <w:lang w:bidi="fa-IR"/>
        </w:rPr>
        <w:t>:</w:t>
      </w:r>
    </w:p>
    <w:p>
      <w:pPr>
        <w:pStyle w:val="Heading4"/>
        <w:numPr>
          <w:ilvl w:val="3"/>
          <w:numId w:val="1"/>
        </w:numPr>
        <w:rPr/>
      </w:pPr>
      <w:bookmarkStart w:id="748" w:name="__RefHeading___Toc764106_3244359995"/>
      <w:bookmarkStart w:id="749" w:name="_Toc278"/>
      <w:bookmarkEnd w:id="748"/>
      <w:r>
        <w:rPr>
          <w:rtl w:val="true"/>
        </w:rPr>
        <w:t>الأمر الأوّل</w:t>
      </w:r>
      <w:r>
        <w:rPr>
          <w:rtl w:val="true"/>
        </w:rPr>
        <w:t xml:space="preserve">: </w:t>
      </w:r>
      <w:r>
        <w:rPr>
          <w:rtl w:val="true"/>
        </w:rPr>
        <w:t>فی تحکیم إطلاق أدلة الاستصحاب</w:t>
      </w:r>
      <w:bookmarkEnd w:id="749"/>
    </w:p>
    <w:p>
      <w:pPr>
        <w:pStyle w:val="BookText"/>
        <w:rPr/>
      </w:pPr>
      <w:r>
        <w:rPr>
          <w:rFonts w:ascii="IRNazanin" w:hAnsi="IRNazanin" w:eastAsia="IRNazanin"/>
          <w:color w:val="111111"/>
          <w:sz w:val="28"/>
          <w:sz w:val="28"/>
          <w:szCs w:val="28"/>
          <w:rtl w:val="true"/>
          <w:lang w:bidi="fa-IR"/>
        </w:rPr>
        <w:t xml:space="preserve">قد فرغنا بمقتضی هذه الأخبار من أصل حجّیة الاستصحاب، کما أحرزنا إطلاق بعض الأدلّة، و ما یأتی فی التنبیهات إمّا یرجع إلی الإشکالات العقلیّة الراجعة إلی وجود شرائط الاستصحاب، کوحدة الموضوع مثلا، أو إلی صدق العنوان المأخوذ فی الأدلّة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الشکّ فی المقتضی، أو صدقه فی مورد عدم فعلیّة الیقین، أو الشکّ،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یرجع إلی المناقشة فی الإطلاق؛ من ناحیة حرمة نقض الیقین بالشکّ فلیتدبّر، کما ربّما یرجع إلی الانصراف، کما قیل به فی الأعدام الأزلیّة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764108_3244359995"/>
      <w:bookmarkStart w:id="751" w:name="_Toc279"/>
      <w:bookmarkEnd w:id="750"/>
      <w:r>
        <w:rPr>
          <w:rtl w:val="true"/>
        </w:rPr>
        <w:t>الأمر الثانی</w:t>
      </w:r>
      <w:r>
        <w:rPr>
          <w:rtl w:val="true"/>
        </w:rPr>
        <w:t xml:space="preserve">: </w:t>
      </w:r>
      <w:r>
        <w:rPr>
          <w:rtl w:val="true"/>
        </w:rPr>
        <w:t>فی بیان أرکان الاستصحاب</w:t>
      </w:r>
      <w:bookmarkEnd w:id="751"/>
    </w:p>
    <w:p>
      <w:pPr>
        <w:pStyle w:val="Heading5"/>
        <w:numPr>
          <w:ilvl w:val="4"/>
          <w:numId w:val="1"/>
        </w:numPr>
        <w:rPr/>
      </w:pPr>
      <w:bookmarkStart w:id="752" w:name="__RefHeading___Toc764110_3244359995"/>
      <w:bookmarkStart w:id="753" w:name="_Toc280"/>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قد أشرنا فی طیّ الأخبار الماضیة إلی أنّ حقیقة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التعبّد بوجود المحمول المشکوک فیه فی ظرف الشکّ بعد الیقین الذی لا یتعلّق إلّا بالقضیّة، و یکون المحمول ثابتا للموضوع بتاتا و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تقدّم الیقین علی الشکّ بحسب الزمان، فلا وجه له إلّا الانصراف الممنوع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اعتبار وحدة الموضوع فی القضیّتین، و إنّما اختلافهما فی</w:t>
      </w:r>
    </w:p>
    <w:p>
      <w:pPr>
        <w:pStyle w:val="BookText"/>
        <w:rPr/>
      </w:pPr>
      <w:r>
        <w:rPr>
          <w:rFonts w:ascii="IRNazanin" w:hAnsi="IRNazanin" w:eastAsia="IRNazanin"/>
          <w:color w:val="111111"/>
          <w:sz w:val="28"/>
          <w:sz w:val="28"/>
          <w:szCs w:val="28"/>
          <w:rtl w:val="true"/>
          <w:lang w:bidi="fa-IR"/>
        </w:rPr>
        <w:t>المحمول بحسب المجزومیّة و التردید، کما لا شبهة فی أنّه لو تخلّل بین القضیّتین الیقین بانتفاء المحمول، فلا محلّ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ترجع حقیقة اتصال زمان الشکّ بالیقین؛ أی اتصال زمان القضیّة الثانیة بالقضیّة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حقیقة الاستصحاب بل و لا یعقل، اعتبار الشکّ فی البقاء و الاستمرار؛ لأنّهما من الامور التصوّریة، و سیمرّ علیک فی طیّ بعض البحوث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فعلیّة الیقین فلا دخل لها فی حجّیة الاستصحاب، و إنّما بها یمتاز الاستصحاب عن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صدق الیقین فی موارد الشکّ الساری الموجب لاحتمال المکلّف جهله المرکّب، إشکالا قویّا کما أشرنا إلیه، فما ذهب إلیه القوم فی توضیح الفرق بینهما من هذه الجهة غیر تامّ؛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مصدرا حتّی یأتی بمعنی المتیقّن، و إنّما یتعلّق بالقضیّة،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التفعّل؛ ضرورة أنّه مصدر یأتی بمعنی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زمان حصول وصف الیقین متقدّما، أو متأخّرا، أو مقارنا 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داخلة فی حقیقة الاستصحاب، خلافا لبعضهم من انصراف أخباره إلی تقدّم زمانه علی زمان القضیّة الثانیة زمانا لا رتبة</w:t>
      </w:r>
      <w:r>
        <w:rPr>
          <w:rStyle w:val="FootnoteAnchor"/>
          <w:rtl w:val="true"/>
        </w:rPr>
        <w:footnoteReference w:id="963"/>
      </w:r>
      <w:r>
        <w:rPr>
          <w:rFonts w:ascii="IRNazanin" w:hAnsi="IRNazanin" w:eastAsia="IRNazanin"/>
          <w:color w:val="111111"/>
          <w:sz w:val="28"/>
          <w:sz w:val="28"/>
          <w:szCs w:val="28"/>
          <w:rtl w:val="true"/>
          <w:lang w:bidi="fa-IR"/>
        </w:rPr>
        <w:t>، أو بعضهم إلی کفایة التقدّم الرتبیّ، فإنّه کلّه ناشئ عن الغفلة عن ماهیّة الاستصحاب؛ و هی المرکّب من القضیّتین مع اتصال زمانهما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اشتراط فعلیّة الیقین فی ظرف الشکّ </w:t>
      </w:r>
      <w:r>
        <w:rPr>
          <w:rStyle w:val="FootnoteAnchor"/>
          <w:rtl w:val="true"/>
        </w:rPr>
        <w:footnoteReference w:id="964"/>
      </w:r>
      <w:r>
        <w:rPr>
          <w:rFonts w:ascii="IRNazanin" w:hAnsi="IRNazanin" w:eastAsia="IRNazanin"/>
          <w:color w:val="111111"/>
          <w:sz w:val="28"/>
          <w:sz w:val="28"/>
          <w:szCs w:val="28"/>
          <w:rtl w:val="true"/>
          <w:lang w:bidi="fa-IR"/>
        </w:rPr>
        <w:t>، فهو ربّما یرجع إلی عدم صدق الیقین علی ما فی قاعدة الیقین، و لا أقلّ من الشکّ، فلیس هو شرطا آخر، فتأمّل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اشتراط الشکّ فی البقاء و الاستمرار</w:t>
      </w:r>
      <w:r>
        <w:rPr>
          <w:rStyle w:val="FootnoteAnchor"/>
          <w:rtl w:val="true"/>
        </w:rPr>
        <w:footnoteReference w:id="965"/>
      </w:r>
      <w:r>
        <w:rPr>
          <w:rFonts w:ascii="IRNazanin" w:hAnsi="IRNazanin" w:eastAsia="IRNazanin"/>
          <w:color w:val="111111"/>
          <w:sz w:val="28"/>
          <w:sz w:val="28"/>
          <w:szCs w:val="28"/>
          <w:rtl w:val="true"/>
          <w:lang w:bidi="fa-IR"/>
        </w:rPr>
        <w:t>، فإنّه أیضا لا معنی له؛ لعدم</w:t>
      </w:r>
      <w:bookmarkStart w:id="754" w:name="pg13177_118076"/>
    </w:p>
    <w:p>
      <w:pPr>
        <w:pStyle w:val="BookText"/>
        <w:rPr/>
      </w:pPr>
      <w:bookmarkEnd w:id="754"/>
      <w:r>
        <w:rPr>
          <w:rFonts w:ascii="IRNazanin" w:hAnsi="IRNazanin" w:eastAsia="IRNazanin"/>
          <w:color w:val="111111"/>
          <w:sz w:val="28"/>
          <w:sz w:val="28"/>
          <w:szCs w:val="28"/>
          <w:rtl w:val="true"/>
          <w:lang w:bidi="fa-IR"/>
        </w:rPr>
        <w:t xml:space="preserve">البقاء و الاستمرار للقضیّة، و قد فرغنا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لیس العلم التصوّری، بل هو التصدیقی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وجود فعلیّة الیقین فی ظرف الشکّ؛ لعدم صدقه فی مورد 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تقدّم القضیّة المتیقّنة علی المشکوک فیها رتبة، فهو أیضا ممنوع؛ لعدم العلّیة بینهما بالضرورة، و لا معنی للتقدّم الرتبیّ إلّا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قصور فی شمول إطلاق الأخبار للاستصحاب القهقهریّ، إلّا أنّه إمّا لا حاجة إلیه؛ لقیام الأمارة و بناء العقلاء علی أصالة اتحاد العرفین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لتعارض استصحاب العدم الأزلیّ مع القهقریّ، فتصل النوبة إلی بناء العقلاء؛ ضرورة أنّه عند عدم وجود اللفظ المذکور، لم یکن المعنی الموجود المتیقّن معناه فی الأزل، ففی عصر الأخبار یتعارضان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مثبتیّة الأصل الأوّل مدخول یأتی تفصیله فی محلّه إن شاء اللّه تعالی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فأرکان الاستصحاب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المتیقّنة، و القضیّة المشکوک فیها، و اتحاد الموضوع و المحمول، و اتصال زمان الشکّ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خمسة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و الثالث، و التردید فی محمول القضیّة الاولی، و الاتصال المذکور الراجع إلی عدم تخلّل القضیّة البتّیة النافیة فیها المحمول فی القضیّة الاولی</w:t>
      </w:r>
      <w:r>
        <w:rPr>
          <w:rFonts w:eastAsia="IRNazanin" w:cs="IRNazanin"/>
          <w:color w:val="111111"/>
          <w:sz w:val="28"/>
          <w:szCs w:val="28"/>
          <w:rtl w:val="true"/>
          <w:lang w:bidi="fa-IR"/>
        </w:rPr>
        <w:t>.</w:t>
      </w:r>
    </w:p>
    <w:p>
      <w:pPr>
        <w:pStyle w:val="Heading5"/>
        <w:numPr>
          <w:ilvl w:val="4"/>
          <w:numId w:val="1"/>
        </w:numPr>
        <w:rPr/>
      </w:pPr>
      <w:bookmarkStart w:id="755" w:name="__RefHeading___Toc764112_3244359995"/>
      <w:bookmarkStart w:id="756" w:name="_Toc281"/>
      <w:bookmarkEnd w:id="755"/>
      <w:r>
        <w:rPr>
          <w:rtl w:val="true"/>
        </w:rPr>
        <w:t>بقی شی‌ء</w:t>
      </w:r>
      <w:r>
        <w:rPr>
          <w:rtl w:val="true"/>
        </w:rPr>
        <w:t xml:space="preserve">: </w:t>
      </w:r>
      <w:r>
        <w:rPr>
          <w:rtl w:val="true"/>
        </w:rPr>
        <w:t>فی قاعدة المقتضی و المانع</w:t>
      </w:r>
      <w:bookmarkEnd w:id="756"/>
    </w:p>
    <w:p>
      <w:pPr>
        <w:pStyle w:val="BookText"/>
        <w:rPr/>
      </w:pPr>
      <w:r>
        <w:rPr>
          <w:rFonts w:ascii="IRNazanin" w:hAnsi="IRNazanin" w:eastAsia="IRNazanin"/>
          <w:color w:val="111111"/>
          <w:sz w:val="28"/>
          <w:sz w:val="28"/>
          <w:szCs w:val="28"/>
          <w:rtl w:val="true"/>
          <w:lang w:bidi="fa-IR"/>
        </w:rPr>
        <w:t>إنّ من القواعد المتداولة قاعدة المقتضی و المانع، و معناها هو أنّ المانع یمنع عن تأثیر المقتضی، فلو احرز المقتضی، و شکّ فی وجود المانع، أو مانعیّة الموجود عن أثر المقتضی، فهل یحکم بذلک الأثر، أم لا؟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الاستصحاب عدم تحقّق الأثر، فیکون دلیل الاستصحاب رادعا</w:t>
      </w:r>
      <w:bookmarkStart w:id="757" w:name="pg13177_118077"/>
    </w:p>
    <w:p>
      <w:pPr>
        <w:pStyle w:val="BookText"/>
        <w:rPr/>
      </w:pPr>
      <w:bookmarkEnd w:id="757"/>
      <w:r>
        <w:rPr>
          <w:rFonts w:ascii="IRNazanin" w:hAnsi="IRNazanin" w:eastAsia="IRNazanin"/>
          <w:color w:val="111111"/>
          <w:sz w:val="28"/>
          <w:sz w:val="28"/>
          <w:szCs w:val="28"/>
          <w:rtl w:val="true"/>
          <w:lang w:bidi="fa-IR"/>
        </w:rPr>
        <w:t>و مانعا عن حجّیته، فضلا عن کون دلیل الاستصحاب دلیل قاعدة المقتضی و المانع، و ما فی کلمات القوم حول هذه القاعدة قاصر،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العلّامة هادی الطهرانیّ رحمه اللّه إرجاع جمیع مسائل الاصول إلی هذه القاعدة</w:t>
      </w:r>
      <w:r>
        <w:rPr>
          <w:rStyle w:val="FootnoteAnchor"/>
          <w:rtl w:val="true"/>
        </w:rPr>
        <w:footnoteReference w:id="967"/>
      </w:r>
      <w:r>
        <w:rPr>
          <w:rFonts w:ascii="IRNazanin" w:hAnsi="IRNazanin" w:eastAsia="IRNazanin"/>
          <w:color w:val="111111"/>
          <w:sz w:val="28"/>
          <w:sz w:val="28"/>
          <w:szCs w:val="28"/>
          <w:rtl w:val="true"/>
          <w:lang w:bidi="fa-IR"/>
        </w:rPr>
        <w:t>، و ربّما کان نظره إلی توحید القواعد ککلمة التوحید الموجبة لتوحید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أساس المقتضی و المانع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بالتکوین، کاقتضاء النار إحراق القطن، و مانعیّة الرطوبة عن أثرها، بخلاف المسائل الاعتباریّة، و إطلاقهما فیها نوع تجوّز،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سیظهر فی بعض التنبیهات مفاد أدلّة الاستصحاب، و کیفیّة اعتباره شرعا و تعبّدا، و أنّه هل هو إلغاء الشکّ، أو التعبّد بوجود المحمول فی القضیّة المشکوک فیها، أو غیر ذلک کالتعبّد بالحکم المماثل مثلا، أو المماثل </w:t>
      </w:r>
      <w:r>
        <w:rPr>
          <w:rStyle w:val="FootnoteAnchor"/>
          <w:rtl w:val="true"/>
        </w:rPr>
        <w:footnoteReference w:id="968"/>
      </w:r>
      <w:r>
        <w:rPr>
          <w:rFonts w:ascii="IRNazanin" w:hAnsi="IRNazanin" w:eastAsia="IRNazanin"/>
          <w:color w:val="111111"/>
          <w:sz w:val="28"/>
          <w:sz w:val="28"/>
          <w:szCs w:val="28"/>
          <w:rtl w:val="true"/>
          <w:lang w:bidi="fa-IR"/>
        </w:rPr>
        <w:t>؟</w:t>
      </w:r>
    </w:p>
    <w:p>
      <w:pPr>
        <w:pStyle w:val="Heading4"/>
        <w:numPr>
          <w:ilvl w:val="3"/>
          <w:numId w:val="1"/>
        </w:numPr>
        <w:rPr/>
      </w:pPr>
      <w:bookmarkStart w:id="758" w:name="__RefHeading___Toc764114_3244359995"/>
      <w:bookmarkStart w:id="759" w:name="_Toc282"/>
      <w:bookmarkEnd w:id="758"/>
      <w:r>
        <w:rPr>
          <w:rtl w:val="true"/>
        </w:rPr>
        <w:t>الأمر الثالث</w:t>
      </w:r>
      <w:r>
        <w:rPr>
          <w:rtl w:val="true"/>
        </w:rPr>
        <w:t xml:space="preserve">: </w:t>
      </w:r>
      <w:r>
        <w:rPr>
          <w:rtl w:val="true"/>
        </w:rPr>
        <w:t>فی بیان مناشئ الشکّ</w:t>
      </w:r>
      <w:bookmarkEnd w:id="759"/>
    </w:p>
    <w:p>
      <w:pPr>
        <w:pStyle w:val="BookText"/>
        <w:rPr/>
      </w:pPr>
      <w:r>
        <w:rPr>
          <w:rFonts w:ascii="IRNazanin" w:hAnsi="IRNazanin" w:eastAsia="IRNazanin"/>
          <w:color w:val="111111"/>
          <w:sz w:val="28"/>
          <w:sz w:val="28"/>
          <w:szCs w:val="28"/>
          <w:rtl w:val="true"/>
          <w:lang w:bidi="fa-IR"/>
        </w:rPr>
        <w:t>فی الشبهة البدویّة یکون منشأ الشبهة إمّا إجمال النصّ، أو فقدانه، أو تعارض الخبرین، أو الشبهة الخارجیّة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القضیة المشکوک فیها فمضافا إلی الامور المذکورة، یکون احتمال النسخ، أو الشکّ فی تمامیّة المقتضی، أو حصول الغایة کما فی خیار الحیوان، أو الرافع، أو بقاء الموضوع و وحدته، أو وجود الاتصال و عدمه، أو رافعیّة الموجود، أو جعل شی‌ء رافعا، کالمعاطاة بالنسبة إلی استصحاب الملکیّة، أو ناقضا، أو قاطعا، أو مانعا بالنسبة إلی الهیئة الاتصالیّة، أو وجود الصلاة، أو موجبا کالجزء الیسیر من المنیّ، أو المذی و الوذی، أو غیر ذلک ممّا یتّفق للفقیه</w:t>
      </w:r>
      <w:r>
        <w:rPr>
          <w:rFonts w:eastAsia="IRNazanin" w:cs="IRNazanin"/>
          <w:color w:val="111111"/>
          <w:sz w:val="28"/>
          <w:szCs w:val="28"/>
          <w:rtl w:val="true"/>
          <w:lang w:bidi="fa-IR"/>
        </w:rPr>
        <w:t>.</w:t>
      </w:r>
      <w:bookmarkStart w:id="760" w:name="pg13177_118078"/>
    </w:p>
    <w:p>
      <w:pPr>
        <w:pStyle w:val="Heading4"/>
        <w:numPr>
          <w:ilvl w:val="3"/>
          <w:numId w:val="1"/>
        </w:numPr>
        <w:rPr/>
      </w:pPr>
      <w:bookmarkStart w:id="761" w:name="__RefHeading___Toc764116_3244359995"/>
      <w:bookmarkStart w:id="762" w:name="_Toc283"/>
      <w:bookmarkEnd w:id="760"/>
      <w:bookmarkEnd w:id="761"/>
      <w:r>
        <w:rPr>
          <w:rtl w:val="true"/>
        </w:rPr>
        <w:t>الأمر الرابع</w:t>
      </w:r>
      <w:r>
        <w:rPr>
          <w:rtl w:val="true"/>
        </w:rPr>
        <w:t xml:space="preserve">: </w:t>
      </w:r>
      <w:r>
        <w:rPr>
          <w:rtl w:val="true"/>
        </w:rPr>
        <w:t>فی أقسام الاستصحاب</w:t>
      </w:r>
      <w:bookmarkEnd w:id="762"/>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ینقسم باعتبار إلی الحالیّ و الماضویّ، کما لو علم بأنّ زیدا عادل یوم السبت، و شکّ یوم الأحد فی أنّه عادل أم لا، و هو علی یقین بفسقه یوم الاثنین، و هو فی حال الإجراء فی یوم الثلاثاء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الاستقبالیّ، کالشکّ فی أنّ شهر شعبان باق إلی الیوم المکمّل للثلاثین، و هو فی حال الإجراء فی رجب، أو أوائل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هناک قسم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بقاء الوقت حین الاشتغال بالصلاة، فإنّ الشکّ یستمرّ باستمرار الوقت، فإن اجری الاستصحاب الاستقبالیّ بالنسبة إلی الوقت، فهو من القسم الثالث، أو اجری بالنسبة إلی إدراکه الوقت و کونه فی الوقت، فهو من الحالیّ، و إلّا ففی کلّ آن له شکّ یحتاج إلی الاستصحاب، أو یکون الاستصحاب استمراریّا، لاستمراریّة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إلی التعلیقیّ و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إلی التعلیقیّ فی الحکم، أو الموضوع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ثالث إلی الوجودیّ و العدمیّ فی الحکم و الموضوع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رابع إلی الشکّ فی المقتضی و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إلی الشکّ الاصطلاحیّ، و الظنّ غیر المعتبر، و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إلی الشخصیّ و النوعیّ؛ علی فرض کونهما معتبرین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إلی الأحکام التکلیفیّة و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باعتبار المستصحب، و علیه مدار الأقوال المعروفة أحیانا، و لا مجال للخوض فی تفصیلها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لتقسیمه باعتبار الدلیل، و ما فصّله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بإنکاره جریانه فی الأحکام الشرعیّة المستکشفة بالأحکام العقلیّة، دون غیرها من الکتاب</w:t>
      </w:r>
    </w:p>
    <w:p>
      <w:pPr>
        <w:pStyle w:val="BookText"/>
        <w:rPr/>
      </w:pPr>
      <w:r>
        <w:rPr>
          <w:rFonts w:ascii="IRNazanin" w:hAnsi="IRNazanin" w:eastAsia="IRNazanin"/>
          <w:color w:val="111111"/>
          <w:sz w:val="28"/>
          <w:sz w:val="28"/>
          <w:szCs w:val="28"/>
          <w:rtl w:val="true"/>
          <w:lang w:bidi="fa-IR"/>
        </w:rPr>
        <w:t>و السنّة أو الإجماع و السیرة</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مناقشة فی وجود شرط وحدة الموضوع حال الشکّ، فما تری فی کلمات الفضلاء لا یخلو من نوع تساهل و تسامح، و هکذا فی کلامه قدّس سرّه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اختلافهم من جهة اختصاص الإجراء بالمجتهد، أو هو الأعمّ، أو یفصّل بین الشبهات الحکمیّة و الموضوعیّة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ربّما یرجع إلی امتناع تحقّق الإطلاق امتناعا عادیّا لأدلّة حجّیته، فلا یلزم المناقشة فی إطلاق أدلّته حسب المتعارف الثابت فی سائر الأحکام التی لأدلّتها الإطلاق، و تفصیل ذلک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بحوث الاجتهاد و التقلید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bookmarkStart w:id="763" w:name="pg13177_118081"/>
    </w:p>
    <w:p>
      <w:pPr>
        <w:pStyle w:val="Heading3"/>
        <w:numPr>
          <w:ilvl w:val="2"/>
          <w:numId w:val="1"/>
        </w:numPr>
        <w:rPr/>
      </w:pPr>
      <w:bookmarkStart w:id="764" w:name="__RefHeading___Toc764118_3244359995"/>
      <w:bookmarkStart w:id="765" w:name="_Toc284"/>
      <w:bookmarkEnd w:id="763"/>
      <w:bookmarkEnd w:id="764"/>
      <w:r>
        <w:rPr>
          <w:rtl w:val="true"/>
        </w:rPr>
        <w:t>تنبیهات</w:t>
      </w:r>
      <w:bookmarkEnd w:id="765"/>
    </w:p>
    <w:p>
      <w:pPr>
        <w:pStyle w:val="Heading4"/>
        <w:numPr>
          <w:ilvl w:val="3"/>
          <w:numId w:val="1"/>
        </w:numPr>
        <w:rPr/>
      </w:pPr>
      <w:bookmarkStart w:id="766" w:name="__RefHeading___Toc764120_3244359995"/>
      <w:bookmarkStart w:id="767" w:name="_Toc285"/>
      <w:bookmarkEnd w:id="766"/>
      <w:r>
        <w:rPr>
          <w:rtl w:val="true"/>
        </w:rPr>
        <w:t>التنبیه الأوّل حول استصحاب الأحکام المستکشفة بالأحکام العقلیة</w:t>
      </w:r>
      <w:bookmarkEnd w:id="767"/>
    </w:p>
    <w:p>
      <w:pPr>
        <w:pStyle w:val="BookText"/>
        <w:rPr/>
      </w:pPr>
      <w:r>
        <w:rPr>
          <w:rFonts w:ascii="IRNazanin" w:hAnsi="IRNazanin" w:eastAsia="IRNazanin"/>
          <w:color w:val="111111"/>
          <w:sz w:val="28"/>
          <w:sz w:val="28"/>
          <w:szCs w:val="28"/>
          <w:rtl w:val="true"/>
          <w:lang w:bidi="fa-IR"/>
        </w:rPr>
        <w:t xml:space="preserve">اختار الشیخ الأعظم الأنصاریّ رحمه اللّه </w:t>
      </w:r>
      <w:r>
        <w:rPr>
          <w:rStyle w:val="FootnoteAnchor"/>
          <w:rtl w:val="true"/>
        </w:rPr>
        <w:footnoteReference w:id="971"/>
      </w:r>
      <w:r>
        <w:rPr>
          <w:rFonts w:ascii="IRNazanin" w:hAnsi="IRNazanin" w:eastAsia="IRNazanin"/>
          <w:color w:val="111111"/>
          <w:sz w:val="28"/>
          <w:sz w:val="28"/>
          <w:szCs w:val="28"/>
          <w:rtl w:val="true"/>
          <w:lang w:bidi="fa-IR"/>
        </w:rPr>
        <w:t>و تبعه بعض آخر</w:t>
      </w:r>
      <w:r>
        <w:rPr>
          <w:rStyle w:val="FootnoteAnchor"/>
          <w:rtl w:val="true"/>
        </w:rPr>
        <w:footnoteReference w:id="972"/>
      </w:r>
      <w:r>
        <w:rPr>
          <w:rFonts w:ascii="IRNazanin" w:hAnsi="IRNazanin" w:eastAsia="IRNazanin"/>
          <w:color w:val="111111"/>
          <w:sz w:val="28"/>
          <w:sz w:val="28"/>
          <w:szCs w:val="28"/>
          <w:rtl w:val="true"/>
          <w:lang w:bidi="fa-IR"/>
        </w:rPr>
        <w:t>، عدم جریان الاستصحاب بالنسبة إلی الأحکام المستکشفة بالأحکام العقلیّة، بخلاف الأحکام الشرعیّة الثابتة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أنّه بعد الانطباق فی القسم الأوّل، یکون الموضوع الخارجیّ العرفیّ محفوظا فی حالتی الیقین و الشکّ، و یعدّ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للتردید فی بقاء الموضوع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خصوصیّة من الخصوصیّات من الحالات، لا المقوّمات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نفس متعلّقات الأحکام، فکلّ قید یعدّ مقوما، و لذلک بذهاب الوقت لا یجری عندهم الاستصحاب کی یکون القضاء بدلیل الاستصحاب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 تغیّر الماء بنفسه بعد ما کان نجسا بالتغیّر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التغیّر</w:t>
      </w:r>
    </w:p>
    <w:p>
      <w:pPr>
        <w:pStyle w:val="BookText"/>
        <w:rPr/>
      </w:pPr>
      <w:r>
        <w:rPr>
          <w:rFonts w:ascii="IRNazanin" w:hAnsi="IRNazanin" w:eastAsia="IRNazanin"/>
          <w:color w:val="111111"/>
          <w:sz w:val="28"/>
          <w:sz w:val="28"/>
          <w:szCs w:val="28"/>
          <w:rtl w:val="true"/>
          <w:lang w:bidi="fa-IR"/>
        </w:rPr>
        <w:t>علّة، أو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الإشارة إلی الماء الخارجیّ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کان نجسا،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القسم الثانی فحیث یکون الحکم الشرعیّ تابع الحکم العقلیّ، فما هو مصداق موضوع الحکم العقلیّ؛ إمّا یکون مردّدا فی اشتماله بقاء علی الخصوصیّات المبیّنة عند العقل فی حکمه أوّلا، أو معلوما زوال تلک الخصوصیّة، و علی التقدیرین لا حکم للعقل، فلا یکون قطعا حکم للشرع؛ کی یشکّ فی بقائه و یتردّد الأمر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المؤذی الذی لا نفع له موضوع حکم العقل بوجوب قتله، أو الحیوان غیر المؤذی النافع موضوع حکمه بحرمة إحراقه و قتله؛ لأجل القبح و الحسن، و قضیّة الملازمة ثبوت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القیدان مقوّمان فی مرحلة تعلّق الحکم بالعنوان؛ و فی مرحلة سرایته إلی الخارج، فإذا شکّ فی بقاء عدم مانعیّة الحیوان الأوّل المشار إلیه خارجا،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تردّد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بقاء الحکم المستکشف التابع، و بطریق أولی إذا علم زوال نفعه فی الحیوان الثانی؛ لأنّ حکم العقل قد انتفی، فکیف یحتمل بقاء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فمجری الاستصحاب هو الحکم الشرعیّ المستکشف، لا موضوع حکم العقل، و لا نفسه، بل هو حکم الشرع، فکما لا یصحّ استصحاب بقاء اتصاف هذا الحیوان بأنّه المؤذی غیر النافع، کی یثبت به حکم العقل، ثمّ حکم الشرع، کذلک فی نفس حکم الشرع</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 علیک ما هو التحقیق الحقیق بالتصدیق، و قد تحرّر فی مواضع من هذا الکتاب، کبحوث التجرّی </w:t>
      </w:r>
      <w:r>
        <w:rPr>
          <w:rStyle w:val="FootnoteAnchor"/>
          <w:rtl w:val="true"/>
        </w:rPr>
        <w:footnoteReference w:id="973"/>
      </w:r>
      <w:r>
        <w:rPr>
          <w:rFonts w:ascii="IRNazanin" w:hAnsi="IRNazanin" w:eastAsia="IRNazanin"/>
          <w:color w:val="111111"/>
          <w:sz w:val="28"/>
          <w:sz w:val="28"/>
          <w:szCs w:val="28"/>
          <w:rtl w:val="true"/>
          <w:lang w:bidi="fa-IR"/>
        </w:rPr>
        <w:t>و غیره،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هو الوجه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لا یحکم العقل إلّا فی صورة وجود اجتماع القیود؛ و هو کونه مؤذیا غیر نافع، لأنّه فی صورة کونه مؤذیا نافعا یحتمل التزاحم، و أقوائیّة جانب خیره علی شرّه، فلا یلزم أن تکون جمیع القیود فی الکلّی المقیّد المحکوم علیه معلومة الحدّ؛ لقصور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نتیجة الأمر واحدة؛ لأنّه إذا لم یکن العقل مطّلعا ینتفی حکمه قطعا، للزوم اجتماع القیود المحتملة فی الحیوان المذکور، کی یحکم بوجوب قتله أو حرمته، فما عن الشیخ رحمه اللّه من لزوم مبیّنیة جمیع القیود فی حکم العقل </w:t>
      </w:r>
      <w:r>
        <w:rPr>
          <w:rStyle w:val="FootnoteAnchor"/>
          <w:rtl w:val="true"/>
        </w:rPr>
        <w:footnoteReference w:id="974"/>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بحث جمع فی عدم لزومه بعد وحدة النتیجة</w:t>
      </w:r>
      <w:r>
        <w:rPr>
          <w:rStyle w:val="FootnoteAnchor"/>
          <w:rtl w:val="true"/>
        </w:rPr>
        <w:footnoteReference w:id="975"/>
      </w:r>
      <w:r>
        <w:rPr>
          <w:rFonts w:ascii="IRNazanin" w:hAnsi="IRNazanin" w:eastAsia="IRNazanin"/>
          <w:color w:val="111111"/>
          <w:sz w:val="28"/>
          <w:sz w:val="28"/>
          <w:szCs w:val="28"/>
          <w:rtl w:val="true"/>
          <w:lang w:bidi="fa-IR"/>
        </w:rPr>
        <w:t>، إطالة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هو الأظهر من جریان الاستصحاب علی وجه فی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لانتهائه إلی الوضائف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یستنتج منه ذلک، فلیتدبّر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استکشاف الحکم الشرعیّ بملاک عقلیّ إذا أمکن، و تبیّن أنّ هذا الحیوان مؤذ غیر نافع، و شرّ لیس فیه خیر،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إلی الخارج، کما فی سائر الموارد الثابتة فیها الأحکام الشرعیّة بالکتاب و السنّة و الإجماع و السیرة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انتفی الملاک المذکور لا یلزم انتفاء الحکم الشرعیّ؛ لاحتمال بقائه بملاک آخر حسب إطلاق دلیل الاستصحاب، فتکون النافعیّة و المؤذّیة مثلا وسائط ثبوتیّة، لا مقوّمات لموضوع الاستصحاب، و لا موجبة لانقطاع الحکم التابع قطعا، کما أفاده شیخ مشایخنا عن سیّد مشایخهم المیرزا الشیرازیّ قدّس سرّه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نظیر جریان وجوب إکرام زید الذی کان عالما و صار جاهلا، فإنّ العلم و الجهل لیسا مقوّمین لموضوع الاستصحاب، و یکفی احتمال کونها واسطة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الشکل الأوّل فی المسائل الشرعیّة ممنوع عندنا، و أنّ ما هو الواجب إکرامه هو العالم الخارجیّ، دون زید بما هو زید،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یتمسّک به فی مباحث الاشتغال عند البحث عن قاعدة المیسور و مقتضی القواعد الثانویّة هو الاستصحاب، و قد ذهب جمع إلی کفایة الموضوع العرفیّ و الوحدة العرفیّة فی صورة العجز عن السورة، و أنّ تشخّص الحکم و الإرادة بالصلاة الفانیة فیها الأجزاء</w:t>
      </w:r>
      <w:r>
        <w:rPr>
          <w:rStyle w:val="FootnoteAnchor"/>
          <w:rtl w:val="true"/>
        </w:rPr>
        <w:footnoteReference w:id="977"/>
      </w:r>
      <w:r>
        <w:rPr>
          <w:rFonts w:ascii="IRNazanin" w:hAnsi="IRNazanin" w:eastAsia="IRNazanin"/>
          <w:color w:val="111111"/>
          <w:sz w:val="28"/>
          <w:sz w:val="28"/>
          <w:szCs w:val="28"/>
          <w:rtl w:val="true"/>
          <w:lang w:bidi="fa-IR"/>
        </w:rPr>
        <w:t>، و هی مقدورة، فیستصحب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أنکروا جریانها بالنسبة إلی الوقت، مع أنّها واجبة بالقیاس إلی الوقت علی اعتبار القضیّة الحینیّة لا التقییدیّة عرفا لا عقلا، و تفصیله فی محلّه </w:t>
      </w:r>
      <w:r>
        <w:rPr>
          <w:rStyle w:val="FootnoteAnchor"/>
          <w:rtl w:val="true"/>
        </w:rPr>
        <w:footnoteReference w:id="978"/>
      </w:r>
      <w:r>
        <w:rPr>
          <w:rFonts w:ascii="IRNazanin" w:hAnsi="IRNazanin" w:eastAsia="IRNazanin"/>
          <w:color w:val="111111"/>
          <w:sz w:val="28"/>
          <w:sz w:val="28"/>
          <w:szCs w:val="28"/>
          <w:rtl w:val="true"/>
          <w:lang w:bidi="fa-IR"/>
        </w:rPr>
        <w:t>، فلا یکون کلّ قید فی مقام تعلّق الحکم مقوّما؛ علی ما یستظهر منه 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لما أفاده قدّس سرّه لما تحرّر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قوة درّاکة، فلیس شأنه إلّا الدرک دون الحکم </w:t>
      </w:r>
      <w:r>
        <w:rPr>
          <w:rStyle w:val="FootnoteAnchor"/>
          <w:rtl w:val="true"/>
        </w:rPr>
        <w:footnoteReference w:id="979"/>
      </w:r>
      <w:r>
        <w:rPr>
          <w:rFonts w:ascii="IRNazanin" w:hAnsi="IRNazanin" w:eastAsia="IRNazanin"/>
          <w:color w:val="111111"/>
          <w:sz w:val="28"/>
          <w:sz w:val="28"/>
          <w:szCs w:val="28"/>
          <w:rtl w:val="true"/>
          <w:lang w:bidi="fa-IR"/>
        </w:rPr>
        <w:t>، و لا أساس لقاعدة الملازمة، بل هی من الأراجیف الثانویّة، و بطلانها ضروریّة ثانیة، و إنّما الحکم شأن القاعد علی الکرسیّ لإدارة الملک و المدینة الفاضلة، و لا شأن للعقل إلّا درک حسن شی‌ء و قبحه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صورة درک قبح شی‌ء یدرک جواز العقوبة علیه، و حسنها عند</w:t>
      </w:r>
      <w:bookmarkStart w:id="768" w:name="pg13177_118085"/>
    </w:p>
    <w:p>
      <w:pPr>
        <w:pStyle w:val="BookText"/>
        <w:rPr/>
      </w:pPr>
      <w:bookmarkEnd w:id="768"/>
      <w:r>
        <w:rPr>
          <w:rFonts w:ascii="IRNazanin" w:hAnsi="IRNazanin" w:eastAsia="IRNazanin"/>
          <w:color w:val="111111"/>
          <w:sz w:val="28"/>
          <w:sz w:val="28"/>
          <w:szCs w:val="28"/>
          <w:rtl w:val="true"/>
          <w:lang w:bidi="fa-IR"/>
        </w:rPr>
        <w:t>الارتکاب، و هکذا درک قبح کلّ شی‌ء یرجع لا محالة إلی درک قبح الظلم؛ لامتناع انتزاع القبح من الکثیر بما هو کثیر، فیرجع إلی درک قبح العصیان لکونه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الحیثیّات التعلیلیّة ترجع هنا إلی التقییدیّة، فالدرک لیس إلّا عنوان تلک الموضوعات، و هو الظلم فقط، و لا یعقل أن یحکم بحرمته؛ للزوم کون المحرّمات الشرعیّة راجعة إلی محرّمیة الظلم فقط، أو اجتماع الحرمتین عند ارتکاب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یشهد علی أنّ الحکم مخصوص بالمشرّعین الإلهیّین أو غیرهم، و الدرک خاصّة العقل من غیر استتباعه للشرع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عدم الانصراف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کان یدرک صحّة العقوبة علی قتل هذا الحیوان النافع غیر المؤذی، فیکون الإنسان المکلّف علی یقین من ذلک، و لا بأس بأن یحکم الشرع باتباع ذلک الیقین فی ظرف الشکّ فی أنّه مؤذ أم لا، و لا دلیل علی اختصاص المصبّ الخاصّ للاستصحاب، کما سیأتی إن شاء اللّه تعالی</w:t>
      </w:r>
      <w:r>
        <w:rPr>
          <w:rFonts w:eastAsia="IRNazanin" w:cs="IRNazanin"/>
          <w:color w:val="111111"/>
          <w:sz w:val="28"/>
          <w:szCs w:val="28"/>
          <w:rtl w:val="true"/>
          <w:lang w:bidi="fa-IR"/>
        </w:rPr>
        <w:t>.</w:t>
      </w:r>
    </w:p>
    <w:p>
      <w:pPr>
        <w:pStyle w:val="Heading4"/>
        <w:numPr>
          <w:ilvl w:val="3"/>
          <w:numId w:val="1"/>
        </w:numPr>
        <w:rPr/>
      </w:pPr>
      <w:bookmarkStart w:id="769" w:name="__RefHeading___Toc764122_3244359995"/>
      <w:bookmarkStart w:id="770" w:name="_Toc286"/>
      <w:bookmarkEnd w:id="769"/>
      <w:r>
        <w:rPr>
          <w:rtl w:val="true"/>
        </w:rPr>
        <w:t>التنبیه الثانی حول اختصاص حجّیة الاستصحاب بالشکّ فی الرافع</w:t>
      </w:r>
      <w:bookmarkEnd w:id="770"/>
    </w:p>
    <w:p>
      <w:pPr>
        <w:pStyle w:val="Heading5"/>
        <w:numPr>
          <w:ilvl w:val="4"/>
          <w:numId w:val="1"/>
        </w:numPr>
        <w:rPr/>
      </w:pPr>
      <w:bookmarkStart w:id="771" w:name="__RefHeading___Toc764124_3244359995"/>
      <w:bookmarkStart w:id="772" w:name="_Toc287"/>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 xml:space="preserve">قد فصّل الشیخ قدّس سرّه بین الشکّ فی المقتضی و الرافع، فاختار حجّیته فی خصوص الثانی؛ نظرا إلی خصوصیّة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و إضافة النقض إلی الیقین، و نسبته إلیه، و قد أطالوا حول المسألة بما لا یرجع إلی محصّل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قد تورّم فی دواوینهم، غافلین عن أنّ التورّم غیر</w:t>
      </w:r>
    </w:p>
    <w:p>
      <w:pPr>
        <w:pStyle w:val="BookText"/>
        <w:rPr/>
      </w:pPr>
      <w:r>
        <w:rPr>
          <w:rFonts w:ascii="IRNazanin" w:hAnsi="IRNazanin" w:eastAsia="IRNazanin"/>
          <w:color w:val="111111"/>
          <w:sz w:val="28"/>
          <w:sz w:val="28"/>
          <w:szCs w:val="28"/>
          <w:rtl w:val="true"/>
          <w:lang w:bidi="fa-IR"/>
        </w:rPr>
        <w:t>السمن، فوقعوا فی التقاسیم المختلفة و الاحتمالات الکثیرة الباطلة، فإنّ الاصولیّ من یتصدّی لإبداع مسألة حدیثة، أو حلّ مشکلة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أنّه رحمه اللّه </w:t>
      </w:r>
      <w:r>
        <w:rPr>
          <w:rStyle w:val="FootnoteAnchor"/>
          <w:rtl w:val="true"/>
        </w:rPr>
        <w:footnoteReference w:id="981"/>
      </w:r>
      <w:r>
        <w:rPr>
          <w:rFonts w:ascii="IRNazanin" w:hAnsi="IRNazanin" w:eastAsia="IRNazanin"/>
          <w:color w:val="111111"/>
          <w:sz w:val="28"/>
          <w:sz w:val="28"/>
          <w:szCs w:val="28"/>
          <w:rtl w:val="true"/>
          <w:lang w:bidi="fa-IR"/>
        </w:rPr>
        <w:t>و غیره مع زعمهم أنّ النقض ینتسب إلی الهیئة الاتصالیّة</w:t>
      </w:r>
      <w:r>
        <w:rPr>
          <w:rStyle w:val="FootnoteAnchor"/>
          <w:rtl w:val="true"/>
        </w:rPr>
        <w:footnoteReference w:id="982"/>
      </w:r>
      <w:r>
        <w:rPr>
          <w:rFonts w:ascii="IRNazanin" w:hAnsi="IRNazanin" w:eastAsia="IRNazanin"/>
          <w:color w:val="111111"/>
          <w:sz w:val="28"/>
          <w:sz w:val="28"/>
          <w:szCs w:val="28"/>
          <w:rtl w:val="true"/>
          <w:lang w:bidi="fa-IR"/>
        </w:rPr>
        <w:t>، و لا یکون منه أثر فی اللغة، و لا هو مراد فی أخبار المسألة، أخذوا للتفصیل المذکور بخصوصیّة اللفظة، و الإضافة و النسبة، و أقرب المجازات فی مثل هذه المسألة، و طرحوا فی کثیر من المواقف خصوصیّة اللفظة، کما عرفت فی مثل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تصریح أهل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الیقین هو العلم الحاصل عن 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یفصّلوا فی الحجّیة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مثل الأخبار الآمرة بالوفاء بالنذر و العهد،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طرحوا الخصوصیّة المأخوذة فیها و هو الوفاء،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بالنذر تجب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الوفاء بالنذر أولی ممّا قالوا به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الناشئ من الشکّ فی مقدار إمکان الاستمرار و البقاء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الناشئ من الحادث المزیل لما تعلّق به الیقین سواء کان مزیلا شرعیّا، کالجنابة أو الوذی فی الشبهة الموضوعیّة، أو الحکمیّة، أو عرفیّا کالمعاطاة المشکوک إمضاء الشرع لها، أو البیع فی الشبهة الموضوعیّة بالنسبة إلی الملکیّة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الشکّ فی الرافع یجری الاستصحاب الآخر الموافق، کاستصحاب عدم تحقّق المزیل؛ فإنّه موافق لاستصحاب الملکیّة، و فی موارد الشکّ فی المقتضی ربّما یجری الاستصحاب الموافق و المخالف، کاستصحاب</w:t>
      </w:r>
    </w:p>
    <w:p>
      <w:pPr>
        <w:pStyle w:val="BookText"/>
        <w:rPr/>
      </w:pPr>
      <w:r>
        <w:rPr>
          <w:rFonts w:ascii="IRNazanin" w:hAnsi="IRNazanin" w:eastAsia="IRNazanin"/>
          <w:color w:val="111111"/>
          <w:sz w:val="28"/>
          <w:sz w:val="28"/>
          <w:szCs w:val="28"/>
          <w:rtl w:val="true"/>
          <w:lang w:bidi="fa-IR"/>
        </w:rPr>
        <w:t>عدم القابلیّة للبقاء عدما أزلیّا و مخالفا، و فی عرضه یجری استصحاب عدم تحقّق الغایة؛ للشبهة الحکمیّة، و حیث إنّه حجّة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لإطالة الکلام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الوجوه المنتهیة إلی صحّة التفصیل فکلّها فاسدة؛ لأنّها إن کانت لأجل أنّ الروایة الاولی و الثانیة موردهما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موردهما أیضا مخصوص، فلو أمکن استفادة الکلّیة منهما بالنسبة إلی سائر موارد الشکّ فی الرافع، فلا منع من جریانه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قصّة الاستمرار و البقاء؛ و أنّه لا معنی للنهی عن النقض فی موارد الشکّ فی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قانون کلّی عمومیّ، و یکفی کون طائفة من الشکوک الاستصحابیّة، شکّا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ماهیّة الاستصحاب فیها الشکّ فی البقاء و الاستمرار</w:t>
      </w:r>
      <w:r>
        <w:rPr>
          <w:rStyle w:val="FootnoteAnchor"/>
          <w:rtl w:val="true"/>
        </w:rPr>
        <w:footnoteReference w:id="983"/>
      </w:r>
      <w:r>
        <w:rPr>
          <w:rFonts w:ascii="IRNazanin" w:hAnsi="IRNazanin" w:eastAsia="IRNazanin"/>
          <w:color w:val="111111"/>
          <w:sz w:val="28"/>
          <w:sz w:val="28"/>
          <w:szCs w:val="28"/>
          <w:rtl w:val="true"/>
          <w:lang w:bidi="fa-IR"/>
        </w:rPr>
        <w:t xml:space="preserve">، کما سیظهر تحقیقه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إلیک وجها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لا یمکن بمعناه الواقعیّ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نقض الهیئة الاتصالیّة کَالَّتِی نَقَضَتْ غَزْلَها مِنْ بَعْدِ قُوَّةٍ أَنْکاثاً</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المنتخب أقرب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 التحلیل لا ینتقض الیقین بالطهارة بالشکّ بالضرورة؛ فإنّ الیقین یزول باحتمال إصابة النجاسة، أو باحتمال أنّ الشیطان نفخ بین الألیین، و یصیر شاکّا فی أنّ ثوبه طاهر، أو أنّه علی الوضوء و هکذا، فلا معنی للنهی واقعا؛ لعجزه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ظرف الشکّ، فهو علی یقین بأنّه کان علی الوضوء، و هذا الیقین باق،</w:t>
      </w:r>
    </w:p>
    <w:p>
      <w:pPr>
        <w:pStyle w:val="BookText"/>
        <w:rPr/>
      </w:pPr>
      <w:r>
        <w:rPr>
          <w:rFonts w:ascii="IRNazanin" w:hAnsi="IRNazanin" w:eastAsia="IRNazanin"/>
          <w:color w:val="111111"/>
          <w:sz w:val="28"/>
          <w:sz w:val="28"/>
          <w:szCs w:val="28"/>
          <w:rtl w:val="true"/>
          <w:lang w:bidi="fa-IR"/>
        </w:rPr>
        <w:t xml:space="preserve">و لا یعقل إزالته بالشکّ، و نقضه و إفساده و کسره و حلّه بالشکّ اختیارا، فعندئذ لا بدّ 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المنسوب إلیه قابلا للکسر بالشکّ، و فی موارد الشکّ فی المقتضی ینکسر بانکسار المضاف إلیه الیقین، لا الشکّ، فالهیئة تفید کون الحجّیة مخصوصة بالشکّ فی الرافع، فبین التقاریب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یجری فی الأعدام الأزلیّة و الأعدام المضافة لرفع الحکم، و لا معنی لتخیّل کشف الاقتضاء و إحراز المقتضی فی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نظرهم إلی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نظرهم إلی الیقین، فالاستحکام و الإبرام المتوهّم له، ربّما یکون أخفّ من الظنّ بحسب زواله أو الشکّ فی بقاء المظنون و المتیقّن، مع أنّ ما هو المأخوذ فی الأخبار لیس إلّا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المذکور لیس إلّا تعبّدا بالنظر إلی ما ینتهی إلی الوظائف المقرّرة، و لا تکون هناک إضافة و لا نسبة، بل النهی فی حکم القضیّة السالبة المحصّلة، لا المعدولة، فیکون سلب الربط علی ما تحرّر، لا ربط السلب،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المذکورة إلّا مفعولا به حسب الاعتبارات النحویّة، و لا یلزم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استخراج صحّة نقض الیقین بالشکّ، کما تری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الجدار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تری الجدار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تخلط</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فاستفادة التفصیل من المادّة، أو الهیئة، أو الیقین، أو المتیقّن، مع أنّ الیقین لا یأتی بمعنی المتیقن کما مرّ</w:t>
      </w:r>
      <w:r>
        <w:rPr>
          <w:rStyle w:val="FootnoteAnchor"/>
          <w:rtl w:val="true"/>
        </w:rPr>
        <w:footnoteReference w:id="987"/>
      </w:r>
      <w:r>
        <w:rPr>
          <w:rFonts w:ascii="IRNazanin" w:hAnsi="IRNazanin" w:eastAsia="IRNazanin"/>
          <w:color w:val="111111"/>
          <w:sz w:val="28"/>
          <w:sz w:val="28"/>
          <w:szCs w:val="28"/>
          <w:rtl w:val="true"/>
          <w:lang w:bidi="fa-IR"/>
        </w:rPr>
        <w:t xml:space="preserve">، فی غیر محلّه،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و غیرها</w:t>
      </w:r>
      <w:r>
        <w:rPr>
          <w:rStyle w:val="FootnoteAnchor"/>
          <w:rtl w:val="true"/>
        </w:rPr>
        <w:footnoteReference w:id="989"/>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الاستصحاب کالمعتبرة الثالثة لزرارة</w:t>
      </w:r>
      <w:r>
        <w:rPr>
          <w:rStyle w:val="FootnoteAnchor"/>
          <w:rtl w:val="true"/>
        </w:rPr>
        <w:footnoteReference w:id="990"/>
      </w:r>
      <w:r>
        <w:rPr>
          <w:rFonts w:ascii="IRNazanin" w:hAnsi="IRNazanin" w:eastAsia="IRNazanin"/>
          <w:color w:val="111111"/>
          <w:sz w:val="28"/>
          <w:sz w:val="28"/>
          <w:szCs w:val="28"/>
          <w:rtl w:val="true"/>
          <w:lang w:bidi="fa-IR"/>
        </w:rPr>
        <w:t>، کانت تدلّ علی الحجّیة، و مورد الاستصحاب عدم الإتیان بالرابعة، و لیس هو من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مجراه بقاءه فی الصلاة فهو من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أخباره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الیقین لا یدفع بالشکّ</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أو غیر ذلک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أیضا حلّا ما مرّ فی تحریر حقیقة الاستصحاب </w:t>
      </w:r>
      <w:r>
        <w:rPr>
          <w:rStyle w:val="FootnoteAnchor"/>
          <w:rtl w:val="true"/>
        </w:rPr>
        <w:footnoteReference w:id="995"/>
      </w:r>
      <w:r>
        <w:rPr>
          <w:rFonts w:ascii="IRNazanin" w:hAnsi="IRNazanin" w:eastAsia="IRNazanin"/>
          <w:color w:val="111111"/>
          <w:sz w:val="28"/>
          <w:sz w:val="28"/>
          <w:szCs w:val="28"/>
          <w:rtl w:val="true"/>
          <w:lang w:bidi="fa-IR"/>
        </w:rPr>
        <w:t>، و أنّها متشکّلة من القضیّة المتیقّنة و القضیّة المشکوک فیها، و اتحاد موضوع القضیّتین، و التردّد فی محمول القضیّة الاولی فی القضیّة الثانیة، و اتصال زمان الشکّ و الیقین؛ بمعنی عدم تخلّل القضیّة الاخری الناقضة للقضیّة الاولی، و هذا أمر لا استمرار فیه، و لا شکّ فی بقائه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علی یقین بأنّ زیدا موجود، مع عدم الاطلاع علی اقتضاء وجوده و حدّ بقائه، بل و لو مع الظنّ بقصور الاقتضاء، ثمّ بعد مدّة تردّد فی أنّ زیدا هل هو موجود أم لا، فعلیه التعبّد بالقضیّة الجزمیّة و القطعیّة مثلا؛ باعتبار الآثار و أحکامها</w:t>
      </w:r>
      <w:bookmarkStart w:id="773" w:name="pg13177_118090"/>
    </w:p>
    <w:p>
      <w:pPr>
        <w:pStyle w:val="BookText"/>
        <w:rPr/>
      </w:pPr>
      <w:bookmarkEnd w:id="773"/>
      <w:r>
        <w:rPr>
          <w:rFonts w:ascii="IRNazanin" w:hAnsi="IRNazanin" w:eastAsia="IRNazanin"/>
          <w:color w:val="111111"/>
          <w:sz w:val="28"/>
          <w:sz w:val="28"/>
          <w:szCs w:val="28"/>
          <w:rtl w:val="true"/>
          <w:lang w:bidi="fa-IR"/>
        </w:rPr>
        <w:t xml:space="preserve">فی ظرف التردّد التکوینیّ، من غیر النظر إلی الاقتضاء و حدوده، و الرافع و رافعیّة الموجود، أو غیر ذلک، بل المناط ما اشیر إلیه؛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المأخوذان فی الأدلّة ما یتعلّقان بالقضیّة، و فی القضایا لا بقاء و لا استمرار، بل هذه الامور مربوطة بمثل الامور الخارجیّة، کالحرکة، و الوجود، و الزمان، و هکذا</w:t>
      </w:r>
      <w:r>
        <w:rPr>
          <w:rFonts w:eastAsia="IRNazanin" w:cs="IRNazanin"/>
          <w:color w:val="111111"/>
          <w:sz w:val="28"/>
          <w:szCs w:val="28"/>
          <w:rtl w:val="true"/>
          <w:lang w:bidi="fa-IR"/>
        </w:rPr>
        <w:t>.</w:t>
      </w:r>
    </w:p>
    <w:p>
      <w:pPr>
        <w:pStyle w:val="Heading5"/>
        <w:numPr>
          <w:ilvl w:val="4"/>
          <w:numId w:val="1"/>
        </w:numPr>
        <w:rPr/>
      </w:pPr>
      <w:bookmarkStart w:id="774" w:name="__RefHeading___Toc764126_3244359995"/>
      <w:bookmarkStart w:id="775" w:name="_Toc288"/>
      <w:bookmarkEnd w:id="774"/>
      <w:r>
        <w:rPr>
          <w:rtl w:val="true"/>
        </w:rPr>
        <w:t>التمسّک بالارتکاز العقلائیّ علی التفصیل المزبور</w:t>
      </w:r>
      <w:bookmarkEnd w:id="775"/>
    </w:p>
    <w:p>
      <w:pPr>
        <w:pStyle w:val="BookText"/>
        <w:rPr/>
      </w:pPr>
      <w:r>
        <w:rPr>
          <w:rFonts w:ascii="IRNazanin" w:hAnsi="IRNazanin" w:eastAsia="IRNazanin"/>
          <w:color w:val="111111"/>
          <w:sz w:val="28"/>
          <w:sz w:val="28"/>
          <w:szCs w:val="28"/>
          <w:rtl w:val="true"/>
          <w:lang w:bidi="fa-IR"/>
        </w:rPr>
        <w:t>بقی تقریب آخر للتفصیل المذکور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الارتکاز العقلائیّ یساعد علی الشکّ فی الرافع فی مثل القضایا المتشکّلة عنه؛ أی ما یبقی طبعا و یدوم لو خلّی و طبعه، و لا یساعد علی غیر ذلک، و الأخبار ناظرة إلیها، و لا إطلاق لها بعد ذلک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ارتکاز میّت، و لا شاهد علی نظارة الأخبار إلیه بعد ما مرّ من عدم تمامیّتها؛ لا عرفا، و لا متشرّعا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الارتکاز المذکور عن الإطلاق، بل لا بدّ من ضرب القانون کی یقع متّبع القوانین الإسلامیّة فی الراحة فی موارد غیر عرفیّة، کما هو کذلک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 xml:space="preserve">و هکذا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أدّیا إلیک عنّی فعنّی یؤدّیان</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فإنّ المجتمع ربّما یقع فی الضیق فی الزوایا و حواشی المسائل، فیضرب القانون لأجل ذلک، فلا بدّ من القرینة، و لو کان هذا أمرا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کحجّیة الظواهر، و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یکفی عدم الردع، فمن هذه الأخبار یستکشف إمّا عدم ارتکازیّة المسألة، أو إطلاقها لموارد الشکّ فی المقتضی، کما ینبعث بإطلاق أَحَلَ</w:t>
      </w:r>
      <w:bookmarkStart w:id="776" w:name="pg13177_118091"/>
    </w:p>
    <w:p>
      <w:pPr>
        <w:pStyle w:val="BookText"/>
        <w:rPr/>
      </w:pPr>
      <w:bookmarkEnd w:id="776"/>
      <w:r>
        <w:rPr>
          <w:rFonts w:ascii="Amiri" w:hAnsi="Amiri" w:eastAsia="Amiri" w:cs="Amiri"/>
          <w:color w:val="111111"/>
          <w:sz w:val="28"/>
          <w:sz w:val="28"/>
          <w:szCs w:val="28"/>
          <w:rtl w:val="true"/>
          <w:lang w:bidi="ar-SA"/>
        </w:rPr>
        <w:t xml:space="preserve">اللَّهُ الْبَیْعَ </w:t>
      </w:r>
      <w:r>
        <w:rPr>
          <w:rStyle w:val="FootnoteAnchor"/>
          <w:rtl w:val="true"/>
        </w:rPr>
        <w:footnoteReference w:id="998"/>
      </w:r>
      <w:r>
        <w:rPr>
          <w:rFonts w:ascii="IRNazanin" w:hAnsi="IRNazanin" w:eastAsia="IRNazanin"/>
          <w:color w:val="111111"/>
          <w:sz w:val="28"/>
          <w:sz w:val="28"/>
          <w:szCs w:val="28"/>
          <w:rtl w:val="true"/>
          <w:lang w:bidi="fa-IR"/>
        </w:rPr>
        <w:t>و غیره فی کثیر من موارد غیر معلومة عرفا</w:t>
      </w:r>
      <w:r>
        <w:rPr>
          <w:rFonts w:eastAsia="IRNazanin" w:cs="IRNazanin"/>
          <w:color w:val="111111"/>
          <w:sz w:val="28"/>
          <w:szCs w:val="28"/>
          <w:rtl w:val="true"/>
          <w:lang w:bidi="fa-IR"/>
        </w:rPr>
        <w:t>.</w:t>
      </w:r>
    </w:p>
    <w:p>
      <w:pPr>
        <w:pStyle w:val="Heading5"/>
        <w:numPr>
          <w:ilvl w:val="4"/>
          <w:numId w:val="1"/>
        </w:numPr>
        <w:rPr/>
      </w:pPr>
      <w:bookmarkStart w:id="777" w:name="__RefHeading___Toc764128_3244359995"/>
      <w:bookmarkStart w:id="778" w:name="_Toc289"/>
      <w:bookmarkEnd w:id="777"/>
      <w:r>
        <w:rPr>
          <w:rtl w:val="true"/>
        </w:rPr>
        <w:t>تذنیب</w:t>
      </w:r>
      <w:r>
        <w:rPr>
          <w:rtl w:val="true"/>
        </w:rPr>
        <w:t xml:space="preserve">: </w:t>
      </w:r>
      <w:r>
        <w:rPr>
          <w:rtl w:val="true"/>
        </w:rPr>
        <w:t>حکم الشکّ فی حجّیة الاستصحاب فی الشکّ فی المقتضی</w:t>
      </w:r>
      <w:bookmarkEnd w:id="778"/>
    </w:p>
    <w:p>
      <w:pPr>
        <w:pStyle w:val="BookText"/>
        <w:rPr/>
      </w:pPr>
      <w:r>
        <w:rPr>
          <w:rFonts w:ascii="IRNazanin" w:hAnsi="IRNazanin" w:eastAsia="IRNazanin"/>
          <w:color w:val="111111"/>
          <w:sz w:val="28"/>
          <w:sz w:val="28"/>
          <w:szCs w:val="28"/>
          <w:rtl w:val="true"/>
          <w:lang w:bidi="fa-IR"/>
        </w:rPr>
        <w:t>لو شکّ فی حجّیة الاستصحاب فی الشکّ فی المقتضی، فباعتبار هو مساوق للقطع بعدم الحجّیة، و فی اعتبار یستصحب عدم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الجعل باق بطبعه حتّی یجعل علی خلافه، و لو کان مراد الشیخ و غیره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یعتبر له البقاء و یدرک استمراره بحسب الطبع، لا یتوجّه إلیه ما ذکرناه نقضا علیه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التقریب الآخر من ناحیة طریقیّة الیقین لا موضوعیّته، کما یوجد فی کلام العلّامة الأراکیّ </w:t>
      </w:r>
      <w:r>
        <w:rPr>
          <w:rStyle w:val="FootnoteAnchor"/>
          <w:rtl w:val="true"/>
        </w:rPr>
        <w:footnoteReference w:id="999"/>
      </w:r>
      <w:r>
        <w:rPr>
          <w:rFonts w:ascii="IRNazanin" w:hAnsi="IRNazanin" w:eastAsia="IRNazanin"/>
          <w:color w:val="111111"/>
          <w:sz w:val="28"/>
          <w:sz w:val="28"/>
          <w:szCs w:val="28"/>
          <w:rtl w:val="true"/>
          <w:lang w:bidi="fa-IR"/>
        </w:rPr>
        <w:t xml:space="preserve">و النائینیّ رحمهما اللّه و انجرّ الثانی إلی تصدیقه </w:t>
      </w:r>
      <w:r>
        <w:rPr>
          <w:rStyle w:val="FootnoteAnchor"/>
          <w:rtl w:val="true"/>
        </w:rPr>
        <w:footnoteReference w:id="1000"/>
      </w:r>
      <w:r>
        <w:rPr>
          <w:rFonts w:ascii="IRNazanin" w:hAnsi="IRNazanin" w:eastAsia="IRNazanin"/>
          <w:color w:val="111111"/>
          <w:sz w:val="28"/>
          <w:sz w:val="28"/>
          <w:szCs w:val="28"/>
          <w:rtl w:val="true"/>
          <w:lang w:bidi="fa-IR"/>
        </w:rPr>
        <w:t xml:space="preserve">، فهو من الاشتباهات؛ فإنّ ما هو من الیقین و الشکّ فی الأخبار لیس الیقین الموضوعیّ، و لا الطریقیّ، بل هو عنوانیّ کما حرّرناه </w:t>
      </w:r>
      <w:r>
        <w:rPr>
          <w:rStyle w:val="FootnoteAnchor"/>
          <w:rtl w:val="true"/>
        </w:rPr>
        <w:footnoteReference w:id="1001"/>
      </w:r>
      <w:r>
        <w:rPr>
          <w:rFonts w:ascii="IRNazanin" w:hAnsi="IRNazanin" w:eastAsia="IRNazanin"/>
          <w:color w:val="111111"/>
          <w:sz w:val="28"/>
          <w:sz w:val="28"/>
          <w:szCs w:val="28"/>
          <w:rtl w:val="true"/>
          <w:lang w:bidi="fa-IR"/>
        </w:rPr>
        <w:t>، و ما هو الطریق أو الموضوع أو هما معا هو مصداق العنوان المذکور، فلا یستفاد من نسبة النقض إلی الیقین العنوانیّ إلّا ما یناسب عالم العناوین، دون الخارج و المصادیق، و لأجل ذلک استفدنا ثمرات عدیدة، کما حللنا مشاکل کثیرة ممّا مرّ فی حلّ مشکلة التفصیل بین الشکّ فی المقتضی و الرافع</w:t>
      </w:r>
      <w:r>
        <w:rPr>
          <w:rFonts w:eastAsia="IRNazanin" w:cs="IRNazanin"/>
          <w:color w:val="111111"/>
          <w:sz w:val="28"/>
          <w:szCs w:val="28"/>
          <w:rtl w:val="true"/>
          <w:lang w:bidi="fa-IR"/>
        </w:rPr>
        <w:t>.</w:t>
      </w:r>
      <w:bookmarkStart w:id="779" w:name="pg13177_118092"/>
    </w:p>
    <w:p>
      <w:pPr>
        <w:pStyle w:val="Heading5"/>
        <w:numPr>
          <w:ilvl w:val="4"/>
          <w:numId w:val="1"/>
        </w:numPr>
        <w:rPr/>
      </w:pPr>
      <w:bookmarkStart w:id="780" w:name="__RefHeading___Toc764130_3244359995"/>
      <w:bookmarkStart w:id="781" w:name="_Toc290"/>
      <w:bookmarkEnd w:id="779"/>
      <w:bookmarkEnd w:id="780"/>
      <w:r>
        <w:rPr>
          <w:rtl w:val="true"/>
        </w:rPr>
        <w:t>ذنابة</w:t>
      </w:r>
      <w:r>
        <w:rPr>
          <w:rtl w:val="true"/>
        </w:rPr>
        <w:t xml:space="preserve">: </w:t>
      </w:r>
      <w:r>
        <w:rPr>
          <w:rtl w:val="true"/>
        </w:rPr>
        <w:t>حول تصویر الشکّ فی الرافع و المقتضی فی الشبهات الموضوعیة</w:t>
      </w:r>
      <w:bookmarkEnd w:id="781"/>
    </w:p>
    <w:p>
      <w:pPr>
        <w:pStyle w:val="BookText"/>
        <w:rPr/>
      </w:pPr>
      <w:r>
        <w:rPr>
          <w:rFonts w:ascii="IRNazanin" w:hAnsi="IRNazanin" w:eastAsia="IRNazanin"/>
          <w:color w:val="111111"/>
          <w:sz w:val="28"/>
          <w:sz w:val="28"/>
          <w:szCs w:val="28"/>
          <w:rtl w:val="true"/>
          <w:lang w:bidi="fa-IR"/>
        </w:rPr>
        <w:t xml:space="preserve">هل تعقل الشبهة الموضوعیّة علی القول بالتفصیل المذکور کسائر الأدلّة، أم الشکّ إذا لم یکن فی الرافع فهو فی المقتضی و لیس بحجّة، أو أنّه یمکن ذلک علی بعض التقاریر فی تفصیل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یترتّب علیه الأثر العملیّ یکون الإغماض عنه أولی، إلّا أنّا نشیر إلی مثال؛ و هو أنّه لو تردّد المتعاقدان فی مدّة شرط الخیار بین العشرین یوما و الثلاثین، فإن شک ذو الخیار قبل العشرین فی الفسخ أو فاسخیّة الموجود، یستصحب الخیار، و هو من الشکّ فی الرافع، و لو شکّ فی بقاء الخیار فوق الثلاثین بحسب الثبوت، یعدّ من الشک فی المقتضی، و لو شکّ بین العشرین و الثلاثین یتردّد الأمر بینهما، فیلاحظ</w:t>
      </w:r>
      <w:r>
        <w:rPr>
          <w:rFonts w:eastAsia="IRNazanin" w:cs="IRNazanin"/>
          <w:color w:val="111111"/>
          <w:sz w:val="28"/>
          <w:szCs w:val="28"/>
          <w:rtl w:val="true"/>
          <w:lang w:bidi="fa-IR"/>
        </w:rPr>
        <w:t>.</w:t>
      </w:r>
    </w:p>
    <w:p>
      <w:pPr>
        <w:pStyle w:val="Heading5"/>
        <w:numPr>
          <w:ilvl w:val="4"/>
          <w:numId w:val="1"/>
        </w:numPr>
        <w:rPr/>
      </w:pPr>
      <w:bookmarkStart w:id="782" w:name="__RefHeading___Toc764132_3244359995"/>
      <w:bookmarkStart w:id="783" w:name="_Toc291"/>
      <w:bookmarkEnd w:id="782"/>
      <w:r>
        <w:rPr>
          <w:rtl w:val="true"/>
        </w:rPr>
        <w:t>خاتمة</w:t>
      </w:r>
      <w:r>
        <w:rPr>
          <w:rtl w:val="true"/>
        </w:rPr>
        <w:t xml:space="preserve">: </w:t>
      </w:r>
      <w:r>
        <w:rPr>
          <w:rtl w:val="true"/>
        </w:rPr>
        <w:t>فی اختیار العموم حتّی مع اختصاص الحجّیة بالرافع</w:t>
      </w:r>
      <w:bookmarkEnd w:id="78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صدّقنا جمیع ما قیل فی وجه اختصاص الحجّیة بالشکّ فی الرافع، فلنا القول بالعموم؛ و ذلک لأنّ النهی المذکور لیس إلّا قانونیّا کما اشیر إلیه، و سیق الکلام للتعبّد و اعتبار الحجّیة، و یکفی لعموم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یکن الاستعمال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عدّة من الشکوک شکّا فی الرافع، کما یکفی لعموم الحکم کون جماعة قادرین، و لا یعتبر اقتدار کلّ أحد فی ضرب القانون و ترشّح الجدّ، فلیتدبّر</w:t>
      </w:r>
      <w:r>
        <w:rPr>
          <w:rFonts w:eastAsia="IRNazanin" w:cs="IRNazanin"/>
          <w:color w:val="111111"/>
          <w:sz w:val="28"/>
          <w:szCs w:val="28"/>
          <w:rtl w:val="true"/>
          <w:lang w:bidi="fa-IR"/>
        </w:rPr>
        <w:t>.</w:t>
      </w:r>
      <w:bookmarkStart w:id="784" w:name="pg13177_118093"/>
    </w:p>
    <w:p>
      <w:pPr>
        <w:pStyle w:val="Heading4"/>
        <w:numPr>
          <w:ilvl w:val="3"/>
          <w:numId w:val="1"/>
        </w:numPr>
        <w:rPr/>
      </w:pPr>
      <w:bookmarkStart w:id="785" w:name="__RefHeading___Toc764134_3244359995"/>
      <w:bookmarkStart w:id="786" w:name="_Toc292"/>
      <w:bookmarkEnd w:id="784"/>
      <w:bookmarkEnd w:id="785"/>
      <w:r>
        <w:rPr>
          <w:rtl w:val="true"/>
        </w:rPr>
        <w:t>التنبیه الثالث حول التفصیل بین وجود الرافع و رافعیّة الموجود</w:t>
      </w:r>
      <w:bookmarkEnd w:id="786"/>
    </w:p>
    <w:p>
      <w:pPr>
        <w:pStyle w:val="BookText"/>
        <w:rPr/>
      </w:pPr>
      <w:r>
        <w:rPr>
          <w:rFonts w:ascii="IRNazanin" w:hAnsi="IRNazanin" w:eastAsia="IRNazanin"/>
          <w:color w:val="111111"/>
          <w:sz w:val="28"/>
          <w:sz w:val="28"/>
          <w:szCs w:val="28"/>
          <w:rtl w:val="true"/>
          <w:lang w:bidi="fa-IR"/>
        </w:rPr>
        <w:t>حکی عن العلّامة السبزواریّ رحمه اللّه تفصیل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بین موارد الشکّ فی وجود الرافع، و بین موارد الشکّ فی رافعیّة الموجود؛ توهّما أنّه فی الفرض الأوّل یعدّ من نقض الیقین بالشکّ، و هو محرّم، دون الثانی </w:t>
      </w:r>
      <w:r>
        <w:rPr>
          <w:rStyle w:val="FootnoteAnchor"/>
          <w:rtl w:val="true"/>
        </w:rPr>
        <w:footnoteReference w:id="1002"/>
      </w:r>
      <w:r>
        <w:rPr>
          <w:rFonts w:ascii="IRNazanin" w:hAnsi="IRNazanin" w:eastAsia="IRNazanin"/>
          <w:color w:val="111111"/>
          <w:sz w:val="28"/>
          <w:sz w:val="28"/>
          <w:szCs w:val="28"/>
          <w:rtl w:val="true"/>
          <w:lang w:bidi="fa-IR"/>
        </w:rPr>
        <w:t>، و نتیجة کلامه جریان قاعدة الطهارة مثلا فی الشکّ فی رافعیّة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ما یظهر من المحکیّ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الفرض الأوّل لا یجوز رفع الید عن الطهارة السابقة؛ لکونه من نقض الیقین بالشکّ، و فی الفرض الثانی لیس الأمر کذلک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یظهر لی و أظنّ أنّه لم یظهر له، ماهیّة الاستصحاب المتشکّل من القضیّتین المذکورتین الموجودتین فی الشکّ فی رافعیّة الموجود، کما لم یظهر لمن تعرّض لکلامه رحمه اللّه من المعاصرین و فضلاء العصر</w:t>
      </w:r>
      <w:r>
        <w:rPr>
          <w:rStyle w:val="FootnoteAnchor"/>
          <w:rtl w:val="true"/>
        </w:rPr>
        <w:footnoteReference w:id="1003"/>
      </w:r>
      <w:r>
        <w:rPr>
          <w:rFonts w:ascii="IRNazanin" w:hAnsi="IRNazanin" w:eastAsia="IRNazanin"/>
          <w:color w:val="111111"/>
          <w:sz w:val="28"/>
          <w:sz w:val="28"/>
          <w:szCs w:val="28"/>
          <w:rtl w:val="true"/>
          <w:lang w:bidi="fa-IR"/>
        </w:rPr>
        <w:t>، و کان الأولی عدم التعرّض لتفصیله</w:t>
      </w:r>
      <w:r>
        <w:rPr>
          <w:rFonts w:eastAsia="IRNazanin" w:cs="IRNazanin"/>
          <w:color w:val="111111"/>
          <w:sz w:val="28"/>
          <w:szCs w:val="28"/>
          <w:rtl w:val="true"/>
          <w:lang w:bidi="fa-IR"/>
        </w:rPr>
        <w:t>.</w:t>
      </w:r>
      <w:bookmarkStart w:id="787" w:name="pg13177_118094"/>
    </w:p>
    <w:p>
      <w:pPr>
        <w:pStyle w:val="Heading4"/>
        <w:numPr>
          <w:ilvl w:val="3"/>
          <w:numId w:val="1"/>
        </w:numPr>
        <w:rPr/>
      </w:pPr>
      <w:bookmarkStart w:id="788" w:name="__RefHeading___Toc764136_3244359995"/>
      <w:bookmarkStart w:id="789" w:name="_Toc293"/>
      <w:bookmarkEnd w:id="787"/>
      <w:bookmarkEnd w:id="788"/>
      <w:r>
        <w:rPr>
          <w:rtl w:val="true"/>
        </w:rPr>
        <w:t>التنبیه الرابع حول التفصیل بین الأحکام التکلیفیّة و الوضعیّة</w:t>
      </w:r>
      <w:bookmarkEnd w:id="789"/>
    </w:p>
    <w:p>
      <w:pPr>
        <w:pStyle w:val="Heading5"/>
        <w:numPr>
          <w:ilvl w:val="4"/>
          <w:numId w:val="1"/>
        </w:numPr>
        <w:rPr/>
      </w:pPr>
      <w:bookmarkStart w:id="790" w:name="__RefHeading___Toc764138_3244359995"/>
      <w:bookmarkStart w:id="791" w:name="_Toc294"/>
      <w:bookmarkEnd w:id="790"/>
      <w:r>
        <w:rPr>
          <w:rtl w:val="true"/>
        </w:rPr>
        <w:t>اشارة</w:t>
      </w:r>
      <w:bookmarkEnd w:id="791"/>
    </w:p>
    <w:p>
      <w:pPr>
        <w:pStyle w:val="BookText"/>
        <w:rPr/>
      </w:pPr>
      <w:r>
        <w:rPr>
          <w:rFonts w:ascii="IRNazanin" w:hAnsi="IRNazanin" w:eastAsia="IRNazanin"/>
          <w:color w:val="111111"/>
          <w:sz w:val="28"/>
          <w:sz w:val="28"/>
          <w:szCs w:val="28"/>
          <w:rtl w:val="true"/>
          <w:lang w:bidi="fa-IR"/>
        </w:rPr>
        <w:t xml:space="preserve">و هو تفصیل محکیّ </w:t>
      </w:r>
      <w:r>
        <w:rPr>
          <w:rStyle w:val="FootnoteAnchor"/>
          <w:rtl w:val="true"/>
        </w:rPr>
        <w:footnoteReference w:id="1004"/>
      </w:r>
      <w:r>
        <w:rPr>
          <w:rFonts w:ascii="IRNazanin" w:hAnsi="IRNazanin" w:eastAsia="IRNazanin"/>
          <w:color w:val="111111"/>
          <w:sz w:val="28"/>
          <w:sz w:val="28"/>
          <w:szCs w:val="28"/>
          <w:rtl w:val="true"/>
          <w:lang w:bidi="fa-IR"/>
        </w:rPr>
        <w:t>عن الفاضل التونیّ رحمه اللّه بین الأحکام التکلیفیّة و الوضعیّة</w:t>
      </w:r>
      <w:r>
        <w:rPr>
          <w:rStyle w:val="FootnoteAnchor"/>
          <w:rtl w:val="true"/>
        </w:rPr>
        <w:footnoteReference w:id="1005"/>
      </w:r>
      <w:r>
        <w:rPr>
          <w:rFonts w:ascii="IRNazanin" w:hAnsi="IRNazanin" w:eastAsia="IRNazanin"/>
          <w:color w:val="111111"/>
          <w:sz w:val="28"/>
          <w:sz w:val="28"/>
          <w:szCs w:val="28"/>
          <w:rtl w:val="true"/>
          <w:lang w:bidi="fa-IR"/>
        </w:rPr>
        <w:t>تخیّلا أنّ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بنفسه أثرا، و الوضعیّات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ظنّا بأنّ ما بید الشرع هو القسم الأوّل، دون الثانی، فلیس الاستصحاب إلّا جاریا فی القسم الأوّل، دون الثانی؛ ضرورة أنّ النهی عن نقض الیقین بالشکّ و تحریمه، یساعد علی 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توهّما أنّ الاستصحاب معذّر و منجّز، و لا معنی لذلک إلّا بالنسبة إلی القسم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تفصیله بین الاستصحابات الحکمیّة و الموضوعیّة؛ لأنّ الثانیة أبعد من کونها أثرا و مجعولا تکلیفیّا، ثمّ یندرج فیه الوضعیّات؛ لمشابهتها بها من هذه الجهة التی هی المهمّة بالبحث فی الاصول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التمسّک به فی بعض الأخبار السالفة لا یکون مناسبا للنهی، و لا للتنجیز، بعد إمکان أن یتوضّأ و یعید صلاته، کما فی الخبرین الأوّلین، و یعدّ من الوضعیّات</w:t>
      </w:r>
      <w:r>
        <w:rPr>
          <w:rFonts w:eastAsia="IRNazanin" w:cs="IRNazanin"/>
          <w:color w:val="111111"/>
          <w:sz w:val="28"/>
          <w:szCs w:val="28"/>
          <w:rtl w:val="true"/>
          <w:lang w:bidi="fa-IR"/>
        </w:rPr>
        <w:t>.</w:t>
      </w:r>
      <w:bookmarkStart w:id="792" w:name="pg13177_118095"/>
    </w:p>
    <w:p>
      <w:pPr>
        <w:pStyle w:val="BookText"/>
        <w:rPr/>
      </w:pPr>
      <w:bookmarkEnd w:id="792"/>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نأخذ بإطلاق دلیل الاستصحاب القانونیّ العامّ؛ من غیر النظر إلی المستصحب أو الأمر الشخصیّ، فیستصحب النجاسة، کما یستصحب العدالة و الفسق و الوجود و العدم؛ باعتبار الأثر المترتّب علیها بعد کون النهی ناظرا إلی اعتبار حجّیة الاستصحاب علی الإطلاق ما لم یقم وجه لصرفه أو لقطع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النهی للتحریم، بل هو من قبیل الأمر باتباع الثقة بالضرورة</w:t>
      </w:r>
      <w:r>
        <w:rPr>
          <w:rFonts w:eastAsia="IRNazanin" w:cs="IRNazanin"/>
          <w:color w:val="111111"/>
          <w:sz w:val="28"/>
          <w:szCs w:val="28"/>
          <w:rtl w:val="true"/>
          <w:lang w:bidi="fa-IR"/>
        </w:rPr>
        <w:t>.</w:t>
      </w:r>
    </w:p>
    <w:p>
      <w:pPr>
        <w:pStyle w:val="Heading5"/>
        <w:numPr>
          <w:ilvl w:val="4"/>
          <w:numId w:val="1"/>
        </w:numPr>
        <w:rPr/>
      </w:pPr>
      <w:bookmarkStart w:id="793" w:name="__RefHeading___Toc764140_3244359995"/>
      <w:bookmarkStart w:id="794" w:name="_Toc295"/>
      <w:bookmarkEnd w:id="793"/>
      <w:r>
        <w:rPr>
          <w:rtl w:val="true"/>
        </w:rPr>
        <w:t>تذنیب</w:t>
      </w:r>
      <w:r>
        <w:rPr>
          <w:rtl w:val="true"/>
        </w:rPr>
        <w:t xml:space="preserve">: </w:t>
      </w:r>
      <w:r>
        <w:rPr>
          <w:rtl w:val="true"/>
        </w:rPr>
        <w:t>حول الأحکام الوضعیّة و بیان ماهیّتها</w:t>
      </w:r>
      <w:bookmarkEnd w:id="794"/>
    </w:p>
    <w:p>
      <w:pPr>
        <w:pStyle w:val="BookText"/>
        <w:rPr/>
      </w:pPr>
      <w:r>
        <w:rPr>
          <w:rFonts w:ascii="IRNazanin" w:hAnsi="IRNazanin" w:eastAsia="IRNazanin"/>
          <w:color w:val="111111"/>
          <w:sz w:val="28"/>
          <w:sz w:val="28"/>
          <w:szCs w:val="28"/>
          <w:rtl w:val="true"/>
          <w:lang w:bidi="fa-IR"/>
        </w:rPr>
        <w:t>کان الأولی أن لا یتعرّضوا لمسألة الوضعیّات المنتهیة أحیانا إلی الفلسفة العلیا؛ کی لا یظهر أنّ العالم الاصولیّ أجنبیّ عنها، کما لا یخفی إلّا علی من شذّ و 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علم الاصول من العلوم الاعتباریّة البعیدة عن المسائل العقلیّة بمراحل جدّا، حتّی أنّ تعبیر الفیلسوف أحیانا عن بعض الامور بالاعتبار، یرجع إلی قصوره فی الفلسفة، کما تری فی تعبیر العلّامة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مخلوطة، مطلقة، مجرّدةعند اعتبارات علیها موردة</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فإنّه العبرة لذوی العقول عن البعد بین العلمین، و کی لا یقعوا فی حیص و بیص، و لا یفهم طالب الفلسفة قصور الاصولیّ عن تلک الحقائق العینیّة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أوضحنا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حدیث المعقولات الثانیة التی جاءت بمعنی ثان، کالإمکان، و الشیئیّة؛ و أنّه لا واقعیّة لها، و أنّ الخلط بین المسائل اللغویّة</w:t>
      </w:r>
      <w:bookmarkStart w:id="795" w:name="pg13177_118096"/>
    </w:p>
    <w:p>
      <w:pPr>
        <w:pStyle w:val="BookText"/>
        <w:rPr/>
      </w:pPr>
      <w:bookmarkEnd w:id="795"/>
      <w:r>
        <w:rPr>
          <w:rFonts w:ascii="IRNazanin" w:hAnsi="IRNazanin" w:eastAsia="IRNazanin"/>
          <w:color w:val="111111"/>
          <w:sz w:val="28"/>
          <w:sz w:val="28"/>
          <w:szCs w:val="28"/>
          <w:rtl w:val="true"/>
          <w:lang w:bidi="fa-IR"/>
        </w:rPr>
        <w:t>العقلائیّة و الإدراکیّة العقلیّة، أوقعهم فی القول المزبور،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الخارج ظرف الاتصاف، دون الوجود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حذرا من المحاذیر العقلیّة، مع أنّه من الأباطیل الواضحة</w:t>
      </w:r>
      <w:r>
        <w:rPr>
          <w:rFonts w:eastAsia="IRNazanin" w:cs="IRNazanin"/>
          <w:color w:val="111111"/>
          <w:sz w:val="28"/>
          <w:szCs w:val="28"/>
          <w:rtl w:val="true"/>
          <w:lang w:bidi="fa-IR"/>
        </w:rPr>
        <w:t>.</w:t>
      </w:r>
    </w:p>
    <w:p>
      <w:pPr>
        <w:pStyle w:val="Heading5"/>
        <w:numPr>
          <w:ilvl w:val="4"/>
          <w:numId w:val="1"/>
        </w:numPr>
        <w:rPr/>
      </w:pPr>
      <w:bookmarkStart w:id="796" w:name="__RefHeading___Toc764142_3244359995"/>
      <w:bookmarkStart w:id="797" w:name="_Toc296"/>
      <w:bookmarkEnd w:id="796"/>
      <w:r>
        <w:rPr>
          <w:rtl w:val="true"/>
        </w:rPr>
        <w:t>[</w:t>
      </w:r>
      <w:r>
        <w:rPr>
          <w:rtl w:val="true"/>
        </w:rPr>
        <w:t>الإشارة إلی بعض المسائل فی طیّ امور</w:t>
      </w:r>
      <w:r>
        <w:rPr>
          <w:rtl w:val="true"/>
        </w:rPr>
        <w:t>]</w:t>
      </w:r>
      <w:bookmarkEnd w:id="797"/>
    </w:p>
    <w:p>
      <w:pPr>
        <w:pStyle w:val="Heading6"/>
        <w:numPr>
          <w:ilvl w:val="5"/>
          <w:numId w:val="1"/>
        </w:numPr>
        <w:rPr/>
      </w:pPr>
      <w:bookmarkStart w:id="798" w:name="__RefHeading___Toc764144_3244359995"/>
      <w:bookmarkStart w:id="799" w:name="_Toc297"/>
      <w:bookmarkEnd w:id="798"/>
      <w:r>
        <w:rPr>
          <w:rtl w:val="true"/>
        </w:rPr>
        <w:t>اشارة</w:t>
      </w:r>
      <w:bookmarkEnd w:id="799"/>
    </w:p>
    <w:p>
      <w:pPr>
        <w:pStyle w:val="BookText"/>
        <w:rPr/>
      </w:pPr>
      <w:r>
        <w:rPr>
          <w:rFonts w:ascii="IRNazanin" w:hAnsi="IRNazanin" w:eastAsia="IRNazanin"/>
          <w:color w:val="111111"/>
          <w:sz w:val="28"/>
          <w:sz w:val="28"/>
          <w:szCs w:val="28"/>
          <w:rtl w:val="true"/>
          <w:lang w:bidi="fa-IR"/>
        </w:rPr>
        <w:t>و حیث أوضحنا فی بعض المواقف حقیقة العلوم الاعتباریّة</w:t>
      </w:r>
      <w:r>
        <w:rPr>
          <w:rStyle w:val="FootnoteAnchor"/>
          <w:rtl w:val="true"/>
        </w:rPr>
        <w:footnoteReference w:id="1009"/>
      </w:r>
      <w:r>
        <w:rPr>
          <w:rFonts w:ascii="IRNazanin" w:hAnsi="IRNazanin" w:eastAsia="IRNazanin"/>
          <w:color w:val="111111"/>
          <w:sz w:val="28"/>
          <w:sz w:val="28"/>
          <w:szCs w:val="28"/>
          <w:rtl w:val="true"/>
          <w:lang w:bidi="fa-IR"/>
        </w:rPr>
        <w:t>، و أنّه لا حقیقة لها إلّا اعتبار الحقیقة، و یحتاج طالب العلوم الاعتباریة إلی تنقیح بعض بحوثها؛ کی لا یقع فی الخلط و الخبط، و فیه الفائدة الکثیرة، لا بأس بالإشارة إلی بعض المسائل فی طیّ امور، و إن ذکرنا فی هذا الکتاب متشتّتات منها، و فی کتاب البیع فروعها</w:t>
      </w:r>
      <w:r>
        <w:rPr>
          <w:rFonts w:eastAsia="IRNazanin" w:cs="IRNazanin"/>
          <w:color w:val="111111"/>
          <w:sz w:val="28"/>
          <w:szCs w:val="28"/>
          <w:rtl w:val="true"/>
          <w:lang w:bidi="fa-IR"/>
        </w:rPr>
        <w:t>:</w:t>
      </w:r>
    </w:p>
    <w:p>
      <w:pPr>
        <w:pStyle w:val="Heading6"/>
        <w:numPr>
          <w:ilvl w:val="5"/>
          <w:numId w:val="1"/>
        </w:numPr>
        <w:rPr/>
      </w:pPr>
      <w:bookmarkStart w:id="800" w:name="__RefHeading___Toc764146_3244359995"/>
      <w:bookmarkStart w:id="801" w:name="_Toc298"/>
      <w:bookmarkEnd w:id="800"/>
      <w:r>
        <w:rPr>
          <w:rtl w:val="true"/>
        </w:rPr>
        <w:t>الأمر الأوّل</w:t>
      </w:r>
      <w:r>
        <w:rPr>
          <w:rtl w:val="true"/>
        </w:rPr>
        <w:t xml:space="preserve">: </w:t>
      </w:r>
      <w:r>
        <w:rPr>
          <w:rtl w:val="true"/>
        </w:rPr>
        <w:t>فی بیان معانی بعض الألفاظ المرتبطة بالمقام</w:t>
      </w:r>
      <w:bookmarkEnd w:id="801"/>
    </w:p>
    <w:p>
      <w:pPr>
        <w:pStyle w:val="BookText"/>
        <w:rPr/>
      </w:pPr>
      <w:r>
        <w:rPr>
          <w:rFonts w:ascii="IRNazanin" w:hAnsi="IRNazanin" w:eastAsia="IRNazanin"/>
          <w:color w:val="111111"/>
          <w:sz w:val="28"/>
          <w:sz w:val="28"/>
          <w:szCs w:val="28"/>
          <w:rtl w:val="true"/>
          <w:lang w:bidi="fa-IR"/>
        </w:rPr>
        <w:t xml:space="preserve">تقرع الأسماع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التکوینیّة و التشریعیّة،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إنّها فی الأمثلة الاولی جموع، و واحدتها المصدر المنسوب، بخلاف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واحدها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الخلاف المحرّر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المصدر، فیکون بمعنی التدخین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فواحدتها المصدر،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للنسبة؛ أی الامور التشریعیّة و الاعتباریّة و التکوینیّة و الانتزاعیّة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تحکی عن شی‌ء هو مصداقها الحقیقیّ، أو الاعتباریّ و التشریعیّ و الوضعیّ، نظیر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الحاکیة عن الهیئة و الصیغة</w:t>
      </w:r>
    </w:p>
    <w:p>
      <w:pPr>
        <w:pStyle w:val="BookText"/>
        <w:rPr/>
      </w:pPr>
      <w:r>
        <w:rPr>
          <w:rFonts w:ascii="IRNazanin" w:hAnsi="IRNazanin" w:eastAsia="IRNazanin"/>
          <w:color w:val="111111"/>
          <w:sz w:val="28"/>
          <w:sz w:val="28"/>
          <w:szCs w:val="28"/>
          <w:rtl w:val="true"/>
          <w:lang w:bidi="fa-IR"/>
        </w:rPr>
        <w:t>الخاصّة، إلّا أنّ حکم اللّه یناسب مقامه، فیکون أمرا عینیّا أحیانا أو مطلقا، فیکون العالم بحکمه قد وجد، و الصلاة بحکمه قد وجبت، و الکلب بحکمه تنجّس، و الکلّ مجعولات بین الجعل البسیط و المرکّب؛ بناء علی صحّة التقسیم المذکور فی العلم الحقیقیّ، و إلّا فهو صحیح بین الناس و البسطاء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موضوع للمجعول، و یکون وجود العالم حکم اللّه، و وجوب الصلاة کذلک، و نجاسة الکلب و أمثالها، و ربّما یحکی ذلک 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أن یکون العالم موجودا، و الصلاة واجبة، و الکلب نجسا، و السورة جزء، و قول الفقیه حجة، و البیع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شریک فی المجعولیّة العامّة، و مختلف فی کیفیّة المجعولیّة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Style w:val="FootnoteAnchor"/>
          <w:rtl w:val="true"/>
        </w:rPr>
        <w:footnoteReference w:id="1010"/>
      </w:r>
      <w:r>
        <w:rPr>
          <w:rFonts w:ascii="IRNazanin" w:hAnsi="IRNazanin" w:eastAsia="IRNazanin"/>
          <w:color w:val="111111"/>
          <w:sz w:val="28"/>
          <w:sz w:val="28"/>
          <w:szCs w:val="28"/>
          <w:rtl w:val="true"/>
          <w:lang w:bidi="fa-IR"/>
        </w:rPr>
        <w:t>و هو حکم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بالسورة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الصلاة واجبة، و السورة جزء، و الکلب نجسا، و البیع سببا، و النار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ارید حکایة هذه الامور فلک أن تحکی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حکم، أو أمر، أو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من الألفاظ العامّة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لیس لغویّا هنا، و إنّما یستفاد من ذلک الاشتراک المعنویّ بین الحکم التکلیفیّ و الوضعیّ و التکوینیّ، بل و الانتزاعیّ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بجزئیّة السورة، و بحجّیة قول الفقیه، و بموجودیّة العالم، و بنجاسة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w:t>
      </w:r>
    </w:p>
    <w:p>
      <w:pPr>
        <w:pStyle w:val="BookText"/>
        <w:rPr/>
      </w:pPr>
      <w:r>
        <w:rPr>
          <w:rFonts w:ascii="IRNazanin" w:hAnsi="IRNazanin" w:eastAsia="IRNazanin"/>
          <w:color w:val="111111"/>
          <w:sz w:val="28"/>
          <w:sz w:val="28"/>
          <w:szCs w:val="28"/>
          <w:rtl w:val="true"/>
          <w:lang w:bidi="fa-IR"/>
        </w:rPr>
        <w:t>الاشتراک اللفظیّ فی هذا الموقف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سیمرّ علیک أنّه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الحکم حقیقة و یکون مصداقا له أوّلا غیر بعض مصادیقه الملتحقة و إن کان الاستعمال حقیقة؛ للتوسّع و الادعاء بحسب المصداقیّة، لا المفهومیّة، خصوصا بعد مضیّ السنوات علی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فلیجعل اللهمّ لی الخیر عند نزع الروح عن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کنیل النفس من الشی‌ء الخارجیّ التکوینیّ معنی مجرّدا من القیود و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الاعتباریّ، کما ینزع من إضافة زید إلی الدار الملکیّة المشابهة للملکیّة العینیّة، و لأجل ذلک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عزرائیلیّة النفس بانتزاع کثیر من المعانی المجرّدة من الأعیان الخارجیة برفض المادّة و لواحقها، و نیل أمر کلّی سار صادق علی غیر ما یلمسه و یشاهده و یحسّه بإحدی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فبحسب اللغة یصحّ تقسیم الحکم إلی التکلیفیّ، و الوضعیّ، کما یصحّ تقسیمه إلی التکوینیّ، و الانتزاعیّ، و الاعتباریّ، و التشریعیّ، و الاختراعیّ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یظهر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المقسم المقرّرات الشرعیّة</w:t>
      </w:r>
      <w:r>
        <w:rPr>
          <w:rStyle w:val="FootnoteAnchor"/>
          <w:rtl w:val="true"/>
        </w:rPr>
        <w:footnoteReference w:id="1011"/>
      </w:r>
      <w:r>
        <w:rPr>
          <w:rFonts w:ascii="IRNazanin" w:hAnsi="IRNazanin" w:eastAsia="IRNazanin"/>
          <w:color w:val="111111"/>
          <w:sz w:val="28"/>
          <w:sz w:val="28"/>
          <w:szCs w:val="28"/>
          <w:rtl w:val="true"/>
          <w:lang w:bidi="fa-IR"/>
        </w:rPr>
        <w:t>، مع أنّ الکلام فی تقاسیم الحکم، و ما فی کتب الآخرین من أنّ الصلاة لیست حکما، غافلین عن صحّة هذا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بأنّ هذا المعجون المرکّب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صلاة إلّا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بأنّها لیست صلاة و إن کانت صلاة بدون الحکم، فلا تختلط</w:t>
      </w:r>
      <w:r>
        <w:rPr>
          <w:rFonts w:eastAsia="IRNazanin" w:cs="IRNazanin"/>
          <w:color w:val="111111"/>
          <w:sz w:val="28"/>
          <w:szCs w:val="28"/>
          <w:rtl w:val="true"/>
          <w:lang w:bidi="fa-IR"/>
        </w:rPr>
        <w:t>.</w:t>
      </w:r>
      <w:bookmarkStart w:id="802" w:name="pg13177_118099"/>
    </w:p>
    <w:p>
      <w:pPr>
        <w:pStyle w:val="Heading6"/>
        <w:numPr>
          <w:ilvl w:val="5"/>
          <w:numId w:val="1"/>
        </w:numPr>
        <w:rPr/>
      </w:pPr>
      <w:bookmarkStart w:id="803" w:name="__RefHeading___Toc764148_3244359995"/>
      <w:bookmarkStart w:id="804" w:name="_Toc299"/>
      <w:bookmarkEnd w:id="802"/>
      <w:bookmarkEnd w:id="803"/>
      <w:r>
        <w:rPr>
          <w:rtl w:val="true"/>
        </w:rPr>
        <w:t>الأمر الثانی</w:t>
      </w:r>
      <w:r>
        <w:rPr>
          <w:rtl w:val="true"/>
        </w:rPr>
        <w:t xml:space="preserve">: </w:t>
      </w:r>
      <w:r>
        <w:rPr>
          <w:rtl w:val="true"/>
        </w:rPr>
        <w:t>حول تقسیم الجعل إلی البسیط و المرکّب</w:t>
      </w:r>
      <w:bookmarkEnd w:id="804"/>
    </w:p>
    <w:p>
      <w:pPr>
        <w:pStyle w:val="BookText"/>
        <w:rPr/>
      </w:pPr>
      <w:r>
        <w:rPr>
          <w:rFonts w:ascii="IRNazanin" w:hAnsi="IRNazanin" w:eastAsia="IRNazanin"/>
          <w:color w:val="111111"/>
          <w:sz w:val="28"/>
          <w:sz w:val="28"/>
          <w:szCs w:val="28"/>
          <w:rtl w:val="true"/>
          <w:lang w:bidi="fa-IR"/>
        </w:rPr>
        <w:t>قد حرّرنا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تقسیم الجعل إلی البسیط و المرکّب، صحیح بحسب اللغة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بحسب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یجعل وجود زید، و یجعل حرکة زید، و تدریجیّة علم زید و هکذا، و لا یجعل شیئا شیئا؛ من غیر فرق بین أن یکون الشی‌ء الثانی ملازما غیر مفارق للشی‌ء الأوّل، أو غیر ملازم، فلا یجعل النار علّة و لا محرقة للقطن الکذائیّ، بل بجعل النار تجعل العلّیة، أو یجعل علّیة شی‌ء لشی‌ء بسیطا، فیظهر فساد ما فی الکتب العقلیّة</w:t>
      </w:r>
      <w:r>
        <w:rPr>
          <w:rStyle w:val="FootnoteAnchor"/>
          <w:rtl w:val="true"/>
        </w:rPr>
        <w:footnoteReference w:id="1013"/>
      </w:r>
      <w:r>
        <w:rPr>
          <w:rFonts w:ascii="IRNazanin" w:hAnsi="IRNazanin" w:eastAsia="IRNazanin"/>
          <w:color w:val="111111"/>
          <w:sz w:val="28"/>
          <w:sz w:val="28"/>
          <w:szCs w:val="28"/>
          <w:rtl w:val="true"/>
          <w:lang w:bidi="fa-IR"/>
        </w:rPr>
        <w:t>، فضلا عن الکتب الاصولیّة، فلا یجعل إلّا نجاسة الکلب، أو طهارة الماء، أو طهارة المغتسل به، أو جزئیّة الفاتحة، أو غیر ذلک کملکیّة زید لداره،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اللغة، فالأمر 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الحقائق الحکمیّة لا تقتنص من الإطلاقات العرفیّة و الاستعمالات السوقیّة، فلا یجعل زید قائما، بل یجعل قیام زید، و هکذا فی المقولات و المحمولات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نظرنا إلی الاعتبارات بعین العقل، و إلّا فالأمر فیها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البراهین المنتهیة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و لا یجعل إلّا بسیطا، فتطلب من محالّها</w:t>
      </w:r>
      <w:r>
        <w:rPr>
          <w:rFonts w:eastAsia="IRNazanin" w:cs="IRNazanin"/>
          <w:color w:val="111111"/>
          <w:sz w:val="28"/>
          <w:szCs w:val="28"/>
          <w:rtl w:val="true"/>
          <w:lang w:bidi="fa-IR"/>
        </w:rPr>
        <w:t>.</w:t>
      </w:r>
    </w:p>
    <w:p>
      <w:pPr>
        <w:pStyle w:val="Heading6"/>
        <w:numPr>
          <w:ilvl w:val="5"/>
          <w:numId w:val="1"/>
        </w:numPr>
        <w:rPr/>
      </w:pPr>
      <w:bookmarkStart w:id="805" w:name="__RefHeading___Toc764150_3244359995"/>
      <w:bookmarkStart w:id="806" w:name="_Toc300"/>
      <w:bookmarkEnd w:id="805"/>
      <w:r>
        <w:rPr>
          <w:rtl w:val="true"/>
        </w:rPr>
        <w:t>الأمر الثالث</w:t>
      </w:r>
      <w:r>
        <w:rPr>
          <w:rtl w:val="true"/>
        </w:rPr>
        <w:t xml:space="preserve">: </w:t>
      </w:r>
      <w:r>
        <w:rPr>
          <w:rtl w:val="true"/>
        </w:rPr>
        <w:t>فی توقف الاعتبارات علی الاحتیاج العقلائی</w:t>
      </w:r>
      <w:bookmarkEnd w:id="80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یقرع سمعک فی العلوم الاعتباریّة من المفاهیم البسیطة و المرکّبة، کلّها</w:t>
      </w:r>
      <w:bookmarkStart w:id="807" w:name="pg13177_118100"/>
    </w:p>
    <w:p>
      <w:pPr>
        <w:pStyle w:val="BookText"/>
        <w:rPr/>
      </w:pPr>
      <w:bookmarkEnd w:id="807"/>
      <w:r>
        <w:rPr>
          <w:rFonts w:ascii="IRNazanin" w:hAnsi="IRNazanin" w:eastAsia="IRNazanin"/>
          <w:color w:val="111111"/>
          <w:sz w:val="28"/>
          <w:sz w:val="28"/>
          <w:szCs w:val="28"/>
          <w:rtl w:val="true"/>
          <w:lang w:bidi="fa-IR"/>
        </w:rPr>
        <w:t>نقشة الامور التکوینیّة، و لا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مفهوم فیها من المفاهیم فی المعاملات و العبادات، و مفاهیم الأجزاء بالحمل الأوّلی، و المرکّبات بالحمل الشائع، بل کلّ هذه الامور الاعتباریّة اتخذت من الامور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من الملکیّة الحقیقیّة الثابتة للّه تعالی، أو للنفس بالنسبة إلی قواها،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البیع الاعتباریّ اتخذ من التبادل الخارجیّ،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و السببیّة، و النکاح، و الزواج،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مصادیقها الخارجیّة البدویّة، ثمّ بعد اتساع دائرة الحضارة البشریّة، اتسعت مصادیق اعتباریّة لتلک العناوین، التی نالتها العقول عن الخارج بسبب الإحساس و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اعتبرت السببیّة أو الحجّیة أو الجزئیّة أو الکلّیة و الحرّیة و غیر ذلک، فکلّها ناشئة عن الاحتیاج فی الحضارة و المدنیّة، و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فی حجّیة غیر القطع بالتنزیل </w:t>
      </w:r>
      <w:r>
        <w:rPr>
          <w:rStyle w:val="FootnoteAnchor"/>
          <w:rtl w:val="true"/>
        </w:rPr>
        <w:footnoteReference w:id="1014"/>
      </w:r>
      <w:r>
        <w:rPr>
          <w:rFonts w:ascii="IRNazanin" w:hAnsi="IRNazanin" w:eastAsia="IRNazanin"/>
          <w:color w:val="111111"/>
          <w:sz w:val="28"/>
          <w:sz w:val="28"/>
          <w:szCs w:val="28"/>
          <w:rtl w:val="true"/>
          <w:lang w:bidi="fa-IR"/>
        </w:rPr>
        <w:t>، مع أنّ الأمر لیس کذلک، بل اتسعت مصادیق الحجّة للحاجة إلیها</w:t>
      </w:r>
      <w:r>
        <w:rPr>
          <w:rFonts w:eastAsia="IRNazanin" w:cs="IRNazanin"/>
          <w:color w:val="111111"/>
          <w:sz w:val="28"/>
          <w:szCs w:val="28"/>
          <w:rtl w:val="true"/>
          <w:lang w:bidi="fa-IR"/>
        </w:rPr>
        <w:t>.</w:t>
      </w:r>
    </w:p>
    <w:p>
      <w:pPr>
        <w:pStyle w:val="Heading6"/>
        <w:numPr>
          <w:ilvl w:val="5"/>
          <w:numId w:val="1"/>
        </w:numPr>
        <w:rPr/>
      </w:pPr>
      <w:bookmarkStart w:id="808" w:name="__RefHeading___Toc764152_3244359995"/>
      <w:bookmarkStart w:id="809" w:name="_Toc301"/>
      <w:bookmarkEnd w:id="808"/>
      <w:r>
        <w:rPr>
          <w:rtl w:val="true"/>
        </w:rPr>
        <w:t>الأمر الرابع</w:t>
      </w:r>
      <w:r>
        <w:rPr>
          <w:rtl w:val="true"/>
        </w:rPr>
        <w:t xml:space="preserve">: </w:t>
      </w:r>
      <w:r>
        <w:rPr>
          <w:rtl w:val="true"/>
        </w:rPr>
        <w:t>فی بیان حقیقة الأحکام الوضعیّة</w:t>
      </w:r>
      <w:bookmarkEnd w:id="809"/>
    </w:p>
    <w:p>
      <w:pPr>
        <w:pStyle w:val="Heading6"/>
        <w:numPr>
          <w:ilvl w:val="5"/>
          <w:numId w:val="1"/>
        </w:numPr>
        <w:rPr/>
      </w:pPr>
      <w:bookmarkStart w:id="810" w:name="__RefHeading___Toc764154_3244359995"/>
      <w:bookmarkStart w:id="811" w:name="_Toc302"/>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بعد ما عرفت هذه المسائل، تکون الأحکام التکلیفیّة بمصادیقها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الأوامر و النواهی و البواعث و الزواجر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کما تحرّر فی المجلد الأوّل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الأحکام التکوینیّة فهی عین التکوین و الخارج، فإنّ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فالحکم التکوینیّ مقابل التشریعیّ فی وجه، و إلّا فالتشریع من تبعات التکوین، و تفصیله خارج عن دیدن هذه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 فهی اعتباریّات خارجیّة، ککون زید مالکا، أو حرّا، أو زوجا؛ حسب التعابیر السوقیّة، و هکذا البیع سبب، أو الصلح سبب لکذا، فإنّ هذه الامور و إن لم تکن علی نعت القانون، أو کانت أحیانا قانونا من المقنّن النافذ، و لکن هو علی سبیل القضایا الحقیقیّة، فإذا تصدّی زید لإیجاد سبب الملک، یصیر مالکا بذلک السبب للمسبّب المعقود علیه؛ من غیر أن یکون ذلک اعتبارا خاصّا شخصیّا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1015"/>
      </w:r>
      <w:r>
        <w:rPr>
          <w:rFonts w:ascii="IRNazanin" w:hAnsi="IRNazanin" w:eastAsia="IRNazanin"/>
          <w:color w:val="111111"/>
          <w:sz w:val="28"/>
          <w:sz w:val="28"/>
          <w:szCs w:val="28"/>
          <w:rtl w:val="true"/>
          <w:lang w:bidi="fa-IR"/>
        </w:rPr>
        <w:t>ناظر إلی أنّ ما هو البیع الخارجیّ نافذ دون مفهومه، و هکذا 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الانتزاعیّات بین ما تکون من خارج المحمول، فلا تنالها ید الجعل، کالعلّیة و المعلولیّة، و الذهنیّة و الخارجیّة، و المادّیة و المجرّدیة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ما لا تکون إلّا اعتبارا، کالسببیّة و المسبّبیة، و الحجّیة و الجزئیّة، و غیر ذلک، فإنّها تنالها ید الجعل الاستقلالیّ و التبعیّ؛ أی تبعا للأمر الغیریّ، أو النهی الغیریّ بالنسبة إلی شرطیّة العدم، فیجوز أن یقال و یصح أن یعبّر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أحلّ سببیّة البیع و الصلح، أو جزئیّة السورة، و شرطیّة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ینتقل المکلّف إلی لزوم إتیانها فی طیّ المرکّب أو المرکّبات الاختراعیّة؛ بأن یعتبر عدّة امور مختلفة الوجود و المقولة تحت عنوان واحد و اسم فارد، فیقول بحسب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المرکّب الکذائیّ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هذه الامور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ورد الأمر بإتیانها یجب اتباعه، فلا یلزم ثبوتا امتناع و مشکلة عقلیّة، فیظهر فساد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و أتباعها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یلزم تقارن الأمر الإیجابیّ و اعتبار الوحدة الترکیبیّة، کما یعتبر الواضع لمعجون مرکّب اعتباریّ اسما خاصّا کذائیّا، فتناله ید الجعل، إلّا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إلّا ذلک، لا الخارج التکوینیّ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فساد کلمات القوم من هذه الامور، و لا حاجة إلی التذکیر به تفصیلا، و لعلّه یأتی بعض الکلام حولها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الانتزاعیّات عن الامور التکوینیّة، کالعلّیة و أشباهها، فإنّها بحکم خارج المحمول و ذاتیّ باب البرهان، و حیث لا تتعلّق الإرادة التکوینیّة إلّا بوجود السبب و بوجود النار، فالسببیّة و المحرقیّة لا تنالها ید الجعل و الإرادة، و لمکان أنّها خارجة من المقولات لا یتعلّق بها الجعل البسیط، کقیام زید، و علم عمرو، و حرکة الطبیعة الخارجیّة التی هی عین وجود ذاتها، و لأجله تصیر جوهریّة، و لا یلزم عرضیّتها و لا فی المقولات العرضیّة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أنکرنا غیر الحرکة الجوهریّة إلّا تبعا، فما ذهب إلیه القوم من جریان الحرکة فی طائفة من المقولات، غیر صحیح، و لعلّهم أرادوا ذلک،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کافّة الانتزاعیّات عن التشریعیّة، قابلة للجعل البسیط و المرکّب بالضرورة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ذهب إلیه العلّامة الأراکیّ رحمه اللّه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جعل الجزئیّة و رفعها لا یمکن؛ لتشخّص الإرادة بالمراد</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فقد مرّ فساده فی أواخر الاشتغال </w:t>
      </w:r>
      <w:r>
        <w:rPr>
          <w:rStyle w:val="FootnoteAnchor"/>
          <w:rtl w:val="true"/>
        </w:rPr>
        <w:footnoteReference w:id="1020"/>
      </w:r>
      <w:r>
        <w:rPr>
          <w:rFonts w:ascii="IRNazanin" w:hAnsi="IRNazanin" w:eastAsia="IRNazanin"/>
          <w:color w:val="111111"/>
          <w:sz w:val="28"/>
          <w:sz w:val="28"/>
          <w:szCs w:val="28"/>
          <w:rtl w:val="true"/>
          <w:lang w:bidi="fa-IR"/>
        </w:rPr>
        <w:t xml:space="preserve">و فی حدیث الرفع </w:t>
      </w:r>
      <w:r>
        <w:rPr>
          <w:rStyle w:val="FootnoteAnchor"/>
          <w:rtl w:val="true"/>
        </w:rPr>
        <w:footnoteReference w:id="1021"/>
      </w:r>
      <w:r>
        <w:rPr>
          <w:rFonts w:ascii="IRNazanin" w:hAnsi="IRNazanin" w:eastAsia="IRNazanin"/>
          <w:color w:val="111111"/>
          <w:sz w:val="28"/>
          <w:sz w:val="28"/>
          <w:szCs w:val="28"/>
          <w:rtl w:val="true"/>
          <w:lang w:bidi="fa-IR"/>
        </w:rPr>
        <w:t>، و أنّ تشخّص الإرادة بالعنوان الوحدانیّ، و لا یعقل أن یتعلّق الواحد إلّا بواحد، و الجزئیّة و الشرطیّة بأنحائها مربوطة بذلک العنوان؛ علی نحو تعتبر فی</w:t>
      </w:r>
      <w:bookmarkStart w:id="812" w:name="pg13177_118103"/>
    </w:p>
    <w:p>
      <w:pPr>
        <w:pStyle w:val="BookText"/>
        <w:rPr/>
      </w:pPr>
      <w:bookmarkEnd w:id="812"/>
      <w:r>
        <w:rPr>
          <w:rFonts w:ascii="IRNazanin" w:hAnsi="IRNazanin" w:eastAsia="IRNazanin"/>
          <w:color w:val="111111"/>
          <w:sz w:val="28"/>
          <w:sz w:val="28"/>
          <w:szCs w:val="28"/>
          <w:rtl w:val="true"/>
          <w:lang w:bidi="fa-IR"/>
        </w:rPr>
        <w:t>مقابلها عند لحاظه الاستقلالیّ، و یکون فانیا فیه بعد الاعتبار المذکور</w:t>
      </w:r>
      <w:r>
        <w:rPr>
          <w:rFonts w:eastAsia="IRNazanin" w:cs="IRNazanin"/>
          <w:color w:val="111111"/>
          <w:sz w:val="28"/>
          <w:szCs w:val="28"/>
          <w:rtl w:val="true"/>
          <w:lang w:bidi="fa-IR"/>
        </w:rPr>
        <w:t>.</w:t>
      </w:r>
    </w:p>
    <w:p>
      <w:pPr>
        <w:pStyle w:val="Heading6"/>
        <w:numPr>
          <w:ilvl w:val="5"/>
          <w:numId w:val="1"/>
        </w:numPr>
        <w:rPr/>
      </w:pPr>
      <w:bookmarkStart w:id="813" w:name="__RefHeading___Toc764156_3244359995"/>
      <w:bookmarkStart w:id="814" w:name="_Toc303"/>
      <w:bookmarkEnd w:id="813"/>
      <w:r>
        <w:rPr>
          <w:rtl w:val="true"/>
        </w:rPr>
        <w:t>تنبیه</w:t>
      </w:r>
      <w:r>
        <w:rPr>
          <w:rtl w:val="true"/>
        </w:rPr>
        <w:t xml:space="preserve">: </w:t>
      </w:r>
      <w:r>
        <w:rPr>
          <w:rtl w:val="true"/>
        </w:rPr>
        <w:t>فی بیان أقسام الاعتباریات</w:t>
      </w:r>
      <w:bookmarkEnd w:id="814"/>
    </w:p>
    <w:p>
      <w:pPr>
        <w:pStyle w:val="BookText"/>
        <w:rPr/>
      </w:pPr>
      <w:r>
        <w:rPr>
          <w:rFonts w:ascii="IRNazanin" w:hAnsi="IRNazanin" w:eastAsia="IRNazanin"/>
          <w:color w:val="111111"/>
          <w:sz w:val="28"/>
          <w:sz w:val="28"/>
          <w:szCs w:val="28"/>
          <w:rtl w:val="true"/>
          <w:lang w:bidi="fa-IR"/>
        </w:rPr>
        <w:t>الاعتباریّات بین ما هی إمضائیّات شرعا، أو تأسیسیّات إمکانا، أو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إلی ما یکون و عاؤه الخارج فقط، مثل الإمضائیّات، کالبیع و الملکیّة، و إلی ما یکون أعمّ، کالصلاة و أشباهها؛ فإنّها تعتبر أوّلا عنوانا واحدا، کما فی خبر حمّاد المبیّن لطبیعة الصلاة مثلا</w:t>
      </w:r>
      <w:r>
        <w:rPr>
          <w:rStyle w:val="FootnoteAnchor"/>
          <w:rtl w:val="true"/>
        </w:rPr>
        <w:footnoteReference w:id="1022"/>
      </w:r>
      <w:r>
        <w:rPr>
          <w:rFonts w:ascii="IRNazanin" w:hAnsi="IRNazanin" w:eastAsia="IRNazanin"/>
          <w:color w:val="111111"/>
          <w:sz w:val="28"/>
          <w:sz w:val="28"/>
          <w:szCs w:val="28"/>
          <w:rtl w:val="true"/>
          <w:lang w:bidi="fa-IR"/>
        </w:rPr>
        <w:t>، و یتعلّق به الأمر ثانیا، کالمعجون الذی یرکّبه الطبیب أوّلا، ثمّ یأمر بشربه و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البحث حول الصحّة و الفساد و الرافع و القاطع و المانع بالنسبة إلی الموضوعات الاعتباریّة، فقد مضی فی مباحث سابقة، و بیّنّا فساد مذاهب القوم کلّها حول الأوّلین </w:t>
      </w:r>
      <w:r>
        <w:rPr>
          <w:rStyle w:val="FootnoteAnchor"/>
          <w:rtl w:val="true"/>
        </w:rPr>
        <w:footnoteReference w:id="1023"/>
      </w:r>
      <w:r>
        <w:rPr>
          <w:rFonts w:ascii="IRNazanin" w:hAnsi="IRNazanin" w:eastAsia="IRNazanin"/>
          <w:color w:val="111111"/>
          <w:sz w:val="28"/>
          <w:sz w:val="28"/>
          <w:szCs w:val="28"/>
          <w:rtl w:val="true"/>
          <w:lang w:bidi="fa-IR"/>
        </w:rPr>
        <w:t xml:space="preserve">، و هکذا حول الأواخر أخیرا فی بحوث الاشتغال </w:t>
      </w:r>
      <w:r>
        <w:rPr>
          <w:rStyle w:val="FootnoteAnchor"/>
          <w:rtl w:val="true"/>
        </w:rPr>
        <w:footnoteReference w:id="1024"/>
      </w:r>
      <w:r>
        <w:rPr>
          <w:rFonts w:ascii="IRNazanin" w:hAnsi="IRNazanin" w:eastAsia="IRNazanin"/>
          <w:color w:val="111111"/>
          <w:sz w:val="28"/>
          <w:sz w:val="28"/>
          <w:szCs w:val="28"/>
          <w:rtl w:val="true"/>
          <w:lang w:bidi="fa-IR"/>
        </w:rPr>
        <w:t>، فلا وجه لإطالة الکلام حولها،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حدیث المطهّریة و الناقضیّة و المطهّر و النواقض و غیر ذلک؛ سواء کانت من الانتزاعیّات، أو الاعتباریّات</w:t>
      </w:r>
      <w:r>
        <w:rPr>
          <w:rFonts w:eastAsia="IRNazanin" w:cs="IRNazanin"/>
          <w:color w:val="111111"/>
          <w:sz w:val="28"/>
          <w:szCs w:val="28"/>
          <w:rtl w:val="true"/>
          <w:lang w:bidi="fa-IR"/>
        </w:rPr>
        <w:t>.</w:t>
      </w:r>
    </w:p>
    <w:p>
      <w:pPr>
        <w:pStyle w:val="Heading6"/>
        <w:numPr>
          <w:ilvl w:val="5"/>
          <w:numId w:val="1"/>
        </w:numPr>
        <w:rPr/>
      </w:pPr>
      <w:bookmarkStart w:id="815" w:name="__RefHeading___Toc764158_3244359995"/>
      <w:bookmarkStart w:id="816" w:name="_Toc304"/>
      <w:bookmarkEnd w:id="815"/>
      <w:r>
        <w:rPr>
          <w:rtl w:val="true"/>
        </w:rPr>
        <w:t>بقی شی‌ء</w:t>
      </w:r>
      <w:r>
        <w:rPr>
          <w:rtl w:val="true"/>
        </w:rPr>
        <w:t xml:space="preserve">: </w:t>
      </w:r>
      <w:r>
        <w:rPr>
          <w:rtl w:val="true"/>
        </w:rPr>
        <w:t>فی أنّ مسببات العقود هی لوازم ذات السبب و الماهیة</w:t>
      </w:r>
      <w:bookmarkEnd w:id="81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امورا سبب کألفاظ العقود و الإیقاعات</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آخر إلی موضوعیّة تلک العناوین لأحکام عقلائیّة مثلا، کسائر الموضوعات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الامور المسبّبیة من لوازم ذات السبب و الماهیّة الاعتباریّة، مثل الإمکان بالنسبة إلی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الأوّل، اتخذ الاعتبار المذکور من السببیّة التکوینیّة؛ للاشتراک فی الخاصیّة، کما تری فی النار بالنسبة إلی الإحراق، و هکذا فی البیع بالنسبة إلی 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الثالث، اتخذ الاعتبار المذکور من الماهیّات التکوینیّة و الأعیان بالقیاس إلی لوازمها، حتّی قال الاستاذ البروجردیّ قدّس سرّه فی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الوجوب و الحرمة من لوازم الماهیّات و تلک الطبائع فی الاعتبار</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و به تلحق سائر الامور حسب نظرنا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فحیث لا تأثیر و لا لزوم عقلیّ، فلا بدّ و أن یکون هناک حکم عقلائیّ، فعند تحقّق البیع السببیّ بذاته یحکم العقلاء بالنقل و الانتقال، و عند تحقّق ألفاظ الطلاق و العتاق یحکم العقلاء بالحرّیة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من ناحیة عدم حصول الجدّ متوجّهة إلی الکلّ، و الجواب واحد بعد بطلان التأثیر التکوینیّ، و اللزوم العقلیّ و هکذا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ما عرفت منّا من توسعة المصادیق الاعتباریّة من غیر تصرّف فی المفهوم الطبیعیّ </w:t>
      </w:r>
      <w:r>
        <w:rPr>
          <w:rStyle w:val="FootnoteAnchor"/>
          <w:rtl w:val="true"/>
        </w:rPr>
        <w:footnoteReference w:id="1028"/>
      </w:r>
      <w:r>
        <w:rPr>
          <w:rFonts w:ascii="IRNazanin" w:hAnsi="IRNazanin" w:eastAsia="IRNazanin"/>
          <w:color w:val="111111"/>
          <w:sz w:val="28"/>
          <w:sz w:val="28"/>
          <w:szCs w:val="28"/>
          <w:rtl w:val="true"/>
          <w:lang w:bidi="fa-IR"/>
        </w:rPr>
        <w:t>، کون تلک التوسعة لمساس الحاجة فی الحضارة، فکلّ ما کان أکثر إمساسا و إدراکا بحسب التکوین، فهو أولی بکونه مبدأ للحوق المصداق</w:t>
      </w:r>
    </w:p>
    <w:p>
      <w:pPr>
        <w:pStyle w:val="BookText"/>
        <w:rPr/>
      </w:pPr>
      <w:r>
        <w:rPr>
          <w:rFonts w:ascii="IRNazanin" w:hAnsi="IRNazanin" w:eastAsia="IRNazanin"/>
          <w:color w:val="111111"/>
          <w:sz w:val="28"/>
          <w:sz w:val="28"/>
          <w:szCs w:val="28"/>
          <w:rtl w:val="true"/>
          <w:lang w:bidi="fa-IR"/>
        </w:rPr>
        <w:t>الاعتباریّ، و عندئذ ما ذهب إلیه المشهور أولی، کما اخترناه فی بعض المباحث الماضیة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بحسب التجزئة و التحلیل، کما لا یدرک العقل الزوجیّة و هی عنوان واحد من الکثیر بما 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الاثنان و الأربعة و الستّة و المائة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برجوع تلک العناوین الکثیرة إلی جهة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ینقسم إلی المتساویین مثلا، و لا یکون الإحراق إلّا لما هو طبیعة تشترک فیها الشمس و النار و الکهرباء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العقلاء بحسب الفطرة، لا یرون أنّ البیع سبب النقل و الانتقال، و الصلح سبب النقل و الانتقال، و الإجارة، و لا یرون أنّ النقل و الانتقال من لوازم تلک الماهیّات المتباینة و إن اختلفت خصوصیّة النقل و الانتقال الخارجیّ، إلّا أنّها لیست خارجة عن هذا المفهوم العامّ المشترک المحتاج إلی الجهة الجامعة الواقعیّة التکوینیّة أو الاعتباریّة، بل حکمهم بالنقل و الانتقال عند تحقّق البیع و عند تحقّق الصلح و الإجارة و غیرها أقرب، فلا یحکمون بوجوب إکرام زید و عمرو و بکر إلّا من جهة اشتراکهم فی العنصریّة، أو العلم، أو الإسلام، أو غیر ذلک، فلا یحکمون بشی‌ء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أو الحرمة بالنسبة إلی الموضوعات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برجوعها إلی معنی واحد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یسقط أساس بحوثهم عن السببیّة، و حکم العقلاء، و اللزوم الاعتباریّ علی ما عرفت، و یرجع البحث إلی أنّ کلّ قرار معاملیّ أو کلّ قرار عقلائیّ بل کلّ قرار، محترم عند العقلاء، و إنّما تختلف خاصّة الحرمة حسب الموارد، و الشرع ربّما أنفذ ذلک، و ربّما اعتبر الاختیار لأحد طرفی القرار کما فی الهبة، أو أنّه فی بعض الأحیان اعتبر الاختیار لصاحب الحیوان إلی ثلاثة أیّام؛ نظرا إلی بعض الحکم و الأسرار</w:t>
      </w:r>
      <w:r>
        <w:rPr>
          <w:rFonts w:eastAsia="IRNazanin" w:cs="IRNazanin"/>
          <w:color w:val="111111"/>
          <w:sz w:val="28"/>
          <w:szCs w:val="28"/>
          <w:rtl w:val="true"/>
          <w:lang w:bidi="fa-IR"/>
        </w:rPr>
        <w:t>.</w:t>
      </w:r>
      <w:bookmarkStart w:id="817" w:name="pg13177_118106"/>
    </w:p>
    <w:p>
      <w:pPr>
        <w:pStyle w:val="BookText"/>
        <w:rPr/>
      </w:pPr>
      <w:bookmarkEnd w:id="817"/>
      <w:r>
        <w:rPr>
          <w:rFonts w:ascii="IRNazanin" w:hAnsi="IRNazanin" w:eastAsia="IRNazanin"/>
          <w:color w:val="111111"/>
          <w:sz w:val="28"/>
          <w:sz w:val="28"/>
          <w:szCs w:val="28"/>
          <w:rtl w:val="true"/>
          <w:lang w:bidi="fa-IR"/>
        </w:rPr>
        <w:t>فالبیع لیس سببا للنقل و الانتقال، و لا موضوعا لحکم العقلاء به، و لا اعتبر النقل و الانتقال لازم ماهیّة البیع، بل المتعاملان قرارهما علی أن یکون هذا المبیع بحذاء ذاک، فبالقیاس إلی المتعاملین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أوجدا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المقایسة إلی العوضین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تعدّد و لا تکثّر فی القضیّة إلّا بالقیاس، کما أنّ المقولات عندنا امور مأخوذة من المقایسات حتّی الجوهر، و إلّا فالعالم معنی حرفیّ بالقیاس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الماهیّات تابعة الوجودات، فخذ و اغتنم</w:t>
      </w:r>
      <w:r>
        <w:rPr>
          <w:rFonts w:eastAsia="IRNazanin" w:cs="IRNazanin"/>
          <w:color w:val="111111"/>
          <w:sz w:val="28"/>
          <w:szCs w:val="28"/>
          <w:rtl w:val="true"/>
          <w:lang w:bidi="fa-IR"/>
        </w:rPr>
        <w:t>.</w:t>
      </w:r>
    </w:p>
    <w:p>
      <w:pPr>
        <w:pStyle w:val="Heading4"/>
        <w:numPr>
          <w:ilvl w:val="3"/>
          <w:numId w:val="1"/>
        </w:numPr>
        <w:rPr/>
      </w:pPr>
      <w:bookmarkStart w:id="818" w:name="__RefHeading___Toc764160_3244359995"/>
      <w:bookmarkStart w:id="819" w:name="_Toc305"/>
      <w:bookmarkEnd w:id="818"/>
      <w:r>
        <w:rPr>
          <w:rtl w:val="true"/>
        </w:rPr>
        <w:t>التنبیه الخامس حول التفصیل بین استصحاب الأحکام و الموضوعات</w:t>
      </w:r>
      <w:bookmarkEnd w:id="819"/>
    </w:p>
    <w:p>
      <w:pPr>
        <w:pStyle w:val="BookText"/>
        <w:rPr/>
      </w:pPr>
      <w:r>
        <w:rPr>
          <w:rFonts w:ascii="IRNazanin" w:hAnsi="IRNazanin" w:eastAsia="IRNazanin"/>
          <w:color w:val="111111"/>
          <w:sz w:val="28"/>
          <w:sz w:val="28"/>
          <w:szCs w:val="28"/>
          <w:rtl w:val="true"/>
          <w:lang w:bidi="fa-IR"/>
        </w:rPr>
        <w:t>کنّا فی سالف الزمان نفصّل بین الأحکام و الموضوعات؛ بجریانه فی الاولی دونها، فیجری فی الأحکام الکلّیة مثلا و الجزئیّة، وجودیّة کانت، أو عدمیّة، بخلاف الموضوعات علی الإطلاق؛ و ذلک إمّا لأجل أنّ الاستصحاب تعبّد شرعا، فلا یکون مصبّه إلّا ما بید الشرع، و هو الحکم دون الموضوع، فلا معنی لشمول إطلاق أدلّته لمثل استصحاب العدالة، و الفقر، و الفسق،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أنّ شموله للأصل الموضوعیّ الموافق للأصل الحکمیّ لغو، و لا داعی للالتزام بشموله أوّلا للموضوع، و ثانیا للحکم، أو فی عرض واحد لهما و لو کان الأوّل سببیّا و الثانی مسبّبیا؛ لأنّ المفروض وجود دلیل واحد، و هو قوله علیه السّلام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و حاکمیّة الأصل السببیّ علی المسبّبی فرع مشمولیّته</w:t>
      </w:r>
    </w:p>
    <w:p>
      <w:pPr>
        <w:pStyle w:val="BookText"/>
        <w:rPr/>
      </w:pPr>
      <w:r>
        <w:rPr>
          <w:rFonts w:ascii="IRNazanin" w:hAnsi="IRNazanin" w:eastAsia="IRNazanin"/>
          <w:color w:val="111111"/>
          <w:sz w:val="28"/>
          <w:sz w:val="28"/>
          <w:szCs w:val="28"/>
          <w:rtl w:val="true"/>
          <w:lang w:bidi="fa-IR"/>
        </w:rPr>
        <w:t>للإطلاق المذکور، مع أنّه لغو؛ لما لا أثر له إلّا بالنسبة إلی وجوب إکرام زید إذا شکّ فی أنّه عالم، فاستصحاب الوجوب جار و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ورد نصّ علی جریانه فی خصوص موضوع، فلا بدّ و أن یحمل بالنسبة إلی الحکم المقصود؛ فرارا من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یلحق بالموضوع، الوضعیّات، فمجرّد استصحاب العدالة لجواز الطلاق عنده، لا یکفی بعد عدم وجود دلیل فی البین إلّا الإطلاق المقتضی هو بالذات لبقاء حرمة النکاح، أو حلّیة النظر بالنسبة إلی الزوج، فلا ینبغی الخلط بین المسائل الشرعیّة، و المسائل العلمیّة الذوقیّة، و ما ذهب إلیه معاشر الاصولیّین من الخلط بین تلک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عدالة زید فطلّق زوجته عنده، أو صلّی خلفه، فمقتضی الاستصحاب الموضوعیّ حلّ المشکلة من ناحیة الشکّ فی بقاء حلّیة النظر، أو وجوب القسم، أو حرمة الخامسة، و مقتضی الاستصحابات الحکمیّة التکلیفیّة خلافه، فإن ورد النصّ فی خصوص استصحاب العدالة فلا بدّ للفرار من اللغویّة فی المثال المذکور من الالتزام بحلّ المشکلة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الإطلاق المنحلّ إلی السببیّ و المسبّبی فی عرض واحد فلا یکفی؛ لما لا حاجة إلیه کی تلزم اللغویّة، بل یستصحب الأحکام التی هی بید الشرع وضعا و إبقاء و رفعا و تنزیلا،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المبانی فی الاستصحاب یوجب اختلافا هنا، غیر سدید؛ لأنّ أساس المناقشة ناشئ عن ثبوت الإطلاق، بل و جوازه لأدلّة الاستصحاب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غیر فرق بین حدیث قانونیّة الخطابات الشرعیّة، أو انحلالها إلی الخطابات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هو المحکیّ عن المحقّق الخونساریّ </w:t>
      </w:r>
      <w:r>
        <w:rPr>
          <w:rStyle w:val="FootnoteAnchor"/>
          <w:rtl w:val="true"/>
        </w:rPr>
        <w:footnoteReference w:id="1031"/>
      </w:r>
      <w:r>
        <w:rPr>
          <w:rFonts w:ascii="IRNazanin" w:hAnsi="IRNazanin" w:eastAsia="IRNazanin"/>
          <w:color w:val="111111"/>
          <w:sz w:val="28"/>
          <w:sz w:val="28"/>
          <w:szCs w:val="28"/>
          <w:rtl w:val="true"/>
          <w:lang w:bidi="fa-IR"/>
        </w:rPr>
        <w:t>یرجع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بصدد توضیح الإشکال المتوجّه إلی معاشرنا الاصولیّین من هذه الجهة، و إلّا فربّما لا نقول بجریان الاستصحاب الحکمیّ الکلّی من الشرائع السالفة، أو فی هذه الشریعة، إلّا أنّ منشأ ذاک الإشکال أمر آخر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ألزمهم بالقول بجریان الاستصحاب الموضوعیّ، لیس إلّا إمکان التعبّد بحسب الأثر، الذی لیس إلّا جعل الآثار الاخر، التی یکون کلّ واحد منها مخصوصا باستصحاب بلا أثر، أو ترتیب الآثار الناقضة؛ حسبما تحرّر فی الأصل السببیّ و المسبّبی، و الموضوعیّ و الحکمیّ، و الکلام حول کفایة الإمکان المذکور بعد کونه مبتلیا بتلک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استصحاب العدالة أو استصحاب جواز الصلاة خلفه وضعا و حلّیتها الوضعیّة، لا تختلف الثمرة العملیّة، إلّا أنّ استصحاب بقاء وجوب الصلاة الذی هو الأثر واقعا، یمنع عن انعقاد الإطلاق لأدلّة الاستصحاب حتّی یشمل الأصل الحاکم الموضوعیّ السببیّ حسب المصطلحات التی ربّما هی توجب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اللَّهَ یُحْدِثُ بَعْدَ ذلِکَ أَمْراً</w:t>
      </w:r>
      <w:r>
        <w:rPr>
          <w:rStyle w:val="FootnoteAnchor"/>
          <w:rtl w:val="true"/>
        </w:rPr>
        <w:footnoteReference w:id="1033"/>
      </w:r>
      <w:r>
        <w:rPr>
          <w:rFonts w:ascii="IRNazanin" w:hAnsi="IRNazanin" w:eastAsia="IRNazanin"/>
          <w:color w:val="111111"/>
          <w:sz w:val="28"/>
          <w:sz w:val="28"/>
          <w:szCs w:val="28"/>
          <w:rtl w:val="true"/>
          <w:lang w:bidi="fa-IR"/>
        </w:rPr>
        <w:t>و هو ملاحظة موارد الاستصحاب الخاصّة فی الأدلّة الماضیة و فی موارد کثیرة، فإنّه ربّما منها یشرف الفقیه علی الوثوق بما علیه بناء معاشر الاصولیّین، فلیتدبّر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تقدم الأصل السببیّ علی المسبّبی لا أساس له، و الاصول الموضوعیّة تنقّح الموضوعات للأدلّة الاجتهادیّة، فلا یکون فی المقام إلّا شمول الإطلاق للأصل الموضوعیّ</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bookmarkStart w:id="820" w:name="pg13177_118109"/>
    </w:p>
    <w:p>
      <w:pPr>
        <w:pStyle w:val="BookText"/>
        <w:rPr/>
      </w:pPr>
      <w:bookmarkEnd w:id="820"/>
      <w:r>
        <w:rPr>
          <w:rFonts w:ascii="IRNazanin" w:hAnsi="IRNazanin" w:eastAsia="IRNazanin"/>
          <w:color w:val="111111"/>
          <w:sz w:val="28"/>
          <w:sz w:val="28"/>
          <w:szCs w:val="28"/>
          <w:rtl w:val="true"/>
          <w:lang w:bidi="fa-IR"/>
        </w:rPr>
        <w:t>فهو فی محلّه، إلّا أنّه لا یفیدنا، و لا یحلّ المعضلة؛ لأنّ الاستصحابات الحکمیّة جاریة بذاتها و محکومة بالأدلّة، و الاستصحابات الموضوعیّة تجری باعتبار الأثر المنفیّ بالأصل المسبّبی حسب الطبع، و عندئذ لا معنی لشمول الإطلاق للموضوعیّ لأجل ذلک؛ لأنّ المسألة لا تزداد علی شمول الإطلاق، و هو محلّ منع و مناقشة، فلا تغفل و تدبّر جدّا</w:t>
      </w:r>
      <w:r>
        <w:rPr>
          <w:rFonts w:eastAsia="IRNazanin" w:cs="IRNazanin"/>
          <w:color w:val="111111"/>
          <w:sz w:val="28"/>
          <w:szCs w:val="28"/>
          <w:rtl w:val="true"/>
          <w:lang w:bidi="fa-IR"/>
        </w:rPr>
        <w:t>.</w:t>
      </w:r>
    </w:p>
    <w:p>
      <w:pPr>
        <w:pStyle w:val="Heading4"/>
        <w:numPr>
          <w:ilvl w:val="3"/>
          <w:numId w:val="1"/>
        </w:numPr>
        <w:rPr/>
      </w:pPr>
      <w:bookmarkStart w:id="821" w:name="__RefHeading___Toc764162_3244359995"/>
      <w:bookmarkStart w:id="822" w:name="_Toc306"/>
      <w:bookmarkEnd w:id="821"/>
      <w:r>
        <w:rPr>
          <w:rtl w:val="true"/>
        </w:rPr>
        <w:t>التنبیه السادس حول اعتبار فعلیّة الشکّ و الیقین</w:t>
      </w:r>
      <w:bookmarkEnd w:id="822"/>
    </w:p>
    <w:p>
      <w:pPr>
        <w:pStyle w:val="Heading5"/>
        <w:numPr>
          <w:ilvl w:val="4"/>
          <w:numId w:val="1"/>
        </w:numPr>
        <w:rPr/>
      </w:pPr>
      <w:bookmarkStart w:id="823" w:name="__RefHeading___Toc764164_3244359995"/>
      <w:bookmarkStart w:id="824" w:name="_Toc307"/>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فی اعتبار فعلیّة الیقین و الشکّ مطلقا، أو عدم اعتبار الفعلیّة علی الإطلاق، أو التفصیل بین الیقین و الشکّ، أو بین حدوث الشک و البقاء،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کانت معتبرة فلا فرق بین أنحاء الاستصحابات الماضویّة، و الحالیّة، و الاستقبالیّة، و التدریجیّة، کاستصحاب بقاء الوقت و هو فی الصلاة، فإنّه استصحاب واحد متدرّج و واحد متحرّک فی الاعتبار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مقابل التقدیر،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الغفلة و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من البحث وجود الشکّ و الیقین،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الالتفات إلیهما و إن کانا موجودین فی الخزانة النفسانیّة و المخازن الروحیّة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کلماتهم لا تخلو من نوع غموض، إلّا أنّ المتّبع هو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معنی لوجوب إکرام زید مع کون موضوع الوجوب هو العالم؛ بتوهّم أنّه لو کان یدرس یصیر عالما، و الأمر هنا کذلک، فلا بدّ من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الالتفات، فیحتاج إلی تقریب آخر؛ ضرورة أنّ الیقین بالطهور موجود، و الشکّ فی محمول القضیّة الاولی أیضا موجود، إلّا أنّها مذهولة و مغفولة، لا أنّها فانیة غیر متحقّقة و معدومة، بل غیر ملتفت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هو الأنسب بأن یجعل محلّ البحث، فلا وجه لإقامة الدلیل المذکور؛ ضرورة أنّه 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العلم موجودا، و العالم نائما أو مغمی علیه، یکون العلم مذهولا و مغفولا عنه فعلا، و وجوب الإکرام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هنا لیس حول المشتقّات؛ لأنّ ما هو فی الأخبار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یرجع البحث إلی واد آخر، و یطلع طلوعا ثانیا فی البحث و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لاستدلالهم عندئذ لو ارید من الفعلیّة هو الالتفات فی مقابل الغفلة، لا الوجود فی مقابل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اعتبر فی ظرف وجود الشکّ یقینا، و هو حجّة قهرا، أو ألغی الشکّ الموجود بإطالة عمر الیقین، و هما موجودان منسیّان، و نسیانه و الذهول عنه لا یرتبط بالواقع کسائر العناوین، فکما أنّ المکلّف بإکرام زید العالم مکلّف فعلا بذلک؛ سواء کان ذاهلا، أو جاهلا، أو غافلا؛ لأنّه إنسان، و الإنسان البالغ العاقل مکلّف، کذلک الیقین و الشکّ ربّما یکونان موجودین مغفولا عنهما، و الوجود عین الفعلیّة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هو غیر عالم بشکّه، و هذا أمر آخر یحتاج إلی بیان زائد غیر ما یری فی بعض کلمات مثل الشیخ الأعظم </w:t>
      </w:r>
      <w:r>
        <w:rPr>
          <w:rStyle w:val="FootnoteAnchor"/>
          <w:rtl w:val="true"/>
        </w:rPr>
        <w:footnoteReference w:id="1035"/>
      </w:r>
      <w:r>
        <w:rPr>
          <w:rFonts w:ascii="Amiri" w:hAnsi="Amiri" w:eastAsia="Amiri" w:cs="Amiri"/>
          <w:color w:val="111111"/>
          <w:sz w:val="28"/>
          <w:sz w:val="28"/>
          <w:szCs w:val="28"/>
          <w:rtl w:val="true"/>
          <w:lang w:bidi="ar-SA"/>
        </w:rPr>
        <w:t>و العلّامة الخراسانیّ قدّس سرّهما</w:t>
      </w:r>
      <w:r>
        <w:rPr>
          <w:rStyle w:val="FootnoteAnchor"/>
          <w:rtl w:val="true"/>
        </w:rPr>
        <w:footnoteReference w:id="1036"/>
      </w:r>
      <w:r>
        <w:rPr>
          <w:rFonts w:ascii="IRNazanin" w:hAnsi="IRNazanin" w:eastAsia="IRNazanin"/>
          <w:color w:val="111111"/>
          <w:sz w:val="28"/>
          <w:sz w:val="28"/>
          <w:szCs w:val="28"/>
          <w:rtl w:val="true"/>
          <w:lang w:bidi="fa-IR"/>
        </w:rPr>
        <w:t>و تلامذتهما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 البحث عن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وجود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لائق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تمسّکهم بالدلیل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یوجب وقوعهم فی هذا البحث،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وجود الیقین و الشکّ قطعیّ علی جمیع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الشیخ الأنصاریّ </w:t>
      </w:r>
      <w:r>
        <w:rPr>
          <w:rStyle w:val="FootnoteAnchor"/>
          <w:rtl w:val="true"/>
        </w:rPr>
        <w:footnoteReference w:id="1038"/>
      </w:r>
      <w:r>
        <w:rPr>
          <w:rFonts w:ascii="IRNazanin" w:hAnsi="IRNazanin" w:eastAsia="IRNazanin"/>
          <w:color w:val="111111"/>
          <w:sz w:val="28"/>
          <w:sz w:val="28"/>
          <w:szCs w:val="28"/>
          <w:rtl w:val="true"/>
          <w:lang w:bidi="fa-IR"/>
        </w:rPr>
        <w:t>و هو الکون السابق و الشکّ اللاحق، أو مبنی الملازمة</w:t>
      </w:r>
      <w:r>
        <w:rPr>
          <w:rStyle w:val="FootnoteAnchor"/>
          <w:rtl w:val="true"/>
        </w:rPr>
        <w:footnoteReference w:id="1039"/>
      </w:r>
      <w:r>
        <w:rPr>
          <w:rFonts w:ascii="IRNazanin" w:hAnsi="IRNazanin" w:eastAsia="IRNazanin"/>
          <w:color w:val="111111"/>
          <w:sz w:val="28"/>
          <w:sz w:val="28"/>
          <w:szCs w:val="28"/>
          <w:rtl w:val="true"/>
          <w:lang w:bidi="fa-IR"/>
        </w:rPr>
        <w:t>لاحتیاجها إلی وجودهما فی حصول المصداق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محطّ الکلام أنّ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حجّة إلهیّة تأسیسیّة واقعیّة عند وجود الشکّ المسبوق بالیقین بالقضیّة، من غیر لزوم العلم بالشکّ المذکور، فیکون الذاهل عن شکّه مجنبا و محدثا عند الشارع؛ لکونه علی الیقین و الشکّ، فیدخل فی الصلاة و هو عند الشرع مجنب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الفراغ فی الفرع المذکور إمّا لا تجری رأسا؛ لکونها مخصوصة بالشکّ فی التطبیق، أو تکون حاکمة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الشکّ تقدیریّا و فرضیّا؛ لکونه موجودا، و لا الیقین أیضا کی لا یجری الاستصحاب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نبّهنا علیه کأنّه تصدّی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الأصفهانیّ فی الحاشیة</w:t>
      </w:r>
      <w:r>
        <w:rPr>
          <w:rStyle w:val="FootnoteAnchor"/>
          <w:rtl w:val="true"/>
        </w:rPr>
        <w:footnoteReference w:id="1040"/>
      </w:r>
      <w:r>
        <w:rPr>
          <w:rFonts w:ascii="IRNazanin" w:hAnsi="IRNazanin" w:eastAsia="IRNazanin"/>
          <w:color w:val="111111"/>
          <w:sz w:val="28"/>
          <w:sz w:val="28"/>
          <w:szCs w:val="28"/>
          <w:rtl w:val="true"/>
          <w:lang w:bidi="fa-IR"/>
        </w:rPr>
        <w:t xml:space="preserve">، و الوالد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شرطیّة العلم بالشکّ الموجود فی الخزانة</w:t>
      </w:r>
      <w:r>
        <w:rPr>
          <w:rStyle w:val="FootnoteAnchor"/>
          <w:rtl w:val="true"/>
        </w:rPr>
        <w:footnoteReference w:id="1041"/>
      </w:r>
      <w:r>
        <w:rPr>
          <w:rFonts w:ascii="IRNazanin" w:hAnsi="IRNazanin" w:eastAsia="IRNazanin"/>
          <w:color w:val="111111"/>
          <w:sz w:val="28"/>
          <w:sz w:val="28"/>
          <w:szCs w:val="28"/>
          <w:rtl w:val="true"/>
          <w:lang w:bidi="fa-IR"/>
        </w:rPr>
        <w:t>، و لبیان شرطیّة الالتفات و مضریّة الغفلة و الذهول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دلیل الاستصحاب کدلیل الأمارات، و جمیع الاصول</w:t>
      </w:r>
    </w:p>
    <w:p>
      <w:pPr>
        <w:pStyle w:val="BookText"/>
        <w:rPr/>
      </w:pPr>
      <w:r>
        <w:rPr>
          <w:rFonts w:ascii="IRNazanin" w:hAnsi="IRNazanin" w:eastAsia="IRNazanin"/>
          <w:color w:val="111111"/>
          <w:sz w:val="28"/>
          <w:sz w:val="28"/>
          <w:szCs w:val="28"/>
          <w:rtl w:val="true"/>
          <w:lang w:bidi="fa-IR"/>
        </w:rPr>
        <w:t>وظائف شرعیّة و أحکام طریقیّة، لا نفسیّة حقیقیّة، فمفادها إمّا التنجیز و إمّا الإعذار، و هما یتقوّمان بالوصول حکما و موضوعا، و لا یعقل تعلّق التنجیز و الإعذار بموضوع تقدیریّ غیر موجود بالفعل، و لا ملتفت إلیه، حیث إنّ الالتفات یساوق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هو مخّ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التساوق ممنوع، و التنجیز و التعذیر لا یتعلّقان إلّا بما هما موجودان فی الخزینة النفسانیّة، فهما موجودان بالفعل؛ لموجودیّة العلم فی نفس العالم المغمی علیه، و إنّما تظهر الثمرة فی أنّ الإنسان الکذائیّ محکوم بالجنابة حین الصلاة، فلو التفت بعد الصلاة إلی ما کان علیه تجب علیه الإعادة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تتمّة کلامه مواضع للنظر، و إنّما نحن اقتصرنا علی ما هو المقصود بالبحث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موجودان، فالاستصحاب واصل مغفول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المراد من فعلیّتهما تحقّقهما فی خزانة النفس و لو کان الإنسان ذاهلا عنه، بل بمعنی الالتفات إلی یقینه السابق و شکّه اللاحق؛ لأنّ الاستصحاب کالأمارات إنّما اعتبر لأجل تنجیز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یصیر حجّة علی الواقع أو عذرا منه؛ إذا کان المکلّف متوجّها و ملتفتا إلی الموضوع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مقصودنا من کلامه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منه الدور المذکور فی الأحکام التکلیفیّة؛ فإنّ حجّیة الاستصحاب مرهونة العلم بالحجّة، و العلم بها مرهون بالحجّیة، و لعلّه لذا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إنکار الأحکام الأربعة فی الأحکام الطریقیّة،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مرتبة الإنشاء مرتبة التنجیز و التعذیر، و هذان الأثران لا یترتّبان إلّا بعد</w:t>
      </w:r>
    </w:p>
    <w:p>
      <w:pPr>
        <w:pStyle w:val="BookText"/>
        <w:rPr/>
      </w:pPr>
      <w:r>
        <w:rPr>
          <w:rFonts w:ascii="IRNazanin" w:hAnsi="IRNazanin" w:eastAsia="IRNazanin"/>
          <w:color w:val="111111"/>
          <w:sz w:val="28"/>
          <w:sz w:val="28"/>
          <w:szCs w:val="28"/>
          <w:rtl w:val="true"/>
          <w:lang w:bidi="fa-IR"/>
        </w:rPr>
        <w:t>العلم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بعض المحکیّ عنه </w:t>
      </w:r>
      <w:r>
        <w:rPr>
          <w:rStyle w:val="FootnoteAnchor"/>
          <w:rtl w:val="true"/>
        </w:rPr>
        <w:footnoteReference w:id="1042"/>
      </w:r>
      <w:r>
        <w:rPr>
          <w:rFonts w:ascii="IRNazanin" w:hAnsi="IRNazanin" w:eastAsia="IRNazanin"/>
          <w:color w:val="111111"/>
          <w:sz w:val="28"/>
          <w:sz w:val="28"/>
          <w:szCs w:val="28"/>
          <w:rtl w:val="true"/>
          <w:lang w:bidi="fa-IR"/>
        </w:rPr>
        <w:t>، مع قصور فیه، و وضوح الدور فی کلامه، أو التصویب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حجّیة الظواهر و أشباهها، و حجّیة الاستصحاب و الامور التأسیسیّة؛ فإنّ الاولی حجّة عقلائیّة یکفی أنّ الشرع لم یردع عنها، فیصحّ الاحتجاج بها علی الواقعیّات النفسیّة؛ لما لیس شی‌ء یصل من الشرع إلی المکلّف بالنسبة إلیها، بخلاف مثل الاستصحاب و غیره، فإنّ هناک جعلا کلّیا إلهیّا لا بدّ من وصوله، فلو کان مشروطا بالعلم للزم إمّا الدور، أو التصویب فی أمثال هذه المجعولات حسب هذه التقاریر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حاجة إلیها بعد کفایة وجودهما فی خزانة النفس، و ترتیب الأثر إنّما هو بعد الالتفات بالإعادة أو القضاء، کسائر الموارد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أن ینقض الیقین بالشکّ</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xml:space="preserve">حکم طریقیّ قانونیّ متقوّم بوجود الشکّ بعد الیقین الخارجیّین، کی یترتّب علیه الأثر، و المفروض وجودهما فی النفس؛ سواء کان المجعول فی الاستصحاب أمارة، أو أصلا محرزا مطلقا، أو حیثیا، أو کأصالة الطهارة و الحلّ، فإنّه یکفی للأثر الالتفات المتأخّر، أو التفات الولد الأکبر، أو یکفی فی الأحکام القانونیّة التفات جمع من المکلّفین، فلا یضرّ ذهول بعضهم دائما، کما فی الأحکام النفسیّة بالنسبة إلی العاجزین و الجاهلین الغافلین، المحرّر تفصیله فی محلّه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الصورة الاولی نزاع بارد؛ ضرورة الحاجة إلی وجود الیقین و الشکّ، و النزاع فی الصورة الثانیة غیر بارد و صحیح، و لا دلیل علی اعتبار الفعلیّة بمعنی العلم بالشکّ و الیقین بالیقین السابق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المعذّریة و المنجّزیة بالنسبة إلی دخوله فی الصلاة مرهونة بالالتفات؛ لأنّ الغفلة من الأعذار العقلیّة و العقلائیّة کالنسیان و الذهول، و أمّا بالنسبة إلی الصحّة و البطلان فلا؛ لأنّه بعد ما التفت، یتوجّه إلی أنّه فی عین صاحب الشرع جنب و صلّی، فعلیه الإعادة، و کأنّه کان جنبا حقیقة، و هو قد غفل و صلّی، فبالنسبة إلی الصلاة و التشریع مثلا أو الصلاة علی غیر طهر معذور، دون الصحّة و الإعادة، فإنّهما أمر آخر، فلا ینبغی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موارد الملاقاة مع النجس الاستصحابیّ المغفول عنه، فإنّه معذور بالنسبة إلی ارتکاب النجس أکلا و شربا، و عذره هو غفلته، لا الشی‌ء الآخر، و إذا التفت بعد ذلک یحکم بنجاسة الملاقیات فی ظروف الشکّ الموجود فی خزانة نفسه، کما لو غفل عن النجس الواقعیّ المعلوم عنده، ثمّ تبیّن و زالت غفلته، و علی هذا تکون شرائط الجریان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حدیث الاحتجاج مع الغفلة، أجنبیّ عن حدیث الجریان الواقعیّ نظرا إلی الآثار؛ فإنّ الغفلة عن العلم عذر، فضلا عن الاستصحاب، و لکن بعد ذهول الغفلة لو توجّه إلی ملاقاة النجس الکذائیّ، یحکم بنجاسة ملاقیه مثلا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الخلط أوقعهم فی المسألة إلی اشتراط الفعلیّة فی جریان الاستصحاب و المجعول الإلهیّ، فإنّه لو کان إجراؤه بید العبد؛ و أنّه لو لم یکن مجریا له لما کان شی‌ء ثبوتا، کان لما ذکروه وجه، و لکن هو الأصل، أو هی الأمارة التأسیسیّة علی عناوینها الواقعیّة، فإذا تحقّقت المصادیق تجری الاستصحابات مغفولا عنها کلّها،</w:t>
      </w:r>
      <w:bookmarkStart w:id="825" w:name="pg13177_118115"/>
    </w:p>
    <w:p>
      <w:pPr>
        <w:pStyle w:val="BookText"/>
        <w:rPr/>
      </w:pPr>
      <w:bookmarkEnd w:id="825"/>
      <w:r>
        <w:rPr>
          <w:rFonts w:ascii="Amiri" w:hAnsi="Amiri" w:eastAsia="Amiri" w:cs="Amiri"/>
          <w:color w:val="111111"/>
          <w:sz w:val="28"/>
          <w:sz w:val="28"/>
          <w:szCs w:val="28"/>
          <w:rtl w:val="true"/>
          <w:lang w:bidi="ar-SA"/>
        </w:rPr>
        <w:t>و تظهر الثمرة بعد الالتفات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الالتفات هو حجّة أحیانا، و فی صورة الغفلة هو جار، و الغفلة حجّة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کلّه تحت أنّ المجعول فی الاستصحاب، هو اعتبار الیقین فی ظرف الشکّ، و الداعی له آثاره الموضوعیّة أو الطریقیّة؛ حسب اختلاف الموارد کما یأتی تفصیله </w:t>
      </w:r>
      <w:r>
        <w:rPr>
          <w:rStyle w:val="FootnoteAnchor"/>
          <w:rtl w:val="true"/>
        </w:rPr>
        <w:footnoteReference w:id="1045"/>
      </w:r>
      <w:r>
        <w:rPr>
          <w:rFonts w:ascii="IRNazanin" w:hAnsi="IRNazanin" w:eastAsia="IRNazanin"/>
          <w:color w:val="111111"/>
          <w:sz w:val="28"/>
          <w:sz w:val="28"/>
          <w:szCs w:val="28"/>
          <w:rtl w:val="true"/>
          <w:lang w:bidi="fa-IR"/>
        </w:rPr>
        <w:t>، و یعدّ هذا الیقین الادعائیّ کالتکوینیّ، فکما أنّ الأحکام المستکشفة به عند الغفلة فعلیّة، و الغفلة عذر، کذلک الأمر هنا، و لأجله تکون الصلاة فی الفرض المذکور باطلة؛ للاستصحاب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لو قلنا بجریان القاعدة فی مورد الشکّ فی الانطباق، و المسألة فقهیّة تطلب من محالّها</w:t>
      </w:r>
      <w:r>
        <w:rPr>
          <w:rFonts w:eastAsia="IRNazanin" w:cs="IRNazanin"/>
          <w:color w:val="111111"/>
          <w:sz w:val="28"/>
          <w:szCs w:val="28"/>
          <w:rtl w:val="true"/>
          <w:lang w:bidi="fa-IR"/>
        </w:rPr>
        <w:t>.</w:t>
      </w:r>
    </w:p>
    <w:p>
      <w:pPr>
        <w:pStyle w:val="Heading5"/>
        <w:numPr>
          <w:ilvl w:val="4"/>
          <w:numId w:val="1"/>
        </w:numPr>
        <w:rPr/>
      </w:pPr>
      <w:bookmarkStart w:id="826" w:name="__RefHeading___Toc764166_3244359995"/>
      <w:bookmarkStart w:id="827" w:name="_Toc308"/>
      <w:bookmarkEnd w:id="826"/>
      <w:r>
        <w:rPr>
          <w:rtl w:val="true"/>
        </w:rPr>
        <w:t>تذنیب</w:t>
      </w:r>
      <w:r>
        <w:rPr>
          <w:rtl w:val="true"/>
        </w:rPr>
        <w:t xml:space="preserve">: </w:t>
      </w:r>
      <w:r>
        <w:rPr>
          <w:rtl w:val="true"/>
        </w:rPr>
        <w:t>فی حکم الشکّ حدوثا و بقاء</w:t>
      </w:r>
      <w:bookmarkEnd w:id="827"/>
    </w:p>
    <w:p>
      <w:pPr>
        <w:pStyle w:val="BookText"/>
        <w:rPr/>
      </w:pPr>
      <w:r>
        <w:rPr>
          <w:rFonts w:ascii="IRNazanin" w:hAnsi="IRNazanin" w:eastAsia="IRNazanin"/>
          <w:color w:val="111111"/>
          <w:sz w:val="28"/>
          <w:sz w:val="28"/>
          <w:szCs w:val="28"/>
          <w:rtl w:val="true"/>
          <w:lang w:bidi="fa-IR"/>
        </w:rPr>
        <w:t>ربّما یمکن توهّم کفایة حدوث الشکّ لجریانه، و لو ارید به ما هو ظاهره یلزم المناقضة؛ لأنّه ربّما یحدث الشکّ الاستصحابیّ، و یذهل و ینعدم و ینقلب إلی الیقین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طهارة بدنه أو ثوبه، و عندئذ لا بدّ من الجمع بین أحکام النجاسة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رفعها حسب الخطابات القانونیّة؛ لأنّه فی صورة الالتفات یکون الشکّ إمّا باقیا، فلا یعقل وجود الیقین الثانی الذی به یتمّ أمر الاستصحاب، و إمّا هو غیر باق، فلا یلتزم به من یقول بالکفایة؛ فإنّ المناقضة فی هذه الصورة قطعیّة، و التلاعب فی فهم التکالیف واضحة و لو ارید به أنّه یکفی مجرّد الشکّ للجریان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صورة لو حصل العلم بالخلاف لا یکون هناک أثر، أو یکفی الشکّ</w:t>
      </w:r>
    </w:p>
    <w:p>
      <w:pPr>
        <w:pStyle w:val="BookText"/>
        <w:rPr/>
      </w:pPr>
      <w:r>
        <w:rPr>
          <w:rFonts w:ascii="IRNazanin" w:hAnsi="IRNazanin" w:eastAsia="IRNazanin"/>
          <w:color w:val="111111"/>
          <w:sz w:val="28"/>
          <w:sz w:val="28"/>
          <w:szCs w:val="28"/>
          <w:rtl w:val="true"/>
          <w:lang w:bidi="fa-IR"/>
        </w:rPr>
        <w:t>و الالتفات آنا ما للجریان؛ لأنّ ما هو المستفاد من دلیل الاستصحاب هو الحاجة إلی الشکّ علی نحو القضیّة الحینیّة، أو التقییدیّة غیر المطلقة، أو التعلیلیّة علی النحو الأوّل من الوساطة فی الثبوت التی هی بحکم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الظاهر أنّه أصل تأسیسیّ فی ظرف الشکّ علی وجه یکون باقیا و لو کان مغفولا عنه، و أمّا لو کان مذهولا عنه فی افق النفس، فلا تساعد أخبار الاستصحاب و لا الأقوال علیه،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هذه المسألة فالقدر المتیقّن أیضا هو الشکّ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شکّ فی تلک المسألة فالقدر المتیقّن هو الشکّ الملتفت إلیه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ممّا یؤیّدنا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الاستصحاب لیس إلّا أنّ الأحکام فی ظرف الشکّ فعلیّة؛ للیقین السابق، و متنجّزة به، إلّا أنّ الغفلة عذر، کما فی موارد الغفلة بعد الیقین بالموضوع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صحّ ما أفاده من الالتفات، یلزم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إذا شکّ بعد الیقین فیجری فی حقّه الاستصحاب، و إذا ذهل عن الشکّ فلا مجری له، فإذا التفت ثانیا إلی الشکّ یجری إمّا الاستصحابان، أو استصحاب مؤدّی الأوّل، و إذا ذهل فلا جریان، فإذا التفت إمّا یجری ثلاث استصحابات، أو استصحاب مؤدّی الأخیر و هکذا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أقرب من الفقه؛ ضرورة أنّه أمر کثیر الابتلاء به فی موارد الشکّ، و الغفلة، و الالتفات و هکذا، کما لا یخفی</w:t>
      </w:r>
      <w:r>
        <w:rPr>
          <w:rFonts w:eastAsia="IRNazanin" w:cs="IRNazanin"/>
          <w:color w:val="111111"/>
          <w:sz w:val="28"/>
          <w:szCs w:val="28"/>
          <w:rtl w:val="true"/>
          <w:lang w:bidi="fa-IR"/>
        </w:rPr>
        <w:t>.</w:t>
      </w:r>
      <w:bookmarkStart w:id="828" w:name="pg13177_118117"/>
    </w:p>
    <w:p>
      <w:pPr>
        <w:pStyle w:val="Heading4"/>
        <w:numPr>
          <w:ilvl w:val="3"/>
          <w:numId w:val="1"/>
        </w:numPr>
        <w:rPr/>
      </w:pPr>
      <w:bookmarkStart w:id="829" w:name="__RefHeading___Toc764168_3244359995"/>
      <w:bookmarkStart w:id="830" w:name="_Toc309"/>
      <w:bookmarkEnd w:id="828"/>
      <w:bookmarkEnd w:id="829"/>
      <w:r>
        <w:rPr>
          <w:rtl w:val="true"/>
        </w:rPr>
        <w:t>التنبیه السابع حول جریان الاستصحاب فی مؤدی الاصول و الأمارات</w:t>
      </w:r>
      <w:bookmarkEnd w:id="830"/>
    </w:p>
    <w:p>
      <w:pPr>
        <w:pStyle w:val="Heading5"/>
        <w:numPr>
          <w:ilvl w:val="4"/>
          <w:numId w:val="1"/>
        </w:numPr>
        <w:rPr/>
      </w:pPr>
      <w:bookmarkStart w:id="831" w:name="__RefHeading___Toc764170_3244359995"/>
      <w:bookmarkStart w:id="832" w:name="_Toc310"/>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اختلفوا فی جریان الاستصحاب فی مودّی الاصول و الأمارات إلی وجوه و أقوال، تنتهی إلی إطالة الکلام حسب المبانی المختلفة و الآراء و التخیّلات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المسألة واضحة، و إنّ نسبة الاستصحاب إلی غیره نسبة الانتزاعیّات إلی غیرها، فکما أنّ الامور الانتزاعیّة ساریة فی التکوینیّة و التشریعیّة و الاعتباریّة و الإمضائیّة، کذلک الاستصحاب؛ و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دلیله هو المفهوم العنوانیّ الذی لیس بطریق و لا بصفة، بل هو کسائر العناوین، فلو استیقن تکوینا بوجوب إکرام زید، أو بعدالة عمرو، و شکّ بعد ذلک، یکون شرط الاستصحاب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الیقین و الشکّ؛ أی القضیّة المتیقّنة و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لو قامت البیّنة أو غیرها علی طهارة الماء الکذائیّ، فإنّه علی یقین من طهارة الماء الظاهریّة، فهو علی شرط الاستصحاب بالضرورة، و إذا شکّ فی عروض النجاسة و ملاقاته یعدّ من الشکّ فی تلک القضیّة المتیقّنة، فلا لو للیقین الاستصحابیّ، کما لا لون لشکّه، بل هو یجری فی جمیع المواقف</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کلام العلّامة الأراکیّ 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السببیّة فی الأمارات و الاصول </w:t>
      </w:r>
      <w:r>
        <w:rPr>
          <w:rStyle w:val="FootnoteAnchor"/>
          <w:rtl w:val="true"/>
        </w:rPr>
        <w:footnoteReference w:id="1046"/>
      </w:r>
      <w:r>
        <w:rPr>
          <w:rFonts w:ascii="IRNazanin" w:hAnsi="IRNazanin" w:eastAsia="IRNazanin"/>
          <w:color w:val="111111"/>
          <w:sz w:val="28"/>
          <w:sz w:val="28"/>
          <w:szCs w:val="28"/>
          <w:rtl w:val="true"/>
          <w:lang w:bidi="fa-IR"/>
        </w:rPr>
        <w:t>، ناشئ من الخلط بین مفاد الاستصحاب و غیره، فإنّ ما هو المفروض أنّه علی یقین من الطهارة الظاهریّة، و شکّ فی بقائها، فکیف یلزم السببیّة فی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یتخیّل من رجوع الاستصحاب هنا إلی قاعدة الیقین، فهو أیضا غلط؛ لقیام الضرورة علی أنّه قاطع بالطهارة الظاهریّة فی ظرف الشکّ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أنکرنا جریان الاستصحاب فی مؤدّیات الأمارات و الاصول، یلزم إنکار الاستصحاب مطلقا؛ لعدم العلم الوجدانیّ بالأحکام الواقعیّة إلّا ما شذّ، و ما هو الشاذّ منه واضح لا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الوجدانیّ بنجاسة الثوب من قبل المنیّ، یرجع إلی العلم بمؤدّی الأمارة القائمة علی نجاسة المنیّ، فیکون من العلم بالحکم الظاهریّ، و الشکّ عندئذ یعدّ من الشکّ فی البقاء؛ أی بقاء النجاسة الظاهریّة، و لیس هذا من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عرفت وجه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بناء علی هذا لا بدّ من القول بها؛ فرارا من اللغویّة القطعیّة المستوعبة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باب الأمارات باب الإحراز و الکشف الناقص الحجّة شرعا</w:t>
      </w:r>
      <w:r>
        <w:rPr>
          <w:rStyle w:val="FootnoteAnchor"/>
          <w:rtl w:val="true"/>
        </w:rPr>
        <w:footnoteReference w:id="1047"/>
      </w:r>
      <w:r>
        <w:rPr>
          <w:rFonts w:ascii="IRNazanin" w:hAnsi="IRNazanin" w:eastAsia="IRNazanin"/>
          <w:color w:val="111111"/>
          <w:sz w:val="28"/>
          <w:sz w:val="28"/>
          <w:szCs w:val="28"/>
          <w:rtl w:val="true"/>
          <w:lang w:bidi="fa-IR"/>
        </w:rPr>
        <w:t xml:space="preserve">، و لا معنی لتتمیم الکشف </w:t>
      </w:r>
      <w:r>
        <w:rPr>
          <w:rStyle w:val="FootnoteAnchor"/>
          <w:rtl w:val="true"/>
        </w:rPr>
        <w:footnoteReference w:id="1048"/>
      </w:r>
      <w:r>
        <w:rPr>
          <w:rFonts w:ascii="IRNazanin" w:hAnsi="IRNazanin" w:eastAsia="IRNazanin"/>
          <w:color w:val="111111"/>
          <w:sz w:val="28"/>
          <w:sz w:val="28"/>
          <w:szCs w:val="28"/>
          <w:rtl w:val="true"/>
          <w:lang w:bidi="fa-IR"/>
        </w:rPr>
        <w:t>، أو باب التنجیز و التعذیر</w:t>
      </w:r>
      <w:r>
        <w:rPr>
          <w:rStyle w:val="FootnoteAnchor"/>
          <w:rtl w:val="true"/>
        </w:rPr>
        <w:footnoteReference w:id="1049"/>
      </w:r>
      <w:r>
        <w:rPr>
          <w:rFonts w:ascii="IRNazanin" w:hAnsi="IRNazanin" w:eastAsia="IRNazanin"/>
          <w:color w:val="111111"/>
          <w:sz w:val="28"/>
          <w:sz w:val="28"/>
          <w:szCs w:val="28"/>
          <w:rtl w:val="true"/>
          <w:lang w:bidi="fa-IR"/>
        </w:rPr>
        <w:t xml:space="preserve">، أو باب جعل المؤدّی منزلة الواقع من غیر النظر إلی المؤدّی </w:t>
      </w:r>
      <w:r>
        <w:rPr>
          <w:rStyle w:val="FootnoteAnchor"/>
          <w:rtl w:val="true"/>
        </w:rPr>
        <w:footnoteReference w:id="1050"/>
      </w:r>
      <w:r>
        <w:rPr>
          <w:rFonts w:ascii="IRNazanin" w:hAnsi="IRNazanin" w:eastAsia="IRNazanin"/>
          <w:color w:val="111111"/>
          <w:sz w:val="28"/>
          <w:sz w:val="28"/>
          <w:szCs w:val="28"/>
          <w:rtl w:val="true"/>
          <w:lang w:bidi="fa-IR"/>
        </w:rPr>
        <w:t>، أو غیر ذلک، فکلّه یمکن أن یجتمع مع ما ذکرناه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جمیع الفروض یکون علی یقین بالحکم و الموضوع فی الشبهات الحکمیّة و الموضوعیّة، و لو شکّ یعدّ من الشکّ الاستصحابیّ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یکفیک شاهدا ملاحظة حالک بالنسبة إلی الاستصحاب الاستقبالیّ، مثلا لو قامت البیّنة علی أنّ وقت العصر موجود، ثمّ فی وقت العصر شکّ فی مقدار سعة</w:t>
      </w:r>
    </w:p>
    <w:p>
      <w:pPr>
        <w:pStyle w:val="BookText"/>
        <w:rPr/>
      </w:pPr>
      <w:r>
        <w:rPr>
          <w:rFonts w:ascii="IRNazanin" w:hAnsi="IRNazanin" w:eastAsia="IRNazanin"/>
          <w:color w:val="111111"/>
          <w:sz w:val="28"/>
          <w:sz w:val="28"/>
          <w:szCs w:val="28"/>
          <w:rtl w:val="true"/>
          <w:lang w:bidi="fa-IR"/>
        </w:rPr>
        <w:t>الوقت؛ کی یشتغل بأمر غیر الصلاة ممّا یترتّب علیه جواز التأخیر، فإنّه یجری استصحاب بقاء الوقت إلی أن یدرک الصلاة فی وقتها، و لیس ذلک إلّا من جهة أنّه علی الیقین المتعلّق بالمعنی التعبّدی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تری صحّة انتقاض الیقین المذکور بقیام البیّنة و الحجّة الاخری، و أنّها مقدّمة علی الاستصحاب، فالیقین السابق یقین بأمر ظاهریّ، و الشکّ اللاحق شکّ فی بقائه مثلا، و الیقین الآخر معناه هو الحجّة أو ما بحکم الحجّة، و قلّما یحصل الیقین الوجدانیّ بروح التکلیف و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الیقین الاستصحابیّ هو الوجدانیّ، إلّا أنّ متعلّقه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الواقعیّ،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الظاهریّ، أو الموضوع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جملة من أخبار الاستصحاب، فإنّ استصحاب الوضوء لا معنی له إلّا بعد العلم بالوضوء الظاهریّ، و هکذا استصحاب الطهارة و غیر ذلک،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ینقضه بیقین آخر</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لیس یثبت إلّا بإحدی الأمارات، فلا یفید إلّا الیقین بالحجّة الذی هو حجّة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فالیقین الثانی أیضا مثل الأوّل من غیر الحاجة إلی بیانات أوردوها فی المقام، مع إشکالات متوجّهة إمّا إلی بیانهم، أو مبانیهم فی باب الطرق و الأمارات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مناقشة العلّامة الأراکیّ قدّس سرّه من جهة استصحاب مؤدّی القواعد الظاهریّة</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وجه جریانه فی المجموع واحد؛ فإنّه إذا لم یکن للموضوع المشکوک حالة سابقة، تجری قاعدة الطهارة، فیصیر هو علی یقین بالطهارة الظاهریّة الادعائیّة، و إذا شکّ بعد ذلک لا تجری القاعدة؛ لأنّ الاستصحاب مفاده اعتبار أنّه علی یقین، فلا تصل النوبة إلی القاعدة الموافقة حتّی یقوم الیقین بالخلاف</w:t>
      </w:r>
      <w:bookmarkStart w:id="833" w:name="pg13177_118120"/>
    </w:p>
    <w:p>
      <w:pPr>
        <w:pStyle w:val="BookText"/>
        <w:rPr/>
      </w:pPr>
      <w:bookmarkEnd w:id="833"/>
      <w:r>
        <w:rPr>
          <w:rFonts w:ascii="IRNazanin" w:hAnsi="IRNazanin" w:eastAsia="IRNazanin"/>
          <w:color w:val="111111"/>
          <w:sz w:val="28"/>
          <w:sz w:val="28"/>
          <w:szCs w:val="28"/>
          <w:rtl w:val="true"/>
          <w:lang w:bidi="fa-IR"/>
        </w:rPr>
        <w:t>و هی النجاسة، کما لو أخبر ذو الید مثلا بنجاسته، فیصیر هو علی یقین بالنجاسة الظاهریّة، و ینقض ذلک الیقین بمثله المتعلّق بالقضیّة الناقضة للقضیّة الأولی و الثانیة، اللتین هما من أرکانهما</w:t>
      </w:r>
      <w:r>
        <w:rPr>
          <w:rFonts w:eastAsia="IRNazanin" w:cs="IRNazanin"/>
          <w:color w:val="111111"/>
          <w:sz w:val="28"/>
          <w:szCs w:val="28"/>
          <w:rtl w:val="true"/>
          <w:lang w:bidi="fa-IR"/>
        </w:rPr>
        <w:t>.</w:t>
      </w:r>
    </w:p>
    <w:p>
      <w:pPr>
        <w:pStyle w:val="Heading5"/>
        <w:numPr>
          <w:ilvl w:val="4"/>
          <w:numId w:val="1"/>
        </w:numPr>
        <w:rPr/>
      </w:pPr>
      <w:bookmarkStart w:id="834" w:name="__RefHeading___Toc764172_3244359995"/>
      <w:bookmarkStart w:id="835" w:name="_Toc311"/>
      <w:bookmarkEnd w:id="834"/>
      <w:r>
        <w:rPr>
          <w:rtl w:val="true"/>
        </w:rPr>
        <w:t>إیقاظ</w:t>
      </w:r>
      <w:r>
        <w:rPr>
          <w:rtl w:val="true"/>
        </w:rPr>
        <w:t xml:space="preserve">: </w:t>
      </w:r>
      <w:r>
        <w:rPr>
          <w:rtl w:val="true"/>
        </w:rPr>
        <w:t>مشکلة جریان الاستصحاب فی مؤدّی الاصول و الأمارات و حلّها</w:t>
      </w:r>
      <w:bookmarkEnd w:id="835"/>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فی هذه المسألة عقلیّة ثبوتیّة؛ لرجوع الشکّ الاستصحابیّ إلی الشکّ الساری بعدم الیقین بالواقع؛ حتّی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باب الأمارات هو الإحراز، و الطریقیّة، و التنجیز و التعذیر من خواصّ الکشف و الطریقیّة</w:t>
      </w:r>
      <w:r>
        <w:rPr>
          <w:rStyle w:val="FootnoteAnchor"/>
          <w:rtl w:val="true"/>
        </w:rPr>
        <w:footnoteReference w:id="1053"/>
      </w:r>
      <w:r>
        <w:rPr>
          <w:rFonts w:ascii="IRNazanin" w:hAnsi="IRNazanin" w:eastAsia="IRNazanin"/>
          <w:color w:val="111111"/>
          <w:sz w:val="28"/>
          <w:sz w:val="28"/>
          <w:szCs w:val="28"/>
          <w:rtl w:val="true"/>
          <w:lang w:bidi="fa-IR"/>
        </w:rPr>
        <w:t>، فما سلکوه حلّا للمعضلة غیر نافع إلّا ما ذکرناه؛ بناء علی أنّ لازم اعتبار الأمارات و منطوق القواعد المحرّرة للشکّ؛ هو الیقین بالحکم و الموضوع و ما یجری فیه الاستصحاب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القواعد جریان الاستصحاب أسلم، بخلاف مؤدّیات الأمارات و أشباهها؛ و ذلک لعدم تمامیّة مبناهم فیها من تتمیم الکشف، أو جعل الحجّیة و المنجّزیة و المعذّریة، مع عدم دلیل علی تنزیل العلم التعبّدی منزلة العلم الوجدانیّ؛ لا فی الشرع، و لا عند العقلاء،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ظرف الشکّ علی یقین بالوضوء و الطهارة، بل هو علی حجّة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ذلک 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الثانی إلی أنّ الشکّ فی البقاء علی تقدیر الثبوت القائم علیه الدلیل الظاهریّ کاف، و مراده ینافی بدوا مع التنبیه الأوّل </w:t>
      </w:r>
      <w:r>
        <w:rPr>
          <w:rStyle w:val="FootnoteAnchor"/>
          <w:rtl w:val="true"/>
        </w:rPr>
        <w:footnoteReference w:id="1054"/>
      </w:r>
      <w:r>
        <w:rPr>
          <w:rFonts w:ascii="IRNazanin" w:hAnsi="IRNazanin" w:eastAsia="IRNazanin"/>
          <w:color w:val="111111"/>
          <w:sz w:val="28"/>
          <w:sz w:val="28"/>
          <w:szCs w:val="28"/>
          <w:rtl w:val="true"/>
          <w:lang w:bidi="fa-IR"/>
        </w:rPr>
        <w:t>، إلّا أنّه هنا بیان المراد من الیقین بحسب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w:t>
      </w:r>
    </w:p>
    <w:p>
      <w:pPr>
        <w:pStyle w:val="BookText"/>
        <w:rPr/>
      </w:pPr>
      <w:r>
        <w:rPr>
          <w:rFonts w:ascii="IRNazanin" w:hAnsi="IRNazanin" w:eastAsia="IRNazanin"/>
          <w:color w:val="111111"/>
          <w:sz w:val="28"/>
          <w:sz w:val="28"/>
          <w:szCs w:val="28"/>
          <w:rtl w:val="true"/>
          <w:lang w:bidi="fa-IR"/>
        </w:rPr>
        <w:t>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الثبوت المشکوک بقاؤه علی فرض وجوده المطروح ذلک الشکّ بجعل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تهافت بینهما فرضا لا یتمّ مطلوبه؛ لانتفاء الدلیل علی الحجّیة علی وجه یقاس علی دلیل الاستصحاب، و یکون واردا علیه، بل الشریعة الإسلامیّة ساکتة غیر رادعة عن الظواهر، و طائفة من الأمارات و لو اعتبر قیدا فی الأمارة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کاعتبار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غیر ناظر إلی الیقین و الشکّ الاستصحابیّین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المعتبر أن یصحّ دعوی الیقین بالطهارة و الوضوء فی ظرف الشکّ الاستصحابیّ، فهو منتف فی الاستصحابات الحکمیّة و الموضوعیّة کافّة، التی یکون منشأ الشکّ جهة شرعیّة، أو راجعة إلیها، ففیما إذا علم بأنّ زیدا عادل، ثمّ شکّ فی بقاء العدالة؛ لاحتمال ارتکاب ذنب، فهناک لا یجری الاستصحاب، و هکذا إذا شکّ فی طهارة ثوبه بعد ما کان نجسا بالدم، فتصدّی بنفسه لتطهیره بالماء، فلا یقین له بالنجاسة إلّا لأجل قیام الحجّة، و لا یقین له بحصول الطهارة کی یندرج مثلا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روح التکلیف الواقعیّ، و تحقّق موضوعه خارجا فشکّ، فلا بأس بجریانه، و هکذا بالنسبة إلی المصداق التکوینیّ، کما إذا کان زید فقیرا فشکّ یستصحب فقره، و یترتّب علیه الأثر مثلا، فمن هذه الجهة یخلو من الإشکال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سبب حسم مادّة الإعضال و أساس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و الشکّ موجودان بالفعل، و إنّما فی القضایا الواقعیّة تکون القضیّتان الیقینیّة و المشکوک فیها متشکّلتین منها، و فی القضایا الظاهریّة الشرعیّة هما متشکّلتان من الظاهریّة، فلا تکن من الخالطین، مع وحدة الیقین و الشکّ فی المجموع من غیر الحاجة إلی</w:t>
      </w:r>
    </w:p>
    <w:p>
      <w:pPr>
        <w:pStyle w:val="BookText"/>
        <w:rPr/>
      </w:pPr>
      <w:r>
        <w:rPr>
          <w:rFonts w:ascii="IRNazanin" w:hAnsi="IRNazanin" w:eastAsia="IRNazanin"/>
          <w:color w:val="111111"/>
          <w:sz w:val="28"/>
          <w:sz w:val="28"/>
          <w:szCs w:val="28"/>
          <w:rtl w:val="true"/>
          <w:lang w:bidi="fa-IR"/>
        </w:rPr>
        <w:t xml:space="preserve">تقریبات القوم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أمتن من المجموع، إلّا أنّه شاهد علی ما سلکناه،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تخیّله زمرة الفضلاء من أنّ اختلاف المجعول فی الأمارات یوجب الإعضال، فی غیر محلّه؛ ضرورة أنّ کلّا منهم فی ظرف الشکّ یصحّ منه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یقین من الوضوء فی الأمس؛ لأنّ الیقین أعمّ من التکوین و الممضی و المؤسّس، و لأجله یمکن حلّ المشکلة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الوالد المحقّق فی غیر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الشریعة لیس إلّا الحجّة، و لذلک تکون أدلّتها واردة علی الأدلّة الناهیة عن العمل بغیر العلم و الیقین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یصحّ أن یحتجّ به العبد أحیانا، فتشتمل قاعدة الحلّ و الطهارة، فجریان الاستصحاب فی مؤدّیاتها أوضح، کما أومأنا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للحمل المذکور قلّة وجود الیقین التکوینیّ و الحقیقیّ، و جواز نقضه بالحجّة الشرعیّة، مع أنّ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القول بغیر العلم و الإفتاء بغیر العلم معناه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الیقین بالمؤدّی موجود فی ظرف الشکّ، فیلزم الاستصحاب؛ بناء علی أنّ جوهر الاختلاف بین الاستصحاب و القاعدة هو ذلک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جوهر الاختلاف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الشکّ الساری و الجهالة المرکّبة الاحتمالیّة، فالمشکلة تنحلّ بوجه أوضح</w:t>
      </w:r>
      <w:r>
        <w:rPr>
          <w:rFonts w:eastAsia="IRNazanin" w:cs="IRNazanin"/>
          <w:color w:val="111111"/>
          <w:sz w:val="28"/>
          <w:szCs w:val="28"/>
          <w:rtl w:val="true"/>
          <w:lang w:bidi="fa-IR"/>
        </w:rPr>
        <w:t>.</w:t>
      </w:r>
      <w:bookmarkStart w:id="836" w:name="pg13177_118123"/>
    </w:p>
    <w:p>
      <w:pPr>
        <w:pStyle w:val="Heading5"/>
        <w:numPr>
          <w:ilvl w:val="4"/>
          <w:numId w:val="1"/>
        </w:numPr>
        <w:rPr/>
      </w:pPr>
      <w:bookmarkStart w:id="837" w:name="__RefHeading___Toc764174_3244359995"/>
      <w:bookmarkStart w:id="838" w:name="_Toc312"/>
      <w:bookmarkEnd w:id="836"/>
      <w:bookmarkEnd w:id="837"/>
      <w:r>
        <w:rPr>
          <w:rtl w:val="true"/>
        </w:rPr>
        <w:t>فذلکة البحث</w:t>
      </w:r>
      <w:bookmarkEnd w:id="838"/>
    </w:p>
    <w:p>
      <w:pPr>
        <w:pStyle w:val="BookText"/>
        <w:rPr/>
      </w:pPr>
      <w:r>
        <w:rPr>
          <w:rFonts w:ascii="IRNazanin" w:hAnsi="IRNazanin" w:eastAsia="IRNazanin"/>
          <w:color w:val="111111"/>
          <w:sz w:val="28"/>
          <w:sz w:val="28"/>
          <w:szCs w:val="28"/>
          <w:rtl w:val="true"/>
          <w:lang w:bidi="fa-IR"/>
        </w:rPr>
        <w:t xml:space="preserve">إنّ المنظور فیه فی المسألة دلیل الاستصحاب، فإمّا یکون دلیل الطرق و أمارات موجبا لکونها یقینا فی الحجّیة و التعذیر و التنجیز، أو یکون موجبا لانقسام الیقین إلی الوجدانیّ و التعبّدی، أو یکون حدیث المجعول فی الأمارات کیت و کیت من الأکاذیب، و إنّما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لا یتصرّف فی دلیل الاستصحاب، و لا حکومة و لا ورود لغیره علیه فی المقام؛ لما لا أثر من الشرع، و إنّما نأخذ بإطلاق دلیله؛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هو عنوانه و مفهومه، و هو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بالحکم التکلیفیّ، أو الموضوع، أو الوضعیّ،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الظاهریّ، فإنّ نتیجة البیّنة القائمة علی أنّ هذا الماء مباح أو طاهر؛ هی الیقین بتحقّق الوضوء ظاهرا، و یستصحب ذلک عند احتمال طروّ الناقض، کما ربّما یمکن العلم بتحقّق الوضوء واقعا،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ربّما یرجع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ظنّیة الطریق لا تنافی قطعیّة الحکم</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جمیع المبانی تنحلّ المشکلة، إلّا أنّ جمعا منها باطل، و من هنا یظهر فساد طائفة من بحوث القوم، فلیتدبّر</w:t>
      </w:r>
      <w:r>
        <w:rPr>
          <w:rFonts w:eastAsia="IRNazanin" w:cs="IRNazanin"/>
          <w:color w:val="111111"/>
          <w:sz w:val="28"/>
          <w:szCs w:val="28"/>
          <w:rtl w:val="true"/>
          <w:lang w:bidi="fa-IR"/>
        </w:rPr>
        <w:t>.</w:t>
      </w:r>
      <w:bookmarkStart w:id="839" w:name="pg13177_118124"/>
    </w:p>
    <w:p>
      <w:pPr>
        <w:pStyle w:val="Heading4"/>
        <w:numPr>
          <w:ilvl w:val="3"/>
          <w:numId w:val="1"/>
        </w:numPr>
        <w:rPr/>
      </w:pPr>
      <w:bookmarkStart w:id="840" w:name="__RefHeading___Toc764176_3244359995"/>
      <w:bookmarkStart w:id="841" w:name="_Toc313"/>
      <w:bookmarkEnd w:id="839"/>
      <w:bookmarkEnd w:id="840"/>
      <w:r>
        <w:rPr>
          <w:rtl w:val="true"/>
        </w:rPr>
        <w:t>التنبیه الثامن فی استصحاب الکلّی</w:t>
      </w:r>
      <w:bookmarkEnd w:id="841"/>
    </w:p>
    <w:p>
      <w:pPr>
        <w:pStyle w:val="Heading5"/>
        <w:numPr>
          <w:ilvl w:val="4"/>
          <w:numId w:val="1"/>
        </w:numPr>
        <w:rPr/>
      </w:pPr>
      <w:bookmarkStart w:id="842" w:name="__RefHeading___Toc764178_3244359995"/>
      <w:bookmarkStart w:id="843" w:name="_Toc314"/>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ینقسم الاستصحاب باعتبار إلی الشخصیّ و الکلّی، فکما أنّ الشخصیّ واحد بحسب محطّ الجریان، و مختلف بحسب بعض الخصوصیّات، کذلک الکلی واحد بحسب الطبع و ذاته، و إنّما یختلف بملاحظة مناشئ الشکّ و مبادئه، و بمناسبة أصناف الکلّی الطبیعیّ و غیره، و الاعتباریّ و الانتزاعیّ و الموضوعیّ و الحکمیّ، و جمیع ذلک لا یوجب اختلافا فی مجری الاستصحاب؛ و هو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قصور فی أدلّة الاستصحاب عن شمول المستصحب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 الهلیّات البسیطة، أو المرکّبة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إذا کان موجودا، یکون الإنسان و سلسلة من العناوین القریبة و البعیدة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کان محدثا بالحدث الأصغر یکون محدثا علی الکلّی المنطبق علی أقسام الأحداث و هکذا؛ لأنّ جمیع الشرائط موجودة، و الإطلاق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ظاهر کلماتهم من أقسام الکلّی، فهو لإفادة ما هو الجاری، و ما لیس بجار من جهة الإخلال بالشرط المعتبر، و إلّا فالکلّی ما هو یصدق علی الکثیر، و لا میز فیه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تقسیم الکلّی إلی المتواطئ و المشکّک </w:t>
      </w:r>
      <w:r>
        <w:rPr>
          <w:rStyle w:val="FootnoteAnchor"/>
          <w:rtl w:val="true"/>
        </w:rPr>
        <w:footnoteReference w:id="1059"/>
      </w:r>
      <w:r>
        <w:rPr>
          <w:rFonts w:ascii="Amiri" w:hAnsi="Amiri" w:eastAsia="Amiri" w:cs="Amiri"/>
          <w:color w:val="111111"/>
          <w:sz w:val="28"/>
          <w:sz w:val="28"/>
          <w:szCs w:val="28"/>
          <w:rtl w:val="true"/>
          <w:lang w:bidi="ar-SA"/>
        </w:rPr>
        <w:t xml:space="preserve">، أو إلی السعیّ الخارجیّ و المفهومیّ </w:t>
      </w:r>
      <w:r>
        <w:rPr>
          <w:rStyle w:val="FootnoteAnchor"/>
          <w:rtl w:val="true"/>
        </w:rPr>
        <w:footnoteReference w:id="1060"/>
      </w:r>
      <w:r>
        <w:rPr>
          <w:rFonts w:ascii="IRNazanin" w:hAnsi="IRNazanin" w:eastAsia="IRNazanin"/>
          <w:color w:val="111111"/>
          <w:sz w:val="28"/>
          <w:sz w:val="28"/>
          <w:szCs w:val="28"/>
          <w:rtl w:val="true"/>
          <w:lang w:bidi="fa-IR"/>
        </w:rPr>
        <w:t>، فهو مجرّد اصطلاح، و إلّا فالمصداق، فیه التشکیک لا الماهیّة حسبما</w:t>
      </w:r>
      <w:bookmarkStart w:id="844" w:name="pg13177_118125"/>
    </w:p>
    <w:p>
      <w:pPr>
        <w:pStyle w:val="BookText"/>
        <w:rPr/>
      </w:pPr>
      <w:bookmarkEnd w:id="844"/>
      <w:r>
        <w:rPr>
          <w:rFonts w:ascii="Amiri" w:hAnsi="Amiri" w:eastAsia="Amiri" w:cs="Amiri"/>
          <w:color w:val="111111"/>
          <w:sz w:val="28"/>
          <w:sz w:val="28"/>
          <w:szCs w:val="28"/>
          <w:rtl w:val="true"/>
          <w:lang w:bidi="ar-SA"/>
        </w:rPr>
        <w:t>تحرّر</w:t>
      </w:r>
      <w:r>
        <w:rPr>
          <w:rStyle w:val="FootnoteAnchor"/>
          <w:rtl w:val="true"/>
        </w:rPr>
        <w:footnoteReference w:id="1061"/>
      </w:r>
      <w:r>
        <w:rPr>
          <w:rFonts w:ascii="IRNazanin" w:hAnsi="IRNazanin" w:eastAsia="IRNazanin"/>
          <w:color w:val="111111"/>
          <w:sz w:val="28"/>
          <w:sz w:val="28"/>
          <w:szCs w:val="28"/>
          <w:rtl w:val="true"/>
          <w:lang w:bidi="fa-IR"/>
        </w:rPr>
        <w:t>، و الکلّی السعیّ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کالوجود المنبسط علی رؤوس الأعیان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ذلک الکلّی؛ لما فیه من السریان التخیّلی،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فالذی هو محطّ البحث هنا هو تحریر أقسام الکلّی بملاحظة المناشئ الموجبة للشکّ؛ لأنّ جمیع الکلّیات الطبیعیّة و الواقعیّة و الاعتباریّة و الانتزاعیّة، لا تخرج عن هذه الجهة</w:t>
      </w:r>
      <w:r>
        <w:rPr>
          <w:rFonts w:eastAsia="IRNazanin" w:cs="IRNazanin"/>
          <w:color w:val="111111"/>
          <w:sz w:val="28"/>
          <w:szCs w:val="28"/>
          <w:rtl w:val="true"/>
          <w:lang w:bidi="fa-IR"/>
        </w:rPr>
        <w:t>.</w:t>
      </w:r>
    </w:p>
    <w:p>
      <w:pPr>
        <w:pStyle w:val="Heading5"/>
        <w:numPr>
          <w:ilvl w:val="4"/>
          <w:numId w:val="1"/>
        </w:numPr>
        <w:rPr/>
      </w:pPr>
      <w:bookmarkStart w:id="845" w:name="__RefHeading___Toc764180_3244359995"/>
      <w:bookmarkStart w:id="846" w:name="_Toc315"/>
      <w:bookmarkEnd w:id="845"/>
      <w:r>
        <w:rPr>
          <w:rtl w:val="true"/>
        </w:rPr>
        <w:t>القسم الأوّل</w:t>
      </w:r>
      <w:r>
        <w:rPr>
          <w:rtl w:val="true"/>
        </w:rPr>
        <w:t xml:space="preserve">: </w:t>
      </w:r>
      <w:r>
        <w:rPr>
          <w:rtl w:val="true"/>
        </w:rPr>
        <w:t>من استصحاب الکلّی</w:t>
      </w:r>
      <w:bookmarkEnd w:id="846"/>
    </w:p>
    <w:p>
      <w:pPr>
        <w:pStyle w:val="Heading6"/>
        <w:numPr>
          <w:ilvl w:val="5"/>
          <w:numId w:val="1"/>
        </w:numPr>
        <w:rPr/>
      </w:pPr>
      <w:bookmarkStart w:id="847" w:name="__RefHeading___Toc764182_3244359995"/>
      <w:bookmarkStart w:id="848" w:name="_Toc316"/>
      <w:bookmarkEnd w:id="847"/>
      <w:r>
        <w:rPr>
          <w:rtl w:val="true"/>
        </w:rPr>
        <w:t>اشارة</w:t>
      </w:r>
      <w:bookmarkEnd w:id="848"/>
    </w:p>
    <w:p>
      <w:pPr>
        <w:pStyle w:val="BookText"/>
        <w:rPr/>
      </w:pPr>
      <w:r>
        <w:rPr>
          <w:rFonts w:ascii="IRNazanin" w:hAnsi="IRNazanin" w:eastAsia="IRNazanin"/>
          <w:color w:val="111111"/>
          <w:sz w:val="28"/>
          <w:sz w:val="28"/>
          <w:szCs w:val="28"/>
          <w:rtl w:val="true"/>
          <w:lang w:bidi="fa-IR"/>
        </w:rPr>
        <w:t xml:space="preserve">هو ما إذا شکّ فی بقاء الکلّی من ناحیة الشکّ فی بقاء الفرد؛ سواء کان من جهة الشکّ فی المقتضی، أو الرافع، مثلا إذا شکّ فی بقاء الحیوان الذی هو المبیع، و کان المبیع الشخصیّ فرسا، فإنّه یشکّ فی بقاء الخیار الثابت للحیوان؛ بناء علی أنّ موضوع الخیار عنوان الحیوان؛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إلی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تلک الأیّام لو شکّ فی وجوده یستصحب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یستصحب أنّ الحیوان کان موجودا، و هو موجود فی ظرف الشکّ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یستصحب أیضا أنّ زیدا صاحب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الاستصحابات فی نفسها جاریة، و إنّما الکلام فی أنّ أحدها یکفی عن الآخر، أم لا، و هذا یأتی فیما بعد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الهلیّات البسیطة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المرکّبة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زید بالحدث البولیّ فقد أحدث بالکلّی، فلو شکّ فی زوال حدثه یستصحب استصحابا شخصیّا، و هکذا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کان علی حدث، و الآن کذلک، فمنشأ الشکّ فی بقاء الکلّی و فی القضیّة الیقینیّة؛ هو الشکّ فی حال الفرد و وجوده؛ ضرورة أنّ وجه العلم و الیقین بالکلّی هو الیقین</w:t>
      </w:r>
      <w:bookmarkStart w:id="849" w:name="pg13177_118126"/>
    </w:p>
    <w:p>
      <w:pPr>
        <w:pStyle w:val="BookText"/>
        <w:rPr/>
      </w:pPr>
      <w:bookmarkEnd w:id="849"/>
      <w:r>
        <w:rPr>
          <w:rFonts w:ascii="IRNazanin" w:hAnsi="IRNazanin" w:eastAsia="IRNazanin"/>
          <w:color w:val="111111"/>
          <w:sz w:val="28"/>
          <w:sz w:val="28"/>
          <w:szCs w:val="28"/>
          <w:rtl w:val="true"/>
          <w:lang w:bidi="fa-IR"/>
        </w:rPr>
        <w:t>بالجزئیّ و الفرد</w:t>
      </w:r>
      <w:r>
        <w:rPr>
          <w:rFonts w:eastAsia="IRNazanin" w:cs="IRNazanin"/>
          <w:color w:val="111111"/>
          <w:sz w:val="28"/>
          <w:szCs w:val="28"/>
          <w:rtl w:val="true"/>
          <w:lang w:bidi="fa-IR"/>
        </w:rPr>
        <w:t>.</w:t>
      </w:r>
    </w:p>
    <w:p>
      <w:pPr>
        <w:pStyle w:val="Heading6"/>
        <w:numPr>
          <w:ilvl w:val="5"/>
          <w:numId w:val="1"/>
        </w:numPr>
        <w:rPr/>
      </w:pPr>
      <w:bookmarkStart w:id="850" w:name="__RefHeading___Toc764184_3244359995"/>
      <w:bookmarkStart w:id="851" w:name="_Toc317"/>
      <w:bookmarkEnd w:id="850"/>
      <w:r>
        <w:rPr>
          <w:rtl w:val="true"/>
        </w:rPr>
        <w:t>بقی شی‌ء</w:t>
      </w:r>
      <w:r>
        <w:rPr>
          <w:rtl w:val="true"/>
        </w:rPr>
        <w:t xml:space="preserve">: </w:t>
      </w:r>
      <w:r>
        <w:rPr>
          <w:rtl w:val="true"/>
        </w:rPr>
        <w:t>حول استصحاب الفرد و کفایته عن الکلّی</w:t>
      </w:r>
      <w:bookmarkEnd w:id="851"/>
    </w:p>
    <w:p>
      <w:pPr>
        <w:pStyle w:val="BookText"/>
        <w:rPr/>
      </w:pPr>
      <w:r>
        <w:rPr>
          <w:rFonts w:ascii="IRNazanin" w:hAnsi="IRNazanin" w:eastAsia="IRNazanin"/>
          <w:color w:val="111111"/>
          <w:sz w:val="28"/>
          <w:sz w:val="28"/>
          <w:szCs w:val="28"/>
          <w:rtl w:val="true"/>
          <w:lang w:bidi="fa-IR"/>
        </w:rPr>
        <w:t xml:space="preserve">و هو أنّ استصحاب الفرد بعنوانه لیس من الشخصیّ، و أمّا بعنوان الخاصّ و الموضوع له 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عندنا محلّ منع؛ لما تحرّر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الأعلام الشخصیّة من الوضع و الموضوع له الکلّی، لا العامّ، و لا الخاصّ و الجزئیّ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إجراؤه بنحو الإشارة مع کونه من الهلیّات البسیطة، فهو غیر معقول؛ لأنّ الإشارة إلی الخارج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یشکّ فی بقائه، فالبحث عن کفایة استصحاب الفرد عن الکلّی أو بالعکس، فرع صحّة جریانه فی الفرد فی الهلیّات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کفایة الاستصحاب فی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مثل 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استصحاب الکلّی،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الصور، فاستصحاب بقاء زید یکفی عن الکلّی، دون العکس؛ نظرا إلی أنّ زیدا لیس إلّا الکلّی المتقیّد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التفصیل بین الکلّیات القریبة و البعیدة، فباستصحاب بقاء زید تترتّب آثار الإنسان، دون الجسم و النامی و الجوهر، بخلاف المتعجّب و الضاحک و الماشی المستوی القامة، کما فی رسالة منسوبة إلی المدقّق التقیّ الشیرازیّ قدّس سرّه احتماله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کفایة استصحاب العناوین و الأجناس الأعمّ عمّا دونها؛ لأنّها بحکم الفرد، لا ما فوقها، مثلا إذا علم و استیقن بوجود الفرس استیقن بوجود الجوهر</w:t>
      </w:r>
    </w:p>
    <w:p>
      <w:pPr>
        <w:pStyle w:val="BookText"/>
        <w:rPr/>
      </w:pPr>
      <w:r>
        <w:rPr>
          <w:rFonts w:ascii="IRNazanin" w:hAnsi="IRNazanin" w:eastAsia="IRNazanin"/>
          <w:color w:val="111111"/>
          <w:sz w:val="28"/>
          <w:sz w:val="28"/>
          <w:szCs w:val="28"/>
          <w:rtl w:val="true"/>
          <w:lang w:bidi="fa-IR"/>
        </w:rPr>
        <w:t>و النامی و الجسم و غیر ذلک، فعندئذ إجراء استصحاب بقاء الفرس لا یکفی عن استصحاب بقاء الحیوان، و أمّا استصحاب بقاء الجسم فیکفی عن کل من النامی و الحیوان و الفرس فاغتنم، فیشبه تعاقب الأیادی و البیوع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بالأصل المثبت فلا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بین المتأخّرین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للکفایة حتّی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للإنسان المتقیّد بقیود لا تنطبق إلّا علی الفرد؛ و ذلک لأنّ لکلّ شی‌ء میزانا، و المیزان فیما نحن فیه أنّ استصحاب بقاء الإنسان، یعارضه استصحاب عدم تحقّق الخصوصیّات المفرّدة فی ظرف الشکّ التی بها وجود زید، و أمّا استصحاب بقاء زید فهو إجمال استصحاب بقاء الإنسان المقرون بالضمائم، و إن کان فی عالم العنوانیّة یسلب أثر کلّ عن الآخر، إلّا أنّه فی ظرف غیر ظرف الاستصحاب، فالتفصیل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فاستصحاب بقاء الفرس فی الدار، یثبت به خیار الحیوان المتعلّق به علی قول،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له إعمال ذلک الخیار المعهود العقلائیّ المتعلّق بالعین مثلا، فلا تختلط المسائل بما هو المقصود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یظهر وجه ضعف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و غیره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فی الهلیّات المرکّبة، فإنّ استصحاب أنّه علی الحدث البولیّ لیس إلّا مثل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أثر لهذا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زائدا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bookmarkStart w:id="852" w:name="pg13177_118128"/>
    </w:p>
    <w:p>
      <w:pPr>
        <w:pStyle w:val="BookText"/>
        <w:rPr/>
      </w:pPr>
      <w:bookmarkEnd w:id="852"/>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الأحکام الثابتة للحدث البولیّ و الحدث الجنابیّ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الأدلّة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إلّا أنّه إذا صحّ استصحاب کونه علی الحدث الکلّی، یترتّب علیه جمیع الآثار و الأحکام الثابتة بحسب الأدلّة لخصوص الأحداث البولیّة و الجنابیّة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العنوان الجنسیّ یترتّب علیه جمیع ما رتّب علی العناوین النوعیّة؛ نظرا إلی إطلاقه،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مشرّع، و لا منع من الجمع بینهما</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764186_3244359995"/>
      <w:bookmarkStart w:id="854" w:name="_Toc318"/>
      <w:bookmarkEnd w:id="853"/>
      <w:r>
        <w:rPr>
          <w:rtl w:val="true"/>
        </w:rPr>
        <w:t>تتمیم</w:t>
      </w:r>
      <w:r>
        <w:rPr>
          <w:rtl w:val="true"/>
        </w:rPr>
        <w:t>:</w:t>
      </w:r>
      <w:bookmarkEnd w:id="854"/>
    </w:p>
    <w:p>
      <w:pPr>
        <w:pStyle w:val="BookText"/>
        <w:rPr/>
      </w:pPr>
      <w:r>
        <w:rPr>
          <w:rFonts w:ascii="IRNazanin" w:hAnsi="IRNazanin" w:eastAsia="IRNazanin"/>
          <w:color w:val="111111"/>
          <w:sz w:val="28"/>
          <w:sz w:val="28"/>
          <w:szCs w:val="28"/>
          <w:rtl w:val="true"/>
          <w:lang w:bidi="fa-IR"/>
        </w:rPr>
        <w:t>قد تحرّر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نحتاج فی الاستصحاب إلی الأزید من إمکان التعبّد فی ظرف الشکّ </w:t>
      </w:r>
      <w:r>
        <w:rPr>
          <w:rStyle w:val="FootnoteAnchor"/>
          <w:rtl w:val="true"/>
        </w:rPr>
        <w:footnoteReference w:id="1068"/>
      </w:r>
      <w:r>
        <w:rPr>
          <w:rFonts w:ascii="IRNazanin" w:hAnsi="IRNazanin" w:eastAsia="IRNazanin"/>
          <w:color w:val="111111"/>
          <w:sz w:val="28"/>
          <w:sz w:val="28"/>
          <w:szCs w:val="28"/>
          <w:rtl w:val="true"/>
          <w:lang w:bidi="fa-IR"/>
        </w:rPr>
        <w:t>، فعلیه إذا شکّ فی الأقلّ و الأکثر، یمکن إجراء استصحاب الحکم الأعمّ من النفسیّ و الغیریّ؛ بناء علی القول به، و تصیر النتیجة وجوب الأکثر، و حکومته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هذا الاستصحاب استقبالیّا علی تقدیر، و حالیّا بعد الفراغ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منع من کون المستصحب معنی انتزاعیّا، أو کلّیا اختراعیّا و هو الوجوب، فإنّه علی تقدیر کونه نفسیّا منجّز بالاستصحاب، فیجب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بالحاجة إلی استصحاب الکلّی، و قد مرّ تحقیقه فی محلّه بما لا مزید علیه </w:t>
      </w:r>
      <w:r>
        <w:rPr>
          <w:rStyle w:val="FootnoteAnchor"/>
          <w:rtl w:val="true"/>
        </w:rPr>
        <w:footnoteReference w:id="1069"/>
      </w:r>
      <w:r>
        <w:rPr>
          <w:rFonts w:ascii="IRNazanin" w:hAnsi="IRNazanin" w:eastAsia="IRNazanin"/>
          <w:color w:val="111111"/>
          <w:sz w:val="28"/>
          <w:sz w:val="28"/>
          <w:szCs w:val="28"/>
          <w:rtl w:val="true"/>
          <w:lang w:bidi="fa-IR"/>
        </w:rPr>
        <w:t>، فاستصحاب عدم الوجوب إذا کان جاریا، ففیما نحن فیه جریانه أولی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عدم وجود الحکم الکلّی، و بین عدم جریان</w:t>
      </w:r>
    </w:p>
    <w:p>
      <w:pPr>
        <w:pStyle w:val="BookText"/>
        <w:rPr/>
      </w:pPr>
      <w:r>
        <w:rPr>
          <w:rFonts w:ascii="IRNazanin" w:hAnsi="IRNazanin" w:eastAsia="IRNazanin"/>
          <w:color w:val="111111"/>
          <w:sz w:val="28"/>
          <w:sz w:val="28"/>
          <w:szCs w:val="28"/>
          <w:rtl w:val="true"/>
          <w:lang w:bidi="fa-IR"/>
        </w:rPr>
        <w:t>استصحابه؛ لکونه بلا أثر، و یعدّ التعبّد ببقاء الکلّی مثبتا بالنسبة إلی أنّ الموجود هو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التعبّد ببقاء الکلّی، یکفی لتنجّز ما فی تحته من النفسیّ من غیر الحاجة إلی إثباته بخصوصه،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الحکم الکلّی من هذا القسم یتصوّر بلحاظ أنّ الشخصیّ ما لا ینحلّ، و الکلّی القانونیّ یجوز أن ینحلّ، و أن لا ینحل؛ لأنّ الکلّی یجوز أن یصدق علی الکثیر،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إنکار إمکان کون الفرد ذا أثر مماثل للکلّی، أو مضادّ و مخالف؛ لأنّه لا یخرج عن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زید فردا بخلاف المقیّد الاصطلاحیّ، لا یورث تجویز ذلک؛ لامتناع ترشّح الإرادة التأسیسیّة البدویّة علی ما تحرّر</w:t>
      </w:r>
      <w:r>
        <w:rPr>
          <w:rStyle w:val="FootnoteAnchor"/>
          <w:rtl w:val="true"/>
        </w:rPr>
        <w:footnoteReference w:id="1070"/>
      </w:r>
      <w:r>
        <w:rPr>
          <w:rFonts w:ascii="IRNazanin" w:hAnsi="IRNazanin" w:eastAsia="IRNazanin"/>
          <w:color w:val="111111"/>
          <w:sz w:val="28"/>
          <w:sz w:val="28"/>
          <w:szCs w:val="28"/>
          <w:rtl w:val="true"/>
          <w:lang w:bidi="fa-IR"/>
        </w:rPr>
        <w:t>، فیسقط ما بحثوا عنه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کسوة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إطعام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تجویز استصحاب کلّی الحدث؛ لترتیب مطلق الآثار عند الیقین بالحدث الأکبر، و الشکّ فی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جائزا لجاز القول به عند الیقین بالحدث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الخلط بین البحث لتشحیذ الذهن، و بین الفقه؛ ضرورة أنّ أحکام الحدث تختلف باختلاف الأحداث نوعا، و لیس عنوان الکلّی موضوعا للحکم بالضرورة، و ما ذکرناه سالفا لتذکر احتمال کونه مشرّعا غیر ما قیل،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بما هو کلّی موضوع الحکم، و الفرد بما هو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بما هو کلّی لا یوجد فی الخارج، و لا یلزم من الیقین بوجوده یقین بالکلّی بما هو هو، فاغتنم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علی نعت القضیّة الشرطیّة،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الإنسان فی الدار فتصدّق، و إن کان زید فیها فصلّ</w:t>
      </w:r>
      <w:r>
        <w:rPr>
          <w:rFonts w:eastAsia="IRNazanin" w:cs="IRNazanin"/>
          <w:color w:val="111111"/>
          <w:sz w:val="28"/>
          <w:szCs w:val="28"/>
          <w:rtl w:val="true"/>
          <w:lang w:bidi="fa-IR"/>
        </w:rPr>
        <w:t>».</w:t>
      </w:r>
      <w:bookmarkStart w:id="855" w:name="pg13177_118130"/>
    </w:p>
    <w:p>
      <w:pPr>
        <w:pStyle w:val="BookText"/>
        <w:rPr/>
      </w:pPr>
      <w:bookmarkEnd w:id="855"/>
      <w:r>
        <w:rPr>
          <w:rFonts w:ascii="IRNazanin" w:hAnsi="IRNazanin" w:eastAsia="IRNazanin"/>
          <w:color w:val="111111"/>
          <w:sz w:val="28"/>
          <w:sz w:val="28"/>
          <w:szCs w:val="28"/>
          <w:rtl w:val="true"/>
          <w:lang w:bidi="fa-IR"/>
        </w:rPr>
        <w:t>ثمّ إنّ الشکّ فی بقاء الکلّی هنا، مسبّب عن الشکّ فی بقاء الفرد و المصداق، فهناک مسبّب و سبب، فکیف یکون استصحاب المسبّب مغنیا عن السبب، بل و بالعکس؛ قضاء لحقّ السببیّة التی هی تدلّ علی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 الإنسان فی الدار یستلزم العلم بالفرد من غیر تعیین، و العلم بوجود الفرد و لو کان غیر معیّن مبیّن، یستلزم العلم بوجود الإنسان الکلّی المبیّن، فهناک سببان و مسبّبان کما لا یخفی، فاغتنم</w:t>
      </w:r>
      <w:r>
        <w:rPr>
          <w:rFonts w:eastAsia="IRNazanin" w:cs="IRNazanin"/>
          <w:color w:val="111111"/>
          <w:sz w:val="28"/>
          <w:szCs w:val="28"/>
          <w:rtl w:val="true"/>
          <w:lang w:bidi="fa-IR"/>
        </w:rPr>
        <w:t>.</w:t>
      </w:r>
    </w:p>
    <w:p>
      <w:pPr>
        <w:pStyle w:val="Heading6"/>
        <w:numPr>
          <w:ilvl w:val="5"/>
          <w:numId w:val="1"/>
        </w:numPr>
        <w:rPr/>
      </w:pPr>
      <w:bookmarkStart w:id="856" w:name="__RefHeading___Toc764188_3244359995"/>
      <w:bookmarkStart w:id="857" w:name="_Toc319"/>
      <w:bookmarkEnd w:id="856"/>
      <w:r>
        <w:rPr>
          <w:rtl w:val="true"/>
        </w:rPr>
        <w:t>تتمّة</w:t>
      </w:r>
      <w:r>
        <w:rPr>
          <w:rtl w:val="true"/>
        </w:rPr>
        <w:t>:</w:t>
      </w:r>
      <w:bookmarkEnd w:id="857"/>
    </w:p>
    <w:p>
      <w:pPr>
        <w:pStyle w:val="BookText"/>
        <w:rPr/>
      </w:pPr>
      <w:r>
        <w:rPr>
          <w:rFonts w:ascii="IRNazanin" w:hAnsi="IRNazanin" w:eastAsia="IRNazanin"/>
          <w:color w:val="111111"/>
          <w:sz w:val="28"/>
          <w:sz w:val="28"/>
          <w:szCs w:val="28"/>
          <w:rtl w:val="true"/>
          <w:lang w:bidi="fa-IR"/>
        </w:rPr>
        <w:t xml:space="preserve">قد اشیر إلی أنّ الکلّی فی جمیع الموارد واحد، و إنّما الاختلاف فیما هو الخارج </w:t>
      </w:r>
      <w:r>
        <w:rPr>
          <w:rStyle w:val="FootnoteAnchor"/>
          <w:rtl w:val="true"/>
        </w:rPr>
        <w:footnoteReference w:id="1071"/>
      </w:r>
      <w:r>
        <w:rPr>
          <w:rFonts w:ascii="IRNazanin" w:hAnsi="IRNazanin" w:eastAsia="IRNazanin"/>
          <w:color w:val="111111"/>
          <w:sz w:val="28"/>
          <w:sz w:val="28"/>
          <w:szCs w:val="28"/>
          <w:rtl w:val="true"/>
          <w:lang w:bidi="fa-IR"/>
        </w:rPr>
        <w:t>، و عندئذ لو علم إجمالا بوجوب الاجتناب عن أحد الإناءین، أو بوجوب إحدی الصلاتین، ثمّ اضمحلّ العلم المذکور لجهة من الجهات، کالعجز عن الصلاة المعیّنة، أو بانعدام أحد الإناءین، أو خروجه عن محطّ الابتلاء، فإن کان مدار مجری الاستصحاب علی المسامحات العرفیّة</w:t>
      </w:r>
      <w:r>
        <w:rPr>
          <w:rStyle w:val="FootnoteAnchor"/>
          <w:rtl w:val="true"/>
        </w:rPr>
        <w:footnoteReference w:id="1072"/>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یقین بوجوب الاجتناب عن هذا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النظر إلی تحلیله من جهة العقل و من جهة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الاجتناب عنه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المدار علی التدقیق </w:t>
      </w:r>
      <w:r>
        <w:rPr>
          <w:rStyle w:val="FootnoteAnchor"/>
          <w:rtl w:val="true"/>
        </w:rPr>
        <w:footnoteReference w:id="1073"/>
      </w:r>
      <w:r>
        <w:rPr>
          <w:rFonts w:ascii="IRNazanin" w:hAnsi="IRNazanin" w:eastAsia="IRNazanin"/>
          <w:color w:val="111111"/>
          <w:sz w:val="28"/>
          <w:sz w:val="28"/>
          <w:szCs w:val="28"/>
          <w:rtl w:val="true"/>
          <w:lang w:bidi="fa-IR"/>
        </w:rPr>
        <w:t>فیجری أیضا؛ نظرا إلی أنّ منجّزیة هذا الإناء کانت موجودة بالضرورة، و لا نحتاج فی الاستصحاب إلّا إمکان التعبّد بالنظر إلی التحفّظ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لو لم یؤثّر بعد الانتفاء کما هو الحقّ، فاستصحاب الشخصیّ لیس جاریا بالنسبة إلی الحکم الشرعیّ تکلیفا أو وضعا،</w:t>
      </w:r>
      <w:bookmarkStart w:id="858" w:name="pg13177_118131"/>
    </w:p>
    <w:p>
      <w:pPr>
        <w:pStyle w:val="BookText"/>
        <w:rPr/>
      </w:pPr>
      <w:bookmarkEnd w:id="858"/>
      <w:r>
        <w:rPr>
          <w:rFonts w:ascii="IRNazanin" w:hAnsi="IRNazanin" w:eastAsia="IRNazanin"/>
          <w:color w:val="111111"/>
          <w:sz w:val="28"/>
          <w:sz w:val="28"/>
          <w:szCs w:val="28"/>
          <w:rtl w:val="true"/>
          <w:lang w:bidi="fa-IR"/>
        </w:rPr>
        <w:t>کالنجاسة و غیرها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قسم آخر لیس من القسم الأوّل، و لا من الثانی، و الثالث؛ لأنّ منشأ الشکّ لیس خروج الفرد، و لا احتمال معیّة فرد، أو حدوث فرد، و لا من الثانی؛ لمعلومیّة الإناء، و مشکوکیّة نجاسته من الأوّل، إلّا أنّه هناک عنوان المنجّزیة الثابتة بالعلم الإجمالیّ، و المشکوک بقاؤها بخروج شی‌ء آخر طرف للعلم الإجمالیّ، و حیث إنّ قیام الاستصحاب کقیام الأمارة، فلو قامت البیّنة علی أن هذا الإناء منجّز فربّما تکون متّبعة، کما لو تردّد أمر الإناء الباقی بین الإناءین بعد انعدام الطرف، فقامت البیّنة علی أنّ الإناء الشرقیّ هو الذی کان منجّزا، فکذلک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صحّة حجّیة البیّنة إشکال بخلافه؛ فإنّ مقتضی الاستصحاب لزوم الاجتناب عمّا یجری فیه الأصل المذکور، و هذا کاف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نکتة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الخلاف و البحث لیس اختصاص الشکّ فی بقاء الکلّی؛ و کونه ناشئا عن خروج الفرد من الدار مثلا، بل هو أعمّ منه و من صور الشکّ فی بقاء الکلّی الفوقانیّ؛ لأجل خروج الکلّی التحتانیّ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بأنّ الإنسان موجود فی الدار، یعلم بوجود الحیوان و النامی و الجسم، فإذا شکّ فی بقاء الإنسان یشکّ فی بقاء الحیوان و هکذا، و هذا من القسم الأوّل، بخلاف الصورة الأخیرة التی مرّت آنفا</w:t>
      </w:r>
      <w:r>
        <w:rPr>
          <w:rFonts w:eastAsia="IRNazanin" w:cs="IRNazanin"/>
          <w:color w:val="111111"/>
          <w:sz w:val="28"/>
          <w:szCs w:val="28"/>
          <w:rtl w:val="true"/>
          <w:lang w:bidi="fa-IR"/>
        </w:rPr>
        <w:t>.</w:t>
      </w:r>
    </w:p>
    <w:p>
      <w:pPr>
        <w:pStyle w:val="Heading5"/>
        <w:numPr>
          <w:ilvl w:val="4"/>
          <w:numId w:val="1"/>
        </w:numPr>
        <w:rPr/>
      </w:pPr>
      <w:bookmarkStart w:id="859" w:name="__RefHeading___Toc764190_3244359995"/>
      <w:bookmarkStart w:id="860" w:name="_Toc320"/>
      <w:bookmarkEnd w:id="859"/>
      <w:r>
        <w:rPr>
          <w:rtl w:val="true"/>
        </w:rPr>
        <w:t>القسم الثانی</w:t>
      </w:r>
      <w:r>
        <w:rPr>
          <w:rtl w:val="true"/>
        </w:rPr>
        <w:t xml:space="preserve">: </w:t>
      </w:r>
      <w:r>
        <w:rPr>
          <w:rtl w:val="true"/>
        </w:rPr>
        <w:t>من استصحاب الکلّی</w:t>
      </w:r>
      <w:bookmarkEnd w:id="860"/>
    </w:p>
    <w:p>
      <w:pPr>
        <w:pStyle w:val="Heading6"/>
        <w:numPr>
          <w:ilvl w:val="5"/>
          <w:numId w:val="1"/>
        </w:numPr>
        <w:rPr/>
      </w:pPr>
      <w:bookmarkStart w:id="861" w:name="__RefHeading___Toc764192_3244359995"/>
      <w:bookmarkStart w:id="862" w:name="_Toc321"/>
      <w:bookmarkEnd w:id="861"/>
      <w:r>
        <w:rPr>
          <w:rtl w:val="true"/>
        </w:rPr>
        <w:t>اشارة</w:t>
      </w:r>
      <w:bookmarkEnd w:id="86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یشکّ فی بقاء الکلّی؛ لأجل العلم الإجمالیّ بوجود المصداق الزائل فی الزمان الثانی مثلا، أو المصداق الباقی، فعندئذ یعلم تفصیلا بالطبیعة و العنوان و الموضوع الکلّی الطبیعیّ أو الاعتباریّ، و یشکّ فی البقاء، فتصح القضیّتان المتیقّنة و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الغور فی خصوصیّات المثال الذی أتی به مثل الشیخ رحمه اللّه </w:t>
      </w:r>
      <w:r>
        <w:rPr>
          <w:rStyle w:val="FootnoteAnchor"/>
          <w:rtl w:val="true"/>
        </w:rPr>
        <w:footnoteReference w:id="1074"/>
      </w:r>
      <w:r>
        <w:rPr>
          <w:rFonts w:ascii="IRNazanin" w:hAnsi="IRNazanin" w:eastAsia="IRNazanin"/>
          <w:color w:val="111111"/>
          <w:sz w:val="28"/>
          <w:sz w:val="28"/>
          <w:szCs w:val="28"/>
          <w:rtl w:val="true"/>
          <w:lang w:bidi="fa-IR"/>
        </w:rPr>
        <w:t xml:space="preserve">أو غیره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من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الإشکال المتوجّه إلیه أشدّ منه؛ لما لا أثر فی الفقه للبقّ و الفیل و الحیوان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ربّما لا یکون من الشکّ فی المقتضی بعد إحراز الاقتضاء، و خروج البقّ من الدار، لا الفیل، و قد مرّ عدم صحّة التفصیل المذکور بما لا مزید علیه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ینبغی الغور فی حدیث الحدث الأصغر و الأکبر، و البحث عن وجود الجامع و عدمه، و غیر ذلک ممّا أطنبوا الکلام حوله، غافلین عن أنّ تورّم الاصول غیر سمنه، و هذا کلّه من التورّم و التضخّم، فکلّ ذلک فی کلمات الفضلاء و أعلامنا الاصولیّین إلّا من شذّ، و غیر صحیح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أصل جریان الاستصحاب فی القسم الثانی ذاتا غیر تامّ؛ لأنّ المناقشة ترجع إلی أنّ ما أفاده الشیخ الرئیس فی رسالته ردّا علی الرجل الهمدانیّ </w:t>
      </w:r>
      <w:r>
        <w:rPr>
          <w:rStyle w:val="FootnoteAnchor"/>
          <w:rtl w:val="true"/>
        </w:rPr>
        <w:footnoteReference w:id="1077"/>
      </w:r>
      <w:r>
        <w:rPr>
          <w:rFonts w:ascii="IRNazanin" w:hAnsi="IRNazanin" w:eastAsia="IRNazanin"/>
          <w:color w:val="111111"/>
          <w:sz w:val="28"/>
          <w:sz w:val="28"/>
          <w:szCs w:val="28"/>
          <w:rtl w:val="true"/>
          <w:lang w:bidi="fa-IR"/>
        </w:rPr>
        <w:t>، یقتضی کون الطبیعیّ یتکثّر بتکثّر الأفراد، و ینعدم بانعدام فرد ما، فیکون له الوجودات الخاصّة، و الأعدام المضافة؛ ضرورة أنّ حیوانیّة زید غیر حیوانیّة عمرو، و إنسانیّة زید غیر إنسانیّة عمرو بحسب الأعیان، فلا وجود للحیوان فی الخارج بما هو کلّی بالضرورة، و لیس الفرد إلّا الإنسان الطبیعیّ الذی یوجد فی الخارج و فی الذهن؛ لمکان عدم دخالة الوجود الخارجیّ و الذهنیّ فی تقرّره، و یکون خارجیّا و ذهنیّا، و لیس بالکلّیة مقرونا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فعندئذ کیف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یقین بوجود الحیوان، و شککت فی</w:t>
      </w:r>
      <w:bookmarkStart w:id="863" w:name="pg13177_118133"/>
    </w:p>
    <w:p>
      <w:pPr>
        <w:pStyle w:val="BookText"/>
        <w:rPr/>
      </w:pPr>
      <w:bookmarkEnd w:id="863"/>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عند التجزئة نصل إلی أنّه علی یقین بأنّه إمّا وجد البقّ، أو الفیل، و شاکّ فی بقاء الفیل علی تقدیر ثبوته، کما هو کذلک فی مطلق أطراف العلم إذا انعدم أحد الأطراف، أو امتثل، أو خرج،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یقین بالجهة المشترکة أو بالحیوان، هو قول صدیق الشیخ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متمسّکا بالعرف </w:t>
      </w:r>
      <w:r>
        <w:rPr>
          <w:rStyle w:val="FootnoteAnchor"/>
          <w:rtl w:val="true"/>
        </w:rPr>
        <w:footnoteReference w:id="1078"/>
      </w:r>
      <w:r>
        <w:rPr>
          <w:rFonts w:ascii="IRNazanin" w:hAnsi="IRNazanin" w:eastAsia="IRNazanin"/>
          <w:color w:val="111111"/>
          <w:sz w:val="28"/>
          <w:sz w:val="28"/>
          <w:szCs w:val="28"/>
          <w:rtl w:val="true"/>
          <w:lang w:bidi="fa-IR"/>
        </w:rPr>
        <w:t>،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الفضلاء و العلماء لا یصلون إلی هذا المدرج، و المسألة هنا تطلب من أبواب العقلاء، و منهم ذاک الرجل الهمدانیّ و کثیر من الاصولیّین و غیرهم</w:t>
      </w:r>
      <w:r>
        <w:rPr>
          <w:rFonts w:eastAsia="IRNazanin" w:cs="IRNazanin"/>
          <w:color w:val="111111"/>
          <w:sz w:val="28"/>
          <w:szCs w:val="28"/>
          <w:rtl w:val="true"/>
          <w:lang w:bidi="fa-IR"/>
        </w:rPr>
        <w:t>.</w:t>
      </w:r>
    </w:p>
    <w:p>
      <w:pPr>
        <w:pStyle w:val="Heading6"/>
        <w:numPr>
          <w:ilvl w:val="5"/>
          <w:numId w:val="1"/>
        </w:numPr>
        <w:rPr/>
      </w:pPr>
      <w:bookmarkStart w:id="864" w:name="__RefHeading___Toc764194_3244359995"/>
      <w:bookmarkStart w:id="865" w:name="_Toc322"/>
      <w:bookmarkEnd w:id="864"/>
      <w:r>
        <w:rPr>
          <w:rtl w:val="true"/>
        </w:rPr>
        <w:t>اعتراضات و أجوبة</w:t>
      </w:r>
      <w:r>
        <w:rPr>
          <w:rtl w:val="true"/>
        </w:rPr>
        <w:t>:</w:t>
      </w:r>
      <w:bookmarkEnd w:id="865"/>
    </w:p>
    <w:p>
      <w:pPr>
        <w:pStyle w:val="Heading6"/>
        <w:numPr>
          <w:ilvl w:val="5"/>
          <w:numId w:val="1"/>
        </w:numPr>
        <w:rPr/>
      </w:pPr>
      <w:bookmarkStart w:id="866" w:name="__RefHeading___Toc764196_3244359995"/>
      <w:bookmarkStart w:id="867" w:name="_Toc323"/>
      <w:bookmarkEnd w:id="866"/>
      <w:r>
        <w:rPr>
          <w:rtl w:val="true"/>
        </w:rPr>
        <w:t>الشبهة الاولی</w:t>
      </w:r>
      <w:r>
        <w:rPr>
          <w:rtl w:val="true"/>
        </w:rPr>
        <w:t>:</w:t>
      </w:r>
      <w:bookmarkEnd w:id="867"/>
    </w:p>
    <w:p>
      <w:pPr>
        <w:pStyle w:val="Heading6"/>
        <w:numPr>
          <w:ilvl w:val="5"/>
          <w:numId w:val="1"/>
        </w:numPr>
        <w:rPr/>
      </w:pPr>
      <w:bookmarkStart w:id="868" w:name="__RefHeading___Toc764198_3244359995"/>
      <w:bookmarkStart w:id="869" w:name="_Toc324"/>
      <w:bookmarkEnd w:id="868"/>
      <w:r>
        <w:rPr>
          <w:rtl w:val="true"/>
        </w:rPr>
        <w:t>اشارة</w:t>
      </w:r>
      <w:bookmarkEnd w:id="8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معضلة؛ و هی أنّه فی القسم الأوّل کیف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بأنّ زیدا فی الدار، علم بأنّ الإنسان فی الدار، و یعدّ ذلک من الکلّی، مع أنّ الطبیعة التی وجدت و تشخّصت بالعرض، و لا تشمّ رائحة الوجود أبدا، و لا تنقلب قطعا، لا تکون کلّیة کی یستصحب أمرا کلّیا، بل یستصحب الإنسان المتشخّص بالعرض؟</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اجیب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و إن کان کذلک، و لکن الموضوع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الإنسان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الإنسان الخاصّ، بل هی طبیعته القابلة للصدق علیه بصیرورته فی الخارج و فی الذهن، و إنّما وجدت الطبیعة فی الخارج، و هی الآن أیضا فی النفس مرآة للخارج، و هو المعلوم بالذات، معرّاة عن الخصوصیّات، و علی هذا لمکان وحدة الطبیعة، و غیر مرهونیّتها بالکلّیة و الجزئیّة، تکون فی آن واحد کلّیة و جزئیة، و فی ظرف الکلّیة نفس تلک الطبیعة تکون علما بالذات، و مرآة</w:t>
      </w:r>
      <w:bookmarkStart w:id="870" w:name="pg13177_118134"/>
    </w:p>
    <w:p>
      <w:pPr>
        <w:pStyle w:val="BookText"/>
        <w:rPr/>
      </w:pPr>
      <w:bookmarkEnd w:id="870"/>
      <w:r>
        <w:rPr>
          <w:rFonts w:ascii="IRNazanin" w:hAnsi="IRNazanin" w:eastAsia="IRNazanin"/>
          <w:color w:val="111111"/>
          <w:sz w:val="28"/>
          <w:sz w:val="28"/>
          <w:szCs w:val="28"/>
          <w:rtl w:val="true"/>
          <w:lang w:bidi="fa-IR"/>
        </w:rPr>
        <w:t>للمعلوم بالعرض المتشخّص بالوجود و أماراته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تنحلّ المشکلة فی القسم الثانی أیضا عقلا، فإذا وجد البقّ أو الفیل، و انعدم البقّ علی تقدیر هو یعلم بأنّ الحیوان کان موجودا، و هذا الحیوان هو ما فی النفس مرآة للخارج المتشخّص أحیانا بالعرض و علما، و هو معلوم بالذات لما هو معلوم بالعرض، إلّا أنّه لتلک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وحدة الطبیعة الذهنیّة و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الحیوان موجودا، و الآن شاکّ فی موجودیّته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فتتشکّل القضیّتان عقلا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الشبهة الحکمیّة، فقد مرّ فی القسم الأوّل إمکان ذلک بوجه أحسن </w:t>
      </w:r>
      <w:r>
        <w:rPr>
          <w:rStyle w:val="FootnoteAnchor"/>
          <w:rtl w:val="true"/>
        </w:rPr>
        <w:footnoteReference w:id="1079"/>
      </w:r>
      <w:r>
        <w:rPr>
          <w:rFonts w:ascii="IRNazanin" w:hAnsi="IRNazanin" w:eastAsia="IRNazanin"/>
          <w:color w:val="111111"/>
          <w:sz w:val="28"/>
          <w:sz w:val="28"/>
          <w:szCs w:val="28"/>
          <w:rtl w:val="true"/>
          <w:lang w:bidi="fa-IR"/>
        </w:rPr>
        <w:t>، فلا قصور ذاتا فی جریان الاستصحاب، فلا ینبغی الخلط بین المعلوم بالذات و بالعرض و بین القضایا،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الوضعیّات و الهلیّات المرکّبة کأن یعلم أنّه إمّا مدیون لزید بألف أو ألفین، فأعطاه الألف، فیشکّ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مدیونا لزید، و الآن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الألف فقد انقضی دینه، و إن کان أکثر فهو الباقی، کما یکون الأمر کذلک فی موارد سبق العلم الإجمالیّ أو تأخّره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أنّه لا قصور فی جریانه الذاتیّ عقلا، و لو فرض ذلک فعرفا، و هو المتّبع،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متّبع فی المفاهیم التصوّریة دون التطبیق علی الخارج، کما عن العلّامة الخراسانیّ و غیره فی حواشیّه علی البیع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1" w:name="__RefHeading___Toc764200_3244359995"/>
      <w:bookmarkStart w:id="872" w:name="_Toc325"/>
      <w:bookmarkEnd w:id="871"/>
      <w:r>
        <w:rPr>
          <w:rtl w:val="true"/>
        </w:rPr>
        <w:t>بقی بحث</w:t>
      </w:r>
      <w:r>
        <w:rPr>
          <w:rtl w:val="true"/>
        </w:rPr>
        <w:t>:</w:t>
      </w:r>
      <w:bookmarkEnd w:id="87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یرجع إمّا إلی عدم الحاجة إلی الاستصحاب المذکور؛ لوجود قاعدة</w:t>
      </w:r>
      <w:bookmarkStart w:id="873" w:name="pg13177_118135"/>
    </w:p>
    <w:p>
      <w:pPr>
        <w:pStyle w:val="BookText"/>
        <w:rPr/>
      </w:pPr>
      <w:bookmarkEnd w:id="873"/>
      <w:r>
        <w:rPr>
          <w:rFonts w:ascii="IRNazanin" w:hAnsi="IRNazanin" w:eastAsia="IRNazanin"/>
          <w:color w:val="111111"/>
          <w:sz w:val="28"/>
          <w:sz w:val="28"/>
          <w:szCs w:val="28"/>
          <w:rtl w:val="true"/>
          <w:lang w:bidi="fa-IR"/>
        </w:rPr>
        <w:t>الاشتغال، أو إلی المعارضة و تقدّم المعارض علیه، أو إلی المعارضة من غیر تقدّم، فیسقط استصحاب الکلّی؛ ضرورة أنّ مقتضی الشبهة الاولی أنّ قضیّة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المتباینین، أو الأقلّ و الأکثر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ورود الاستصحاب علی القاعدة</w:t>
      </w:r>
      <w:r>
        <w:rPr>
          <w:rStyle w:val="FootnoteAnchor"/>
          <w:rtl w:val="true"/>
        </w:rPr>
        <w:footnoteReference w:id="1081"/>
      </w:r>
      <w:r>
        <w:rPr>
          <w:rFonts w:ascii="IRNazanin" w:hAnsi="IRNazanin" w:eastAsia="IRNazanin"/>
          <w:color w:val="111111"/>
          <w:sz w:val="28"/>
          <w:sz w:val="28"/>
          <w:szCs w:val="28"/>
          <w:rtl w:val="true"/>
          <w:lang w:bidi="fa-IR"/>
        </w:rPr>
        <w:t>لأنّ التعبّد بالیقین یعدم موضوعها واقعا، فما فی کلام العلّامة الأراکیّ فی أشباه المقام من الحکومة</w:t>
      </w:r>
      <w:r>
        <w:rPr>
          <w:rStyle w:val="FootnoteAnchor"/>
          <w:rtl w:val="true"/>
        </w:rPr>
        <w:footnoteReference w:id="1082"/>
      </w:r>
      <w:r>
        <w:rPr>
          <w:rFonts w:ascii="IRNazanin" w:hAnsi="IRNazanin" w:eastAsia="IRNazanin"/>
          <w:color w:val="111111"/>
          <w:sz w:val="28"/>
          <w:sz w:val="28"/>
          <w:szCs w:val="28"/>
          <w:rtl w:val="true"/>
          <w:lang w:bidi="fa-IR"/>
        </w:rPr>
        <w:t xml:space="preserve">، غیر جیّد کما تحرّر تفصیله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أنّه ربّما یکون الاستصحاب ذا أثر زائد، کاستصحاب نجاسة الثوب المعلوم إجمالا تنجّسه بالبول أو الماء المتنجّس بالدم، فإنّ بعد الغسلة الاولی یستصحب النجاسة مثلا، بناء علی کونها علی نعتها الکلّی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الأمثلة خروج عن الجهة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فی جمیع هذه الأمثلة تجری البراءة عندهم</w:t>
      </w:r>
      <w:r>
        <w:rPr>
          <w:rFonts w:eastAsia="IRNazanin" w:cs="IRNazanin"/>
          <w:color w:val="111111"/>
          <w:sz w:val="28"/>
          <w:szCs w:val="28"/>
          <w:rtl w:val="true"/>
          <w:lang w:bidi="fa-IR"/>
        </w:rPr>
        <w:t>.</w:t>
      </w:r>
    </w:p>
    <w:p>
      <w:pPr>
        <w:pStyle w:val="Heading6"/>
        <w:numPr>
          <w:ilvl w:val="5"/>
          <w:numId w:val="1"/>
        </w:numPr>
        <w:rPr/>
      </w:pPr>
      <w:bookmarkStart w:id="874" w:name="__RefHeading___Toc764202_3244359995"/>
      <w:bookmarkStart w:id="875" w:name="_Toc326"/>
      <w:bookmarkEnd w:id="874"/>
      <w:r>
        <w:rPr>
          <w:rtl w:val="true"/>
        </w:rPr>
        <w:t>الشبهة الثانیة</w:t>
      </w:r>
      <w:r>
        <w:rPr>
          <w:rtl w:val="true"/>
        </w:rPr>
        <w:t>:</w:t>
      </w:r>
      <w:bookmarkEnd w:id="875"/>
    </w:p>
    <w:p>
      <w:pPr>
        <w:pStyle w:val="BookText"/>
        <w:rPr/>
      </w:pPr>
      <w:r>
        <w:rPr>
          <w:rFonts w:ascii="IRNazanin" w:hAnsi="IRNazanin" w:eastAsia="IRNazanin"/>
          <w:color w:val="111111"/>
          <w:sz w:val="28"/>
          <w:sz w:val="28"/>
          <w:szCs w:val="28"/>
          <w:rtl w:val="true"/>
          <w:lang w:bidi="fa-IR"/>
        </w:rPr>
        <w:t>إنّ جریانه الذاتیّ لا غبار علیه، و لکن الشکّ فی البقاء و التردّد فی القضیّة الثانیة، ناشئ من التردّد فی حدوث الفرد الباقی علی تقدیر حدوثه، و قضیّة الاستصحاب عدم حدوثه، فبالتعبّد بعدمه یرتفع الشکّ فی البقاء حکومة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غرائب المشاکل فی کلامهم </w:t>
      </w:r>
      <w:r>
        <w:rPr>
          <w:rStyle w:val="FootnoteAnchor"/>
          <w:rtl w:val="true"/>
        </w:rPr>
        <w:footnoteReference w:id="1084"/>
      </w:r>
      <w:r>
        <w:rPr>
          <w:rFonts w:ascii="IRNazanin" w:hAnsi="IRNazanin" w:eastAsia="IRNazanin"/>
          <w:color w:val="111111"/>
          <w:sz w:val="28"/>
          <w:sz w:val="28"/>
          <w:szCs w:val="28"/>
          <w:rtl w:val="true"/>
          <w:lang w:bidi="fa-IR"/>
        </w:rPr>
        <w:t>ضرورة أنّ مجرّد التسبّب غیر کاف، و لا منع تعبّدا من رفع المشکوک الحدوث باعتبار رفع آثاره الخاصّة؛ و هو وجوب</w:t>
      </w:r>
    </w:p>
    <w:p>
      <w:pPr>
        <w:pStyle w:val="BookText"/>
        <w:rPr/>
      </w:pPr>
      <w:r>
        <w:rPr>
          <w:rFonts w:ascii="IRNazanin" w:hAnsi="IRNazanin" w:eastAsia="IRNazanin"/>
          <w:color w:val="111111"/>
          <w:sz w:val="28"/>
          <w:sz w:val="28"/>
          <w:szCs w:val="28"/>
          <w:rtl w:val="true"/>
          <w:lang w:bidi="fa-IR"/>
        </w:rPr>
        <w:t>التعفیر مثلا، أو التصدّق عند وجود الفیل، و إبقاء القدر المشترک لترتیب آثاره الخاصّة؛ و هو الغسل مرّات مثلا، أو وجوب الصلاة عند وجود الحیوان، أو جواز البیع؛ لإمکان التفکیک بین المتلازمات فی رتبة التعبّد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أغرب منه توهّم المعارضة بین الأصل المذکور مع استصحاب عدم حدوث ذاک الفرد، و هو البقّ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أطراف العلم الإجمالیّ بعض الکلام حوله </w:t>
      </w:r>
      <w:r>
        <w:rPr>
          <w:rStyle w:val="FootnoteAnchor"/>
          <w:rtl w:val="true"/>
        </w:rPr>
        <w:footnoteReference w:id="1086"/>
      </w:r>
      <w:r>
        <w:rPr>
          <w:rFonts w:ascii="IRNazanin" w:hAnsi="IRNazanin" w:eastAsia="IRNazanin"/>
          <w:color w:val="111111"/>
          <w:sz w:val="28"/>
          <w:sz w:val="28"/>
          <w:szCs w:val="28"/>
          <w:rtl w:val="true"/>
          <w:lang w:bidi="fa-IR"/>
        </w:rPr>
        <w:t>فإنّ المعارضة صحیحة، إلّا أنّ بعد انعدام أحد الأطراف، للطرف الموجود أصل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یناقش من جهة الشبهة المصداقیّة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جواب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العلم الإجمالیّ لتنجیز الآثار</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جریان الأصل علی الفرض، یکون مؤمّنا و لو کان متأخّرا ظرف إجرائه،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مع الوالد المحقّق من العدول عن الورود فی الإشکال علی التقریب الظاهر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تقریب آخر، و لعلّهم یریدونه، و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واضح کون الشکّ فی البقاء، مسبّبا عن الشکّ فی حدوث الفرد الطویل الباقی؛ لأنّه غیر معقول بدوا، لأنّه مع کونه فی ذاته مشکوک الحدوث، فکیف یکون سببا للشکّ فی البقاء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التقدیر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الحیوان باقیا فهو بوجود الطویل باق، و هذا غیر التسبّب و السببیّة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إنّه أثر و خاصّة هذا النحو من العلم الإجمالیّ فکما أنّه سبب العلم التفصیلیّ بالحدوث بالنسبة إلی الحیوان، هو السبب عند انعدام أحد الأطراف</w:t>
      </w:r>
      <w:r>
        <w:rPr>
          <w:rFonts w:eastAsia="IRNazanin" w:cs="IRNazanin"/>
          <w:color w:val="111111"/>
          <w:sz w:val="28"/>
          <w:szCs w:val="28"/>
          <w:rtl w:val="true"/>
          <w:lang w:bidi="fa-IR"/>
        </w:rPr>
        <w:t>.</w:t>
      </w:r>
      <w:bookmarkStart w:id="876" w:name="pg13177_118137"/>
    </w:p>
    <w:p>
      <w:pPr>
        <w:pStyle w:val="BookText"/>
        <w:rPr/>
      </w:pPr>
      <w:bookmarkEnd w:id="876"/>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البقّ منشأ الشکّ فی بقاء الحیوان، و إلّا فکان هو علی یقین من وجوده، و علی کلّ،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یناقش هنا من جهة سبب الشکّ،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المثبتیّة و الثانی یکفیهم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أفاده الشیخ رحمه اللّه فی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الوجه الأخیر</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لأنّ الشکّ فی البقاء و لو کان ناشئا عن زوال القصیر، إلّا أنّ استصحاب عدم حدوث القصیر أیضا جار فی ذاته، فالعمدة ما ذکرناه</w:t>
      </w:r>
      <w:r>
        <w:rPr>
          <w:rFonts w:eastAsia="IRNazanin" w:cs="IRNazanin"/>
          <w:color w:val="111111"/>
          <w:sz w:val="28"/>
          <w:szCs w:val="28"/>
          <w:rtl w:val="true"/>
          <w:lang w:bidi="fa-IR"/>
        </w:rPr>
        <w:t>.</w:t>
      </w:r>
    </w:p>
    <w:p>
      <w:pPr>
        <w:pStyle w:val="Heading6"/>
        <w:numPr>
          <w:ilvl w:val="5"/>
          <w:numId w:val="1"/>
        </w:numPr>
        <w:rPr/>
      </w:pPr>
      <w:bookmarkStart w:id="877" w:name="__RefHeading___Toc764204_3244359995"/>
      <w:bookmarkStart w:id="878" w:name="_Toc327"/>
      <w:bookmarkEnd w:id="877"/>
      <w:r>
        <w:rPr>
          <w:rtl w:val="true"/>
        </w:rPr>
        <w:t>الشبهة الثالثة</w:t>
      </w:r>
      <w:r>
        <w:rPr>
          <w:rtl w:val="true"/>
        </w:rPr>
        <w:t>:</w:t>
      </w:r>
      <w:bookmarkEnd w:id="878"/>
    </w:p>
    <w:p>
      <w:pPr>
        <w:pStyle w:val="BookText"/>
        <w:rPr/>
      </w:pPr>
      <w:r>
        <w:rPr>
          <w:rFonts w:ascii="IRNazanin" w:hAnsi="IRNazanin" w:eastAsia="IRNazanin"/>
          <w:color w:val="111111"/>
          <w:sz w:val="28"/>
          <w:sz w:val="28"/>
          <w:szCs w:val="28"/>
          <w:rtl w:val="true"/>
          <w:lang w:bidi="fa-IR"/>
        </w:rPr>
        <w:t>أنّ العلم الإجمالیّ المستلزم للعلم التفصیلیّ بالکلّی، قابل للانحلال؛ بمعنی أنّ مقتضی ضمّ الوجدان إلی زوال القصیر بالتعبّد بعدم الطویل، یلازم تمامیّة الحجّة علی ارتفاع الکلّی تعبّدا، کما فی سائر الموارد التی ینضمّ الوجدان إلی الأصل لرفع الأثر المترتّب علی العنوان الموجود بعین وجود البقّ أو الفیل، و لیس أمرا مرکّبا، أو بسیطا انتزاعیّا، أو عنوانا مباینا و متولّدا، کی یلزم المناقشة فیه من ناحیة الأصل المثبت؛ بناء علی عدم حجّیته، بل المعلوم بالتفصیل فی القسم الثانی هو الطبیعیّ الحقیقیّ، أو الاعتباریّ، فیوجد بنفسه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أثر لبقاء النجاسة أو الحدث أو الدّین أو الحیوان و هو حلّیة بیعه، فهو یرتفع بضمّ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ارتفاع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ارتفاع الطویل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فالحیوان هنا لا یقاس بسائر الموارد؛ لأنّه بنفسه موجود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المفروض فی القسم الثانی فی جمیع الأمثلة، أن یکون مصبّ الاستصحاب من هذا القبیل، إلّا فی الشبهة الحکمیّة حسبما تحرّر، فکما أنّه یجوز</w:t>
      </w:r>
    </w:p>
    <w:p>
      <w:pPr>
        <w:pStyle w:val="BookText"/>
        <w:rPr/>
      </w:pPr>
      <w:r>
        <w:rPr>
          <w:rFonts w:ascii="IRNazanin" w:hAnsi="IRNazanin" w:eastAsia="IRNazanin"/>
          <w:color w:val="111111"/>
          <w:sz w:val="28"/>
          <w:sz w:val="28"/>
          <w:szCs w:val="28"/>
          <w:rtl w:val="true"/>
          <w:lang w:bidi="fa-IR"/>
        </w:rPr>
        <w:t>فی مورد الشکّ فی تحقّق الإنسان فی الدار استصحاب عدم الإنسان، بل و عدم زید کما مرّ، کذلک الأمر هنا، و السرّ فیه ما أشرنا إلیه، فلیس البحث حول السببیة و المسبّبیة کی یتوجّه إلی مفاسده الأصاغر، فضلا عن 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إمّا موجود بالفرد الزائل وجدانا، أو موجود بالفرد الزائل تعبّدا، فالحیوان لیس بموجود إمّا تعبّدا، أو واقعا، فلا معنی للشکّ فی بقاء الحیوان مع الغفلة عن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لو خلّی و طبعه هل لا یکون شکّ تکوینا، أم یثبت الشکّ فی البقاء؟ لا سبیل إلی الأوّل، فعلیه هناک شکّ فی حدوث البقّ، و شکّ فی حدوث الفیل، و علم بحدوث الحیوان، و شکّ فی بقائه، و علم بارتفاع القصیر، و شکّ فی بقاء الطویل علی تقدیر حدوثه، فإذا لوحظت الفصول و الجنس بنفسها، یکون علم تقدیریّ و شکّ تقدیریّ، و علم فعلیّ و شکّ فعلیّ، فلا بد من وجود السببیّة فیما بین هذه الامور طبعا و قطعا، فیصبح الأمر علی نفی أثر الحیوان المشکوک بقاؤه بنفی الأمر الآخر، فتقع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منع رکنی الاستصحاب بالضرورة؛ فیما کان النظر إلی المعلوم بالذات الموجود فی الخارج بالعرض، و ینکشف الخارج بعین انکشافه من غیر تعدّد، و إلّا تلزم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غیر مرآتیّة، و إلّا یشکل الجمع بین 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سبیل إلی العلم التفصیلیّ بإحدی الفصول المنوّعة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فصل و لو کان مقوّم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الفصول أنحاء الوجودات علی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بحسب التحلیل و موضوعیّة الأحکام الشرعیّة غیر مختلطة، و لا متداخلة، فنفی کلّ بالوجدان و التعبّد، لا یورث انتفاء الطبیعیّ طبعا، من غیر أن یکون ما نحن فیه من قبیل المرکّب و الأجزاء، و المحصّل و المحصّل و أمثالهما</w:t>
      </w:r>
      <w:r>
        <w:rPr>
          <w:rFonts w:eastAsia="IRNazanin" w:cs="IRNazanin"/>
          <w:color w:val="111111"/>
          <w:sz w:val="28"/>
          <w:szCs w:val="28"/>
          <w:rtl w:val="true"/>
          <w:lang w:bidi="fa-IR"/>
        </w:rPr>
        <w:t>.</w:t>
      </w:r>
      <w:bookmarkStart w:id="879" w:name="pg13177_118139"/>
    </w:p>
    <w:p>
      <w:pPr>
        <w:pStyle w:val="BookText"/>
        <w:rPr/>
      </w:pPr>
      <w:bookmarkEnd w:id="879"/>
      <w:r>
        <w:rPr>
          <w:rFonts w:ascii="IRNazanin" w:hAnsi="IRNazanin" w:eastAsia="IRNazanin"/>
          <w:color w:val="111111"/>
          <w:sz w:val="28"/>
          <w:sz w:val="28"/>
          <w:szCs w:val="28"/>
          <w:rtl w:val="true"/>
          <w:lang w:bidi="fa-IR"/>
        </w:rPr>
        <w:t xml:space="preserve">فما فی کلمات العلّامة الخراسانیّ </w:t>
      </w:r>
      <w:r>
        <w:rPr>
          <w:rStyle w:val="FootnoteAnchor"/>
          <w:rtl w:val="true"/>
        </w:rPr>
        <w:footnoteReference w:id="1089"/>
      </w:r>
      <w:r>
        <w:rPr>
          <w:rFonts w:ascii="Amiri" w:hAnsi="Amiri" w:eastAsia="Amiri" w:cs="Amiri"/>
          <w:color w:val="111111"/>
          <w:sz w:val="28"/>
          <w:sz w:val="28"/>
          <w:szCs w:val="28"/>
          <w:rtl w:val="true"/>
          <w:lang w:bidi="ar-SA"/>
        </w:rPr>
        <w:t xml:space="preserve">و النائینیّ </w:t>
      </w:r>
      <w:r>
        <w:rPr>
          <w:rStyle w:val="FootnoteAnchor"/>
          <w:rtl w:val="true"/>
        </w:rPr>
        <w:footnoteReference w:id="1090"/>
      </w:r>
      <w:r>
        <w:rPr>
          <w:rFonts w:ascii="IRNazanin" w:hAnsi="IRNazanin" w:eastAsia="IRNazanin"/>
          <w:color w:val="111111"/>
          <w:sz w:val="28"/>
          <w:sz w:val="28"/>
          <w:szCs w:val="28"/>
          <w:rtl w:val="true"/>
          <w:lang w:bidi="fa-IR"/>
        </w:rPr>
        <w:t>فی غیر محلّه، إلّا ما یرجع إمّا إلی المثبتیّة، و هو عندی ممنوع، أو إلی أنّ استصحاب عدم حدوث کلّ من الفردین غیر جار؛ لکفایة انتقاض الیقین السابق التفصیلیّ بالعلم الإجمالیّ، فإنّه یشمله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یحرز اتصال زمان الشکّ بالیقین علی إشکال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العلّامة الأراکیّ تصدیق الشبهة فی الجملة</w:t>
      </w:r>
      <w:r>
        <w:rPr>
          <w:rStyle w:val="FootnoteAnchor"/>
          <w:rtl w:val="true"/>
        </w:rPr>
        <w:footnoteReference w:id="1091"/>
      </w:r>
      <w:r>
        <w:rPr>
          <w:rFonts w:ascii="IRNazanin" w:hAnsi="IRNazanin" w:eastAsia="IRNazanin"/>
          <w:color w:val="111111"/>
          <w:sz w:val="28"/>
          <w:sz w:val="28"/>
          <w:szCs w:val="28"/>
          <w:rtl w:val="true"/>
          <w:lang w:bidi="fa-IR"/>
        </w:rPr>
        <w:t>و ذلک لذهول الأعلام کثیرا عن حدیث الطبیعیّ، و کیفیّة موجودیّته، و معلومیّته الذاتیّة و العرضیّة، فلو کانوا یدخلون البیوت من أبوابها لما وقعوا فی حیص و بیص، فإنّ الحیوان الطبیعیّ معلوم بالذات، موجود بنفسه فی الخارج، من غیر أن یلزم من تحقّقه فی الخارج خلاء فی النفس، بخلاف مثل الدرهم فی الکیس، فإنّه إذا اعطی إلی الفقیر یلزم خلاء الکیس، فهو فی النفس باق، و عین ما فی الخارج، فلا فرق بین أقسام الکلّی المأخوذ فی الدلیل؛ أی صرف الوجود، أو الساری، أو المجموعیّ، و لا وجه لدخوله فی باب الأعدام وسعة الأعدام وضیقها، فإنّه غیر جائز لمثله</w:t>
      </w:r>
      <w:r>
        <w:rPr>
          <w:rFonts w:eastAsia="IRNazanin" w:cs="IRNazanin"/>
          <w:color w:val="111111"/>
          <w:sz w:val="28"/>
          <w:szCs w:val="28"/>
          <w:rtl w:val="true"/>
          <w:lang w:bidi="fa-IR"/>
        </w:rPr>
        <w:t>.</w:t>
      </w:r>
    </w:p>
    <w:p>
      <w:pPr>
        <w:pStyle w:val="Heading6"/>
        <w:numPr>
          <w:ilvl w:val="5"/>
          <w:numId w:val="1"/>
        </w:numPr>
        <w:rPr/>
      </w:pPr>
      <w:bookmarkStart w:id="880" w:name="__RefHeading___Toc764206_3244359995"/>
      <w:bookmarkStart w:id="881" w:name="_Toc328"/>
      <w:bookmarkEnd w:id="880"/>
      <w:r>
        <w:rPr>
          <w:rtl w:val="true"/>
        </w:rPr>
        <w:t>الشبهة الرابعة</w:t>
      </w:r>
      <w:r>
        <w:rPr>
          <w:rtl w:val="true"/>
        </w:rPr>
        <w:t>:</w:t>
      </w:r>
      <w:bookmarkEnd w:id="881"/>
    </w:p>
    <w:p>
      <w:pPr>
        <w:pStyle w:val="BookText"/>
        <w:rPr/>
      </w:pPr>
      <w:r>
        <w:rPr>
          <w:rFonts w:ascii="IRNazanin" w:hAnsi="IRNazanin" w:eastAsia="IRNazanin"/>
          <w:color w:val="111111"/>
          <w:sz w:val="28"/>
          <w:sz w:val="28"/>
          <w:szCs w:val="28"/>
          <w:rtl w:val="true"/>
          <w:lang w:bidi="fa-IR"/>
        </w:rPr>
        <w:t>مقتضی العلم الإجمالیّ و إن کان العلم التفصیلیّ بالحیوان، أو عنوان الدین، أو الحدث، أو الوجوب الجامع، إلّا أنّه بانتفاء الفرد القصیر و الممتثل به یحتمل انتقاض الیقین، فلا یصحّ التمسّک بدلیل الاستصحاب</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حقّا للزم سقوط الاستصحاب رأسا؛ لاحتمال انتقاض</w:t>
      </w:r>
      <w:bookmarkStart w:id="882" w:name="pg13177_118140"/>
    </w:p>
    <w:p>
      <w:pPr>
        <w:pStyle w:val="BookText"/>
        <w:rPr/>
      </w:pPr>
      <w:bookmarkEnd w:id="882"/>
      <w:r>
        <w:rPr>
          <w:rFonts w:ascii="IRNazanin" w:hAnsi="IRNazanin" w:eastAsia="IRNazanin"/>
          <w:color w:val="111111"/>
          <w:sz w:val="28"/>
          <w:sz w:val="28"/>
          <w:szCs w:val="28"/>
          <w:rtl w:val="true"/>
          <w:lang w:bidi="fa-IR"/>
        </w:rPr>
        <w:t>الیقین بالمتیقّن المحتمل، و أمّا بالنسبة إلی نفس الیقین فلا انتقاض بالضرورة</w:t>
      </w:r>
      <w:r>
        <w:rPr>
          <w:rFonts w:eastAsia="IRNazanin" w:cs="IRNazanin"/>
          <w:color w:val="111111"/>
          <w:sz w:val="28"/>
          <w:szCs w:val="28"/>
          <w:rtl w:val="true"/>
          <w:lang w:bidi="fa-IR"/>
        </w:rPr>
        <w:t>.</w:t>
      </w:r>
    </w:p>
    <w:p>
      <w:pPr>
        <w:pStyle w:val="Heading6"/>
        <w:numPr>
          <w:ilvl w:val="5"/>
          <w:numId w:val="1"/>
        </w:numPr>
        <w:rPr/>
      </w:pPr>
      <w:bookmarkStart w:id="883" w:name="__RefHeading___Toc764208_3244359995"/>
      <w:bookmarkStart w:id="884" w:name="_Toc329"/>
      <w:bookmarkEnd w:id="883"/>
      <w:r>
        <w:rPr>
          <w:rtl w:val="true"/>
        </w:rPr>
        <w:t>الشبهة الخامسة</w:t>
      </w:r>
      <w:r>
        <w:rPr>
          <w:rtl w:val="true"/>
        </w:rPr>
        <w:t>:</w:t>
      </w:r>
      <w:bookmarkEnd w:id="884"/>
    </w:p>
    <w:p>
      <w:pPr>
        <w:pStyle w:val="Heading6"/>
        <w:numPr>
          <w:ilvl w:val="5"/>
          <w:numId w:val="1"/>
        </w:numPr>
        <w:rPr/>
      </w:pPr>
      <w:bookmarkStart w:id="885" w:name="__RefHeading___Toc764210_3244359995"/>
      <w:bookmarkStart w:id="886" w:name="_Toc330"/>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و إلیک شبهة أبدعناها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أنّه یمکن هنا تقریب آخر لمنع جریانه؛ و هو أنّ العلم الإجمالیّ حجّة بالنسبة إلی کلّ واحد من الأطراف،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الحجّة، أو قضیّة تقدیم الأمارات و الحجج العقلیّة و العقلائیة، انتهاء أمد اعتبار الیقین السابق علی الشکّ، فعلی هذا لا یجری الاستصحاب فی موارد وجود الأثر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وجود البقّ موضوعا للأثر الخاصّ؛ و هو التصدّق، و وجود الفیل موضوعا لأثر آخر؛ و هو الصلاة، فاستصحاب عدم حدوث کلّ واحد غیر جار أو ساقط، و استصحاب الحیوان أیضا غیر جار؛ لانتفاء رکنه و هو الشکّ فی البقاء، لقیام الحجّة علی وجود الفیل و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إجمالا بانتقال قباء زید إلی عمرو بقصد الصدقة أو الهبة، ثمّ استردّه زید، فیعلم حرمة تصرّفه فیه إذا لم یکن کلّ واحد منهما راضیا، کما یعلم تفصیلا بممنوعیّة التصرّف فیه حسب استصحاب الملکیّة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جریانه ممنوع؛ لتنجّز جمیع الأحکام بالعلم الإجمالیّ علی وجه لا یجری الاستصحاب؛ لانتقاض عدم کونه هبة أو صدقة بالجهة العقلیّة، أو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للعلم الإجمالیّ، و نتیجة ذلک وجوب ترتیب آثار الکلّی من غیر جریان الاستصحاب، و من غیر کونه مربوطا بحدیث الأصل المثبت </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ذلک عدم جریانه فی المتباینین، و لزوم ترتیب آثار الحیوان و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آثار الفرد الطویل منجّزة علی فرض تمامیّة التقریب المذکور، و لکن تنجّز آثار الحیوان غیر ممکن بذلک العلم، کما مرّ فی القسم الأوّل </w:t>
      </w:r>
      <w:r>
        <w:rPr>
          <w:rStyle w:val="FootnoteAnchor"/>
          <w:rtl w:val="true"/>
        </w:rPr>
        <w:footnoteReference w:id="1093"/>
      </w:r>
      <w:r>
        <w:rPr>
          <w:rFonts w:ascii="IRNazanin" w:hAnsi="IRNazanin" w:eastAsia="IRNazanin"/>
          <w:color w:val="111111"/>
          <w:sz w:val="28"/>
          <w:sz w:val="28"/>
          <w:szCs w:val="28"/>
          <w:rtl w:val="true"/>
          <w:lang w:bidi="fa-IR"/>
        </w:rPr>
        <w:t>، فلا بدّ من استصحاب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الفرد لنفی آثاره الشرعیّة ممکن، و أمّا نفیه لنفی الحیوان أو نفیه لنفی آثار الحیوان، فغیر جائز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لو کانت حجّیة العلم الإجمالیّ مناقضة للعلم التفصیلیّ بعدم حدوث کلّ فرد، و لکنّه لیس رافعا للشکّ فی بقاء الحیوان کی لا یجری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أصل انتقاض الیقین الاستصحابیّ بمطلق الحجّة، محلّ إشکال، کما مرّ فی باب جریان استصحاب مؤدّیات الأمارة و الأصل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مرّ فی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منع من تنجّز الواقع بالعلم و الترخیص الظاهریّ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إمّا لا یجری الاستصحاب فی أطراف العلم الإجمالیّ أو یجری و یتساقطان، أو یجری بعد ارتفاع القصیر استصحاب عدم الطویل ثانیا؛ لأنّ ما تعارض بینه هو فرد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ارتفع القصیر ینحلّ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الفرد الآخر غیر المبتلی بالمعارض، إلّا أنّه لا یستلزم انتفاء الجامع حتی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الفرد من قبیل ما یکون الموضوع له فیه عامّا، أو کلّیا، أو خاصّا؛ لأنّ نفی الکلّی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الحیوان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یلازم نفی الحیوان الطبیعیّ الصادق علی القصیر و الطویل إلّا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التقریب المذکور أوّلا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افید ثانیا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جمیع الموارد نافعا؛ لعدم الأثر</w:t>
      </w:r>
      <w:r>
        <w:rPr>
          <w:rFonts w:eastAsia="IRNazanin" w:cs="IRNazanin"/>
          <w:color w:val="111111"/>
          <w:sz w:val="28"/>
          <w:szCs w:val="28"/>
          <w:rtl w:val="true"/>
          <w:lang w:bidi="fa-IR"/>
        </w:rPr>
        <w:t>.</w:t>
      </w:r>
      <w:bookmarkStart w:id="887" w:name="pg13177_118142"/>
    </w:p>
    <w:p>
      <w:pPr>
        <w:pStyle w:val="BookText"/>
        <w:rPr/>
      </w:pPr>
      <w:bookmarkEnd w:id="88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قائمة بالقیاس إلی آثار الفردین، و قاعدة الاشتغال حاکمة بالنسبة إلی الجامع، و إلّا فاستصحاب کلّی الملک جار، و هو وارد علیها کما مرّ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ینقلب العلم الإجمالیّ الأوّل إلی العلم الإجمالیّ الآخر غیر المؤثّر، و هو العلم الإجمالیّ </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حیث إنّ الاستصحاب أمارة تأسیسیّة لا کالأمارات الإمضائیّة، فإن کان جاریا فلا یجری استصحاب الکلّی فی المقام علی المبنی، فلا تخلط</w:t>
      </w:r>
      <w:r>
        <w:rPr>
          <w:rFonts w:eastAsia="IRNazanin" w:cs="IRNazanin"/>
          <w:color w:val="111111"/>
          <w:sz w:val="28"/>
          <w:szCs w:val="28"/>
          <w:rtl w:val="true"/>
          <w:lang w:bidi="fa-IR"/>
        </w:rPr>
        <w:t>.</w:t>
      </w:r>
    </w:p>
    <w:p>
      <w:pPr>
        <w:pStyle w:val="Heading6"/>
        <w:numPr>
          <w:ilvl w:val="5"/>
          <w:numId w:val="1"/>
        </w:numPr>
        <w:rPr/>
      </w:pPr>
      <w:bookmarkStart w:id="888" w:name="__RefHeading___Toc764212_3244359995"/>
      <w:bookmarkStart w:id="889" w:name="_Toc331"/>
      <w:bookmarkEnd w:id="888"/>
      <w:r>
        <w:rPr>
          <w:rtl w:val="true"/>
        </w:rPr>
        <w:t>بقی شی‌ء</w:t>
      </w:r>
      <w:r>
        <w:rPr>
          <w:rtl w:val="true"/>
        </w:rPr>
        <w:t xml:space="preserve">: </w:t>
      </w:r>
      <w:r>
        <w:rPr>
          <w:rtl w:val="true"/>
        </w:rPr>
        <w:t>فی الشبهة العبائیّة و حلها</w:t>
      </w:r>
      <w:bookmarkEnd w:id="889"/>
    </w:p>
    <w:p>
      <w:pPr>
        <w:pStyle w:val="BookText"/>
        <w:rPr/>
      </w:pPr>
      <w:r>
        <w:rPr>
          <w:rFonts w:ascii="IRNazanin" w:hAnsi="IRNazanin" w:eastAsia="IRNazanin"/>
          <w:color w:val="111111"/>
          <w:sz w:val="28"/>
          <w:sz w:val="28"/>
          <w:szCs w:val="28"/>
          <w:rtl w:val="true"/>
          <w:lang w:bidi="fa-IR"/>
        </w:rPr>
        <w:t>ربّما یتخیّل أنّه فی مورد العلم الإجمالیّ بنجاسة الثوب، و تطهیر جانب معیّن منه، یلزم عویصة</w:t>
      </w:r>
      <w:r>
        <w:rPr>
          <w:rStyle w:val="FootnoteAnchor"/>
          <w:rtl w:val="true"/>
        </w:rPr>
        <w:footnoteReference w:id="1098"/>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جری استصحاب النجاسة الکلّیة یلزم دخالة ملاقاة الطرف المعیّن فی تنجّس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تنجّس الملاقی لبعض الأطراف، و هو علی خلاف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عبائیّة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ما ذکرناه من المناقشة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قبائیّة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للتمثل بهما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أجد وجها له بعد کون البحث حول استصحاب الکلّی، فإنّ المستصحب إمّا قضیّة من الهلیّات البسیطة، فهی لا تفید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الأصل المثبت عندهم بالضرورة و إن لا تجوز الصلاة فیه؛ لأنّه ثوب نجس عرفا حسب أخبار المسألة، فإنّ الروایات الناهیة لیست ناظرة إلی العلم الإجمالیّ، أو نجاسة مجموع الثوب کما لا یخفی، بل فیها التسامح، و لا تسامح بالنسبة إلی نجاسة الملاقی، فلا بدّ من الاستصحاب، أو قاعدة الاشتغال، و الأوّل وارد علیها حسبما</w:t>
      </w:r>
    </w:p>
    <w:p>
      <w:pPr>
        <w:pStyle w:val="BookText"/>
        <w:rPr/>
      </w:pPr>
      <w:r>
        <w:rPr>
          <w:rFonts w:ascii="Amiri" w:hAnsi="Amiri" w:eastAsia="Amiri" w:cs="Amiri"/>
          <w:color w:val="111111"/>
          <w:sz w:val="28"/>
          <w:sz w:val="28"/>
          <w:szCs w:val="28"/>
          <w:rtl w:val="true"/>
          <w:lang w:bidi="ar-SA"/>
        </w:rPr>
        <w:t xml:space="preserve">حرّرناه </w:t>
      </w:r>
      <w:r>
        <w:rPr>
          <w:rStyle w:val="FootnoteAnchor"/>
          <w:rtl w:val="true"/>
        </w:rPr>
        <w:footnoteReference w:id="1099"/>
      </w:r>
      <w:r>
        <w:rPr>
          <w:rFonts w:ascii="IRNazanin" w:hAnsi="IRNazanin" w:eastAsia="IRNazanin"/>
          <w:color w:val="111111"/>
          <w:sz w:val="28"/>
          <w:sz w:val="28"/>
          <w:szCs w:val="28"/>
          <w:rtl w:val="true"/>
          <w:lang w:bidi="fa-IR"/>
        </w:rPr>
        <w:t>، و استصحابه من القسم الأوّل، و تصیر النتیجة وجود النجس فیه، لا أنّ الثوب متنجّس إلّا تسامحا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من الهلیّات المرکّبة، و هی لا تتصوّر إلّا فی صورة اختلاف أثر النجاسة؛ کی یستصحب الجامع و تنجّسه به، و إلّا فلا یتصوّر الاستصحاب الکلّی من القسم الثانی، فإنّ کون زید فی أحد الجانبین لا أثر له، و هکذا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المستشکل أراد من الشبهة منع جریان القسم الأوّل؛ ضرورة أنّه فی صورة وحدة الأثر یلزم جریان استصحاب الفرد الواقعیّ المجهول عندنا، لا الکلّی، بخلاف ما إذا علم بتنجّس ثوبه بالبول أو الدم، فطهّر جانبا منه و غسله، فإنّه یستصحب النجاسة؛ أی تنجّس الثوب بها، و لازمه نجاسة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تقریب الأعلام حول الشبهة</w:t>
      </w:r>
      <w:r>
        <w:rPr>
          <w:rStyle w:val="FootnoteAnchor"/>
          <w:rtl w:val="true"/>
        </w:rPr>
        <w:footnoteReference w:id="1100"/>
      </w:r>
      <w:r>
        <w:rPr>
          <w:rFonts w:ascii="IRNazanin" w:hAnsi="IRNazanin" w:eastAsia="IRNazanin"/>
          <w:color w:val="111111"/>
          <w:sz w:val="28"/>
          <w:sz w:val="28"/>
          <w:szCs w:val="28"/>
          <w:rtl w:val="true"/>
          <w:lang w:bidi="fa-IR"/>
        </w:rPr>
        <w:t>ظهر فساده و قصوره ظاهرا، و عندئذ یجوز إجراء استصحاب تنجّس الثوب، إلّا أنّه هناک إمّا استصحاب العدم الأزلیّ، أو البراءة عن وجوب الغسلة الثانیة بالنسبة إلی نفس الثوب، فضلا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بجریانه و حکومته علی البراءة، کما ذکرنا ذلک فی الأقلّ و الأکثر</w:t>
      </w:r>
      <w:r>
        <w:rPr>
          <w:rStyle w:val="FootnoteAnchor"/>
          <w:rtl w:val="true"/>
        </w:rPr>
        <w:footnoteReference w:id="1101"/>
      </w:r>
      <w:r>
        <w:rPr>
          <w:rFonts w:ascii="IRNazanin" w:hAnsi="IRNazanin" w:eastAsia="IRNazanin"/>
          <w:color w:val="111111"/>
          <w:sz w:val="28"/>
          <w:sz w:val="28"/>
          <w:szCs w:val="28"/>
          <w:rtl w:val="true"/>
          <w:lang w:bidi="fa-IR"/>
        </w:rPr>
        <w:t>، فلا یلزم نجاسة الملاقی؛ لأنّ بقاء تنجّس الثوب الجامع إمّا لا أثر له شرعا فی الفقه، أو لو کان له الأثر،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مشرّع فی أمثال المقام، لا یلزم نجاسة الملاقی؛ لأنّه بعد العلم بطهارة جانب منه تفصیلا فلازم ذلک الاستصحاب و هذا العلم، ملاقاته مع النجس، فلا یکون الملاقی نجسا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فی أصحابنا من یقول بنجاسة الملاقی حتّی مع بقاء الملاقی و عدم</w:t>
      </w:r>
      <w:bookmarkStart w:id="890" w:name="pg13177_118144"/>
    </w:p>
    <w:p>
      <w:pPr>
        <w:pStyle w:val="BookText"/>
        <w:rPr/>
      </w:pPr>
      <w:bookmarkEnd w:id="890"/>
      <w:r>
        <w:rPr>
          <w:rFonts w:ascii="IRNazanin" w:hAnsi="IRNazanin" w:eastAsia="IRNazanin"/>
          <w:color w:val="111111"/>
          <w:sz w:val="28"/>
          <w:sz w:val="28"/>
          <w:szCs w:val="28"/>
          <w:rtl w:val="true"/>
          <w:lang w:bidi="fa-IR"/>
        </w:rPr>
        <w:t xml:space="preserve">تقدّم العلم بالملاقاة، و تفصیله قد مضی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اختلفت کلماتهم حول ما لا یعتدّ به </w:t>
      </w:r>
      <w:r>
        <w:rPr>
          <w:rStyle w:val="FootnoteAnchor"/>
          <w:rtl w:val="true"/>
        </w:rPr>
        <w:footnoteReference w:id="1103"/>
      </w:r>
      <w:r>
        <w:rPr>
          <w:rFonts w:ascii="IRNazanin" w:hAnsi="IRNazanin" w:eastAsia="IRNazanin"/>
          <w:color w:val="111111"/>
          <w:sz w:val="28"/>
          <w:sz w:val="28"/>
          <w:szCs w:val="28"/>
          <w:rtl w:val="true"/>
          <w:lang w:bidi="fa-IR"/>
        </w:rPr>
        <w:t>مع عدم حلّ المشکلة بوجه حسن بعد عدم صحّة تقریب العلّامة الأصفهانیّ الصدر قدّس سرّه للشبهة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یتوجّه إلیه أیضا ما مرّ علی تقدیر کون الشبهة من القسم الثانی؛ ضرورة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الثوب متنجّسا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تسامحیّ، و هو یفید بالنسبة إلی الصلاة فیه؛ لما یعلم تفصیلا بالصلاة فی النجس، لما لا أثر لکون النجس فی الجانب الشرقیّ أو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الثوب کبیرا، و صلّی فی جانب منه لا یبعد صحّة الصلاة، و تکون المسألة من قبیل الملاقی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حول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الغور فی خصوصیّات الأمثلة فهو من الرجم بالغیب أحیانا، و ممّا لا ینبغی للاصولی؛ لأنّ النظر إلی نفس الکلّی فی حدّ ذاته، و قد کثر الدور فی کلامهم حولها، و هو غیر صحیح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الشبهة الأخیرة العبائیّة فقهیّة ارید منها استنتاج المسألة الاصولیة، غفلة عن أنّ ذلک غیر جائز؛ فإنّ الجزئیّ لا یکون کاسبا و لا مکتسبا، فإنّ من الممکن دعوی أنّ ملاقاة النجس لیست موضوع الأثر، بل ملاقاة البول أو الخمر، أو ملاقاة ملاقی البول أو الخمر من غیر رجوع المسألة إلی معنی کلّی کی یستصحب، و یترتّب علیه الأثر، أو مسألة علمیّة کلّیة إلّا فرضا</w:t>
      </w:r>
      <w:r>
        <w:rPr>
          <w:rFonts w:eastAsia="IRNazanin" w:cs="IRNazanin"/>
          <w:color w:val="111111"/>
          <w:sz w:val="28"/>
          <w:szCs w:val="28"/>
          <w:rtl w:val="true"/>
          <w:lang w:bidi="fa-IR"/>
        </w:rPr>
        <w:t>.</w:t>
      </w:r>
    </w:p>
    <w:p>
      <w:pPr>
        <w:pStyle w:val="Heading6"/>
        <w:numPr>
          <w:ilvl w:val="5"/>
          <w:numId w:val="1"/>
        </w:numPr>
        <w:rPr/>
      </w:pPr>
      <w:bookmarkStart w:id="891" w:name="__RefHeading___Toc764214_3244359995"/>
      <w:bookmarkStart w:id="892" w:name="_Toc332"/>
      <w:bookmarkEnd w:id="891"/>
      <w:r>
        <w:rPr>
          <w:rtl w:val="true"/>
        </w:rPr>
        <w:t>بقیت نکتة</w:t>
      </w:r>
      <w:r>
        <w:rPr>
          <w:rtl w:val="true"/>
        </w:rPr>
        <w:t xml:space="preserve">: </w:t>
      </w:r>
      <w:r>
        <w:rPr>
          <w:rtl w:val="true"/>
        </w:rPr>
        <w:t>فی منع إطلاق جریان القسم الثانی</w:t>
      </w:r>
      <w:bookmarkEnd w:id="89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القسم الثانی و لو کان جاریا عقلا و عرفا، إلّا أنّ إطلاقه محلّ مناقشة؛</w:t>
      </w:r>
    </w:p>
    <w:p>
      <w:pPr>
        <w:pStyle w:val="BookText"/>
        <w:rPr/>
      </w:pPr>
      <w:r>
        <w:rPr>
          <w:rFonts w:ascii="IRNazanin" w:hAnsi="IRNazanin" w:eastAsia="IRNazanin"/>
          <w:color w:val="111111"/>
          <w:sz w:val="28"/>
          <w:sz w:val="28"/>
          <w:szCs w:val="28"/>
          <w:rtl w:val="true"/>
          <w:lang w:bidi="fa-IR"/>
        </w:rPr>
        <w:t>و ذلک لأنّه لو علم بأنّ الموجود إمّا زید المعلوم ارتفاعه، أو عمرو المعلوم بقاؤه، فیکون علی علم بالإنسان، و یشکّ فی بقائه، و علی علم من العبد فیشکّ فی بقائه، فیصحّ بیعه مثلا، و أمّا العناوین البعیدة فجریانه فیها عرفا محلّ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تکفیک الشبهة فیه لو کان له الأثر، و إلّا فلا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بالوطن الشرعیّ؛ و اشتراط کونه مالکا لدار، فإذا ابتلی بالقسم الثانی یستصحب بقاء الدار، فیصحّ بیعه، و أمّا استصحاب بقاء الشرط المتوقّف علی کونه مالکا، و هو المتوقّف علی وجود الدار و هکذا، فربّما یشکل، کما لا یجری استصحاب نجاسة المنیّ لنجاسة السقط،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مرّ من حدیث کفایة استصحاب الکلّی عن الفرد أو بالعکس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کونه شخصا، أو کلّیا تحتانیّا</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المقام کما فی المثال المذکور، فإنّه هل یکفی استصحاب بقاء الدار عن استصحاب وجود الشرط، أم لا بدّ من التفصیل بین الأمثلة، أو لا یکفی، بل یجری نفس استصحاب بقاء عنوان الشرط؟</w:t>
      </w:r>
    </w:p>
    <w:p>
      <w:pPr>
        <w:pStyle w:val="BookText"/>
        <w:rPr/>
      </w:pPr>
      <w:r>
        <w:rPr>
          <w:rFonts w:ascii="IRNazanin" w:hAnsi="IRNazanin" w:eastAsia="IRNazanin"/>
          <w:color w:val="111111"/>
          <w:sz w:val="28"/>
          <w:sz w:val="28"/>
          <w:szCs w:val="28"/>
          <w:rtl w:val="true"/>
          <w:lang w:bidi="fa-IR"/>
        </w:rPr>
        <w:t>وجوه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نفسی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هذه الاستصحابات المتوافقة إن لم تکن مثبتة، فکلّها جاریة، و ان کان بینها المثبت فغیره جار و لیس الإجراء بید المکلّف کما عرفت، بل المکلّف یجب الاتباع العملیّ علیه، و هو حکم إلهیّ طریقیّ ثابت علی موضوعه بعد تحقّقه، فالبحث المذکور اشتباه هنا و هناک، و اللّه الهادی إلی الصواب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العلم الإجمالیّ، یعلم</w:t>
      </w:r>
      <w:bookmarkStart w:id="893" w:name="pg13177_118146"/>
    </w:p>
    <w:p>
      <w:pPr>
        <w:pStyle w:val="BookText"/>
        <w:rPr/>
      </w:pPr>
      <w:bookmarkEnd w:id="893"/>
      <w:r>
        <w:rPr>
          <w:rFonts w:ascii="IRNazanin" w:hAnsi="IRNazanin" w:eastAsia="IRNazanin"/>
          <w:color w:val="111111"/>
          <w:sz w:val="28"/>
          <w:sz w:val="28"/>
          <w:szCs w:val="28"/>
          <w:rtl w:val="true"/>
          <w:lang w:bidi="fa-IR"/>
        </w:rPr>
        <w:t xml:space="preserve">تفصیلا بالحیوان و النامی و الجسم و هکذا، کما عرفت فی القسم الأوّل </w:t>
      </w:r>
      <w:r>
        <w:rPr>
          <w:rStyle w:val="FootnoteAnchor"/>
          <w:rtl w:val="true"/>
        </w:rPr>
        <w:footnoteReference w:id="1106"/>
      </w:r>
      <w:r>
        <w:rPr>
          <w:rFonts w:ascii="IRNazanin" w:hAnsi="IRNazanin" w:eastAsia="IRNazanin"/>
          <w:color w:val="111111"/>
          <w:sz w:val="28"/>
          <w:sz w:val="28"/>
          <w:szCs w:val="28"/>
          <w:rtl w:val="true"/>
          <w:lang w:bidi="fa-IR"/>
        </w:rPr>
        <w:t xml:space="preserve">، و یأتی حدیث کفایة استصحاب الکلّی الفوقانیّ عن التحتانیّ و بالعکس </w:t>
      </w:r>
      <w:r>
        <w:rPr>
          <w:rStyle w:val="FootnoteAnchor"/>
          <w:rtl w:val="true"/>
        </w:rPr>
        <w:footnoteReference w:id="1107"/>
      </w:r>
      <w:r>
        <w:rPr>
          <w:rFonts w:ascii="IRNazanin" w:hAnsi="IRNazanin" w:eastAsia="IRNazanin"/>
          <w:color w:val="111111"/>
          <w:sz w:val="28"/>
          <w:sz w:val="28"/>
          <w:szCs w:val="28"/>
          <w:rtl w:val="true"/>
          <w:lang w:bidi="fa-IR"/>
        </w:rPr>
        <w:t>، و یتوجّه إلیه ما اشیر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نکتة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فی العامّ الاصولیّ لا یأتی بحث استصحاب الکلّی، فلو کان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الانحلال الأفرادیّ، فنفس عنوان الکلّی المتکثّر بلا حکم،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بوجود زید أو عمرو فی الدار، و علم بأنّه لو کان زیدا فهو خارج، فیعلم بأنّ العالم فی الدار، و یشکّ فی بقائه فیستصحب، و النتیجة وجوب إکرام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یثمر بالنسبة إلی هذه المسألة مثلا وجوب تهیئة مقدّمات إکرامه، و الذهاب إلی الدار عقلا؛ لأنّ العالم لا حکم له فی ظرف الیقین، و لا فی ظرف الشکّ</w:t>
      </w:r>
      <w:r>
        <w:rPr>
          <w:rFonts w:eastAsia="IRNazanin" w:cs="IRNazanin"/>
          <w:color w:val="111111"/>
          <w:sz w:val="28"/>
          <w:szCs w:val="28"/>
          <w:rtl w:val="true"/>
          <w:lang w:bidi="fa-IR"/>
        </w:rPr>
        <w:t>.</w:t>
      </w:r>
    </w:p>
    <w:p>
      <w:pPr>
        <w:pStyle w:val="Heading6"/>
        <w:numPr>
          <w:ilvl w:val="5"/>
          <w:numId w:val="1"/>
        </w:numPr>
        <w:rPr/>
      </w:pPr>
      <w:bookmarkStart w:id="894" w:name="__RefHeading___Toc764216_3244359995"/>
      <w:bookmarkStart w:id="895" w:name="_Toc333"/>
      <w:bookmarkEnd w:id="894"/>
      <w:r>
        <w:rPr>
          <w:rtl w:val="true"/>
        </w:rPr>
        <w:t>جولة حول الأمثلة کی لا یقع الطلبة فی الاشتباه</w:t>
      </w:r>
      <w:bookmarkEnd w:id="895"/>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کثرت أمثلة القسم الثانی کالحدث الأصغر و الأکبر، أو نجاسة الثوب بنجس کذائیّ أو کذائیّ، أو عنوان قضاء الفوائت و الدین المردّد بین الأقلّ و الأکثر الاستقلالیّین، أو النجس المردّد بین الذاتیّة و العرضیّة، کالصوف المردّد بین کونه من الخنزیر، أو المتنجّس بنجاسة عرضیّة، أو الصابون المردّد بین کونه متّخذا من الزیت غیر المذکّی، أو غیره المتنجّس بالعرض، أو غیر ذلک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هناک بعض إشارات، فقد مرّ أنّه لا یعقل وحدة الحکم التأسیسیّ بین طبیعیّ الحدث و الحدث الخاصّ </w:t>
      </w:r>
      <w:r>
        <w:rPr>
          <w:rStyle w:val="FootnoteAnchor"/>
          <w:rtl w:val="true"/>
        </w:rPr>
        <w:footnoteReference w:id="1108"/>
      </w:r>
      <w:r>
        <w:rPr>
          <w:rFonts w:ascii="IRNazanin" w:hAnsi="IRNazanin" w:eastAsia="IRNazanin"/>
          <w:color w:val="111111"/>
          <w:sz w:val="28"/>
          <w:sz w:val="28"/>
          <w:szCs w:val="28"/>
          <w:rtl w:val="true"/>
          <w:lang w:bidi="fa-IR"/>
        </w:rPr>
        <w:t>، فلا یعقل تحریم مسّ الکتابة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لعنوان کلّی،</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لعنوان خاصّ؛ و هو الأصغر و الأکبر، فلا یعقل کون بقاء الحدث مورد الحکم الشرعیّ و لو کان هناک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الاستصحاب إلّا العدم الأزلیّ بالنسبة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إیجاب الغسل بالنسبة إلی ملاقی النجس الطبیعیّ مرّة، و إیجابه بالنسبة إلی الجنس الخاصّ ثانیة، و تفصیله محرّر فی هذا الکتاب مرارا، کما مرّ فی القسم الأوّل </w:t>
      </w:r>
      <w:r>
        <w:rPr>
          <w:rStyle w:val="FootnoteAnchor"/>
          <w:rtl w:val="true"/>
        </w:rPr>
        <w:footnoteReference w:id="1109"/>
      </w:r>
      <w:r>
        <w:rPr>
          <w:rFonts w:ascii="IRNazanin" w:hAnsi="IRNazanin" w:eastAsia="IRNazanin"/>
          <w:color w:val="111111"/>
          <w:sz w:val="28"/>
          <w:sz w:val="28"/>
          <w:szCs w:val="28"/>
          <w:rtl w:val="true"/>
          <w:lang w:bidi="fa-IR"/>
        </w:rPr>
        <w:t>أیضا، و لو ساعدنا الدلیل الإثباتی علی ذلک، مع أنّه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بالنسبة إلی جعل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ذلک میسّر لو کان دلیل الاستصحاب مشرّعا، فما تری فی کلماتهم طرّا خال من التحصیل قطعا، أو قلنا بتنجیز الأکبر لو کان التعبّد بطبیعیّ الحدث، کما مرّ 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قضاء الصلوات و الدین، فإن کان له منشأ یجری فیه الأصل غیر المثبت فهو، کما لو شکّ فی قضاء رمضان أنّه عشرون أو أکثر، و کان ذلک لأجل مرضه، فإنّ استصحاب بقاء مرضه یجری إلی أن یثبت به الأکثر، بخلاف الصلاة؛ لأنّه لا یثبت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القضاء ترک المأمور به فی الوقت، و هو بلا وجه، و تفصیله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تصل النوبة إلی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البراءة، فهی عندهم تجری، و لا یبقی بعد ذلک وجه للاستصحاب؛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مرّ منّا فی باب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الاستصحاب الاستقبالیّ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البراءة</w:t>
      </w:r>
      <w:r>
        <w:rPr>
          <w:rStyle w:val="FootnoteAnchor"/>
          <w:rtl w:val="true"/>
        </w:rPr>
        <w:footnoteReference w:id="1110"/>
      </w:r>
      <w:r>
        <w:rPr>
          <w:rFonts w:ascii="IRNazanin" w:hAnsi="IRNazanin" w:eastAsia="IRNazanin"/>
          <w:color w:val="111111"/>
          <w:sz w:val="28"/>
          <w:sz w:val="28"/>
          <w:szCs w:val="28"/>
          <w:rtl w:val="true"/>
          <w:lang w:bidi="fa-IR"/>
        </w:rPr>
        <w:t>، فإذا أعطی الأقلّ، أو أتی بالصلوات المعلومة بالتفصیل،</w:t>
      </w:r>
    </w:p>
    <w:p>
      <w:pPr>
        <w:pStyle w:val="BookText"/>
        <w:rPr/>
      </w:pPr>
      <w:r>
        <w:rPr>
          <w:rFonts w:ascii="IRNazanin" w:hAnsi="IRNazanin" w:eastAsia="IRNazanin"/>
          <w:color w:val="111111"/>
          <w:sz w:val="28"/>
          <w:sz w:val="28"/>
          <w:szCs w:val="28"/>
          <w:rtl w:val="true"/>
          <w:lang w:bidi="fa-IR"/>
        </w:rPr>
        <w:t xml:space="preserve">یجری استصحاب بقاء القضاء و الوفاء بالدین؛ لوجود الشکّ الاستصحابیّ، و ما هو موضوع الحکم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به تنحلّ مشکلة فتوی المشهور فی قضاء الصلوات بإیجاب ما یغلب علی ظنّه </w:t>
      </w:r>
      <w:r>
        <w:rPr>
          <w:rStyle w:val="FootnoteAnchor"/>
          <w:rtl w:val="true"/>
        </w:rPr>
        <w:footnoteReference w:id="1111"/>
      </w:r>
      <w:r>
        <w:rPr>
          <w:rFonts w:ascii="IRNazanin" w:hAnsi="IRNazanin" w:eastAsia="IRNazanin"/>
          <w:color w:val="111111"/>
          <w:sz w:val="28"/>
          <w:sz w:val="28"/>
          <w:szCs w:val="28"/>
          <w:rtl w:val="true"/>
          <w:lang w:bidi="fa-IR"/>
        </w:rPr>
        <w:t>، و أمّا فی مثل الدین فلم یلتزموا إلّا بوجوب ردّ العنوان الذاتیّ لا العرضیّ،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المردّد بین النجاسة الذاتیّة و العرضیّة، فإن کان لشبهة حکمیّة فقاعدة الطهارة و إن کانت جاریة، إلّا أنّ مفادها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الموضوع و الشکّ، کی تکون حاکمة علی الاستصحاب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یجری هنا استصحاب العدم الأزلیّ، یمکن تخیّل إجراء الاستصحاب الوجودیّ؛ لأنّه علی تقدیر النجاسة الذاتیّة لا یتنجّس عرضا، فیستصحب طبیعیّ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أحطت خبرا بامتناع إیجاب الغسل تارة علی الذاتیّ المحفوظ عند إیجابه للنجاسة العرضیّة اخری، فهناک لا أثر للاستصحاب الوجودیّ، و هکذا فی الشبهة الموضوعیّة، و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قلتات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ملال خاطرکم الشریف أکثر ممّا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هنا کالمستصحب فی الأحکام التکلیفیّة، فیکون نفس التعبّد بالنجاسة منجّزا للنجاسة الذاتیّة، من غیر الحاجة إلی إثباتها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مثبت، فلا تغفل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فاستصحاب الکلّی لا یستلزم أحکام الفرد و لا یثبته، و لکن یتنجّز تلک الأحکام لو صادف الحیوان المتقیّد به الفرد واقعا، و هذا المقدار کاف لجواز</w:t>
      </w:r>
      <w:bookmarkStart w:id="896" w:name="pg13177_118149"/>
    </w:p>
    <w:p>
      <w:pPr>
        <w:pStyle w:val="BookText"/>
        <w:rPr/>
      </w:pPr>
      <w:bookmarkEnd w:id="896"/>
      <w:r>
        <w:rPr>
          <w:rFonts w:ascii="IRNazanin" w:hAnsi="IRNazanin" w:eastAsia="IRNazanin"/>
          <w:color w:val="111111"/>
          <w:sz w:val="28"/>
          <w:sz w:val="28"/>
          <w:szCs w:val="28"/>
          <w:rtl w:val="true"/>
          <w:lang w:bidi="fa-IR"/>
        </w:rPr>
        <w:t>التعبّد، و هذا أحسن من أثر الانضمام الذی یقول بکفایته لجریان استصحاب الجزء، مع أنّه محلّ منع، و هو غیر ما نقول، فلا تغفل</w:t>
      </w:r>
      <w:r>
        <w:rPr>
          <w:rFonts w:eastAsia="IRNazanin" w:cs="IRNazanin"/>
          <w:color w:val="111111"/>
          <w:sz w:val="28"/>
          <w:szCs w:val="28"/>
          <w:rtl w:val="true"/>
          <w:lang w:bidi="fa-IR"/>
        </w:rPr>
        <w:t>.</w:t>
      </w:r>
    </w:p>
    <w:p>
      <w:pPr>
        <w:pStyle w:val="Heading5"/>
        <w:numPr>
          <w:ilvl w:val="4"/>
          <w:numId w:val="1"/>
        </w:numPr>
        <w:rPr/>
      </w:pPr>
      <w:bookmarkStart w:id="897" w:name="__RefHeading___Toc764218_3244359995"/>
      <w:bookmarkStart w:id="898" w:name="_Toc334"/>
      <w:bookmarkEnd w:id="897"/>
      <w:r>
        <w:rPr>
          <w:rtl w:val="true"/>
        </w:rPr>
        <w:t>القسم الثالث</w:t>
      </w:r>
      <w:r>
        <w:rPr>
          <w:rtl w:val="true"/>
        </w:rPr>
        <w:t xml:space="preserve">: </w:t>
      </w:r>
      <w:r>
        <w:rPr>
          <w:rtl w:val="true"/>
        </w:rPr>
        <w:t>من استصحاب الکلّی</w:t>
      </w:r>
      <w:bookmarkEnd w:id="898"/>
    </w:p>
    <w:p>
      <w:pPr>
        <w:pStyle w:val="Heading6"/>
        <w:numPr>
          <w:ilvl w:val="5"/>
          <w:numId w:val="1"/>
        </w:numPr>
        <w:rPr/>
      </w:pPr>
      <w:bookmarkStart w:id="899" w:name="__RefHeading___Toc764220_3244359995"/>
      <w:bookmarkStart w:id="900" w:name="_Toc335"/>
      <w:bookmarkEnd w:id="899"/>
      <w:r>
        <w:rPr>
          <w:rtl w:val="true"/>
        </w:rPr>
        <w:t>اشارة</w:t>
      </w:r>
      <w:bookmarkEnd w:id="900"/>
    </w:p>
    <w:p>
      <w:pPr>
        <w:pStyle w:val="BookText"/>
        <w:rPr/>
      </w:pPr>
      <w:r>
        <w:rPr>
          <w:rFonts w:ascii="IRNazanin" w:hAnsi="IRNazanin" w:eastAsia="IRNazanin"/>
          <w:color w:val="111111"/>
          <w:sz w:val="28"/>
          <w:sz w:val="28"/>
          <w:szCs w:val="28"/>
          <w:rtl w:val="true"/>
          <w:lang w:bidi="fa-IR"/>
        </w:rPr>
        <w:t>أن یکون العلم بوجود الکلّی من جهة العلم بالفرد، و لکنّ الشکّ فی البقاء إمّا مستند إلی احتمال مقارنة ذاک الفرد لفرد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احتمال مقارنة آن خروج الفرد مع آن دخول الفرد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کانت الکلّیة غیر متواطئة الأفراد، فیکون الشکّ فی بقائه من جهة الشکّ بعد زوال المرتبة الشدیدة، فی حدوث المرتبة الاخری، أو بقاء المرتبة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فی جمیع الفروض انعدام الفرد الموجب للعلم بالکلّی، أو یکون عالما بانعدام ذلک الفرد، و لکن لا یعلم المعانقة أو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الفرض الثالث إمّا یرجع إلی القسم الأوّل؛ لأنّ اختلاف مراتب الإرادة و الطلب، أو اختلاف مراتب الشکّ فی کثیر الشکّ و غیر ذلک، لا یعدّ من الأفراد لحقیقة واحدة، فزوال الحمرة الشدیدة لیس من زوال الفرد عند القائلین بالتشکیک، أو یرجع إلی الفرض الثانی؛ لأنّ فی نظر العرف فی المثال المذکور و فی مثل الإرادة، لا یعقل زوال المرتبة العلیا، و بقاء المرتبة الضعیفة، بل هو حدوث تلک المرتبة مقارنا مع زوالها عقلا، فلا فرض ثالث للقسم الثالث لا عقلا، و لا عرفا؛ کی یقع مورد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الموضوعات یکون مبدأ الشکّ فی اتحاد القضیّتین؛ ضرورة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المرتبة العلیا علی وجه تتّحد القضیّتان فی الصورتین، و لا یشکّ أیضا؛ لشدّة الشکّ و الحمرة و العدالة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ذلک مع انحفاظ الموضوع عرفا؛ لإمکان الإشارة إلیه،</w:t>
      </w:r>
    </w:p>
    <w:p>
      <w:pPr>
        <w:pStyle w:val="BookText"/>
        <w:rPr/>
      </w:pPr>
      <w:r>
        <w:rPr>
          <w:rFonts w:ascii="IRNazanin" w:hAnsi="IRNazanin" w:eastAsia="IRNazanin"/>
          <w:color w:val="111111"/>
          <w:sz w:val="28"/>
          <w:sz w:val="28"/>
          <w:szCs w:val="28"/>
          <w:rtl w:val="true"/>
          <w:lang w:bidi="fa-IR"/>
        </w:rPr>
        <w:t>و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الجسم کان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المرتبة العلیا من حالات أصل الحمرة و إن لم یکن الأمر کذلک عقلا حسب الموازین القدیمة، و لا فی خصوص الألوان حسب الموازین الحدیثة؛ حیث إنّ الألوان أضواء منعدمة فی اللیالی المظلمة،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تقدیر اختلفوا، فذهب بعضهم کالشیخ الأنصاریّ رحمه اللّه إلی التفصیل </w:t>
      </w:r>
      <w:r>
        <w:rPr>
          <w:rStyle w:val="FootnoteAnchor"/>
          <w:rtl w:val="true"/>
        </w:rPr>
        <w:footnoteReference w:id="1112"/>
      </w:r>
      <w:r>
        <w:rPr>
          <w:rFonts w:ascii="IRNazanin" w:hAnsi="IRNazanin" w:eastAsia="IRNazanin"/>
          <w:color w:val="111111"/>
          <w:sz w:val="28"/>
          <w:sz w:val="28"/>
          <w:szCs w:val="28"/>
          <w:rtl w:val="true"/>
          <w:lang w:bidi="fa-IR"/>
        </w:rPr>
        <w:t xml:space="preserve">، و أنکر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جمع جریانه علی الإطلاق </w:t>
      </w:r>
      <w:r>
        <w:rPr>
          <w:rStyle w:val="FootnoteAnchor"/>
          <w:rtl w:val="true"/>
        </w:rPr>
        <w:footnoteReference w:id="1114"/>
      </w:r>
      <w:r>
        <w:rPr>
          <w:rFonts w:ascii="IRNazanin" w:hAnsi="IRNazanin" w:eastAsia="IRNazanin"/>
          <w:color w:val="111111"/>
          <w:sz w:val="28"/>
          <w:sz w:val="28"/>
          <w:szCs w:val="28"/>
          <w:rtl w:val="true"/>
          <w:lang w:bidi="fa-IR"/>
        </w:rPr>
        <w:t>لأنّ المناط هو العرف، و الأشبه جریانه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 هو الإشکال الذی مرّ فی القسم الثانی </w:t>
      </w:r>
      <w:r>
        <w:rPr>
          <w:rStyle w:val="FootnoteAnchor"/>
          <w:rtl w:val="true"/>
        </w:rPr>
        <w:footnoteReference w:id="1115"/>
      </w:r>
      <w:r>
        <w:rPr>
          <w:rFonts w:ascii="IRNazanin" w:hAnsi="IRNazanin" w:eastAsia="IRNazanin"/>
          <w:color w:val="111111"/>
          <w:sz w:val="28"/>
          <w:sz w:val="28"/>
          <w:szCs w:val="28"/>
          <w:rtl w:val="true"/>
          <w:lang w:bidi="fa-IR"/>
        </w:rPr>
        <w:t>، و کان ینبغی أن یتذکّره هناک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تعلیقات بعض تلامذته الفرق بین القسم الثانی و المقام </w:t>
      </w:r>
      <w:r>
        <w:rPr>
          <w:rStyle w:val="FootnoteAnchor"/>
          <w:rtl w:val="true"/>
        </w:rPr>
        <w:footnoteReference w:id="1116"/>
      </w:r>
      <w:r>
        <w:rPr>
          <w:rFonts w:ascii="IRNazanin" w:hAnsi="IRNazanin" w:eastAsia="IRNazanin"/>
          <w:color w:val="111111"/>
          <w:sz w:val="28"/>
          <w:sz w:val="28"/>
          <w:szCs w:val="28"/>
          <w:rtl w:val="true"/>
          <w:lang w:bidi="fa-IR"/>
        </w:rPr>
        <w:t>، مع أنّ التحقیق عدم الفرق، و انحفاظ المعلوم بالذات الذی هو عین المعلوم بالعرض، و لأجله ینکشف الخارج بالوجودات الذهنیّة، و یسری حکم الخارج إلی ما فی الذهن؛ و هو الطبیعیّ العاری عن الخصوصیّات، و من الطبیعیّ إلی الخارج کالإمکان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غفلة أرباب المعقول و أصحاب الاصول عن هذه الدقیقة العلمیة، أوقعتهم فی القول بالمعقول الثانی الجائی بالمعنی الثانی، و ألجأتهم إلی المناقشة فی جریان الاستصحاب فی القسم الثانی و الثالث </w:t>
      </w:r>
      <w:r>
        <w:rPr>
          <w:rStyle w:val="FootnoteAnchor"/>
          <w:rtl w:val="true"/>
        </w:rPr>
        <w:footnoteReference w:id="1117"/>
      </w:r>
      <w:r>
        <w:rPr>
          <w:rFonts w:ascii="IRNazanin" w:hAnsi="IRNazanin" w:eastAsia="IRNazanin"/>
          <w:color w:val="111111"/>
          <w:sz w:val="28"/>
          <w:sz w:val="28"/>
          <w:szCs w:val="28"/>
          <w:rtl w:val="true"/>
          <w:lang w:bidi="fa-IR"/>
        </w:rPr>
        <w:t>، أو خصوص الأخیر</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فوحدة الموضوع ذهنا و خارجا سبب لکون القضیّة الثنائیّة ممکنة،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موجود بالإمکان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صحیح؛ لأجل عدم أخذ الوجود فی الموضوع، و إلّا فالإنسان الموجود موجود بالضرورة، و الإنسان الموجود واجب، لا ممکن إلّا بالإمکان الفقریّ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الغفلة أوقعت الشیخ المقتول فی حصر القضیّة بالبتّاتة، و التفصیل یطلب من محلّه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تری فی کلمات الاصولیّین الذین لا شأن لهم إلّا التشبّث بذیل العرف فی قصّة الحصّة</w:t>
      </w:r>
      <w:r>
        <w:rPr>
          <w:rStyle w:val="FootnoteAnchor"/>
          <w:rtl w:val="true"/>
        </w:rPr>
        <w:footnoteReference w:id="1120"/>
      </w:r>
      <w:r>
        <w:rPr>
          <w:rFonts w:ascii="IRNazanin" w:hAnsi="IRNazanin" w:eastAsia="IRNazanin"/>
          <w:color w:val="111111"/>
          <w:sz w:val="28"/>
          <w:sz w:val="28"/>
          <w:szCs w:val="28"/>
          <w:rtl w:val="true"/>
          <w:lang w:bidi="fa-IR"/>
        </w:rPr>
        <w:t xml:space="preserve">، فهی غیر حصّة تذکر أحیانا فی کلمات العقلاء کقول ناظمهم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الحصّة الکلّی مقیّدا یجی‌تقیّد جزء و قید خارجی</w:t>
      </w:r>
    </w:p>
    <w:p>
      <w:pPr>
        <w:pStyle w:val="BookText"/>
        <w:rPr/>
      </w:pPr>
      <w:r>
        <w:rPr>
          <w:rFonts w:ascii="IRNazanin" w:hAnsi="IRNazanin" w:eastAsia="IRNazanin"/>
          <w:color w:val="111111"/>
          <w:sz w:val="28"/>
          <w:sz w:val="28"/>
          <w:szCs w:val="28"/>
          <w:rtl w:val="true"/>
          <w:lang w:bidi="fa-IR"/>
        </w:rPr>
        <w:t>فإنّها ذهنیّة، و لا حصّة فی الخارج إلّا بالقیاس إلی الحصص النوریّة الوجودیّة الشخصیّة، رزقنا اللّه تعالی کأسا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تحرّر، یجری استصحاب الفرض الأوّل و الثانی حسب الموازین العقلیّة، بل و العرفیّة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أنّ الشکّ فی البقاء مسبّب عن الشکّ فی حدوث الفرد المعانق أو المقارن، عین القضیّة السالفة حذوا بحذو</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إمکان التفصیل بین صدر المسألة المذکورة هناک فیما نحن فیه، أیضا لا بأس به؛ بأن ینکر عرفا بقاء الإنسان فیما إذا علم بوجود زید، و احتمل معانقة عمرو أو مقارنته معه فی الدار زمانا، أو حال الخروج، و لا أقلّ من الشکّ فی وحدة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ینکر فی مثل العلم الإجمالیّ بوجود البقر و الحمار الملازم للعلم</w:t>
      </w:r>
      <w:bookmarkStart w:id="901" w:name="pg13177_118152"/>
    </w:p>
    <w:p>
      <w:pPr>
        <w:pStyle w:val="BookText"/>
        <w:rPr/>
      </w:pPr>
      <w:bookmarkEnd w:id="901"/>
      <w:r>
        <w:rPr>
          <w:rFonts w:ascii="IRNazanin" w:hAnsi="IRNazanin" w:eastAsia="IRNazanin"/>
          <w:color w:val="111111"/>
          <w:sz w:val="28"/>
          <w:sz w:val="28"/>
          <w:szCs w:val="28"/>
          <w:rtl w:val="true"/>
          <w:lang w:bidi="fa-IR"/>
        </w:rPr>
        <w:t xml:space="preserve">التفصیلیّ بوجود الحیوان، ثمّ علم بخروجهما، و احتمل مقارنة أو معانقة الفرس، فإنّه فی المثال الأوّل یجد العرف خصوصیّات زید، و یشقّ علیه الشکّ فی بقاء الإنسان بعد خروجه، بخلاف الصورة الثانیة،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22"/>
      </w:r>
      <w:r>
        <w:rPr>
          <w:rFonts w:ascii="Amiri" w:hAnsi="Amiri" w:eastAsia="Amiri" w:cs="Amiri"/>
          <w:color w:val="111111"/>
          <w:sz w:val="28"/>
          <w:sz w:val="28"/>
          <w:szCs w:val="28"/>
          <w:rtl w:val="true"/>
          <w:lang w:bidi="ar-SA"/>
        </w:rPr>
        <w:t xml:space="preserve">و فی تقریر العلّامة التقیّ الشیرازیّ قدّس سرّه </w:t>
      </w:r>
      <w:r>
        <w:rPr>
          <w:rStyle w:val="FootnoteAnchor"/>
          <w:rtl w:val="true"/>
        </w:rPr>
        <w:footnoteReference w:id="1123"/>
      </w:r>
      <w:r>
        <w:rPr>
          <w:rFonts w:ascii="IRNazanin" w:hAnsi="IRNazanin" w:eastAsia="IRNazanin"/>
          <w:color w:val="111111"/>
          <w:sz w:val="28"/>
          <w:sz w:val="28"/>
          <w:szCs w:val="28"/>
          <w:rtl w:val="true"/>
          <w:lang w:bidi="fa-IR"/>
        </w:rPr>
        <w:t>و الأمر بیدک لا یرتبط بنا، فإنّ العرف ببابک یقرع باب إحسانک</w:t>
      </w:r>
      <w:r>
        <w:rPr>
          <w:rFonts w:eastAsia="IRNazanin" w:cs="IRNazanin"/>
          <w:color w:val="111111"/>
          <w:sz w:val="28"/>
          <w:szCs w:val="28"/>
          <w:rtl w:val="true"/>
          <w:lang w:bidi="fa-IR"/>
        </w:rPr>
        <w:t>.</w:t>
      </w:r>
    </w:p>
    <w:p>
      <w:pPr>
        <w:pStyle w:val="Heading6"/>
        <w:numPr>
          <w:ilvl w:val="5"/>
          <w:numId w:val="1"/>
        </w:numPr>
        <w:rPr/>
      </w:pPr>
      <w:bookmarkStart w:id="902" w:name="__RefHeading___Toc764222_3244359995"/>
      <w:bookmarkStart w:id="903" w:name="_Toc336"/>
      <w:bookmarkEnd w:id="902"/>
      <w:r>
        <w:rPr>
          <w:rtl w:val="true"/>
        </w:rPr>
        <w:t>تذنیب</w:t>
      </w:r>
      <w:r>
        <w:rPr>
          <w:rtl w:val="true"/>
        </w:rPr>
        <w:t xml:space="preserve">: </w:t>
      </w:r>
      <w:r>
        <w:rPr>
          <w:rtl w:val="true"/>
        </w:rPr>
        <w:t>فیه تأیید لمسلکنا</w:t>
      </w:r>
      <w:bookmarkEnd w:id="903"/>
    </w:p>
    <w:p>
      <w:pPr>
        <w:pStyle w:val="BookText"/>
        <w:rPr/>
      </w:pPr>
      <w:r>
        <w:rPr>
          <w:rFonts w:ascii="IRNazanin" w:hAnsi="IRNazanin" w:eastAsia="IRNazanin"/>
          <w:color w:val="111111"/>
          <w:sz w:val="28"/>
          <w:sz w:val="28"/>
          <w:szCs w:val="28"/>
          <w:rtl w:val="true"/>
          <w:lang w:bidi="fa-IR"/>
        </w:rPr>
        <w:t>و ممّا یؤیّدنا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دخل فرد أو أفراد فی الدار لزیارة السیّد، کما هو کذلک فی المشاهد المشرّفة، و کان الأمر من أوّل الشهر أو الیوم إلی الغروب مثلا، مردّدا بین المعانقة بین الأفراد و المقارنة، یصحّ الحکم ببقاء الزائر و المشرّف و الإنسان و المؤمن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اللیل یستصحب من غیر أن یفصّل العرف و یدقّق النظر بین المقارنة و المعانقة فی ظرف الشکّ؛ لکفایة مجرّد أفعال المعانقة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منشأ الحکم عقلا و عرفا ببقاء النوع و الجنس و الجسم النامی من الأزمنة القدیمة إلی یومنا هذا، و ربّما فی هذه الصور لا یضرّ التخلّل الیسیر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دقیق النظر العرفیّ لا یساعده، و لأجله لا وجه لتوهّم بطلان الصفّ المتأخر فی صور المعانقة و المقارنة، و إذا کان الأمر کذلک فی صورة العلم ففی صورة الشکّ یشکّ فی البقاء، و یحکم بصحّة جماعة الصفّ المتأخّر، مع أنّه لو تخلّل بفصل یسیر یصدق الفصل بالنظر المتّبع؛ و هو دقیق النظر من العرف، لا المسامح، و من هنا تظهر مواضع الخلل فی کلمات جلّ المتأخّرین</w:t>
      </w:r>
      <w:r>
        <w:rPr>
          <w:rFonts w:eastAsia="IRNazanin" w:cs="IRNazanin"/>
          <w:color w:val="111111"/>
          <w:sz w:val="28"/>
          <w:szCs w:val="28"/>
          <w:rtl w:val="true"/>
          <w:lang w:bidi="fa-IR"/>
        </w:rPr>
        <w:t>.</w:t>
      </w:r>
      <w:bookmarkStart w:id="904" w:name="pg13177_118153"/>
    </w:p>
    <w:p>
      <w:pPr>
        <w:pStyle w:val="Heading6"/>
        <w:numPr>
          <w:ilvl w:val="5"/>
          <w:numId w:val="1"/>
        </w:numPr>
        <w:rPr/>
      </w:pPr>
      <w:bookmarkStart w:id="905" w:name="__RefHeading___Toc764224_3244359995"/>
      <w:bookmarkStart w:id="906" w:name="_Toc337"/>
      <w:bookmarkEnd w:id="904"/>
      <w:bookmarkEnd w:id="905"/>
      <w:r>
        <w:rPr>
          <w:rtl w:val="true"/>
        </w:rPr>
        <w:t>بقی شی‌ء</w:t>
      </w:r>
      <w:r>
        <w:rPr>
          <w:rtl w:val="true"/>
        </w:rPr>
        <w:t xml:space="preserve">: </w:t>
      </w:r>
      <w:r>
        <w:rPr>
          <w:rtl w:val="true"/>
        </w:rPr>
        <w:t>حول الفرض الثانی من القسم الثالث</w:t>
      </w:r>
      <w:bookmarkEnd w:id="906"/>
    </w:p>
    <w:p>
      <w:pPr>
        <w:pStyle w:val="BookText"/>
        <w:rPr/>
      </w:pPr>
      <w:r>
        <w:rPr>
          <w:rFonts w:ascii="IRNazanin" w:hAnsi="IRNazanin" w:eastAsia="IRNazanin"/>
          <w:color w:val="111111"/>
          <w:sz w:val="28"/>
          <w:sz w:val="28"/>
          <w:szCs w:val="28"/>
          <w:rtl w:val="true"/>
          <w:lang w:bidi="fa-IR"/>
        </w:rPr>
        <w:t xml:space="preserve">و هو أنّ جریان الفرض الأوّل ممّا لا شبهة فیه فی الجملة، و أمّا الثالث فقد عرفت الکلام حوله </w:t>
      </w:r>
      <w:r>
        <w:rPr>
          <w:rStyle w:val="FootnoteAnchor"/>
          <w:rtl w:val="true"/>
        </w:rPr>
        <w:footnoteReference w:id="1124"/>
      </w:r>
      <w:r>
        <w:rPr>
          <w:rFonts w:ascii="IRNazanin" w:hAnsi="IRNazanin" w:eastAsia="IRNazanin"/>
          <w:color w:val="111111"/>
          <w:sz w:val="28"/>
          <w:sz w:val="28"/>
          <w:szCs w:val="28"/>
          <w:rtl w:val="true"/>
          <w:lang w:bidi="fa-IR"/>
        </w:rPr>
        <w:t>، و 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أنکره الأکثر</w:t>
      </w:r>
      <w:r>
        <w:rPr>
          <w:rStyle w:val="FootnoteAnchor"/>
          <w:rtl w:val="true"/>
        </w:rPr>
        <w:footnoteReference w:id="1125"/>
      </w:r>
      <w:r>
        <w:rPr>
          <w:rFonts w:ascii="IRNazanin" w:hAnsi="IRNazanin" w:eastAsia="IRNazanin"/>
          <w:color w:val="111111"/>
          <w:sz w:val="28"/>
          <w:sz w:val="28"/>
          <w:szCs w:val="28"/>
          <w:rtl w:val="true"/>
          <w:lang w:bidi="fa-IR"/>
        </w:rPr>
        <w:t>و ذلک للزوم بقاء الزوجیّة عند انقضاء أمد الزوجیّة المنقطعة الاولی، و هکذا ما شابهها من الوکالة و الإجارة و غیر ذلک، کالحدث فی صورة احتمال جنابته حال نومه، أو مقارنا لحال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الأخیر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أعلامنا قد اشتبه علیهم الأمر فی هذا المثال </w:t>
      </w:r>
      <w:r>
        <w:rPr>
          <w:rStyle w:val="FootnoteAnchor"/>
          <w:rtl w:val="true"/>
        </w:rPr>
        <w:footnoteReference w:id="1126"/>
      </w:r>
      <w:r>
        <w:rPr>
          <w:rFonts w:ascii="IRNazanin" w:hAnsi="IRNazanin" w:eastAsia="IRNazanin"/>
          <w:color w:val="111111"/>
          <w:sz w:val="28"/>
          <w:sz w:val="28"/>
          <w:szCs w:val="28"/>
          <w:rtl w:val="true"/>
          <w:lang w:bidi="fa-IR"/>
        </w:rPr>
        <w:t>، و سائر الأمثلة أیضا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أنّهم قد التزموا فی القسم الثانی بأحکام الفردین؛ من لزوم الجمع بین الوضوء و الغسل، و لو قلنا بجریانه من باب حجّیته علی أحکام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منع من إنکاره حسب الإجماع، أو الأدلّة، أو القطع بخلافه، فإنّه لا یمنع عن جریانه الذاتیّ، فلا ینبغی الخلط بین حدیث الجریان و بین ترتّب أحکامه، فما فی کلام العلّامة الأراکیّ </w:t>
      </w:r>
      <w:r>
        <w:rPr>
          <w:rStyle w:val="FootnoteAnchor"/>
          <w:rtl w:val="true"/>
        </w:rPr>
        <w:footnoteReference w:id="1127"/>
      </w:r>
      <w:r>
        <w:rPr>
          <w:rFonts w:ascii="IRNazanin" w:hAnsi="IRNazanin" w:eastAsia="IRNazanin"/>
          <w:color w:val="111111"/>
          <w:sz w:val="28"/>
          <w:sz w:val="28"/>
          <w:szCs w:val="28"/>
          <w:rtl w:val="true"/>
          <w:lang w:bidi="fa-IR"/>
        </w:rPr>
        <w:t xml:space="preserve">و غیره </w:t>
      </w:r>
      <w:r>
        <w:rPr>
          <w:rStyle w:val="FootnoteAnchor"/>
          <w:rtl w:val="true"/>
        </w:rPr>
        <w:footnoteReference w:id="1128"/>
      </w:r>
      <w:r>
        <w:rPr>
          <w:rFonts w:ascii="IRNazanin" w:hAnsi="IRNazanin" w:eastAsia="IRNazanin"/>
          <w:color w:val="111111"/>
          <w:sz w:val="28"/>
          <w:sz w:val="28"/>
          <w:szCs w:val="28"/>
          <w:rtl w:val="true"/>
          <w:lang w:bidi="fa-IR"/>
        </w:rPr>
        <w:t>خال من التحصیل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التزم الشیخ بجریانه فی الفرض الأوّل </w:t>
      </w:r>
      <w:r>
        <w:rPr>
          <w:rStyle w:val="FootnoteAnchor"/>
          <w:rtl w:val="true"/>
        </w:rPr>
        <w:footnoteReference w:id="1129"/>
      </w:r>
      <w:r>
        <w:rPr>
          <w:rFonts w:ascii="Amiri" w:hAnsi="Amiri" w:eastAsia="Amiri" w:cs="Amiri"/>
          <w:color w:val="111111"/>
          <w:sz w:val="28"/>
          <w:sz w:val="28"/>
          <w:szCs w:val="28"/>
          <w:rtl w:val="true"/>
          <w:lang w:bidi="ar-SA"/>
        </w:rPr>
        <w:t>، و العلّامة الشیرازیّ</w:t>
      </w:r>
      <w:bookmarkStart w:id="907" w:name="pg13177_118154"/>
    </w:p>
    <w:p>
      <w:pPr>
        <w:pStyle w:val="BookText"/>
        <w:rPr/>
      </w:pPr>
      <w:bookmarkEnd w:id="907"/>
      <w:r>
        <w:rPr>
          <w:rFonts w:ascii="IRNazanin" w:hAnsi="IRNazanin" w:eastAsia="IRNazanin"/>
          <w:color w:val="111111"/>
          <w:sz w:val="28"/>
          <w:sz w:val="28"/>
          <w:szCs w:val="28"/>
          <w:rtl w:val="true"/>
          <w:lang w:bidi="fa-IR"/>
        </w:rPr>
        <w:t>و غیرهما قدّس سرّهما بل 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الفروض المشار إلیها</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النجاسة الخبثیّة لو شکّ فی تنجّس الإناء بالدم أو بولوغ الکلب، لا بدّ من الالتزام بالتعفیر، و لا معنی لجریان العدم الأزلیّ فی مثل النجاسة، و لا سیّما علی القول بوحدة المسبّب و اختلاف الأحکام، بل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تقبل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تحرّر</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اعتباریّة</w:t>
      </w:r>
      <w:r>
        <w:rPr>
          <w:rFonts w:eastAsia="IRNazanin" w:cs="IRNazanin"/>
          <w:color w:val="111111"/>
          <w:sz w:val="28"/>
          <w:szCs w:val="28"/>
          <w:rtl w:val="true"/>
          <w:lang w:bidi="fa-IR"/>
        </w:rPr>
        <w:t>.</w:t>
      </w:r>
    </w:p>
    <w:p>
      <w:pPr>
        <w:pStyle w:val="Heading6"/>
        <w:numPr>
          <w:ilvl w:val="5"/>
          <w:numId w:val="1"/>
        </w:numPr>
        <w:rPr/>
      </w:pPr>
      <w:bookmarkStart w:id="908" w:name="__RefHeading___Toc764226_3244359995"/>
      <w:bookmarkStart w:id="909" w:name="_Toc338"/>
      <w:bookmarkEnd w:id="908"/>
      <w:r>
        <w:rPr>
          <w:rtl w:val="true"/>
        </w:rPr>
        <w:t>إفادة</w:t>
      </w:r>
      <w:r>
        <w:rPr>
          <w:rtl w:val="true"/>
        </w:rPr>
        <w:t xml:space="preserve">: </w:t>
      </w:r>
      <w:r>
        <w:rPr>
          <w:rtl w:val="true"/>
        </w:rPr>
        <w:t>حول الفرض الثالث من القسم الأخیر</w:t>
      </w:r>
      <w:bookmarkEnd w:id="909"/>
    </w:p>
    <w:p>
      <w:pPr>
        <w:pStyle w:val="BookText"/>
        <w:rPr/>
      </w:pPr>
      <w:r>
        <w:rPr>
          <w:rFonts w:ascii="IRNazanin" w:hAnsi="IRNazanin" w:eastAsia="IRNazanin"/>
          <w:color w:val="111111"/>
          <w:sz w:val="28"/>
          <w:sz w:val="28"/>
          <w:szCs w:val="28"/>
          <w:rtl w:val="true"/>
          <w:lang w:bidi="fa-IR"/>
        </w:rPr>
        <w:t>فی الفرض الثالث یمنع جریانه؛ لأجل أنّه إن ارید بقاء أصل الحمرة، فهو من الشخصیّ؛ بناء علی کون الشدّة من حالاتها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بقاء الکلّی المقیّد و هی الحمرة الشدیدة، فلا حاجة إلی الاستصحاب؛ لکفایة الدلیل الاجتهادیّ، کما لو زالت مرتبة من الشکّ الشدید أو الحمرة الشدیدة؛ بحیث لا یضرّ بصدق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أصل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ثمرة؛ لأنّ المفروض ترتّب الحکم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زوال الحمرة و حدوث الحمرة، أو حدوث الشدید و زوال الشدید، فهو لیس من الفرض الثالث، بل یکون من الفرضین الأوّلین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ارید أنّه یعلم بزوال المرتبة الشدیدة، و یحتمل بقاء أصل الحمرة، و کان الحکم الشرعیّ مترتّبا علی أصل النجاسة، فهو جار بالضرورة، و یعدّ 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w:t>
      </w:r>
      <w:r>
        <w:rPr>
          <w:rStyle w:val="FootnoteAnchor"/>
          <w:rtl w:val="true"/>
        </w:rPr>
        <w:footnoteReference w:id="1132"/>
      </w:r>
      <w:r>
        <w:rPr>
          <w:rFonts w:ascii="IRNazanin" w:hAnsi="IRNazanin" w:eastAsia="IRNazanin"/>
          <w:color w:val="111111"/>
          <w:sz w:val="28"/>
          <w:sz w:val="28"/>
          <w:szCs w:val="28"/>
          <w:rtl w:val="true"/>
          <w:lang w:bidi="fa-IR"/>
        </w:rPr>
        <w:t xml:space="preserve">إلی أنّ فی روایاتنا ما یدلّ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أنجس 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الناصب لنا أهل البیت أنجس من الکلب</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و معناه جریان الشدّة و الضعف فی هذه الامور، سواء کانت تکوینیّة کما هو الواضح، أو اعتباریّة، فإنّه من اعتبار الشدّة و الضعف، و لا یترقّب التشکیک الواقع فی الوجود مثلا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مثل الشیخ قدّس سرّه و غیره ذهب إلی أنّ النجاسة و الطهارة ممّا اکتشفتا فی الشرع </w:t>
      </w:r>
      <w:r>
        <w:rPr>
          <w:rStyle w:val="FootnoteAnchor"/>
          <w:rtl w:val="true"/>
        </w:rPr>
        <w:footnoteReference w:id="1134"/>
      </w:r>
      <w:r>
        <w:rPr>
          <w:rFonts w:ascii="IRNazanin" w:hAnsi="IRNazanin" w:eastAsia="IRNazanin"/>
          <w:color w:val="111111"/>
          <w:sz w:val="28"/>
          <w:sz w:val="28"/>
          <w:szCs w:val="28"/>
          <w:rtl w:val="true"/>
          <w:lang w:bidi="fa-IR"/>
        </w:rPr>
        <w:t>لأجل اقتضاء هذه التعابیر و اختلاف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امتناع الجزاف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تفصیله فی محلّه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فی موارد وجوب الجمع بین الغسل و الوضوء، فإنّ مسّ المیّت ناقض علی ما هو المعروف </w:t>
      </w:r>
      <w:r>
        <w:rPr>
          <w:rStyle w:val="FootnoteAnchor"/>
          <w:rtl w:val="true"/>
        </w:rPr>
        <w:footnoteReference w:id="1136"/>
      </w:r>
      <w:r>
        <w:rPr>
          <w:rFonts w:ascii="IRNazanin" w:hAnsi="IRNazanin" w:eastAsia="IRNazanin"/>
          <w:color w:val="111111"/>
          <w:sz w:val="28"/>
          <w:sz w:val="28"/>
          <w:szCs w:val="28"/>
          <w:rtl w:val="true"/>
          <w:lang w:bidi="fa-IR"/>
        </w:rPr>
        <w:t>، و أیضا علی المشهور لا بدّ من الجمع، فإذا شکّ بالشبهة الحکمیّة یستصحب الحدث الآتی من المسّ بعد الوضوء، فتأمّل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لیس اتصال الوجود؛ کی لا یجری فی الهلیّات البسیطة، بل المیزان وحدة القضیّتین، مع عدم الفصل باتصال زمان الشکّ و الیقین، فإذا لوحظ نفس الطبیعیّ الخالی من الخصوصیّات کافّة، یکون الإنسان موجودا فی السبت، و مشکوکا فی الأحد فی الأقسام کافّة بالضرورة، مع أنّه فی بعض الأمثلة یکون جاریا، کالشکّ فی الاتصال بالإمام مع العلم بزوال ما به الاتصال فی الابتداء، و احتمال کون الاتصال باقیا بالصفوف المتأخّرة المتعانقة أو 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w:t>
      </w:r>
      <w:bookmarkStart w:id="910" w:name="pg13177_118156"/>
    </w:p>
    <w:p>
      <w:pPr>
        <w:pStyle w:val="BookText"/>
        <w:rPr/>
      </w:pPr>
      <w:bookmarkEnd w:id="910"/>
      <w:r>
        <w:rPr>
          <w:rFonts w:ascii="IRNazanin" w:hAnsi="IRNazanin" w:eastAsia="IRNazanin"/>
          <w:color w:val="111111"/>
          <w:sz w:val="28"/>
          <w:sz w:val="28"/>
          <w:szCs w:val="28"/>
          <w:rtl w:val="true"/>
          <w:lang w:bidi="fa-IR"/>
        </w:rPr>
        <w:t>موضوع الأثر عنوان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الشرط قضیّة سلبیّة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بینه و بین الإمام 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الشریفة</w:t>
      </w:r>
      <w:r>
        <w:rPr>
          <w:rStyle w:val="FootnoteAnchor"/>
          <w:rtl w:val="true"/>
        </w:rPr>
        <w:footnoteReference w:id="1137"/>
      </w:r>
      <w:r>
        <w:rPr>
          <w:rFonts w:ascii="IRNazanin" w:hAnsi="IRNazanin" w:eastAsia="IRNazanin"/>
          <w:color w:val="111111"/>
          <w:sz w:val="28"/>
          <w:sz w:val="28"/>
          <w:szCs w:val="28"/>
          <w:rtl w:val="true"/>
          <w:lang w:bidi="fa-IR"/>
        </w:rPr>
        <w:t>، فإنّه أیضا بدون جریان الاستصحاب المذکور لا یمکن</w:t>
      </w:r>
      <w:r>
        <w:rPr>
          <w:rFonts w:eastAsia="IRNazanin" w:cs="IRNazanin"/>
          <w:color w:val="111111"/>
          <w:sz w:val="28"/>
          <w:szCs w:val="28"/>
          <w:rtl w:val="true"/>
          <w:lang w:bidi="fa-IR"/>
        </w:rPr>
        <w:t>.</w:t>
      </w:r>
    </w:p>
    <w:p>
      <w:pPr>
        <w:pStyle w:val="Heading6"/>
        <w:numPr>
          <w:ilvl w:val="5"/>
          <w:numId w:val="1"/>
        </w:numPr>
        <w:rPr/>
      </w:pPr>
      <w:bookmarkStart w:id="911" w:name="__RefHeading___Toc764228_3244359995"/>
      <w:bookmarkStart w:id="912" w:name="_Toc339"/>
      <w:bookmarkEnd w:id="911"/>
      <w:r>
        <w:rPr>
          <w:rtl w:val="true"/>
        </w:rPr>
        <w:t>تذنیب</w:t>
      </w:r>
      <w:r>
        <w:rPr>
          <w:rtl w:val="true"/>
        </w:rPr>
        <w:t xml:space="preserve">: </w:t>
      </w:r>
      <w:r>
        <w:rPr>
          <w:rtl w:val="true"/>
        </w:rPr>
        <w:t>فی استصحاب عدم التذکیة</w:t>
      </w:r>
      <w:bookmarkEnd w:id="912"/>
    </w:p>
    <w:p>
      <w:pPr>
        <w:pStyle w:val="BookText"/>
        <w:rPr/>
      </w:pPr>
      <w:r>
        <w:rPr>
          <w:rFonts w:ascii="Amiri" w:hAnsi="Amiri" w:eastAsia="Amiri" w:cs="Amiri"/>
          <w:color w:val="111111"/>
          <w:sz w:val="28"/>
          <w:sz w:val="28"/>
          <w:szCs w:val="28"/>
          <w:rtl w:val="true"/>
          <w:lang w:bidi="ar-SA"/>
        </w:rPr>
        <w:t xml:space="preserve">قد تعرّض جمع </w:t>
      </w:r>
      <w:r>
        <w:rPr>
          <w:rStyle w:val="FootnoteAnchor"/>
          <w:rtl w:val="true"/>
        </w:rPr>
        <w:footnoteReference w:id="1138"/>
      </w:r>
      <w:r>
        <w:rPr>
          <w:rFonts w:ascii="IRNazanin" w:hAnsi="IRNazanin" w:eastAsia="IRNazanin"/>
          <w:color w:val="111111"/>
          <w:sz w:val="28"/>
          <w:sz w:val="28"/>
          <w:szCs w:val="28"/>
          <w:rtl w:val="true"/>
          <w:lang w:bidi="fa-IR"/>
        </w:rPr>
        <w:t xml:space="preserve">تبعا لشیخ المشایخ </w:t>
      </w:r>
      <w:r>
        <w:rPr>
          <w:rStyle w:val="FootnoteAnchor"/>
          <w:rtl w:val="true"/>
        </w:rPr>
        <w:footnoteReference w:id="1139"/>
      </w:r>
      <w:r>
        <w:rPr>
          <w:rFonts w:ascii="IRNazanin" w:hAnsi="IRNazanin" w:eastAsia="IRNazanin"/>
          <w:color w:val="111111"/>
          <w:sz w:val="28"/>
          <w:sz w:val="28"/>
          <w:szCs w:val="28"/>
          <w:rtl w:val="true"/>
          <w:lang w:bidi="fa-IR"/>
        </w:rPr>
        <w:t>هنا لمسألة استصحاب عدم التذکیة أو عدم القابلیّة؛ و ذلک بأدنی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المشهور قد تمسّک به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الفاضل التونی رحمه اللّه </w:t>
      </w:r>
      <w:r>
        <w:rPr>
          <w:rStyle w:val="FootnoteAnchor"/>
          <w:rtl w:val="true"/>
        </w:rPr>
        <w:footnoteReference w:id="1141"/>
      </w:r>
      <w:r>
        <w:rPr>
          <w:rFonts w:ascii="IRNazanin" w:hAnsi="IRNazanin" w:eastAsia="IRNazanin"/>
          <w:color w:val="111111"/>
          <w:sz w:val="28"/>
          <w:sz w:val="28"/>
          <w:szCs w:val="28"/>
          <w:rtl w:val="true"/>
          <w:lang w:bidi="fa-IR"/>
        </w:rPr>
        <w:t>و بعض آخر</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من قبیل الکلّی من القسم الأوّل و ترتیب آثار الفرد؛ ضرورة أنّهم استصحبوا عدم التذکیة الأعمّ من حال الحیاة، و ارید به إثبات کون الحیوان غیر مذکّی، و هو فرد من ذلک العدم، فیحرم و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جمع بجریانه من غیر لزوم الأصل المثبت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بعضهم إلی الإجراء بالنسبة إلی حرمة اللحم دون النجاسة، کما نسب</w:t>
      </w:r>
    </w:p>
    <w:p>
      <w:pPr>
        <w:pStyle w:val="BookText"/>
        <w:rPr/>
      </w:pPr>
      <w:r>
        <w:rPr>
          <w:rFonts w:ascii="IRNazanin" w:hAnsi="IRNazanin" w:eastAsia="IRNazanin"/>
          <w:color w:val="111111"/>
          <w:sz w:val="28"/>
          <w:sz w:val="28"/>
          <w:szCs w:val="28"/>
          <w:rtl w:val="true"/>
          <w:lang w:bidi="fa-IR"/>
        </w:rPr>
        <w:t xml:space="preserve">إلی الفقیه الهمدانیّ رحمه اللّه </w:t>
      </w:r>
      <w:r>
        <w:rPr>
          <w:rStyle w:val="FootnoteAnchor"/>
          <w:rtl w:val="true"/>
        </w:rPr>
        <w:footnoteReference w:id="1144"/>
      </w:r>
      <w:r>
        <w:rPr>
          <w:rFonts w:ascii="IRNazanin" w:hAnsi="IRNazanin" w:eastAsia="IRNazanin"/>
          <w:color w:val="111111"/>
          <w:sz w:val="28"/>
          <w:sz w:val="28"/>
          <w:szCs w:val="28"/>
          <w:rtl w:val="true"/>
          <w:lang w:bidi="fa-IR"/>
        </w:rPr>
        <w:t xml:space="preserve">و غیره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دخل جمع منهم فی المسألة تلخیصا</w:t>
      </w:r>
      <w:r>
        <w:rPr>
          <w:rStyle w:val="FootnoteAnchor"/>
          <w:rtl w:val="true"/>
        </w:rPr>
        <w:footnoteReference w:id="1146"/>
      </w:r>
      <w:r>
        <w:rPr>
          <w:rFonts w:ascii="IRNazanin" w:hAnsi="IRNazanin" w:eastAsia="IRNazanin"/>
          <w:color w:val="111111"/>
          <w:sz w:val="28"/>
          <w:sz w:val="28"/>
          <w:szCs w:val="28"/>
          <w:rtl w:val="true"/>
          <w:lang w:bidi="fa-IR"/>
        </w:rPr>
        <w:t>، و بعضهم کالمحقّق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w:t>
      </w:r>
      <w:r>
        <w:rPr>
          <w:rStyle w:val="FootnoteAnchor"/>
          <w:rtl w:val="true"/>
        </w:rPr>
        <w:footnoteReference w:id="1147"/>
      </w:r>
      <w:r>
        <w:rPr>
          <w:rFonts w:ascii="IRNazanin" w:hAnsi="IRNazanin" w:eastAsia="IRNazanin"/>
          <w:color w:val="111111"/>
          <w:sz w:val="28"/>
          <w:sz w:val="28"/>
          <w:szCs w:val="28"/>
          <w:rtl w:val="true"/>
          <w:lang w:bidi="fa-IR"/>
        </w:rPr>
        <w:t>، مع أنّ فیهم من أجری الاستصحاب فی العدم الأزلیّ المحمولیّ هنا</w:t>
      </w:r>
      <w:r>
        <w:rPr>
          <w:rStyle w:val="FootnoteAnchor"/>
          <w:rtl w:val="true"/>
        </w:rPr>
        <w:footnoteReference w:id="1148"/>
      </w:r>
      <w:r>
        <w:rPr>
          <w:rFonts w:ascii="IRNazanin" w:hAnsi="IRNazanin" w:eastAsia="IRNazanin"/>
          <w:color w:val="111111"/>
          <w:sz w:val="28"/>
          <w:sz w:val="28"/>
          <w:szCs w:val="28"/>
          <w:rtl w:val="true"/>
          <w:lang w:bidi="fa-IR"/>
        </w:rPr>
        <w:t>و بعضهم فی العدم النعتیّ فی نفس المسألة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المسألة عندی واضحة، و أحتسب أنّهم دخلوا فیها من غیر بابها فوقعوا فی المشاکل، و قد أشرنا فی العامّ و الخاصّ إلی المسألة</w:t>
      </w:r>
      <w:r>
        <w:rPr>
          <w:rStyle w:val="FootnoteAnchor"/>
          <w:rtl w:val="true"/>
        </w:rPr>
        <w:footnoteReference w:id="1150"/>
      </w:r>
      <w:r>
        <w:rPr>
          <w:rFonts w:ascii="IRNazanin" w:hAnsi="IRNazanin" w:eastAsia="IRNazanin"/>
          <w:color w:val="111111"/>
          <w:sz w:val="28"/>
          <w:sz w:val="28"/>
          <w:szCs w:val="28"/>
          <w:rtl w:val="true"/>
          <w:lang w:bidi="fa-IR"/>
        </w:rPr>
        <w:t>، و هکذا فی المطلق و المقیّد</w:t>
      </w:r>
      <w:r>
        <w:rPr>
          <w:rStyle w:val="FootnoteAnchor"/>
          <w:rtl w:val="true"/>
        </w:rPr>
        <w:footnoteReference w:id="1151"/>
      </w:r>
      <w:r>
        <w:rPr>
          <w:rFonts w:ascii="IRNazanin" w:hAnsi="IRNazanin" w:eastAsia="IRNazanin"/>
          <w:color w:val="111111"/>
          <w:sz w:val="28"/>
          <w:sz w:val="28"/>
          <w:szCs w:val="28"/>
          <w:rtl w:val="true"/>
          <w:lang w:bidi="fa-IR"/>
        </w:rPr>
        <w:t>، فلا بدّ من الإشارة إلی نکتة خفیت علیهم، و لأجل اختفائها وقعوا فی حیص و بیص، و إلی ملاحظات القضایا علی أنحاء اعتباراتها المحرّرة فی الکتب الفلسفیّة و غیرها، من غیر حاجة إلی التعرّض لما فی إفاداتهم من الضعف؛ لأنّه إطالة قلیلة الفائدة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کما أنّ فی العامّ و الخاصّ لا یلزم تعنون العامّ بالخاصّ، و لا یجوز ذلک أو لا یعقل کما تحرّر</w:t>
      </w:r>
      <w:r>
        <w:rPr>
          <w:rStyle w:val="FootnoteAnchor"/>
          <w:rtl w:val="true"/>
        </w:rPr>
        <w:footnoteReference w:id="1152"/>
      </w:r>
      <w:r>
        <w:rPr>
          <w:rFonts w:ascii="IRNazanin" w:hAnsi="IRNazanin" w:eastAsia="IRNazanin"/>
          <w:color w:val="111111"/>
          <w:sz w:val="28"/>
          <w:sz w:val="28"/>
          <w:szCs w:val="28"/>
          <w:rtl w:val="true"/>
          <w:lang w:bidi="fa-IR"/>
        </w:rPr>
        <w:t>، و إنّما یکون الخاصّ قرینة علی عدم وجود</w:t>
      </w:r>
    </w:p>
    <w:p>
      <w:pPr>
        <w:pStyle w:val="BookText"/>
        <w:rPr/>
      </w:pPr>
      <w:r>
        <w:rPr>
          <w:rFonts w:ascii="IRNazanin" w:hAnsi="IRNazanin" w:eastAsia="IRNazanin"/>
          <w:color w:val="111111"/>
          <w:sz w:val="28"/>
          <w:sz w:val="28"/>
          <w:szCs w:val="28"/>
          <w:rtl w:val="true"/>
          <w:lang w:bidi="fa-IR"/>
        </w:rPr>
        <w:t>الجدّ فی مورد الخاصّ، أو یکون الخاصّ مخرجا للأفراد من العامّ، علی اختلاف کون العامّ و الخاصّ من المبادئ العالیة، أو غیر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المولی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 توهین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بإهانة من أهانک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أهانک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العامّ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المجعول هو تحریم إهانة المؤمنین غیر الموهنین بنحو المعدولة، و لا أن یعتبر علی وجه القضیّة السالبة المحصّلة، و لا القضیّة الإیجابیّة، و لا القضیّة الشرطیّة؛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یحرم ذلک بشرط عدم إهانتک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إیراد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من التسویلات؛ للزوم اختلاف الحکم حسب مجاری الاصول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صحیح، بل و لا یعقل کما تحرّر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باب العامّ و الخاصّ بالنسبة إلی المبادئ العالیة، لیس الخاصّ إلّا قرینة، کذلک فی باب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ورد علی الإطلاق حلّیة الحیوان و طهارته مثلا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الجنسیّ، 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و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البهائم 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حرمة المیتة و نجاستها، أو حرمة غیر المذکّی و نجاسته، فلا یلزم سرایة العنوان من المقیّد إلی المطلق و لو کان بحسب اللبّ مقیّدا، بل و لم تعقل سعة دائرة الإرادة، إلّا أنّ المتّبع هو عنوان المطلق ملاحظا عدم صدق المقیّد من غیر التسریة فی مرحلة الإنشاء؛ نظرا إلی إمکان کون المولی ذا قصد من جهة اخری، و إلّا فکان علیه أن یأتی من الأوّل مقیّدا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بالتفصیل بین بابی العامّ و المطلق، غیر سدید و لو قال به العلّامة</w:t>
      </w:r>
      <w:bookmarkStart w:id="913" w:name="pg13177_118159"/>
    </w:p>
    <w:p>
      <w:pPr>
        <w:pStyle w:val="BookText"/>
        <w:rPr/>
      </w:pPr>
      <w:bookmarkEnd w:id="913"/>
      <w:r>
        <w:rPr>
          <w:rFonts w:ascii="Amiri" w:hAnsi="Amiri" w:eastAsia="Amiri" w:cs="Amiri"/>
          <w:color w:val="111111"/>
          <w:sz w:val="28"/>
          <w:sz w:val="28"/>
          <w:szCs w:val="28"/>
          <w:rtl w:val="true"/>
          <w:lang w:bidi="ar-SA"/>
        </w:rPr>
        <w:t xml:space="preserve">الأراکیّ فی محلّه </w:t>
      </w:r>
      <w:r>
        <w:rPr>
          <w:rStyle w:val="FootnoteAnchor"/>
          <w:rtl w:val="true"/>
        </w:rPr>
        <w:footnoteReference w:id="1154"/>
      </w:r>
      <w:r>
        <w:rPr>
          <w:rFonts w:ascii="IRNazanin" w:hAnsi="IRNazanin" w:eastAsia="IRNazanin"/>
          <w:color w:val="111111"/>
          <w:sz w:val="28"/>
          <w:sz w:val="28"/>
          <w:szCs w:val="28"/>
          <w:rtl w:val="true"/>
          <w:lang w:bidi="fa-IR"/>
        </w:rPr>
        <w:t xml:space="preserve">، فما تری فی کلماتهم خال من التحصیل، و ما فی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قریب من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تبیّنت هذه الامور؛ أی ربط المسألة بمسألة استصحاب الکلّی، و أنّ القضایا بحسب التصوّر أکثر من السالبة المحصّلة، و مفروضة الموضوع، و السالبة المحمول، و المعدولة؛ لإمکان کون المقیّد موجبا لکون المطلق علی وجه الشرط بالنسبة إلی المقیّد أو التعلیق، و تبیّن أیضا أنّ أساس سرایة القید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أمرا ثالثا</w:t>
      </w:r>
      <w:r>
        <w:rPr>
          <w:rFonts w:eastAsia="IRNazanin" w:cs="IRNazanin"/>
          <w:color w:val="111111"/>
          <w:sz w:val="28"/>
          <w:szCs w:val="28"/>
          <w:rtl w:val="true"/>
          <w:lang w:bidi="fa-IR"/>
        </w:rPr>
        <w:t>:</w:t>
      </w:r>
    </w:p>
    <w:p>
      <w:pPr>
        <w:pStyle w:val="Heading6"/>
        <w:numPr>
          <w:ilvl w:val="5"/>
          <w:numId w:val="1"/>
        </w:numPr>
        <w:rPr/>
      </w:pPr>
      <w:bookmarkStart w:id="914" w:name="__RefHeading___Toc764230_3244359995"/>
      <w:bookmarkStart w:id="915" w:name="_Toc340"/>
      <w:bookmarkEnd w:id="914"/>
      <w:r>
        <w:rPr>
          <w:rtl w:val="true"/>
        </w:rPr>
        <w:t>الأمر الثالث</w:t>
      </w:r>
      <w:r>
        <w:rPr>
          <w:rtl w:val="true"/>
        </w:rPr>
        <w:t>:</w:t>
      </w:r>
      <w:bookmarkEnd w:id="915"/>
    </w:p>
    <w:p>
      <w:pPr>
        <w:pStyle w:val="BookText"/>
        <w:rPr/>
      </w:pPr>
      <w:r>
        <w:rPr>
          <w:rFonts w:ascii="IRNazanin" w:hAnsi="IRNazanin" w:eastAsia="IRNazanin"/>
          <w:color w:val="111111"/>
          <w:sz w:val="28"/>
          <w:sz w:val="28"/>
          <w:szCs w:val="28"/>
          <w:rtl w:val="true"/>
          <w:lang w:bidi="fa-IR"/>
        </w:rPr>
        <w:t>و هو أنّ العدم و إن کان لا ینقسم إلی کذا و کذا عقلا، إلّا أنّه إمّا عرفیّ، أو اعتبار عقلائیّ، کما حرّرناه فی تقیید المرکّبات، و علی هذا العدم الأزلیّ بین ما یکون فی الشبهة الحکمیّة،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الصلاة عند الرؤیة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الموضوعیّة؛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حول الأزلیّ لا النعتیّ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فی الهلیّات البسیطة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العدم الأزلیّ فی الهلیّات المرکّبة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موجودا، أو یشکّ فی وجوده،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المرأة قرشیّة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لما هو الموجود، فلا یعقل تشکیل القضیّة المشکوک فیها کما مرّ</w:t>
      </w:r>
      <w:r>
        <w:rPr>
          <w:rStyle w:val="FootnoteAnchor"/>
          <w:rtl w:val="true"/>
        </w:rPr>
        <w:footnoteReference w:id="1156"/>
      </w:r>
      <w:r>
        <w:rPr>
          <w:rFonts w:ascii="IRNazanin" w:hAnsi="IRNazanin" w:eastAsia="IRNazanin"/>
          <w:color w:val="111111"/>
          <w:sz w:val="28"/>
          <w:sz w:val="28"/>
          <w:szCs w:val="28"/>
          <w:rtl w:val="true"/>
          <w:lang w:bidi="fa-IR"/>
        </w:rPr>
        <w:t>، بخلاف ما إذا کان الموضوع له کلّیا کما هو کذلک،</w:t>
      </w:r>
      <w:bookmarkStart w:id="916" w:name="pg13177_118160"/>
    </w:p>
    <w:p>
      <w:pPr>
        <w:pStyle w:val="BookText"/>
        <w:rPr/>
      </w:pPr>
      <w:bookmarkEnd w:id="916"/>
      <w:r>
        <w:rPr>
          <w:rFonts w:ascii="IRNazanin" w:hAnsi="IRNazanin" w:eastAsia="IRNazanin"/>
          <w:color w:val="111111"/>
          <w:sz w:val="28"/>
          <w:sz w:val="28"/>
          <w:szCs w:val="28"/>
          <w:rtl w:val="true"/>
          <w:lang w:bidi="fa-IR"/>
        </w:rPr>
        <w:t>فیمکن تشکیلها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نوع المسائل الشرعیّة یکون الأمر کذلک؛ لأنّ المقیّد و المخصّص کلّی، و التخصیص الفردیّ قلیل، کما فی بعض ما یشکّ فی الحجّ، فإنّه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أرض عرفات أزید من أربعة آلاف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و منی 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الأزلیّ الذی یمکن أن یجعل مجری الاستصحاب علی أقسام، و القسمان الأوّل و الثانی خارجان عن محطّ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محطّ البحث هو الثالث، إلّا بعض صور تأتی إن شاء اللّه تعالی </w:t>
      </w:r>
      <w:r>
        <w:rPr>
          <w:rStyle w:val="FootnoteAnchor"/>
          <w:rtl w:val="true"/>
        </w:rPr>
        <w:footnoteReference w:id="1157"/>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شرط الضمان فی عقد الإجارة خلاف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6"/>
        <w:numPr>
          <w:ilvl w:val="5"/>
          <w:numId w:val="1"/>
        </w:numPr>
        <w:rPr/>
      </w:pPr>
      <w:bookmarkStart w:id="917" w:name="__RefHeading___Toc764232_3244359995"/>
      <w:bookmarkStart w:id="918" w:name="_Toc341"/>
      <w:bookmarkEnd w:id="917"/>
      <w:r>
        <w:rPr>
          <w:rtl w:val="true"/>
        </w:rPr>
        <w:t>بقی أمر رابع</w:t>
      </w:r>
      <w:r>
        <w:rPr>
          <w:rtl w:val="true"/>
        </w:rPr>
        <w:t xml:space="preserve">: </w:t>
      </w:r>
      <w:r>
        <w:rPr>
          <w:rtl w:val="true"/>
        </w:rPr>
        <w:t>فی بیان أنحاء الشبهة فی المقام</w:t>
      </w:r>
      <w:bookmarkEnd w:id="918"/>
    </w:p>
    <w:p>
      <w:pPr>
        <w:pStyle w:val="BookText"/>
        <w:rPr/>
      </w:pPr>
      <w:r>
        <w:rPr>
          <w:rFonts w:ascii="IRNazanin" w:hAnsi="IRNazanin" w:eastAsia="IRNazanin"/>
          <w:color w:val="111111"/>
          <w:sz w:val="28"/>
          <w:sz w:val="28"/>
          <w:szCs w:val="28"/>
          <w:rtl w:val="true"/>
          <w:lang w:bidi="fa-IR"/>
        </w:rPr>
        <w:t>محطّ الخلاف مورد کون المقیّد منفصلا، إلّا أنّ الجهة المبحوث عنها أعمّ؛ کی یکون أنفع و أشمل حسب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الشبهة حکمیّة، و اخری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إجراء الاستصحاب فی محط عامّ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إجراءه بالنسبة إلی فهم حال الموضوع؛ و ما هو محطّ الشبهة الموضوعیّة، أو الحکمیّة الجزئیّة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الضفدع قابلة للتذکیة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مثلا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الحیوان بین ما یقبل بحسب قانون الشرع، و ما لا یقبل، مع اختلاف الآثار من الحلّیة و الطهارة، أو الطهارة فقط</w:t>
      </w:r>
      <w:r>
        <w:rPr>
          <w:rFonts w:eastAsia="IRNazanin" w:cs="IRNazanin"/>
          <w:color w:val="111111"/>
          <w:sz w:val="28"/>
          <w:szCs w:val="28"/>
          <w:rtl w:val="true"/>
          <w:lang w:bidi="fa-IR"/>
        </w:rPr>
        <w:t>.</w:t>
      </w:r>
      <w:bookmarkStart w:id="919" w:name="pg13177_118161"/>
    </w:p>
    <w:p>
      <w:pPr>
        <w:pStyle w:val="BookText"/>
        <w:rPr/>
      </w:pPr>
      <w:bookmarkEnd w:id="919"/>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الموضوعیّة تارة تکون کلّیة، و اخری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أنّ شرط الضمان فی عقد الإجارة مخالف للکتاب، و هذا 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أنّ هذا الحیوان قابل للتذکیة؛ لکونه من المسوخ أم لا، أو أنّ التذکیة وقعت علی هذا الحیوان و الشاة،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حول فروع الشبهة الموضوعیّة، فهو خارج بالمرّة عن هذه المسألة</w:t>
      </w:r>
      <w:r>
        <w:rPr>
          <w:rFonts w:eastAsia="IRNazanin" w:cs="IRNazanin"/>
          <w:color w:val="111111"/>
          <w:sz w:val="28"/>
          <w:szCs w:val="28"/>
          <w:rtl w:val="true"/>
          <w:lang w:bidi="fa-IR"/>
        </w:rPr>
        <w:t>.</w:t>
      </w:r>
    </w:p>
    <w:p>
      <w:pPr>
        <w:pStyle w:val="Heading6"/>
        <w:numPr>
          <w:ilvl w:val="5"/>
          <w:numId w:val="1"/>
        </w:numPr>
        <w:rPr/>
      </w:pPr>
      <w:bookmarkStart w:id="920" w:name="__RefHeading___Toc764234_3244359995"/>
      <w:bookmarkStart w:id="921" w:name="_Toc342"/>
      <w:bookmarkEnd w:id="920"/>
      <w:r>
        <w:rPr>
          <w:rtl w:val="true"/>
        </w:rPr>
        <w:t>و إلیک خامس الامور</w:t>
      </w:r>
      <w:r>
        <w:rPr>
          <w:rtl w:val="true"/>
        </w:rPr>
        <w:t xml:space="preserve">: </w:t>
      </w:r>
      <w:r>
        <w:rPr>
          <w:rtl w:val="true"/>
        </w:rPr>
        <w:t>و هو حول موضوع المحلّل و المحرّم و الطاهر و النجس</w:t>
      </w:r>
      <w:bookmarkEnd w:id="921"/>
    </w:p>
    <w:p>
      <w:pPr>
        <w:pStyle w:val="BookText"/>
        <w:rPr/>
      </w:pPr>
      <w:r>
        <w:rPr>
          <w:rFonts w:ascii="IRNazanin" w:hAnsi="IRNazanin" w:eastAsia="IRNazanin"/>
          <w:color w:val="111111"/>
          <w:sz w:val="28"/>
          <w:sz w:val="28"/>
          <w:szCs w:val="28"/>
          <w:rtl w:val="true"/>
          <w:lang w:bidi="fa-IR"/>
        </w:rPr>
        <w:t>إنّ الأصحاب اختلفوا فی أنّ موضوع المحرّم و الحلال و الطاهر و النجس واحد، أم مختلف، و هذا یثمر فی مجاری الاصول،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للحرام و النجس، و هی أعمّ من المائت حتف أنفه، و من الفاقد لشرائط التذکیة، و هو المشهور</w:t>
      </w:r>
      <w:r>
        <w:rPr>
          <w:rStyle w:val="FootnoteAnchor"/>
          <w:rtl w:val="true"/>
        </w:rPr>
        <w:footnoteReference w:id="1158"/>
      </w:r>
      <w:r>
        <w:rPr>
          <w:rFonts w:ascii="IRNazanin" w:hAnsi="IRNazanin" w:eastAsia="IRNazanin"/>
          <w:color w:val="111111"/>
          <w:sz w:val="28"/>
          <w:sz w:val="28"/>
          <w:szCs w:val="28"/>
          <w:rtl w:val="true"/>
          <w:lang w:bidi="fa-IR"/>
        </w:rPr>
        <w:t xml:space="preserve">، و هو الظاهر من جملة من الروایات </w:t>
      </w:r>
      <w:r>
        <w:rPr>
          <w:rStyle w:val="FootnoteAnchor"/>
          <w:rtl w:val="true"/>
        </w:rPr>
        <w:footnoteReference w:id="1159"/>
      </w:r>
      <w:r>
        <w:rPr>
          <w:rFonts w:ascii="IRNazanin" w:hAnsi="IRNazanin" w:eastAsia="IRNazanin"/>
          <w:color w:val="111111"/>
          <w:sz w:val="28"/>
          <w:sz w:val="28"/>
          <w:szCs w:val="28"/>
          <w:rtl w:val="true"/>
          <w:lang w:bidi="fa-IR"/>
        </w:rPr>
        <w:t>لأنّها إمّا میتة واقعا فیها، أو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هو موضوع الحرام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موضوع النجس و الحرام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و انتهی کلامهم فی مجاری الاصول إلی الحرمة و الطهارة فیما نحن فیه، ففصّلوا بین الأمرین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إنّک عرفت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المنفصلة لا تسری إلی المطلقات</w:t>
      </w:r>
      <w:bookmarkStart w:id="922" w:name="pg13177_118162"/>
    </w:p>
    <w:p>
      <w:pPr>
        <w:pStyle w:val="BookText"/>
        <w:rPr/>
      </w:pPr>
      <w:bookmarkEnd w:id="922"/>
      <w:r>
        <w:rPr>
          <w:rFonts w:ascii="IRNazanin" w:hAnsi="IRNazanin" w:eastAsia="IRNazanin"/>
          <w:color w:val="111111"/>
          <w:sz w:val="28"/>
          <w:sz w:val="28"/>
          <w:szCs w:val="28"/>
          <w:rtl w:val="true"/>
          <w:lang w:bidi="fa-IR"/>
        </w:rPr>
        <w:t>و العمومات، لا أثر لهذا البحث فی المقام، و لا للبحث حول کون التذکیة بسیطة أو مرکّبة، کما سیظهر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الشریعة ما ینطبق علی الحیّ و المذکّی </w:t>
      </w:r>
      <w:r>
        <w:rPr>
          <w:rStyle w:val="FootnoteAnchor"/>
          <w:rtl w:val="true"/>
        </w:rPr>
        <w:footnoteReference w:id="1161"/>
      </w:r>
      <w:r>
        <w:rPr>
          <w:rFonts w:ascii="IRNazanin" w:hAnsi="IRNazanin" w:eastAsia="IRNazanin"/>
          <w:color w:val="111111"/>
          <w:sz w:val="28"/>
          <w:sz w:val="28"/>
          <w:szCs w:val="28"/>
          <w:rtl w:val="true"/>
          <w:lang w:bidi="fa-IR"/>
        </w:rPr>
        <w:t>، فکما أنّ الشاة طاهرة سواء کانت حیّة أو مذکّاة، کذلک هی حلال علی الفرضین، نعم لو ارید أکل بعض لحمها فلا بدّ من تذکیتها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أیضا بالنسبة إلی الأصل الذی یجری عندنا بلا أثر، کما یظهر إن شاء اللّه تعالی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3" w:name="__RefHeading___Toc764236_3244359995"/>
      <w:bookmarkStart w:id="924" w:name="_Toc343"/>
      <w:bookmarkEnd w:id="923"/>
      <w:r>
        <w:rPr>
          <w:rtl w:val="true"/>
        </w:rPr>
        <w:t>تتمّة</w:t>
      </w:r>
      <w:r>
        <w:rPr>
          <w:rtl w:val="true"/>
        </w:rPr>
        <w:t xml:space="preserve">: </w:t>
      </w:r>
      <w:r>
        <w:rPr>
          <w:rtl w:val="true"/>
        </w:rPr>
        <w:t>فی تحدید ما یدلّ علی التذکیة و القابلیة</w:t>
      </w:r>
      <w:bookmarkEnd w:id="924"/>
    </w:p>
    <w:p>
      <w:pPr>
        <w:pStyle w:val="BookText"/>
        <w:rPr/>
      </w:pPr>
      <w:r>
        <w:rPr>
          <w:rFonts w:ascii="IRNazanin" w:hAnsi="IRNazanin" w:eastAsia="IRNazanin"/>
          <w:color w:val="111111"/>
          <w:sz w:val="28"/>
          <w:sz w:val="28"/>
          <w:szCs w:val="28"/>
          <w:rtl w:val="true"/>
          <w:lang w:bidi="fa-IR"/>
        </w:rPr>
        <w:t>المذکور فی الأخبار أو المستفاد من الآیات هو حلّیة بهیمة الأنعام، أو العناوین الخاصّة، أو الحیوان المشتمل علی الأمارات المعیّنة</w:t>
      </w:r>
      <w:r>
        <w:rPr>
          <w:rStyle w:val="FootnoteAnchor"/>
          <w:rtl w:val="true"/>
        </w:rPr>
        <w:footnoteReference w:id="1163"/>
      </w:r>
      <w:r>
        <w:rPr>
          <w:rFonts w:ascii="IRNazanin" w:hAnsi="IRNazanin" w:eastAsia="IRNazanin"/>
          <w:color w:val="111111"/>
          <w:sz w:val="28"/>
          <w:sz w:val="28"/>
          <w:szCs w:val="28"/>
          <w:rtl w:val="true"/>
          <w:lang w:bidi="fa-IR"/>
        </w:rPr>
        <w:t>، و إنّما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المیتة</w:t>
      </w:r>
      <w:r>
        <w:rPr>
          <w:rStyle w:val="FootnoteAnchor"/>
          <w:rtl w:val="true"/>
        </w:rPr>
        <w:footnoteReference w:id="1164"/>
      </w:r>
      <w:r>
        <w:rPr>
          <w:rFonts w:ascii="IRNazanin" w:hAnsi="IRNazanin" w:eastAsia="IRNazanin"/>
          <w:color w:val="111111"/>
          <w:sz w:val="28"/>
          <w:sz w:val="28"/>
          <w:szCs w:val="28"/>
          <w:rtl w:val="true"/>
          <w:lang w:bidi="fa-IR"/>
        </w:rPr>
        <w:t xml:space="preserve">و حرمة غیر المذکّی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حدیث القابلیّة، فهی تستفاد من ترتیب آثار الطهارة علی طائفة من الحیوانات، و لا أظنّ وجود الدلیل علی العنوان المذکور، و اللّه العالم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یترتّب علی ما سلکناه هو عدم الحاجة إلی الغور فی تقاسیم العوارض الذاتیّة و العرضیّة، و اللازمة و غیر اللازمة، أو عوارض الماهیّة أو</w:t>
      </w:r>
      <w:bookmarkStart w:id="925" w:name="pg13177_118163"/>
    </w:p>
    <w:p>
      <w:pPr>
        <w:pStyle w:val="BookText"/>
        <w:rPr/>
      </w:pPr>
      <w:bookmarkEnd w:id="925"/>
      <w:r>
        <w:rPr>
          <w:rFonts w:ascii="IRNazanin" w:hAnsi="IRNazanin" w:eastAsia="IRNazanin"/>
          <w:color w:val="111111"/>
          <w:sz w:val="28"/>
          <w:sz w:val="28"/>
          <w:szCs w:val="28"/>
          <w:rtl w:val="true"/>
          <w:lang w:bidi="fa-IR"/>
        </w:rPr>
        <w:t>الوجود من الأوّل، أو الموجود بعد صیرورته خارجیّا و هکذا</w:t>
      </w:r>
      <w:r>
        <w:rPr>
          <w:rFonts w:eastAsia="IRNazanin" w:cs="IRNazanin"/>
          <w:color w:val="111111"/>
          <w:sz w:val="28"/>
          <w:szCs w:val="28"/>
          <w:rtl w:val="true"/>
          <w:lang w:bidi="fa-IR"/>
        </w:rPr>
        <w:t>.</w:t>
      </w:r>
    </w:p>
    <w:p>
      <w:pPr>
        <w:pStyle w:val="Heading6"/>
        <w:numPr>
          <w:ilvl w:val="5"/>
          <w:numId w:val="1"/>
        </w:numPr>
        <w:rPr/>
      </w:pPr>
      <w:bookmarkStart w:id="926" w:name="__RefHeading___Toc764238_3244359995"/>
      <w:bookmarkStart w:id="927" w:name="_Toc344"/>
      <w:bookmarkEnd w:id="926"/>
      <w:r>
        <w:rPr>
          <w:rtl w:val="true"/>
        </w:rPr>
        <w:t>الأمر السادس</w:t>
      </w:r>
      <w:r>
        <w:rPr>
          <w:rtl w:val="true"/>
        </w:rPr>
        <w:t>:</w:t>
      </w:r>
      <w:bookmarkEnd w:id="927"/>
    </w:p>
    <w:p>
      <w:pPr>
        <w:pStyle w:val="BookText"/>
        <w:rPr/>
      </w:pPr>
      <w:r>
        <w:rPr>
          <w:rFonts w:ascii="IRNazanin" w:hAnsi="IRNazanin" w:eastAsia="IRNazanin"/>
          <w:color w:val="111111"/>
          <w:sz w:val="28"/>
          <w:sz w:val="28"/>
          <w:szCs w:val="28"/>
          <w:rtl w:val="true"/>
          <w:lang w:bidi="fa-IR"/>
        </w:rPr>
        <w:t>ثمّ إن هناک أمرا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أعمّیة البحث الاصولیّ من المسألة الفقهیّة فإنّه یبحث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أصل جریان العدم الأزلیّ، و اخری فیما هو الجاری فی مسألة الشکّ فی التذکیة، فلا تغفل</w:t>
      </w:r>
      <w:r>
        <w:rPr>
          <w:rFonts w:eastAsia="IRNazanin" w:cs="IRNazanin"/>
          <w:color w:val="111111"/>
          <w:sz w:val="28"/>
          <w:szCs w:val="28"/>
          <w:rtl w:val="true"/>
          <w:lang w:bidi="fa-IR"/>
        </w:rPr>
        <w:t>.</w:t>
      </w:r>
    </w:p>
    <w:p>
      <w:pPr>
        <w:pStyle w:val="Heading6"/>
        <w:numPr>
          <w:ilvl w:val="5"/>
          <w:numId w:val="1"/>
        </w:numPr>
        <w:rPr/>
      </w:pPr>
      <w:bookmarkStart w:id="928" w:name="__RefHeading___Toc764240_3244359995"/>
      <w:bookmarkStart w:id="929" w:name="_Toc345"/>
      <w:bookmarkEnd w:id="928"/>
      <w:r>
        <w:rPr>
          <w:rtl w:val="true"/>
        </w:rPr>
        <w:t>حکم الشبهة الحکمیة للتذکیة</w:t>
      </w:r>
      <w:bookmarkEnd w:id="929"/>
    </w:p>
    <w:p>
      <w:pPr>
        <w:pStyle w:val="BookText"/>
        <w:rPr/>
      </w:pPr>
      <w:r>
        <w:rPr>
          <w:rFonts w:ascii="Amiri" w:hAnsi="Amiri" w:eastAsia="Amiri" w:cs="Amiri"/>
          <w:color w:val="111111"/>
          <w:sz w:val="28"/>
          <w:sz w:val="28"/>
          <w:szCs w:val="28"/>
          <w:rtl w:val="true"/>
          <w:lang w:bidi="ar-SA"/>
        </w:rPr>
        <w:t>إذا عرفت ذلک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مقتضی أَوْفُوا بِالْعُقُودِ</w:t>
      </w:r>
      <w:r>
        <w:rPr>
          <w:rStyle w:val="FootnoteAnchor"/>
          <w:rtl w:val="true"/>
        </w:rPr>
        <w:footnoteReference w:id="1166"/>
      </w:r>
      <w:r>
        <w:rPr>
          <w:rFonts w:ascii="IRNazanin" w:hAnsi="IRNazanin" w:eastAsia="IRNazanin"/>
          <w:color w:val="111111"/>
          <w:sz w:val="28"/>
          <w:sz w:val="28"/>
          <w:szCs w:val="28"/>
          <w:rtl w:val="true"/>
          <w:lang w:bidi="fa-IR"/>
        </w:rPr>
        <w:t xml:space="preserve">مثلا،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إلی الخمسین</w:t>
      </w:r>
      <w:r>
        <w:rPr>
          <w:rFonts w:eastAsia="IRNazanin" w:cs="IRNazanin"/>
          <w:color w:val="111111"/>
          <w:sz w:val="28"/>
          <w:szCs w:val="28"/>
          <w:rtl w:val="true"/>
          <w:lang w:bidi="fa-IR"/>
        </w:rPr>
        <w:t>»</w:t>
      </w:r>
      <w:r>
        <w:rPr>
          <w:rStyle w:val="FootnoteAnchor"/>
          <w:rtl w:val="true"/>
        </w:rPr>
        <w:footnoteReference w:id="1167"/>
      </w:r>
      <w:r>
        <w:rPr>
          <w:rFonts w:ascii="Amiri" w:hAnsi="Amiri" w:eastAsia="Amiri" w:cs="Amiri"/>
          <w:color w:val="111111"/>
          <w:sz w:val="28"/>
          <w:sz w:val="28"/>
          <w:szCs w:val="28"/>
          <w:rtl w:val="true"/>
          <w:lang w:bidi="ar-SA"/>
        </w:rPr>
        <w:t xml:space="preserve">أو أُحِلَّتْ لَکُمْ بَهِیمَةُ الْأَنْعامِ </w:t>
      </w:r>
      <w:r>
        <w:rPr>
          <w:rStyle w:val="FootnoteAnchor"/>
          <w:rtl w:val="true"/>
        </w:rPr>
        <w:footnoteReference w:id="1168"/>
      </w:r>
      <w:r>
        <w:rPr>
          <w:rFonts w:ascii="IRNazanin" w:hAnsi="IRNazanin" w:eastAsia="IRNazanin"/>
          <w:color w:val="111111"/>
          <w:sz w:val="28"/>
          <w:sz w:val="28"/>
          <w:szCs w:val="28"/>
          <w:rtl w:val="true"/>
          <w:lang w:bidi="fa-IR"/>
        </w:rPr>
        <w:t>وجوب الوفاء علی الإطلاق، و محکومیّة الدم الکذائیّ بالحیض علی الإطلاق، أو حلّیة البهائم، و قضیّة الأدلّة المنفصلة عدم توافق الجدّ و الاستعمال بالنسبة إلی موارد صدق عنوان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إن کانت الشبهة علی وجه یفید الاستصحاب نفس التعبّد بالعدم الأزلیّ، فلا بأس بجریانه، کما فی نفس التعبّد بأنّ شرط الضمان فی عقد الإجارة ما کان مخالفا للکتاب، و الآن کما کان، فیکون ببرکة الاستصحاب إطلاق العامّ قابلا للعمل من غیر کونه مثبتا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التعبّد بأنّ المرأة القرشیّة ما کانت تری الدم إلی الستّین، أو أنّ البهیمة ما کانت میتة، فهو لا معنی له؛ لأنّه فی موارد الشبهة الحکمیّة، یکون المرجع عموم</w:t>
      </w:r>
      <w:bookmarkStart w:id="930" w:name="pg13177_118164"/>
    </w:p>
    <w:p>
      <w:pPr>
        <w:pStyle w:val="BookText"/>
        <w:rPr/>
      </w:pPr>
      <w:bookmarkEnd w:id="930"/>
      <w:r>
        <w:rPr>
          <w:rFonts w:ascii="IRNazanin" w:hAnsi="IRNazanin" w:eastAsia="IRNazanin"/>
          <w:color w:val="111111"/>
          <w:sz w:val="28"/>
          <w:sz w:val="28"/>
          <w:szCs w:val="28"/>
          <w:rtl w:val="true"/>
          <w:lang w:bidi="fa-IR"/>
        </w:rPr>
        <w:t>الدلیل أو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التمسّک باستصحاب عدم کون العامّ مخصّصا أو المطلق مقیّدا بالنسبة إلی مورد الشبهة، و یراد بذلک الاستصحاب نفی عدم الحجّیة العقلائیّة الممضاة، و لکنّه بعید و غیر محتاج إلیه؛ لحکومة بناء العقلاء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الرجوع إلیهما فی مورد الشکّ فی التخصیص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الشبهة الحکمیّة</w:t>
      </w:r>
      <w:r>
        <w:rPr>
          <w:rFonts w:eastAsia="IRNazanin" w:cs="IRNazanin"/>
          <w:color w:val="111111"/>
          <w:sz w:val="28"/>
          <w:szCs w:val="28"/>
          <w:rtl w:val="true"/>
          <w:lang w:bidi="fa-IR"/>
        </w:rPr>
        <w:t>.</w:t>
      </w:r>
    </w:p>
    <w:p>
      <w:pPr>
        <w:pStyle w:val="Heading6"/>
        <w:numPr>
          <w:ilvl w:val="5"/>
          <w:numId w:val="1"/>
        </w:numPr>
        <w:rPr/>
      </w:pPr>
      <w:bookmarkStart w:id="931" w:name="__RefHeading___Toc764242_3244359995"/>
      <w:bookmarkStart w:id="932" w:name="_Toc346"/>
      <w:bookmarkEnd w:id="931"/>
      <w:r>
        <w:rPr>
          <w:rtl w:val="true"/>
        </w:rPr>
        <w:t>حکم الشبهة الموضوعیّة</w:t>
      </w:r>
      <w:bookmarkEnd w:id="932"/>
    </w:p>
    <w:p>
      <w:pPr>
        <w:pStyle w:val="BookText"/>
        <w:rPr/>
      </w:pPr>
      <w:r>
        <w:rPr>
          <w:rFonts w:ascii="IRNazanin" w:hAnsi="IRNazanin" w:eastAsia="IRNazanin"/>
          <w:color w:val="111111"/>
          <w:sz w:val="28"/>
          <w:sz w:val="28"/>
          <w:szCs w:val="28"/>
          <w:rtl w:val="true"/>
          <w:lang w:bidi="fa-IR"/>
        </w:rPr>
        <w:t>بقی الکلام فیما هو المهمّ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فهم حکم الشبهة الموضوعیّة الخارجیّة المردّدة بین کونها مصداقا للعنوان الخارج عن العامّ أو الإطلاق، أو بقاء الإرادة الجدّیة؛ کی یکون المرجع نفس العامّ حتّی لا یلزم التمسّک به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الإطلاق و العموم باقیان علی حالهما، یصحّ إمّا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ما کان میتة، فالآن لیس بمیتة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کان 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مذکّی،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لم یکن قابلا للتذکیة،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لعنوان القابلیّة فرضا أثر، فهو ینتفی بالاستصحاب من غیر حاجة إلی إثبات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هو المانع من التمسّک بالعامّ و الإطلاق یرفع تعبّدا، فیکون المرجع نفس الدلیل، و هذا هو حقیقة ضمّ الوجدان إلی الأصل؛ لرجوعه إلی التمانع الخارجیّ فی الاحتجاج و التضادّ الوجودیّ، من غیر رجوعه إلی التقیید فی مرحلة الإنشاء و الجعل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یدور الأمر بین إجراء الاستصحاب المنتهی إلی حلّیة المشکوک لنفی کونه میتة، الذی هو العنوان الخارج عن الإطلاق و العامّ، و بین إجراء الاستصحاب</w:t>
      </w:r>
    </w:p>
    <w:p>
      <w:pPr>
        <w:pStyle w:val="BookText"/>
        <w:rPr/>
      </w:pPr>
      <w:r>
        <w:rPr>
          <w:rFonts w:ascii="IRNazanin" w:hAnsi="IRNazanin" w:eastAsia="IRNazanin"/>
          <w:color w:val="111111"/>
          <w:sz w:val="28"/>
          <w:sz w:val="28"/>
          <w:szCs w:val="28"/>
          <w:rtl w:val="true"/>
          <w:lang w:bidi="fa-IR"/>
        </w:rPr>
        <w:t>المنتهی إلی الحرمة، کما فی الفروض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الفرض الأوّل المحرّر عندنا یجری العدم الأزلیّ و النعتیّ؛ لأنّ اختلاف الصورة النوعیّة لا یضرّ بوحدة موضوع القضیّتین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w:t>
      </w:r>
      <w:r>
        <w:rPr>
          <w:rStyle w:val="FootnoteAnchor"/>
          <w:rtl w:val="true"/>
        </w:rPr>
        <w:footnoteReference w:id="1169"/>
      </w:r>
      <w:r>
        <w:rPr>
          <w:rFonts w:ascii="Amiri" w:hAnsi="Amiri" w:eastAsia="Amiri" w:cs="Amiri"/>
          <w:color w:val="111111"/>
          <w:sz w:val="28"/>
          <w:sz w:val="28"/>
          <w:szCs w:val="28"/>
          <w:rtl w:val="true"/>
          <w:lang w:bidi="ar-SA"/>
        </w:rPr>
        <w:t>یوجب تقیید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w:t>
      </w:r>
      <w:r>
        <w:rPr>
          <w:rStyle w:val="FootnoteAnchor"/>
          <w:rtl w:val="true"/>
        </w:rPr>
        <w:footnoteReference w:id="1170"/>
      </w:r>
      <w:r>
        <w:rPr>
          <w:rFonts w:ascii="IRNazanin" w:hAnsi="IRNazanin" w:eastAsia="IRNazanin"/>
          <w:color w:val="111111"/>
          <w:sz w:val="28"/>
          <w:sz w:val="28"/>
          <w:szCs w:val="28"/>
          <w:rtl w:val="true"/>
          <w:lang w:bidi="fa-IR"/>
        </w:rPr>
        <w:t>و غیر ذلک، فلازم جریان الاستصحاب الأوّل جواز التمسّک بدلیل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الأشبه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ذَکَّیْتُمْ </w:t>
      </w:r>
      <w:r>
        <w:rPr>
          <w:rStyle w:val="FootnoteAnchor"/>
          <w:rtl w:val="true"/>
        </w:rPr>
        <w:footnoteReference w:id="1171"/>
      </w:r>
      <w:r>
        <w:rPr>
          <w:rFonts w:ascii="Amiri" w:hAnsi="Amiri" w:eastAsia="Amiri" w:cs="Amiri"/>
          <w:color w:val="111111"/>
          <w:sz w:val="28"/>
          <w:sz w:val="28"/>
          <w:szCs w:val="28"/>
          <w:rtl w:val="true"/>
          <w:lang w:bidi="ar-SA"/>
        </w:rPr>
        <w:t>أو موثّق ابن بکیر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ذکّاه الذبح</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لیس إلّا إشعارا بأنّ ما ذکّیتم لیس بمیتة؛ حسبما ورد فی جملة من الأخبار من عدّ ما لا تجتمع فیه شرائط التذکیة من المیتة</w:t>
      </w:r>
      <w:r>
        <w:rPr>
          <w:rStyle w:val="FootnoteAnchor"/>
          <w:rtl w:val="true"/>
        </w:rPr>
        <w:footnoteReference w:id="1173"/>
      </w:r>
      <w:r>
        <w:rPr>
          <w:rFonts w:ascii="IRNazanin" w:hAnsi="IRNazanin" w:eastAsia="IRNazanin"/>
          <w:color w:val="111111"/>
          <w:sz w:val="28"/>
          <w:sz w:val="28"/>
          <w:szCs w:val="28"/>
          <w:rtl w:val="true"/>
          <w:lang w:bidi="fa-IR"/>
        </w:rPr>
        <w:t>، و هو المنتفی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الحیوانات الطاهرة الحیّة و إن کانت طاهرة، و لکنّها لیست حلالا إلّا عند ورود التذکیة علیها، و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الحیوانات المحلّلة حلالا بحسب الطبع، و إنّما ثبت بدلیل منفصل علی نحو القضیّة الشرطیة أنّها إذا ذکّیت تصیر حلالا، فهو ذو وجوه و احتمالات، إلّا أنّ الأشبه و الأقرب أنّها بصدد بیان ما یوجب خروجها عن صیرورته میتة عند زهوق الروح، فلا تصل النوبة إلی الاستصحاب التعلیقیّ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الحیوان کان إذا ذکّی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شکّ فلم یکن ذکّی، فلا یحلّ استصحابا، بل هو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الجمع 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إذا ذکّی فلا یکون میتة، فیحلّ حسب الإطلاق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حصّلناه تبیّن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التفصیل بین الشکّ فی القابلیّة و التذکیة بحکم</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ارید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العلّامة الأراکیّ رحمه اللّه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عدم القابلیّة المنتهی إلی الحرمة، أوضح من 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خروج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التقیید حلّیة المشکوک،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الاستصحاب علی الإطلاق فی الشبهة الموضوعیّة الخارجیّة ممنوع، و أمّا استصحاب عدم کون شرط الضمان مخالفا للکتاب فهو المتّبع، کما حرّرناه فی الإجارة</w:t>
      </w:r>
      <w:r>
        <w:rPr>
          <w:rStyle w:val="FootnoteAnchor"/>
          <w:rtl w:val="true"/>
        </w:rPr>
        <w:footnoteReference w:id="1175"/>
      </w:r>
      <w:r>
        <w:rPr>
          <w:rFonts w:ascii="IRNazanin" w:hAnsi="IRNazanin" w:eastAsia="IRNazanin"/>
          <w:color w:val="111111"/>
          <w:sz w:val="28"/>
          <w:sz w:val="28"/>
          <w:szCs w:val="28"/>
          <w:rtl w:val="true"/>
          <w:lang w:bidi="fa-IR"/>
        </w:rPr>
        <w:t>ضرورة أنّه فی الفرض الأوّل، لا یعقل الإشارة إلی الحیوان الموجود أو الجسم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یکون محموله من تبعات الماهیّة، أو الوجود اللازم غیر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سابقة له بالضرورة، فإنّ الجسم المذکور لا ماهیّة له بلا وجود فی الخارج، کی لا تکون لها لازم الماهیّة و هی القابلیّة؛ لأنّه إمّا وجد مع القابلیّة، أو وجد بدون القابلیّة، فلا یدور الأمر بین کون الأصل مثبتا، أو کونه بلا حالة سابقة، کما تری فی کلمات جلّهم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حیث لا یتقیّد الإطلاق بقید المقیّد و لا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المحرّر فی العمومات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الأمر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فقد الرکن الأوّل فی الاستصحاب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له الحالة السابقة هو الکلّی؛ فإنّ الحیوان ما کان له القابلیّة، إلّا أنّه انتقض بیقین آخر؛ لوجود القابلیّة لجملة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المشتبه فی الخارج لا حالة سابقة له کی یشار إلیه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لم یکن له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القابلیّة و المیتة و غیرهما من تبعات الوجود بالذات، أو الماهیّة المتأخّرة فی الخارج عن</w:t>
      </w:r>
    </w:p>
    <w:p>
      <w:pPr>
        <w:pStyle w:val="BookText"/>
        <w:rPr/>
      </w:pPr>
      <w:r>
        <w:rPr>
          <w:rFonts w:ascii="IRNazanin" w:hAnsi="IRNazanin" w:eastAsia="IRNazanin"/>
          <w:color w:val="111111"/>
          <w:sz w:val="28"/>
          <w:sz w:val="28"/>
          <w:szCs w:val="28"/>
          <w:rtl w:val="true"/>
          <w:lang w:bidi="fa-IR"/>
        </w:rPr>
        <w:t xml:space="preserve">الوجود حسبما تحرّر؛ فإنّ للوجود سبقا بالحقیقة علی الماهیّة بالضرورة، و إلّا یلزم مفاسد کثیرة محرّرة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و هکذا الأمر فی المیتة، أو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لم یکن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المتشکّلة فی غیر المسائل الشرعیّة، صحیحة من غیر لزوم کون العدم الأزلیّ أو العدم فی الحال أو الاستقبال یختلف، و من غیر لزوم فساد القضیّة بعد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الرجل ما کان واجب الوجود، و لیس واجب الوجود، و لا یصیر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لوجوب الوجود أثر فهو ینتفی طبعا؛ و ذلک لأنّ موضوع القضیّة محفوظ فی جمیع القضایا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هذه البهیمة ما کانت میتة، و لیست الآن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حکم المیتة، و یتمسّک بإطلاق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 العنوان المقیّد الذی یکون قرینة علی عدم الجدّ فی المطلقات غیر المیتة،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الشاة ما کانت غیر مذکّاة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 و الآن کما کان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بالقیاس إلی تحریم المیتة، أو تنجیس ما لم یذکّ و تحریمه حسب الأدلّة الاجتهادیّة، فإنّه یلزم جواز التمسّک بالإطلاق المذکور، و نتیجته هی الحرمة و النجاسة علی وجه، و هذا أمر مربوط بالفقه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أو المطلقات أوّلا أفادت الحلّیة أو الطهارة، و إذا ذبحت علی طریق غیر مشروع تعدّ نجسة و میتة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العدم الأزلیّ یجری فی صورة کون المقیّد و المخصّص منفصلا، إلّا أنّه یفید الحلّیة</w:t>
      </w:r>
      <w:bookmarkStart w:id="933" w:name="pg13177_118168"/>
    </w:p>
    <w:p>
      <w:pPr>
        <w:pStyle w:val="BookText"/>
        <w:rPr/>
      </w:pPr>
      <w:bookmarkEnd w:id="933"/>
      <w:r>
        <w:rPr>
          <w:rFonts w:ascii="IRNazanin" w:hAnsi="IRNazanin" w:eastAsia="IRNazanin"/>
          <w:color w:val="111111"/>
          <w:sz w:val="28"/>
          <w:sz w:val="28"/>
          <w:szCs w:val="28"/>
          <w:rtl w:val="true"/>
          <w:lang w:bidi="fa-IR"/>
        </w:rPr>
        <w:t>و الطهارة، لا الحرمة و النجاسة، خلافا للکافّة فی المسألة الاصولیّة و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عدم القابلیّة لرفع حکم القابلیّة بلا أثر؛ لأنّها غیر موضوعة حسب الظاهر، و إنّما هی أمر اتخاذیّ و اصطیادیّ من الموارد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شکّ، و کان المفروغ منه انحصار الحرمة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یرجع إلیها کما عرفت، لا حاجة إلی استصحاب عدم القابلیّة، بل یجری استصحاب عدم کون هذا الحیوان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کلام القائلین بجریان العدم الأزلیّ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الحرمة و النجاسة</w:t>
      </w:r>
      <w:r>
        <w:rPr>
          <w:rStyle w:val="FootnoteAnchor"/>
          <w:rtl w:val="true"/>
        </w:rPr>
        <w:footnoteReference w:id="1180"/>
      </w:r>
      <w:r>
        <w:rPr>
          <w:rFonts w:ascii="Amiri" w:hAnsi="Amiri" w:eastAsia="Amiri" w:cs="Amiri"/>
          <w:color w:val="111111"/>
          <w:sz w:val="28"/>
          <w:sz w:val="28"/>
          <w:szCs w:val="28"/>
          <w:rtl w:val="true"/>
          <w:lang w:bidi="ar-SA"/>
        </w:rPr>
        <w:t>، أو خصوص الحرمة</w:t>
      </w:r>
      <w:r>
        <w:rPr>
          <w:rStyle w:val="FootnoteAnchor"/>
          <w:rtl w:val="true"/>
        </w:rPr>
        <w:footnoteReference w:id="1181"/>
      </w:r>
      <w:r>
        <w:rPr>
          <w:rFonts w:ascii="IRNazanin" w:hAnsi="IRNazanin" w:eastAsia="IRNazanin"/>
          <w:color w:val="111111"/>
          <w:sz w:val="28"/>
          <w:sz w:val="28"/>
          <w:szCs w:val="28"/>
          <w:rtl w:val="true"/>
          <w:lang w:bidi="fa-IR"/>
        </w:rPr>
        <w:t>،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فی کلمات القائلین بعدم جریانه؛ لکونه إمّا بلا سابقة، أو هو مثبت کما عن الأکثر</w:t>
      </w:r>
      <w:r>
        <w:rPr>
          <w:rStyle w:val="FootnoteAnchor"/>
          <w:rtl w:val="true"/>
        </w:rPr>
        <w:footnoteReference w:id="1182"/>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 شیخ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التشبّث بذیل العرف لإجرائه و التحریم و التنجیس </w:t>
      </w:r>
      <w:r>
        <w:rPr>
          <w:rStyle w:val="FootnoteAnchor"/>
          <w:rtl w:val="true"/>
        </w:rPr>
        <w:footnoteReference w:id="1183"/>
      </w:r>
      <w:r>
        <w:rPr>
          <w:rFonts w:ascii="Amiri" w:hAnsi="Amiri" w:eastAsia="Amiri" w:cs="Amiri"/>
          <w:color w:val="111111"/>
          <w:sz w:val="28"/>
          <w:sz w:val="28"/>
          <w:szCs w:val="28"/>
          <w:rtl w:val="true"/>
          <w:lang w:bidi="ar-SA"/>
        </w:rPr>
        <w:t>،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کلام سیّدنا الاستاذ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انصراف أدلّة الاستصحاب عن أمثال هذه الموارد، أو خصوص العدم الأزلیّ </w:t>
      </w:r>
      <w:r>
        <w:rPr>
          <w:rStyle w:val="FootnoteAnchor"/>
          <w:rtl w:val="true"/>
        </w:rPr>
        <w:footnoteReference w:id="1184"/>
      </w:r>
      <w:r>
        <w:rPr>
          <w:rFonts w:ascii="IRNazanin" w:hAnsi="IRNazanin" w:eastAsia="IRNazanin"/>
          <w:color w:val="111111"/>
          <w:sz w:val="28"/>
          <w:sz w:val="28"/>
          <w:szCs w:val="28"/>
          <w:rtl w:val="true"/>
          <w:lang w:bidi="fa-IR"/>
        </w:rPr>
        <w:t>، و هی غیر ظاهرة الفساد، إلّا أنّ إجراء العدم النعتیّ دون الأزلیّ غیر تامّ</w:t>
      </w:r>
      <w:r>
        <w:rPr>
          <w:rFonts w:eastAsia="IRNazanin" w:cs="IRNazanin"/>
          <w:color w:val="111111"/>
          <w:sz w:val="28"/>
          <w:szCs w:val="28"/>
          <w:rtl w:val="true"/>
          <w:lang w:bidi="fa-IR"/>
        </w:rPr>
        <w:t>.</w:t>
      </w:r>
    </w:p>
    <w:p>
      <w:pPr>
        <w:pStyle w:val="Heading6"/>
        <w:numPr>
          <w:ilvl w:val="5"/>
          <w:numId w:val="1"/>
        </w:numPr>
        <w:rPr/>
      </w:pPr>
      <w:bookmarkStart w:id="934" w:name="__RefHeading___Toc764244_3244359995"/>
      <w:bookmarkStart w:id="935" w:name="_Toc347"/>
      <w:bookmarkEnd w:id="934"/>
      <w:r>
        <w:rPr>
          <w:rtl w:val="true"/>
        </w:rPr>
        <w:t>و هم و دفع</w:t>
      </w:r>
      <w:bookmarkEnd w:id="93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أصحابنا أهل الفقه و الاصول، اعتقدوا أنّ حدیث أصالة عدم التذکیة أو عدم القابلیّة، أجنبیّ عن مسألة العامّ و الخاصّ المنفصل، بل هو من الشبهة</w:t>
      </w:r>
    </w:p>
    <w:p>
      <w:pPr>
        <w:pStyle w:val="BookText"/>
        <w:rPr/>
      </w:pPr>
      <w:r>
        <w:rPr>
          <w:rFonts w:ascii="IRNazanin" w:hAnsi="IRNazanin" w:eastAsia="IRNazanin"/>
          <w:color w:val="111111"/>
          <w:sz w:val="28"/>
          <w:sz w:val="28"/>
          <w:szCs w:val="28"/>
          <w:rtl w:val="true"/>
          <w:lang w:bidi="fa-IR"/>
        </w:rPr>
        <w:t xml:space="preserve">الموضوعیّة لعنوان هو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منع الخلوّ؛ بمعنی أنّ المذکّی حلال و طاهر، و غیر المذکّی حرام و نجس مثلا علی سبیل التنویع، کالمسافر و الحاضر، لا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استشکلوا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العدم المطلق الأزلیّ لا یعقل أن یکون موضوع حکم إلّا فی ظرف وجود الحیوان، و لا یثبت به حکمه إلّا بالأصل المثبت، فالعدم الخاصّ المقرون لا سابقة له، و العدم الکلّی لا یمکن أن یثبت به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یعقل أن یکون موضوعا لحکم فی الأدلّة الاجتهادیّة؛ کی یقال بکفایة الأثر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بما عرفت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القانون العامّ أو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العناوین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حلّیته الأمارات الخاصّة أو العامّة، أو بعناوینها الخاصّة</w:t>
      </w:r>
      <w:r>
        <w:rPr>
          <w:rStyle w:val="FootnoteAnchor"/>
          <w:rtl w:val="true"/>
        </w:rPr>
        <w:footnoteReference w:id="1185"/>
      </w:r>
      <w:r>
        <w:rPr>
          <w:rFonts w:ascii="IRNazanin" w:hAnsi="IRNazanin" w:eastAsia="IRNazanin"/>
          <w:color w:val="111111"/>
          <w:sz w:val="28"/>
          <w:sz w:val="28"/>
          <w:szCs w:val="28"/>
          <w:rtl w:val="true"/>
          <w:lang w:bidi="fa-IR"/>
        </w:rPr>
        <w:t>، و هکذا قضیّة القابلیّة مع قطع النظر عن أنّها اصطیادیّة کما مرّ، و إنّما یکون مقتضی تحریم المیتة و تنجیسها أو تحریم غیر المذکّی و تنجیسه فرضا، هو عدم تطابق الجدّ و الاستعمال فی موارد انطباق هذه العناوین، فیلزم عدم صلاحیّة العموم و الإطلاق للاحتجاج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جرت الاصول النافیة لإخراج مورد الشبهة الموضوعیّة من عنوان المقیّد و المخصّص، یکون العامّ و المطلق صالحا للاحتجاج، کما فی العدم النعتیّ، و عندئذ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الشریعة توضیح المیتة علی سبیل العموم، کما هو الأشبه بالکتاب و السنّة، فلا یجری إلّا استصحاب عدم کون هذه البهیمة میتة، فیکون المرجع بعد ذلک نفس المطلقات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للحلّیة و الطهارة،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للحرمة و النجاسة،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للحرمة و النجاسة مثلا علی سبیل التنویع، فهو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سبیل إلی القول بجریان العدم الأزلیّ علی الإطلاق، و لا منعه علی الإطلاق؛ ضرورة</w:t>
      </w:r>
    </w:p>
    <w:p>
      <w:pPr>
        <w:pStyle w:val="BookText"/>
        <w:rPr/>
      </w:pPr>
      <w:r>
        <w:rPr>
          <w:rFonts w:ascii="IRNazanin" w:hAnsi="IRNazanin" w:eastAsia="IRNazanin"/>
          <w:color w:val="111111"/>
          <w:sz w:val="28"/>
          <w:sz w:val="28"/>
          <w:szCs w:val="28"/>
          <w:rtl w:val="true"/>
          <w:lang w:bidi="fa-IR"/>
        </w:rPr>
        <w:t xml:space="preserve">أنّه یصحّ جعل الحکم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جعله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یشمل العدم الأزلیّ و السلب التحصیلیّ، فغیر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علی نعت السلب التحصیلیّ 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و الجسم 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معدولة المحمول المفروض وجود موضوعه فی القانون و الأدلّة، فإذا شکّ فی الحیوان المذبوح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کان 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کان موضوعا للحکم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النتیجة سلب التحریم و التنجیس، فعلی هذا یجری العدم الأزلیّ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معارض؛ لأنّه کما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الطیر أو هذه البهیمة لم تکن غیر مذکّاة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مذکّاة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مذکّاة ینتفی حکم المذکّی؛ و هو الحلّیة و الطهارة مثلا، و إذا لم تکن غیر مذکّاة ینتفی حکم غیر المذکّی؛ و هو الحرمة و النجاسة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طریق حلّ مشکلة المسألة حسب مجاری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المهمّ فهم کون الحرمة و الحلّیة، و الطهارة و النجاسة، مترتّبین علی نعت العامّ و الخاصّ، أو التنویع، و علی الفرض الأوّل هل العامّ و الإطلاق هو حلّیة البهیمة و خروج المیتة، أو حرمة غیر المذکّی و خروج المذکّی؟ و قد عرفت أنّ الأوّل هو التحقیق </w:t>
      </w:r>
      <w:r>
        <w:rPr>
          <w:rStyle w:val="FootnoteAnchor"/>
          <w:rtl w:val="true"/>
        </w:rPr>
        <w:footnoteReference w:id="1186"/>
      </w:r>
      <w:r>
        <w:rPr>
          <w:rFonts w:ascii="IRNazanin" w:hAnsi="IRNazanin" w:eastAsia="IRNazanin"/>
          <w:color w:val="111111"/>
          <w:sz w:val="28"/>
          <w:sz w:val="28"/>
          <w:szCs w:val="28"/>
          <w:rtl w:val="true"/>
          <w:lang w:bidi="fa-IR"/>
        </w:rPr>
        <w:t>، و التفصیل یطلب من محلّه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فرق بین کون مفاد القید تحریما نفسیّا، أو قرینة محضة علی عدم ثبوت الحکم الفعلیّ بالنسبة إلی مورده، فلا فرق بین أن یکون المخصّص تحریم إکرام الهاشمیّ، أو کان المخصّص رفع الوجوب المتوهّم فی</w:t>
      </w:r>
      <w:bookmarkStart w:id="936" w:name="pg13177_118171"/>
    </w:p>
    <w:p>
      <w:pPr>
        <w:pStyle w:val="BookText"/>
        <w:rPr/>
      </w:pPr>
      <w:bookmarkEnd w:id="936"/>
      <w:r>
        <w:rPr>
          <w:rFonts w:ascii="IRNazanin" w:hAnsi="IRNazanin" w:eastAsia="IRNazanin"/>
          <w:color w:val="111111"/>
          <w:sz w:val="28"/>
          <w:sz w:val="28"/>
          <w:szCs w:val="28"/>
          <w:rtl w:val="true"/>
          <w:lang w:bidi="fa-IR"/>
        </w:rPr>
        <w:t>مورده، ففیما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المقیّد مورد تحریم الأکل، و العامّ مورد ترخیص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 کما فی غیر العدم الأزلیّ، و تصیر النتیجة حسب ما حقّقناه جریان الأزلیّ و حلّیة الأکل</w:t>
      </w:r>
      <w:r>
        <w:rPr>
          <w:rFonts w:eastAsia="IRNazanin" w:cs="IRNazanin"/>
          <w:color w:val="111111"/>
          <w:sz w:val="28"/>
          <w:szCs w:val="28"/>
          <w:rtl w:val="true"/>
          <w:lang w:bidi="fa-IR"/>
        </w:rPr>
        <w:t>.</w:t>
      </w:r>
    </w:p>
    <w:p>
      <w:pPr>
        <w:pStyle w:val="Heading6"/>
        <w:numPr>
          <w:ilvl w:val="5"/>
          <w:numId w:val="1"/>
        </w:numPr>
        <w:rPr/>
      </w:pPr>
      <w:bookmarkStart w:id="937" w:name="__RefHeading___Toc764246_3244359995"/>
      <w:bookmarkStart w:id="938" w:name="_Toc348"/>
      <w:bookmarkEnd w:id="937"/>
      <w:r>
        <w:rPr>
          <w:rtl w:val="true"/>
        </w:rPr>
        <w:t>تذنیب</w:t>
      </w:r>
      <w:r>
        <w:rPr>
          <w:rtl w:val="true"/>
        </w:rPr>
        <w:t xml:space="preserve">: </w:t>
      </w:r>
      <w:r>
        <w:rPr>
          <w:rtl w:val="true"/>
        </w:rPr>
        <w:t>فی تعنون العامّ أو المطلق بضدّ الخاصّ</w:t>
      </w:r>
      <w:bookmarkEnd w:id="938"/>
    </w:p>
    <w:p>
      <w:pPr>
        <w:pStyle w:val="BookText"/>
        <w:rPr/>
      </w:pP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 أو المطلق یعنون بضدّ الخاصّ عرفا، أو فرضنا تعنونه به، فإن کان موضوع الحکم أمرا مرکبا و مقیّدا،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القرشیّة تحیض إلی الستّین، و المرأة غیر القرشیّة تحیض إلی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امرأة مردّدة بین أنّها قرشیّة أو غیر قرشیّة، أو البهیمة المذکّاة و غیر المذکّاة، فإن ارید سلب المذکّاة فیلزم کونه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 الشکّ فی الجزء موجبا للشکّ فی الکلّ و المرکّب، یلزم التعارض فی مورد المرأة المردّدة و الحیوان المشکوک فیه؛ ضرورة أنّه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لم یکن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یحرز به المعنی الحرفیّ و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المعارضة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اعتبر أنّ الشک فی أنّ زیدا العالم العادل هل هو عادل أم لا؟ یستلزم الشکّ فی أنّ زیدا عالم عادل أم لا، کما هو کذلک قهرا، تلزم المعارضة، و لا یلزم کون الأصل مثبتا، کما إذا شکّ فی أنّ زیدا مسافر أم حاضر، فإنّ استصحاب أنّه لم یکن مسافرا فلا یقصر جار، إلّا أنّه یعارضه استصحاب أنّه لم یکن حاضرا فلا یتمّ، فاغتنم</w:t>
      </w:r>
      <w:r>
        <w:rPr>
          <w:rFonts w:eastAsia="IRNazanin" w:cs="IRNazanin"/>
          <w:color w:val="111111"/>
          <w:sz w:val="28"/>
          <w:szCs w:val="28"/>
          <w:rtl w:val="true"/>
          <w:lang w:bidi="fa-IR"/>
        </w:rPr>
        <w:t>.</w:t>
      </w:r>
    </w:p>
    <w:p>
      <w:pPr>
        <w:pStyle w:val="Heading6"/>
        <w:numPr>
          <w:ilvl w:val="5"/>
          <w:numId w:val="1"/>
        </w:numPr>
        <w:rPr/>
      </w:pPr>
      <w:bookmarkStart w:id="939" w:name="__RefHeading___Toc764248_3244359995"/>
      <w:bookmarkStart w:id="940" w:name="_Toc349"/>
      <w:bookmarkEnd w:id="939"/>
      <w:r>
        <w:rPr>
          <w:rtl w:val="true"/>
        </w:rPr>
        <w:t>فذلکة</w:t>
      </w:r>
      <w:bookmarkEnd w:id="94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أعتذر للقارئ الکریم عن الإطالة حول هذا البحث القدیم</w:t>
      </w:r>
      <w:r>
        <w:rPr>
          <w:rFonts w:eastAsia="IRNazanin" w:cs="IRNazanin"/>
          <w:color w:val="111111"/>
          <w:sz w:val="28"/>
          <w:szCs w:val="28"/>
          <w:rtl w:val="true"/>
          <w:lang w:bidi="fa-IR"/>
        </w:rPr>
        <w:t>.</w:t>
      </w:r>
      <w:bookmarkStart w:id="941" w:name="pg13177_118172"/>
    </w:p>
    <w:p>
      <w:pPr>
        <w:pStyle w:val="BookText"/>
        <w:rPr/>
      </w:pPr>
      <w:bookmarkEnd w:id="94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الخاصّ و المقیّد إلی العامّ و المطلق، لا تخلو بحسب الأنظار من رجوع القید إلی العامّ و المطلق، فیکون عنوان واحد أو إلی العنوانین و التنویع، أو یفصّل حسب کون مفاد هیئة الخاصّ حکما إلزامیّا، أو مجرّد إخراج مورده عن الإلزام المتوهّم عموما حسب العامّ، أو یبقی علی صورتهما الواردة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الأخیر هو الحقّ فی العامّ و الخاصّ و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العدم الأزلیّ ینفع و یفید هنا، و لا یجری، أو یکون له المعارض إلّا فی الفرض الأخیر، فإنّه لا نرید من الاستصحاب إلّا اصلاح التمسّک بالعامّ و المطلق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الأصل المثبت، أو أسوأ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عدم جریانه فی العدم النعتیّ و فی الخاصّ لو قلنا بسرایة العنوان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تبعات خروج مورد الشبهة عن حکم المخصّص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محطّ ضمّ الوجدان إلی الأصل دون غیر المقام؛ ضرورة أنّ هذه المذبوحة شاة، و هی حسب الإطلاق حلال و طاهرة، و حسب دلیل القید إذا کانت میتة تحرم و تنجس، و إذا جری الأصل علی أنّها ما کانت میتة تخرج عن دلیل تحریم المیتة و تنجیسها، و یتمسّک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أنّا ذکرنا جواز التمسّک بالعامّ فی الشبهة المصداقیّة، کما أنّا نقول بحجّیة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 تحقیق فقه المسألة یطلب منه</w:t>
      </w:r>
      <w:r>
        <w:rPr>
          <w:rFonts w:eastAsia="IRNazanin" w:cs="IRNazanin"/>
          <w:color w:val="111111"/>
          <w:sz w:val="28"/>
          <w:szCs w:val="28"/>
          <w:rtl w:val="true"/>
          <w:lang w:bidi="fa-IR"/>
        </w:rPr>
        <w:t>.</w:t>
      </w:r>
    </w:p>
    <w:p>
      <w:pPr>
        <w:pStyle w:val="Heading5"/>
        <w:numPr>
          <w:ilvl w:val="4"/>
          <w:numId w:val="1"/>
        </w:numPr>
        <w:rPr/>
      </w:pPr>
      <w:bookmarkStart w:id="942" w:name="__RefHeading___Toc764250_3244359995"/>
      <w:bookmarkStart w:id="943" w:name="_Toc350"/>
      <w:bookmarkEnd w:id="942"/>
      <w:r>
        <w:rPr>
          <w:rtl w:val="true"/>
        </w:rPr>
        <w:t>القسم الرابع</w:t>
      </w:r>
      <w:r>
        <w:rPr>
          <w:rtl w:val="true"/>
        </w:rPr>
        <w:t xml:space="preserve">: </w:t>
      </w:r>
      <w:r>
        <w:rPr>
          <w:rtl w:val="true"/>
        </w:rPr>
        <w:t>من استصحاب الکلّی</w:t>
      </w:r>
      <w:bookmarkEnd w:id="94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إذا کان منشأ الشکّ أمرا أجنبیّا معلوم الوجود و الثبوت، کما إذا علم إجمالا بوجوب الظهر أو الجمعة،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تفصیلا بتنجّز</w:t>
      </w:r>
    </w:p>
    <w:p>
      <w:pPr>
        <w:pStyle w:val="BookText"/>
        <w:rPr/>
      </w:pPr>
      <w:r>
        <w:rPr>
          <w:rFonts w:ascii="IRNazanin" w:hAnsi="IRNazanin" w:eastAsia="IRNazanin"/>
          <w:color w:val="111111"/>
          <w:sz w:val="28"/>
          <w:sz w:val="28"/>
          <w:szCs w:val="28"/>
          <w:rtl w:val="true"/>
          <w:lang w:bidi="fa-IR"/>
        </w:rPr>
        <w:t>کلّ من الظهر و الجمعة، فإذا أتی بواحد منهما فی المثال، أو تلف أحد الأطراف فی سائر الأمثلة، أو خرج عن محلّ الابتلاء، أو اضطرّ بعد العلم إلی معیّن و هکذا، و شکّ فی هذه المسألة الاصولیّة؛ و هو بقاء تنجّز وجوب غیر المأتیّ به و ما هو الموجود المبتلی به، فإنّه یصحّ أن یستصحب الحجّیة فی غیر المقام، و فی المقام أیضا یستصحب تنجّز الوجوب؛ و أنّه لو صادف الواقع تصحّ العقوبة علیه، و هذا المقدار من الأثر کاف، کما فی استصحاب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القسم الثالث و الثانی؛ لأنّه بالنسبة إلی عنوان الوجوب من الثانی، فإنّه إمّا کان قد أتی به فقد سقط، أو لم یأت به فقد بقی، و أمّا بالنسبة إلی عنوان تنجّز الوجوب فلیس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القسم الأوّل؛ لأنّ الشکّ هناک کان ناشئا عن خروج الفرد من الدار، أو الکلّی التحتانیّ بالنسبة إلی الکلّی الفوقانیّ، فیکون هنا قسم رابع؛ لأنّ الشکّ جاء من قبل الأجنبیّ المعلوم تنجّزه فی عرض تنجّز المشکوک بقاء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استصحاب شخصیّ معلول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شکّ فی مسألة اصولیّة، و أنّه تنجّز حاصل إمّا من العلم، أو من معارضة الاصول المؤمّنة، فأصل التنجیز ثابت، و بذهاب العلم یشکّ فی بقائه، کما فی تنجّس ثوب إذا تردّد فی أنّه من قبل الدم أو البول، إلّا أنّه من القسم الثانی، و هذا قسم آخر، فتدبّر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القسم الرابع فی مثل ما لو کان المکلّف متوضّئا، ثمّ صدر منه وضوء و حدث، و اشتبه المتقدّم و المتأخّر</w:t>
      </w:r>
      <w:r>
        <w:rPr>
          <w:rStyle w:val="FootnoteAnchor"/>
          <w:rtl w:val="true"/>
        </w:rPr>
        <w:footnoteReference w:id="1187"/>
      </w:r>
      <w:r>
        <w:rPr>
          <w:rFonts w:ascii="IRNazanin" w:hAnsi="IRNazanin" w:eastAsia="IRNazanin"/>
          <w:color w:val="111111"/>
          <w:sz w:val="28"/>
          <w:sz w:val="28"/>
          <w:szCs w:val="28"/>
          <w:rtl w:val="true"/>
          <w:lang w:bidi="fa-IR"/>
        </w:rPr>
        <w:t>، فإنّه یحتمل کون الوضوء الثانی تجدیدیّا، فإنّه یصحّ استصحاب کلّی الطهارة، أو کان یعلم جنابته فاغتسل، فرأی یوم السبت جنابة فی ثوبه، و احتمل کونها ذاک، فیستصحب کلّی الجنابة و الحدث</w:t>
      </w:r>
      <w:r>
        <w:rPr>
          <w:rFonts w:eastAsia="IRNazanin" w:cs="IRNazanin"/>
          <w:color w:val="111111"/>
          <w:sz w:val="28"/>
          <w:szCs w:val="28"/>
          <w:rtl w:val="true"/>
          <w:lang w:bidi="fa-IR"/>
        </w:rPr>
        <w:t>.</w:t>
      </w:r>
      <w:bookmarkStart w:id="944" w:name="pg13177_118174"/>
    </w:p>
    <w:p>
      <w:pPr>
        <w:pStyle w:val="BookText"/>
        <w:rPr/>
      </w:pPr>
      <w:bookmarkEnd w:id="944"/>
      <w:r>
        <w:rPr>
          <w:rFonts w:ascii="IRNazanin" w:hAnsi="IRNazanin" w:eastAsia="IRNazanin"/>
          <w:color w:val="111111"/>
          <w:sz w:val="28"/>
          <w:sz w:val="28"/>
          <w:szCs w:val="28"/>
          <w:rtl w:val="true"/>
          <w:lang w:bidi="fa-IR"/>
        </w:rPr>
        <w:t>و عن الفقیه الهمدانیّ إجراؤه فی الصورة الاولی دون الثانیة</w:t>
      </w:r>
      <w:r>
        <w:rPr>
          <w:rStyle w:val="FootnoteAnchor"/>
          <w:rtl w:val="true"/>
        </w:rPr>
        <w:footnoteReference w:id="1188"/>
      </w:r>
      <w:r>
        <w:rPr>
          <w:rFonts w:ascii="IRNazanin" w:hAnsi="IRNazanin" w:eastAsia="IRNazanin"/>
          <w:color w:val="111111"/>
          <w:sz w:val="28"/>
          <w:sz w:val="28"/>
          <w:szCs w:val="28"/>
          <w:rtl w:val="true"/>
          <w:lang w:bidi="fa-IR"/>
        </w:rPr>
        <w:t>نظرا إلی مسألة فقهیّة تطلب من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هو القسم الثانی بالضرورة، إلّا أنّه فرق بین الأمثلة، ففی القسم الثانی المعروف یکون القصیر و الطویل عرضیّین، کالبعوضة و الفیل، و هنا طولیّین بحسب الزمان؛ ضرورة أنّ الجنابة إن کانت حاصلة یوم الجمعة فقد ارتفعت، و إن کانت جدیدة فهی باقیة، فیستصحب کلّی الحدث الأکبر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کانت الحدث الأصغر فی المثال الأوّل بین الوضوءین، فالوضوء باق، و کلی الطهور باق، و إن کان بعد الوضوءین فهو منتف، فیدور الأمر فی منشأ الشکّ بین ما هو المرتفع قطعا، أو هو الباقی قطعا، و حیث یشکّ فی ذلک یلزم الشکّ فی بقاء کلّی الطهور</w:t>
      </w:r>
      <w:r>
        <w:rPr>
          <w:rFonts w:eastAsia="IRNazanin" w:cs="IRNazanin"/>
          <w:color w:val="111111"/>
          <w:sz w:val="28"/>
          <w:szCs w:val="28"/>
          <w:rtl w:val="true"/>
          <w:lang w:bidi="fa-IR"/>
        </w:rPr>
        <w:t>.</w:t>
      </w:r>
    </w:p>
    <w:p>
      <w:pPr>
        <w:pStyle w:val="Heading5"/>
        <w:numPr>
          <w:ilvl w:val="4"/>
          <w:numId w:val="1"/>
        </w:numPr>
        <w:rPr/>
      </w:pPr>
      <w:bookmarkStart w:id="945" w:name="__RefHeading___Toc764252_3244359995"/>
      <w:bookmarkStart w:id="946" w:name="_Toc351"/>
      <w:bookmarkEnd w:id="945"/>
      <w:r>
        <w:rPr>
          <w:rtl w:val="true"/>
        </w:rPr>
        <w:t>القسم الخامس</w:t>
      </w:r>
      <w:r>
        <w:rPr>
          <w:rtl w:val="true"/>
        </w:rPr>
        <w:t xml:space="preserve">: </w:t>
      </w:r>
      <w:r>
        <w:rPr>
          <w:rtl w:val="true"/>
        </w:rPr>
        <w:t>من استصحاب الکلّی</w:t>
      </w:r>
      <w:bookmarkEnd w:id="946"/>
    </w:p>
    <w:p>
      <w:pPr>
        <w:pStyle w:val="Heading6"/>
        <w:numPr>
          <w:ilvl w:val="5"/>
          <w:numId w:val="1"/>
        </w:numPr>
        <w:rPr/>
      </w:pPr>
      <w:bookmarkStart w:id="947" w:name="__RefHeading___Toc764254_3244359995"/>
      <w:bookmarkStart w:id="948" w:name="_Toc352"/>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 xml:space="preserve">و هو الشکّ فی بقاء الکلّی الخارجیّ و الکلّی المنتشر، أو الفرد المنتشر، کما فی صاع من الصبرة، و هذا غیر الفرد المردّد العنوانیّ، و غیر الکلّی المقیّد، و تفصیله یطلب من تحاریرنا فی المعاملات </w:t>
      </w:r>
      <w:r>
        <w:rPr>
          <w:rStyle w:val="FootnoteAnchor"/>
          <w:rtl w:val="true"/>
        </w:rPr>
        <w:footnoteReference w:id="1189"/>
      </w:r>
      <w:r>
        <w:rPr>
          <w:rFonts w:ascii="IRNazanin" w:hAnsi="IRNazanin" w:eastAsia="IRNazanin"/>
          <w:color w:val="111111"/>
          <w:sz w:val="28"/>
          <w:sz w:val="28"/>
          <w:szCs w:val="28"/>
          <w:rtl w:val="true"/>
          <w:lang w:bidi="fa-IR"/>
        </w:rPr>
        <w:t>، فإنّه بعد الفراغ من أصل المسألة عند العقلاء، لو شکّ فی بقاء الصبرة لاحتمال الاحتراق، یستصحب الکلّی الذی باع و هو صاع منها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جهة شخصیّة؛ لکونها خارجیّة، و من جهة کلّیة؛ لعدم اللون له و لعدم تعیّنه، و فی ذلک جمع بین الشخصیّ و الکلّی، و لأجله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موطن الکلّی هو الذهن</w:t>
      </w:r>
      <w:r>
        <w:rPr>
          <w:rFonts w:eastAsia="IRNazanin" w:cs="IRNazanin"/>
          <w:color w:val="111111"/>
          <w:sz w:val="28"/>
          <w:szCs w:val="28"/>
          <w:rtl w:val="true"/>
          <w:lang w:bidi="fa-IR"/>
        </w:rPr>
        <w:t>.</w:t>
      </w:r>
      <w:bookmarkStart w:id="949" w:name="pg13177_118175"/>
    </w:p>
    <w:p>
      <w:pPr>
        <w:pStyle w:val="Heading6"/>
        <w:numPr>
          <w:ilvl w:val="5"/>
          <w:numId w:val="1"/>
        </w:numPr>
        <w:rPr/>
      </w:pPr>
      <w:bookmarkStart w:id="950" w:name="__RefHeading___Toc764256_3244359995"/>
      <w:bookmarkStart w:id="951" w:name="_Toc353"/>
      <w:bookmarkEnd w:id="949"/>
      <w:bookmarkEnd w:id="950"/>
      <w:r>
        <w:rPr>
          <w:rtl w:val="true"/>
        </w:rPr>
        <w:t>تذنیب</w:t>
      </w:r>
      <w:r>
        <w:rPr>
          <w:rtl w:val="true"/>
        </w:rPr>
        <w:t xml:space="preserve">: </w:t>
      </w:r>
      <w:r>
        <w:rPr>
          <w:rtl w:val="true"/>
        </w:rPr>
        <w:t>حول استصحاب الفرد المردّد</w:t>
      </w:r>
      <w:bookmarkEnd w:id="951"/>
    </w:p>
    <w:p>
      <w:pPr>
        <w:pStyle w:val="BookText"/>
        <w:rPr/>
      </w:pPr>
      <w:r>
        <w:rPr>
          <w:rFonts w:ascii="IRNazanin" w:hAnsi="IRNazanin" w:eastAsia="IRNazanin"/>
          <w:color w:val="111111"/>
          <w:sz w:val="28"/>
          <w:sz w:val="28"/>
          <w:szCs w:val="28"/>
          <w:rtl w:val="true"/>
          <w:lang w:bidi="fa-IR"/>
        </w:rPr>
        <w:t>فی جریان استصحاب الفرد المردّد خلاف، و لعمری إنّه یظهر منهم عدم عثورهم علی ما هو مهمّ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استصحاب لا یرجع إلی استصحاب الکلّی؛ سواء کان ذلک الکلّی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کلّی، فالبحث من هذه لا ینبغی أن یختلط، کما فی الکلّی فی أصل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المناقشة من ناحیة الأثر، فربّما لا یجری استصحاب جامع لمطلق الشرائط؛ لأجل کونه بلا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تصوّر استصحاب آخر غیر الشخصیّ، و غیر الکلّی، و غیر الکلّی الخارجیّ، و هو أن یکون أمرا آخر بحسب مقام الثبوت و الإثبات؛ أی فی موارد العلم الإجمالیّ بوجوب شی‌ء کالظهر أو العصر، أو وجوب إعطاء شی‌ء مردّد بین الأمرین، إذا أتی بأحد الطرفین، أو تلف بعض الأطراف، فلا یبقی العلم، و لا یعلم تفصیلا وجوب شی‌ء کالظهر أو الجمعة، إلّا أنّه بحسب مقام الثبوت یجوز أن یشیر إلی أنّه کان علی یقین بوجوب شی‌ء من قبل المولی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بقاء ذلک؛ لأجل احتمال الامتثال، أو انعدام متعلّق المتعلّق، فیستصحب ذاک الوجوب غیر المعلوم فعلا و کان معلوما، و لازم ذلک هی الإطاعة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الیقین المتعلّق بما هو معلوم متعلّقه، و متعلّق متعلّقه، و ما لیس کذلک، و القضیّتان متّحدتان، و الأرکان موجودة، و الأثر فی هذا التحریر موجود، و المجری لیس أمرا انتزاعیّا، و لا کلّیا طبیعیّا، و إنّما نشیر إلی ما هو الواجب من قبل المولی؛ أی أنّه کان قد أوجب المولی إمّا الظهر أو الجمعة، و فی ظرف الشکّ یشیر إلی أنّ ما کان واجبا، هل هو باق أم زائل؟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ناحیة الیقین یعلم إجمالا، و فی ناحیة الشکّ 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لجهالته بما هو</w:t>
      </w:r>
      <w:bookmarkStart w:id="952" w:name="pg13177_118176"/>
    </w:p>
    <w:p>
      <w:pPr>
        <w:pStyle w:val="BookText"/>
        <w:rPr/>
      </w:pPr>
      <w:bookmarkEnd w:id="952"/>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ما هو الواجب و الذی قد أوجبه اللّه، هل هو باق علی وجوبه أم لا؟</w:t>
      </w:r>
    </w:p>
    <w:p>
      <w:pPr>
        <w:pStyle w:val="BookText"/>
        <w:rPr/>
      </w:pPr>
      <w:r>
        <w:rPr>
          <w:rFonts w:ascii="IRNazanin" w:hAnsi="IRNazanin" w:eastAsia="IRNazanin"/>
          <w:color w:val="111111"/>
          <w:sz w:val="28"/>
          <w:sz w:val="28"/>
          <w:szCs w:val="28"/>
          <w:rtl w:val="true"/>
          <w:lang w:bidi="fa-IR"/>
        </w:rPr>
        <w:t xml:space="preserve">فلا یستصحب العنوان المعلوم فی عالم العنوانیّة و لو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کلّیا و بلا أثر، و لا الشخصیّ فی مرحلة الإثبات، بل هو شخصیّ فی مرحلة الثبوت، و مجمل غیر معلوم فی مرحلة الإثبات، و لا یخرج عن 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أنّ التردّد منتف فی ظرف الشکّ، کما فی تقریر العلّامة النائینیّ رحمه اللّه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بلا أثر، کما فی تقریر العلّامة الأراکیّ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العنوان مرآة، فإنّه ممّا لا معنی له، بل یشیر بأداة الغائب إلی ما کان هو النجس بین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الفرق بین موارد الشبهة الموضوعیّة و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علی الأوّل مثبت لا الثانی، فلا یتمّ ما أفاده الوالد المحقّق هنا مدّ ظلّه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3" w:name="__RefHeading___Toc764258_3244359995"/>
      <w:bookmarkStart w:id="954" w:name="_Toc354"/>
      <w:bookmarkEnd w:id="953"/>
      <w:r>
        <w:rPr>
          <w:rtl w:val="true"/>
        </w:rPr>
        <w:t>فرع</w:t>
      </w:r>
      <w:bookmarkEnd w:id="95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باع دارا من دوره، و قلنا بصحّته، أو باع إحدی دوره، أو باع هذه الدور أو تلک بمائة أو مائتین، و قبلهما علی وجه التردید، و قلنا بصحّته؛ لعدم اعتبار أکثر من هذا المقدار من معلومیّة المبیع، کما هو الأشبه، و لا شبهة عقلیّة فی المسألة کما فی الواجب التخییری، فإذا قبل أحدهما یتعیّن علیه الوفاء بالمائة فی فرض، و بالمائتین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احتمل خراب الدارین، فمقتضی استصحاب بقائهما وجوب الوفاء، فلا یجوز للمشتری بعد أن أعطی الثمن الرجوع إلی البائع بمجرّد الشکّ، کما هو کذلک فی التکالیف التخییریّة التی مرّ تفصیلها فی محلّها</w:t>
      </w:r>
      <w:r>
        <w:rPr>
          <w:rStyle w:val="FootnoteAnchor"/>
          <w:rtl w:val="true"/>
        </w:rPr>
        <w:footnoteReference w:id="1193"/>
      </w:r>
      <w:r>
        <w:rPr>
          <w:rFonts w:ascii="IRNazanin" w:hAnsi="IRNazanin" w:eastAsia="IRNazanin"/>
          <w:color w:val="111111"/>
          <w:sz w:val="28"/>
          <w:sz w:val="28"/>
          <w:szCs w:val="28"/>
          <w:rtl w:val="true"/>
          <w:lang w:bidi="fa-IR"/>
        </w:rPr>
        <w:t>، و أنّها لا ترجع إلی المعیّن، و لا المشروط، و لا المعلّق، خلافا لجمع من الفضلاء</w:t>
      </w:r>
      <w:r>
        <w:rPr>
          <w:rStyle w:val="FootnoteAnchor"/>
          <w:rtl w:val="true"/>
        </w:rPr>
        <w:footnoteReference w:id="1194"/>
      </w:r>
      <w:r>
        <w:rPr>
          <w:rFonts w:ascii="IRNazanin" w:hAnsi="IRNazanin" w:eastAsia="IRNazanin"/>
          <w:color w:val="111111"/>
          <w:sz w:val="28"/>
          <w:sz w:val="28"/>
          <w:szCs w:val="28"/>
          <w:rtl w:val="true"/>
          <w:lang w:bidi="fa-IR"/>
        </w:rPr>
        <w:t>، و وفاقا للمحقّقین العلمین الاستاذین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Style w:val="FootnoteAnchor"/>
          <w:rtl w:val="true"/>
        </w:rPr>
        <w:footnoteReference w:id="1195"/>
      </w:r>
      <w:r>
        <w:rPr>
          <w:rFonts w:ascii="IRNazanin" w:hAnsi="IRNazanin" w:eastAsia="IRNazanin"/>
          <w:color w:val="111111"/>
          <w:sz w:val="28"/>
          <w:sz w:val="28"/>
          <w:szCs w:val="28"/>
          <w:rtl w:val="true"/>
          <w:lang w:bidi="fa-IR"/>
        </w:rPr>
        <w:t>و الوالد</w:t>
      </w:r>
      <w:r>
        <w:rPr>
          <w:rStyle w:val="FootnoteAnchor"/>
          <w:rtl w:val="true"/>
        </w:rPr>
        <w:footnoteReference w:id="1196"/>
      </w:r>
      <w:r>
        <w:rPr>
          <w:rFonts w:ascii="IRNazanin" w:hAnsi="IRNazanin" w:eastAsia="IRNazanin"/>
          <w:color w:val="111111"/>
          <w:sz w:val="28"/>
          <w:sz w:val="28"/>
          <w:szCs w:val="28"/>
          <w:rtl w:val="true"/>
          <w:lang w:bidi="fa-IR"/>
        </w:rPr>
        <w:t>عفی عنهم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باع فردا مردّدا منها فقبل، و قبل القبض و بعد أن أعطی الثمن علم بخراب الدور، و شکّ فی بقاء واحد منها، یمکن الإشکال بعدم اتحاد القضیّتین؛ لأنّه کان علی یقین بأنّ الفرد الموصوف بالتردّد کان موجودا، و الآن ما هو المشکوک فیه لا یوصف بالتردّد، و هو موضوع الوفاء، لأنّه المبیع، فإنّ منشأ التوصیف هی أفراد الدور، لا حال المبیعة و غیر المبیعة، فیتمّ عندئذ ما فی تقریر العلّامة النائینیّ </w:t>
      </w:r>
      <w:r>
        <w:rPr>
          <w:rStyle w:val="FootnoteAnchor"/>
          <w:rtl w:val="true"/>
        </w:rPr>
        <w:footnoteReference w:id="1197"/>
      </w:r>
      <w:r>
        <w:rPr>
          <w:rFonts w:ascii="IRNazanin" w:hAnsi="IRNazanin" w:eastAsia="IRNazanin"/>
          <w:color w:val="111111"/>
          <w:sz w:val="28"/>
          <w:sz w:val="28"/>
          <w:szCs w:val="28"/>
          <w:rtl w:val="true"/>
          <w:lang w:bidi="fa-IR"/>
        </w:rPr>
        <w:t xml:space="preserve">، و یتبیّن وجه فساد مقایسة المقام بالصلاة إلی أربع جهات، کما فی تقریر العلّامة الأراکیّ رحمه اللّه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bookmarkStart w:id="955" w:name="pg13177_118178"/>
    </w:p>
    <w:p>
      <w:pPr>
        <w:pStyle w:val="Heading4"/>
        <w:numPr>
          <w:ilvl w:val="3"/>
          <w:numId w:val="1"/>
        </w:numPr>
        <w:rPr/>
      </w:pPr>
      <w:bookmarkStart w:id="956" w:name="__RefHeading___Toc764260_3244359995"/>
      <w:bookmarkStart w:id="957" w:name="_Toc355"/>
      <w:bookmarkEnd w:id="955"/>
      <w:bookmarkEnd w:id="956"/>
      <w:r>
        <w:rPr>
          <w:rtl w:val="true"/>
        </w:rPr>
        <w:t>التنبیه التاسع فی استصحاب المتصرّمات</w:t>
      </w:r>
      <w:bookmarkEnd w:id="957"/>
    </w:p>
    <w:p>
      <w:pPr>
        <w:pStyle w:val="Heading5"/>
        <w:numPr>
          <w:ilvl w:val="4"/>
          <w:numId w:val="1"/>
        </w:numPr>
        <w:rPr/>
      </w:pPr>
      <w:bookmarkStart w:id="958" w:name="__RefHeading___Toc764262_3244359995"/>
      <w:bookmarkStart w:id="959" w:name="_Toc356"/>
      <w:bookmarkEnd w:id="958"/>
      <w:r>
        <w:rPr>
          <w:rtl w:val="true"/>
        </w:rPr>
        <w:t>اشارة</w:t>
      </w:r>
      <w:bookmarkEnd w:id="959"/>
    </w:p>
    <w:p>
      <w:pPr>
        <w:pStyle w:val="BookText"/>
        <w:rPr/>
      </w:pPr>
      <w:r>
        <w:rPr>
          <w:rFonts w:ascii="IRNazanin" w:hAnsi="IRNazanin" w:eastAsia="IRNazanin"/>
          <w:color w:val="111111"/>
          <w:sz w:val="28"/>
          <w:sz w:val="28"/>
          <w:szCs w:val="28"/>
          <w:rtl w:val="true"/>
          <w:lang w:bidi="fa-IR"/>
        </w:rPr>
        <w:t>لا شبهة فی استصحاب الامور القارّة و إن لم یکن أمر قارّا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غیر القارّة المتصرّمة و المنقضیّة کالزمان، أو الزمانیّات المنطبقة علیه کالحرکة، أو الامور القارّة المتقیّدة بالمتصرّمات الذاتیّة، أو المنطبقة علیها، کالصلاة المتقیّدة بالوقت و الزمان، و الإمساک المقیّد بالزمان و النهار و الشهر، أو الامور المتقیّدة بالمتدرّجات مجازا، کالضرب فی الأرض فی صلاة المسافر، فإنّه لا یعتبر حرکته و ضربه حقیقة فیها، بل لو کان جالس سفینة تکون الحرکة بالحقیقة للسفینة، و بالمجاز لراکبها، و هو الضارب فی الأرض</w:t>
      </w:r>
      <w:r>
        <w:rPr>
          <w:rFonts w:eastAsia="IRNazanin" w:cs="IRNazanin"/>
          <w:color w:val="111111"/>
          <w:sz w:val="28"/>
          <w:szCs w:val="28"/>
          <w:rtl w:val="true"/>
          <w:lang w:bidi="fa-IR"/>
        </w:rPr>
        <w:t>.</w:t>
      </w:r>
    </w:p>
    <w:p>
      <w:pPr>
        <w:pStyle w:val="Heading5"/>
        <w:numPr>
          <w:ilvl w:val="4"/>
          <w:numId w:val="1"/>
        </w:numPr>
        <w:rPr/>
      </w:pPr>
      <w:bookmarkStart w:id="960" w:name="__RefHeading___Toc764264_3244359995"/>
      <w:bookmarkStart w:id="961" w:name="_Toc357"/>
      <w:bookmarkEnd w:id="960"/>
      <w:r>
        <w:rPr>
          <w:rtl w:val="true"/>
        </w:rPr>
        <w:t>الجهة الاولی</w:t>
      </w:r>
      <w:r>
        <w:rPr>
          <w:rtl w:val="true"/>
        </w:rPr>
        <w:t xml:space="preserve">: </w:t>
      </w:r>
      <w:r>
        <w:rPr>
          <w:rtl w:val="true"/>
        </w:rPr>
        <w:t>فی بیان جهات البحث و أنحاء الشکوک</w:t>
      </w:r>
      <w:bookmarkEnd w:id="961"/>
    </w:p>
    <w:p>
      <w:pPr>
        <w:pStyle w:val="BookText"/>
        <w:rPr/>
      </w:pPr>
      <w:r>
        <w:rPr>
          <w:rFonts w:ascii="IRNazanin" w:hAnsi="IRNazanin" w:eastAsia="IRNazanin"/>
          <w:color w:val="111111"/>
          <w:sz w:val="28"/>
          <w:sz w:val="28"/>
          <w:szCs w:val="28"/>
          <w:rtl w:val="true"/>
          <w:lang w:bidi="fa-IR"/>
        </w:rPr>
        <w:t>فعلی هذا، یقع البحث فی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الهلیّة البسیطة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 من جهة الهلیّة المرکّبة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الزمانیّات أو الزمان فی المتقیّدات بهما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الحقیقیّ و الأعمّ حسب الأدلّة الشرعیّة، و من جهة أصل جریان الاستصحاب، أو کونه من الأصل المثبت، أو لأجل ابتلائه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المتقیّد من الامور المنطبقة علی الزمان کالصلاة، و قیده نفس الزمان، أو یکون متعلق المتعلّق متقیّدا بالمتدرّج، أو نفس الموضوع</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الأمثلة واضحة کما اشیر إلیها،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جریان الماء و الدم،</w:t>
      </w:r>
    </w:p>
    <w:p>
      <w:pPr>
        <w:pStyle w:val="BookText"/>
        <w:rPr/>
      </w:pPr>
      <w:r>
        <w:rPr>
          <w:rFonts w:ascii="IRNazanin" w:hAnsi="IRNazanin" w:eastAsia="IRNazanin"/>
          <w:color w:val="111111"/>
          <w:sz w:val="28"/>
          <w:sz w:val="28"/>
          <w:szCs w:val="28"/>
          <w:rtl w:val="true"/>
          <w:lang w:bidi="fa-IR"/>
        </w:rPr>
        <w:t xml:space="preserve">و موارد خروجه من العروق فی الذبیحة لتطهیر المتخلّف، أو عروق الأرض لاعتصام الماء الموجود، و هکذا عدم البلوغ، فإنّه لیس إلّا مضیّ تسع سنین، أو خمس عشرة سنة، أو فی موارد انقضاء العدّة، أو تمامیّة أربعة أشهر و عشرة أیّام، و هکذا فی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کعدم انقضاء سنة واحدة بالنسبة إلی التعریف اللازم فی المضاع و اللقطة، أو الحول فی موارد اعتباره، کما فی باب الزکاة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البحث نافع، لو تمّ انحلّت مشاکله بعد انحلال بعض المشاکل الراجعة إلی الشکّ فی المقتضی، کموارد الحیض و النفاس، و غیرهما ممّا یبتلی به المکلّف، کالهیئة الاتصالیّة التدریجیّة فی الصلاة عند الشکّ، أو بقاء الاتصال فی الجماعة؛ من جهة تصرّم الصلاة و تقضّیها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اجعل هذه الإفادة الجهة الاولی من البحث فی المسألة، و یتمّ ذلک بأنّه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من جهة الشبهة الحکمیّة،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الموضوعیّة، و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الحکم التکلیفیّ، کمن کان مثلا یجب علیه التخییر بین القصر و التمام عند الحرکة إلی الخروج من تحت القبّة الحسینیّة الشریفة، و یشکّ فی محلّ حال الحرکة فی بقاء الحکم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الحکم الوضعیّ، و هو مقدار الزمان أو الزمانیّ المعتبر قیدا أو ظرفا للصلاة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متعلّق المتعلّق، و هو أنّ الماء الجاری جار علی الوجه الموجب لاعتصامه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و هو الشکّ فی بقائها فی العدّة التی هی أربعة أشهر مثلا و هکذا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یقع طرف الزمان مجری الاستصحاب، و هذا کأنّه خارج عن الجهة</w:t>
      </w:r>
      <w:bookmarkStart w:id="962" w:name="pg13177_118180"/>
    </w:p>
    <w:p>
      <w:pPr>
        <w:pStyle w:val="BookText"/>
        <w:rPr/>
      </w:pPr>
      <w:bookmarkEnd w:id="962"/>
      <w:r>
        <w:rPr>
          <w:rFonts w:ascii="IRNazanin" w:hAnsi="IRNazanin" w:eastAsia="IRNazanin"/>
          <w:color w:val="111111"/>
          <w:sz w:val="28"/>
          <w:sz w:val="28"/>
          <w:szCs w:val="28"/>
          <w:rtl w:val="true"/>
          <w:lang w:bidi="fa-IR"/>
        </w:rPr>
        <w:t>المبحوث عنها، ففی مثل الشکّ فی دخول الوقت و حدوث الزوال، یستصحب العدم لنفی الحکم و الصحّة ظاهرا، فإنّه لیس متصرّما، فما یظهر عن بعضهم خال من التحصیل،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دائرة البحث وسیعة و تجری فی الشخصیّ 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مثل الحیض و النفاس تکون صفة الحیض من الامور القارّة، دون الدم و زمان خروجه، و فی الجاری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أثناء هذه المسألة تنحلّ بعض الشبهات و نتعرّض لها إن شاء اللّه تعالی</w:t>
      </w:r>
      <w:r>
        <w:rPr>
          <w:rFonts w:eastAsia="IRNazanin" w:cs="IRNazanin"/>
          <w:color w:val="111111"/>
          <w:sz w:val="28"/>
          <w:szCs w:val="28"/>
          <w:rtl w:val="true"/>
          <w:lang w:bidi="fa-IR"/>
        </w:rPr>
        <w:t>.</w:t>
      </w:r>
    </w:p>
    <w:p>
      <w:pPr>
        <w:pStyle w:val="Heading5"/>
        <w:numPr>
          <w:ilvl w:val="4"/>
          <w:numId w:val="1"/>
        </w:numPr>
        <w:rPr/>
      </w:pPr>
      <w:bookmarkStart w:id="963" w:name="__RefHeading___Toc764266_3244359995"/>
      <w:bookmarkStart w:id="964" w:name="_Toc358"/>
      <w:bookmarkEnd w:id="963"/>
      <w:r>
        <w:rPr>
          <w:rtl w:val="true"/>
        </w:rPr>
        <w:t>الجهة الثانیة</w:t>
      </w:r>
      <w:r>
        <w:rPr>
          <w:rtl w:val="true"/>
        </w:rPr>
        <w:t xml:space="preserve">: </w:t>
      </w:r>
      <w:r>
        <w:rPr>
          <w:rtl w:val="true"/>
        </w:rPr>
        <w:t>فی مشاکل استصحاب نفس الزمان و الوقت</w:t>
      </w:r>
      <w:bookmarkEnd w:id="964"/>
    </w:p>
    <w:p>
      <w:pPr>
        <w:pStyle w:val="Heading6"/>
        <w:numPr>
          <w:ilvl w:val="5"/>
          <w:numId w:val="1"/>
        </w:numPr>
        <w:rPr/>
      </w:pPr>
      <w:bookmarkStart w:id="965" w:name="__RefHeading___Toc764268_3244359995"/>
      <w:bookmarkStart w:id="966" w:name="_Toc359"/>
      <w:bookmarkEnd w:id="965"/>
      <w:r>
        <w:rPr>
          <w:rtl w:val="true"/>
        </w:rPr>
        <w:t>اشارة</w:t>
      </w:r>
      <w:bookmarkEnd w:id="966"/>
    </w:p>
    <w:p>
      <w:pPr>
        <w:pStyle w:val="BookText"/>
        <w:rPr/>
      </w:pPr>
      <w:r>
        <w:rPr>
          <w:rFonts w:ascii="IRNazanin" w:hAnsi="IRNazanin" w:eastAsia="IRNazanin"/>
          <w:color w:val="111111"/>
          <w:sz w:val="28"/>
          <w:sz w:val="28"/>
          <w:szCs w:val="28"/>
          <w:rtl w:val="true"/>
          <w:lang w:bidi="fa-IR"/>
        </w:rPr>
        <w:t>المشکلة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یشکل کما فی کلام الشیخ رحمه اللّه </w:t>
      </w:r>
      <w:r>
        <w:rPr>
          <w:rStyle w:val="FootnoteAnchor"/>
          <w:rtl w:val="true"/>
        </w:rPr>
        <w:footnoteReference w:id="119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من أدلّة الاستصحاب هو الشکّ فی البقاء، و هذا لا یتصوّر فی المتصرّم بالذات، و کأنّه إشکال مرضیّ لجدّ أولادی </w:t>
      </w:r>
      <w:r>
        <w:rPr>
          <w:rStyle w:val="FootnoteAnchor"/>
          <w:rtl w:val="true"/>
        </w:rPr>
        <w:footnoteReference w:id="1200"/>
      </w:r>
      <w:r>
        <w:rPr>
          <w:rFonts w:ascii="IRNazanin" w:hAnsi="IRNazanin" w:eastAsia="IRNazanin"/>
          <w:color w:val="111111"/>
          <w:sz w:val="28"/>
          <w:sz w:val="28"/>
          <w:szCs w:val="28"/>
          <w:rtl w:val="true"/>
          <w:lang w:bidi="fa-IR"/>
        </w:rPr>
        <w:t>و بعض آخر</w:t>
      </w:r>
      <w:r>
        <w:rPr>
          <w:rStyle w:val="FootnoteAnchor"/>
          <w:rtl w:val="true"/>
        </w:rPr>
        <w:footnoteReference w:id="1201"/>
      </w:r>
      <w:r>
        <w:rPr>
          <w:rFonts w:ascii="IRNazanin" w:hAnsi="IRNazanin" w:eastAsia="IRNazanin"/>
          <w:color w:val="111111"/>
          <w:sz w:val="28"/>
          <w:sz w:val="28"/>
          <w:szCs w:val="28"/>
          <w:rtl w:val="true"/>
          <w:lang w:bidi="fa-IR"/>
        </w:rPr>
        <w:t>، و لذلک أنکروا اعتباره کما ذکرنا سابقا</w:t>
      </w:r>
      <w:r>
        <w:rPr>
          <w:rStyle w:val="FootnoteAnchor"/>
          <w:rtl w:val="true"/>
        </w:rPr>
        <w:footnoteReference w:id="1202"/>
      </w:r>
      <w:r>
        <w:rPr>
          <w:rFonts w:ascii="IRNazanin" w:hAnsi="IRNazanin" w:eastAsia="IRNazanin"/>
          <w:color w:val="111111"/>
          <w:sz w:val="28"/>
          <w:sz w:val="28"/>
          <w:szCs w:val="28"/>
          <w:rtl w:val="true"/>
          <w:lang w:bidi="fa-IR"/>
        </w:rPr>
        <w:t xml:space="preserve">، فإن تعریف الاستصحاب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مرضیّه رحمه اللّه و لکنّه أنکر هنا لحلّ المشکلة حسب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أنّ المحقق الوالد مدّ ظلّه اعتبر ذلک متمسّکا بفهم العرف من أدلّته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المفروض هو الشکّ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الهلیّة البسیطة، و عندئذ یشکل بإشکال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لا بدّ من إمکان الإشارة إلی الخارج، ثمّ الاستصحاب،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کذا، و الآن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الإشارة إلی المتصرّم بالذات؛ لانقضائه فی ظرف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بین حلّ المشکلة الاولی و بین حدیث اعتبار البقاء، فإنّه لا یعتبر عندنا، و هی قابلة للانحلال و لو کان معتبرا أیضا؛ و ذلک لأنّ الاستصحاب حقیقة اعتباریّة متشکّلة من القضیّتین المنطبقتین علی الخارج فی مطلق الموارد، و لا معنی لجری وصف الشی‌ء أو وجود الشی‌ء علی الوجه التصوّری، فعلی هذا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وقت الصلاة موجودا، أو وقت تعریف اللقطة موجودا، و الآن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یعتبر أزید من اتحاد القضیّتین بعد اعتبار اتصال زمان الشکّ بالیقین علی الوجه المحرّر عندنا</w:t>
      </w:r>
      <w:r>
        <w:rPr>
          <w:rStyle w:val="FootnoteAnchor"/>
          <w:rtl w:val="true"/>
        </w:rPr>
        <w:footnoteReference w:id="1204"/>
      </w:r>
      <w:r>
        <w:rPr>
          <w:rFonts w:ascii="IRNazanin" w:hAnsi="IRNazanin" w:eastAsia="IRNazanin"/>
          <w:color w:val="111111"/>
          <w:sz w:val="28"/>
          <w:sz w:val="28"/>
          <w:szCs w:val="28"/>
          <w:rtl w:val="true"/>
          <w:lang w:bidi="fa-IR"/>
        </w:rPr>
        <w:t xml:space="preserve">، لا نحتاج إلی کلمة الإشارة، و 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وقت للوقت حتّی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یستعمل عادة الشکّ فی البقاء، 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المستصحب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علی وجه حقیقیّ،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تنحلّ المشکلة الثانیة، و هو الاستصحاب علی الوجه غیر المحتاج إلی الإشارة فی الهلیّة البسیطة، کی یتوجّه إلیه ما اشیر إلیه و حرّرناه أیضا سابقا فی مطلق الهلیّات البسیطة؛ حتّی فی الامور القارّة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معنی لأن یشار إلی زید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مشکوک وجوده بعد ما کان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الإشکال لا یختصّ بالامور غیر القارّة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الاولی أیضا غیر مخصوصة بغیر المقدار؛ لانتفاء الامور القارّة بحسب الموازین العقلیة، لأنّ الوقت حاصل، أو اعتبار عن الحرکة الوضعیّة، و هی</w:t>
      </w:r>
      <w:bookmarkStart w:id="967" w:name="pg13177_118182"/>
    </w:p>
    <w:p>
      <w:pPr>
        <w:pStyle w:val="BookText"/>
        <w:rPr/>
      </w:pPr>
      <w:bookmarkEnd w:id="967"/>
      <w:r>
        <w:rPr>
          <w:rFonts w:ascii="IRNazanin" w:hAnsi="IRNazanin" w:eastAsia="IRNazanin"/>
          <w:color w:val="111111"/>
          <w:sz w:val="28"/>
          <w:sz w:val="28"/>
          <w:szCs w:val="28"/>
          <w:rtl w:val="true"/>
          <w:lang w:bidi="fa-IR"/>
        </w:rPr>
        <w:t>تابعة للحرکة الطبیعیّة الذاتیّة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باختلاف العرف و العقل، و المتّبع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عمومیّة الحرکة الذاتیّة عندنا ممنوعة محرّرة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و هناک حدیث کونه من الأصل المثبت، و سیظهر فی ذیل الأمر الآتی إن شاء اللّه تعالی</w:t>
      </w:r>
      <w:r>
        <w:rPr>
          <w:rFonts w:eastAsia="IRNazanin" w:cs="IRNazanin"/>
          <w:color w:val="111111"/>
          <w:sz w:val="28"/>
          <w:szCs w:val="28"/>
          <w:rtl w:val="true"/>
          <w:lang w:bidi="fa-IR"/>
        </w:rPr>
        <w:t>.</w:t>
      </w:r>
    </w:p>
    <w:p>
      <w:pPr>
        <w:pStyle w:val="Heading6"/>
        <w:numPr>
          <w:ilvl w:val="5"/>
          <w:numId w:val="1"/>
        </w:numPr>
        <w:rPr/>
      </w:pPr>
      <w:bookmarkStart w:id="968" w:name="__RefHeading___Toc764270_3244359995"/>
      <w:bookmarkStart w:id="969" w:name="_Toc360"/>
      <w:bookmarkEnd w:id="968"/>
      <w:r>
        <w:rPr>
          <w:rtl w:val="true"/>
        </w:rPr>
        <w:t>توضیح و تحقیق</w:t>
      </w:r>
      <w:r>
        <w:rPr>
          <w:rtl w:val="true"/>
        </w:rPr>
        <w:t xml:space="preserve">: </w:t>
      </w:r>
      <w:r>
        <w:rPr>
          <w:rtl w:val="true"/>
        </w:rPr>
        <w:t>فی حلّ مشکلة استصحاب الزمان</w:t>
      </w:r>
      <w:bookmarkEnd w:id="969"/>
    </w:p>
    <w:p>
      <w:pPr>
        <w:pStyle w:val="BookText"/>
        <w:rPr/>
      </w:pPr>
      <w:r>
        <w:rPr>
          <w:rFonts w:ascii="IRNazanin" w:hAnsi="IRNazanin" w:eastAsia="IRNazanin"/>
          <w:color w:val="111111"/>
          <w:sz w:val="28"/>
          <w:sz w:val="28"/>
          <w:szCs w:val="28"/>
          <w:rtl w:val="true"/>
          <w:lang w:bidi="fa-IR"/>
        </w:rPr>
        <w:t>کما یمکن إجراء الاستصحاب فی نفس الزمان علی الوجه المذکور؛ من غیر الحاجة إلی التشبّث بذیل الوحدة الاتصالیّة الزمانیّة المساوقة للوحدة الشخصیّة، مع عدم تمامیّة ذلک إلّا بالرجوع إلی القضیّتین المذکورتین الجامعتین لشرائط الاستصحاب و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أنّه ربّما ینکر وجود الزمان و مبدأ اعتباره و هی الحرکة</w:t>
      </w:r>
      <w:r>
        <w:rPr>
          <w:rStyle w:val="FootnoteAnchor"/>
          <w:rtl w:val="true"/>
        </w:rPr>
        <w:footnoteReference w:id="1206"/>
      </w:r>
      <w:r>
        <w:rPr>
          <w:rFonts w:ascii="IRNazanin" w:hAnsi="IRNazanin" w:eastAsia="IRNazanin"/>
          <w:color w:val="111111"/>
          <w:sz w:val="28"/>
          <w:sz w:val="28"/>
          <w:szCs w:val="28"/>
          <w:rtl w:val="true"/>
          <w:lang w:bidi="fa-IR"/>
        </w:rPr>
        <w:t>، أو أنّها الحرکة التوسّطیة، لا القطعیّة، و الحرکة التوسّطیة أمر قارّ، و لذلک یمکن العلم بالحرکة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حقیقة الحرکة غیر قارّة و قطعیّة، للزم أن یکون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قارّ، کی یعدّ علما بها، و إلّا فهو جهل؛ لأنّ ماهیّته غیر قارّة و غیر مجتمعة الأجزاء، مع أنّا نعلم بتلک الحرکة الجوّالة السیّالة التخیّلیة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بعض مسائل خارجة عن حدّ طلّاب العلوم الاعتباریّة، و لیعذرونی علی هذا المقدار الیسیر الخارج عن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یمکن إجراء الاستصحاب 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النهار کان موجودا، و الآن أیضا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حول الهلیّة البسیطة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بنحو اللیس التامّ؛ أی لم یمض وقت صلاة العصر، فلم ینتف</w:t>
      </w:r>
    </w:p>
    <w:p>
      <w:pPr>
        <w:pStyle w:val="BookText"/>
        <w:rPr/>
      </w:pPr>
      <w:r>
        <w:rPr>
          <w:rFonts w:ascii="IRNazanin" w:hAnsi="IRNazanin" w:eastAsia="IRNazanin"/>
          <w:color w:val="111111"/>
          <w:sz w:val="28"/>
          <w:sz w:val="28"/>
          <w:szCs w:val="28"/>
          <w:rtl w:val="true"/>
          <w:lang w:bidi="fa-IR"/>
        </w:rPr>
        <w:t>الوجوب، کما فی الشکّ فی الحول،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یمض حول الزکاة و الخمس،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الهلیّة المرکّبة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الناقضة فلا معنی له؛ لأنّه لا بدّ من الإشارة إلی الخارج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الوقت کان من النهار، أو کان نهارا،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 لو أمکن تصحیحه حسب کون الوحدة الاتصالیّة التصرّمیة عین الوحدة الاتصالیّة القارّة فی الشخصیّة، إلّا أنّ ذلک بالنسبة إلی الإشارة و موضوع القضیّة، و أمّا بالنسبة إلی المحمول فهو غلط؛ لأنّ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النهاریّة و اللیلیّة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الإمساکیة و الصلاتیّة و العدمیّة و تعلّق الزکاتیّة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الامور اعتباریّة لغویّة شرعیّة، و ما هو المحمول عقلا و صحیح هو أنّ هذه الهویّة کانت موجودة، و الآن موجودة بوجود واحد ممتدّ مستمرّ،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هذا الوقت المشار إلیه ما کان نهارا، و لا من النهار بالضرورة، مثلا لو شکّ فی آن بین الطلوعین من اللیل، هل تری من نفسک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الوقت الحاضر من اللیل، و الآن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جریانه فی الشبهة المفهومیّة، فإنّ وجه عدم جریانه فیها لیس ذلک، کی یقال بعدم تمامیّة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اللیل إلی طلوع الشمس، و شکّ فی وقت أنّه تمّ اللیل أم لم یتمّ، فهل تری من نفسک صحّة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الآن و الوقت و الزمان الحاضر کان من اللیل، أو کان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یتمّ عقلا و لا دقّة، و لا تسامحا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التسامحات العرفیّة غیر متّبعة، و لذلک لا یتمّ الوجه الثانی فی کلام شیخنا الأنصاری قدّس سرّه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فرض دقیقة أو ثانیة، کی یختلج بالبال صحّة القضیّة، بل المفروض مقدار یعتنی به من المشکوک فیه، فلا تخلط</w:t>
      </w:r>
      <w:r>
        <w:rPr>
          <w:rFonts w:eastAsia="IRNazanin" w:cs="IRNazanin"/>
          <w:color w:val="111111"/>
          <w:sz w:val="28"/>
          <w:szCs w:val="28"/>
          <w:rtl w:val="true"/>
          <w:lang w:bidi="fa-IR"/>
        </w:rPr>
        <w:t>.</w:t>
      </w:r>
      <w:bookmarkStart w:id="970" w:name="pg13177_118184"/>
    </w:p>
    <w:p>
      <w:pPr>
        <w:pStyle w:val="BookText"/>
        <w:rPr/>
      </w:pPr>
      <w:bookmarkEnd w:id="970"/>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المسائل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حول جریانه رأسا،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کونه من المثبت،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کونه مبتلی بالمعارض، و إلی هنا تبیّن فی هذه الجهة جریانه ذاتا فی الصورتین، دون الثالثة و هی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یستصحب القضیّة علی وجه یکون المحمول عنوان الاستمرار،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زمان صلاة العصر مستمرّا ممتدّا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القضیّة من الهلیّة المرکّبة، فتأمّل</w:t>
      </w:r>
      <w:r>
        <w:rPr>
          <w:rFonts w:eastAsia="IRNazanin" w:cs="IRNazanin"/>
          <w:color w:val="111111"/>
          <w:sz w:val="28"/>
          <w:szCs w:val="28"/>
          <w:rtl w:val="true"/>
          <w:lang w:bidi="fa-IR"/>
        </w:rPr>
        <w:t>.</w:t>
      </w:r>
    </w:p>
    <w:p>
      <w:pPr>
        <w:pStyle w:val="Heading6"/>
        <w:numPr>
          <w:ilvl w:val="5"/>
          <w:numId w:val="1"/>
        </w:numPr>
        <w:rPr/>
      </w:pPr>
      <w:bookmarkStart w:id="971" w:name="__RefHeading___Toc764272_3244359995"/>
      <w:bookmarkStart w:id="972" w:name="_Toc361"/>
      <w:bookmarkEnd w:id="971"/>
      <w:r>
        <w:rPr>
          <w:rtl w:val="true"/>
        </w:rPr>
        <w:t>بقی شی‌ء</w:t>
      </w:r>
      <w:r>
        <w:rPr>
          <w:rtl w:val="true"/>
        </w:rPr>
        <w:t xml:space="preserve">: </w:t>
      </w:r>
      <w:r>
        <w:rPr>
          <w:rtl w:val="true"/>
        </w:rPr>
        <w:t>فی إبداع استصحاب یسمّی بالمنعکس</w:t>
      </w:r>
      <w:bookmarkEnd w:id="972"/>
    </w:p>
    <w:p>
      <w:pPr>
        <w:pStyle w:val="BookText"/>
        <w:rPr/>
      </w:pPr>
      <w:r>
        <w:rPr>
          <w:rFonts w:ascii="IRNazanin" w:hAnsi="IRNazanin" w:eastAsia="IRNazanin"/>
          <w:color w:val="111111"/>
          <w:sz w:val="28"/>
          <w:sz w:val="28"/>
          <w:szCs w:val="28"/>
          <w:rtl w:val="true"/>
          <w:lang w:bidi="fa-IR"/>
        </w:rPr>
        <w:t>لک إجراء الاستصحاب المنعکس، و هو غیر الاستصحاب المتعارف، و غیر الاستصحاب القهقریّ، بل هو فی الوقت الحاضر علی یقین بحدوث النهار بعد ثلاث ساعات، فالیقین مضی، فیستصحب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الوقت من النهار؛ لأنّ ذاک الوقت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الوقت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عنوان البقاء کما افید</w:t>
      </w:r>
      <w:r>
        <w:rPr>
          <w:rStyle w:val="FootnoteAnchor"/>
          <w:rtl w:val="true"/>
        </w:rPr>
        <w:footnoteReference w:id="1208"/>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هذا جاریا فهو لأجل الانصراف و أشباهه، فیتعارض الاستصحابان 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القضیّتین المتشکّلتین الیقینیّة و المشکوک فیها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الموضوع فیهما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وقت صلاة الظهر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وجوب الإمساک موجودا، فهل ذاک الزمان موجود بعد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الاستصحاب الاستقبالیّ أو غیره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الموضوع صفة الزمان و نعت الوقت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و اللیل، و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کیف یعقل إجراء الاستصحاب مع احتمال کونه فی أثناء الوقت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مضیّ المجموع الموصوف و هی القطعة المذکورة کی یجری</w:t>
      </w:r>
    </w:p>
    <w:p>
      <w:pPr>
        <w:pStyle w:val="BookText"/>
        <w:rPr/>
      </w:pPr>
      <w:r>
        <w:rPr>
          <w:rFonts w:ascii="IRNazanin" w:hAnsi="IRNazanin" w:eastAsia="IRNazanin"/>
          <w:color w:val="111111"/>
          <w:sz w:val="28"/>
          <w:sz w:val="28"/>
          <w:szCs w:val="28"/>
          <w:rtl w:val="true"/>
          <w:lang w:bidi="fa-IR"/>
        </w:rPr>
        <w:t>الاستصحاب أو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بعد مضیّ المجموع لا معنی للشکّ 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تنحل بما تحرّر فی الامور القارّة الفانیة فیها الأجزاء المتشخّصة بهویّة واحدة، فیشار إلی جزء من البیت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البیت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المشار إلیه بعض البیت و المسجد، و حیث تری صحّة هذا فی القارّات، فالأمر کذلک فی الامور غیر القارّة، و منها الزمان و الوقت،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فریضة الظهر موجود تعبّدا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بأنّ الهویّة الشخصیّة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فی الحقیقة ما هو سرّ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فی مثل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موضوع العلم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إلّا أنّه فی الامور القارّة یتحقّق الشی‌ء مجتمع الأجزاء عرضا، و فی الامور غیر القارّة غیر مجتمع الأجزاء عرضا مع الوحدة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علی جریان الاستصحاب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فقد الشرط؛ و هو وحدة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 شرط آخر فیه؛ و هو الشک فی البقاء، و هو غیر متصوّر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الخلف، کالإشکال الأخیر المختصّ بزمان الواجب؛ سواء کان ظرفا، أو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فقد الشرط من ناحیة عدم إمکان الإشارة إلی الخارج فی الهلیّات البسیطة و المرکّبة، و قد عرفت عدم اعتبار لزوم الإمکان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الهلیّة المرکّبة یشکل الجریان بالمرّة، إلّا علی وجه اشیر إلیه، و أمرنا بالتأمّل فیه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تقریب آخر للإشکال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المستفاد من أدلّة الاستصحاب، هو الشکّ فی الزمان المتأخّر بالنسبة إلی مفاد القضیّة فی الزمان السابق، فکیف یجری بالنسبة إلی ذات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کون الزمان زمانیّا، و أن یکون الزمان فی الزمان،</w:t>
      </w:r>
      <w:bookmarkStart w:id="973" w:name="pg13177_118186"/>
    </w:p>
    <w:p>
      <w:pPr>
        <w:pStyle w:val="BookText"/>
        <w:rPr/>
      </w:pPr>
      <w:bookmarkEnd w:id="973"/>
      <w:r>
        <w:rPr>
          <w:rFonts w:ascii="IRNazanin" w:hAnsi="IRNazanin" w:eastAsia="IRNazanin"/>
          <w:color w:val="111111"/>
          <w:sz w:val="28"/>
          <w:sz w:val="28"/>
          <w:szCs w:val="28"/>
          <w:rtl w:val="true"/>
          <w:lang w:bidi="fa-IR"/>
        </w:rPr>
        <w:t>و للزمان زمان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الأخیر أیضا یظهر من ملاحظة أنّ ماهیة الاستصحاب لیست إلّا القضیّتین المجرّدتین من الزمان قیدا و إن کانتا فی الزمان</w:t>
      </w:r>
      <w:r>
        <w:rPr>
          <w:rFonts w:eastAsia="IRNazanin" w:cs="IRNazanin"/>
          <w:color w:val="111111"/>
          <w:sz w:val="28"/>
          <w:szCs w:val="28"/>
          <w:rtl w:val="true"/>
          <w:lang w:bidi="fa-IR"/>
        </w:rPr>
        <w:t>.</w:t>
      </w:r>
    </w:p>
    <w:p>
      <w:pPr>
        <w:pStyle w:val="Heading6"/>
        <w:numPr>
          <w:ilvl w:val="5"/>
          <w:numId w:val="1"/>
        </w:numPr>
        <w:rPr/>
      </w:pPr>
      <w:bookmarkStart w:id="974" w:name="__RefHeading___Toc764274_3244359995"/>
      <w:bookmarkStart w:id="975" w:name="_Toc362"/>
      <w:bookmarkEnd w:id="974"/>
      <w:r>
        <w:rPr>
          <w:rtl w:val="true"/>
        </w:rPr>
        <w:t>بقی شی‌ء</w:t>
      </w:r>
      <w:r>
        <w:rPr>
          <w:rtl w:val="true"/>
        </w:rPr>
        <w:t xml:space="preserve">: </w:t>
      </w:r>
      <w:r>
        <w:rPr>
          <w:rtl w:val="true"/>
        </w:rPr>
        <w:t>حول تخصیص البحث بالامور المتصرّمة بما هی متصرّمة</w:t>
      </w:r>
      <w:bookmarkEnd w:id="975"/>
    </w:p>
    <w:p>
      <w:pPr>
        <w:pStyle w:val="BookText"/>
        <w:rPr/>
      </w:pPr>
      <w:r>
        <w:rPr>
          <w:rFonts w:ascii="IRNazanin" w:hAnsi="IRNazanin" w:eastAsia="IRNazanin"/>
          <w:color w:val="111111"/>
          <w:sz w:val="28"/>
          <w:sz w:val="28"/>
          <w:szCs w:val="28"/>
          <w:rtl w:val="true"/>
          <w:lang w:bidi="fa-IR"/>
        </w:rPr>
        <w:t xml:space="preserve">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البحث هنا بالامور التدریجیّة المتصرّمة بما هی هی؛ سواء کانت ظرفا أو قیدا، و سواء کانت من الزمان أو الزمانیّات، و أنّ نفس التدرّج و التصرّم یمنع عن جریانه أم لا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کلام متین؛ إلّا أنّه حیث تتوقّف الاستفادة من البحث علی أنّه هل یمکن کون الزمان ظرفا فی المسائل الشرعیّة، کی ینتفع من الاستصحاب المذکور من جهة عدم کونه مثبتا؟ فلا بدّ من النظر فیه إجمالا، و لذلک أوقع نفسه الشریفة فی مسألة مثبتیّة الأصل الجاری فی الزمان؛ و أنّه علی فرض کونه قیدا إمّا ثبوتا أو استظهارا، فهل یمکن حلّ المشکلة الأساسیّة؛ و هی مثبتیّة الأصل الجاری فی القید المتدرّج، سواء کان من قبیل الزمان أو الزمانیّ، أم لا؟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للشکّ فی بقاء الزمان إلّا باعتبار کونه ظرفا للواجب، أو قیدا، سواء کان الواجب موسّعا، أو مضیّقا، و قد تحرّر منا امتناع القضیة الحینیّة فی الاعتباریّات، کما اشیر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و لزوم دخالة الزمان، فیکون قیدا و ملاکا فی الواجب، اللهمّ إلّا أنّ للشرع التعبّد بالظرفیّة؛ نظرا إلی بعض الأغراض، و یکفی لذلک مثلا عدم لزوم کون الأصل مثبتا عند بعضهم لمصالح اخری عالیة،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ذلک فی الواجب المشروط و المعلّق، فلیراجع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bookmarkStart w:id="976" w:name="pg13177_118187"/>
    </w:p>
    <w:p>
      <w:pPr>
        <w:pStyle w:val="Heading6"/>
        <w:numPr>
          <w:ilvl w:val="5"/>
          <w:numId w:val="1"/>
        </w:numPr>
        <w:rPr/>
      </w:pPr>
      <w:bookmarkStart w:id="977" w:name="__RefHeading___Toc764276_3244359995"/>
      <w:bookmarkStart w:id="978" w:name="_Toc363"/>
      <w:bookmarkEnd w:id="976"/>
      <w:bookmarkEnd w:id="977"/>
      <w:r>
        <w:rPr>
          <w:rtl w:val="true"/>
        </w:rPr>
        <w:t>فذلکة البحث</w:t>
      </w:r>
      <w:bookmarkEnd w:id="978"/>
    </w:p>
    <w:p>
      <w:pPr>
        <w:pStyle w:val="BookText"/>
        <w:rPr/>
      </w:pPr>
      <w:r>
        <w:rPr>
          <w:rFonts w:ascii="IRNazanin" w:hAnsi="IRNazanin" w:eastAsia="IRNazanin"/>
          <w:color w:val="111111"/>
          <w:sz w:val="28"/>
          <w:sz w:val="28"/>
          <w:szCs w:val="28"/>
          <w:rtl w:val="true"/>
          <w:lang w:bidi="fa-IR"/>
        </w:rPr>
        <w:t>إنّ الزمان عندنا لا أثر له فی الخارج، بل هو اعتبار من الحرکة و هی القطعیّة، و لا أساس للتوسّطیة، و وجود الزمان الاعتباریّ لساکنی الأرض متّحد مع الحرکة الموجودة فی العالم، و تلک الحرکة و ذلک التوقیت و التقسیم التخیّلی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اللیل و النهار، أو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باقیة ببقاء الحرکة الموجودة العینیّة عقلا، و لا أساس لما فی کلمات القوم </w:t>
      </w:r>
      <w:r>
        <w:rPr>
          <w:rStyle w:val="FootnoteAnchor"/>
          <w:rtl w:val="true"/>
        </w:rPr>
        <w:footnoteReference w:id="1212"/>
      </w:r>
      <w:r>
        <w:rPr>
          <w:rFonts w:ascii="IRNazanin" w:hAnsi="IRNazanin" w:eastAsia="IRNazanin"/>
          <w:color w:val="111111"/>
          <w:sz w:val="28"/>
          <w:sz w:val="28"/>
          <w:szCs w:val="28"/>
          <w:rtl w:val="true"/>
          <w:lang w:bidi="fa-IR"/>
        </w:rPr>
        <w:t xml:space="preserve">لأجل ما فی کتب أهل المعقول </w:t>
      </w:r>
      <w:r>
        <w:rPr>
          <w:rStyle w:val="FootnoteAnchor"/>
          <w:rtl w:val="true"/>
        </w:rPr>
        <w:footnoteReference w:id="1213"/>
      </w:r>
      <w:r>
        <w:rPr>
          <w:rFonts w:ascii="IRNazanin" w:hAnsi="IRNazanin" w:eastAsia="IRNazanin"/>
          <w:color w:val="111111"/>
          <w:sz w:val="28"/>
          <w:sz w:val="28"/>
          <w:szCs w:val="28"/>
          <w:rtl w:val="true"/>
          <w:lang w:bidi="fa-IR"/>
        </w:rPr>
        <w:t xml:space="preserve">، و لا ینبغی الخلط بین کیفیّة وجود الأشیاء القارّة و المستمرّة المتصرّمة، و بین الأعدام المضافة إلیها، فالهویّة واحدة موجودة، و جریان الاستصحاب ذاتا بلا إشکال إلّا من ناحیة الشکّ فی المقتضی فی بعض الصور، و قد مرّ جریانه علی الإطلاق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764278_3244359995"/>
      <w:bookmarkStart w:id="980" w:name="_Toc364"/>
      <w:bookmarkEnd w:id="979"/>
      <w:r>
        <w:rPr>
          <w:rtl w:val="true"/>
        </w:rPr>
        <w:t>الجهة الثالثة</w:t>
      </w:r>
      <w:r>
        <w:rPr>
          <w:rtl w:val="true"/>
        </w:rPr>
        <w:t xml:space="preserve">: </w:t>
      </w:r>
      <w:r>
        <w:rPr>
          <w:rtl w:val="true"/>
        </w:rPr>
        <w:t>فی المتصرّمات المنطبقة علی الزمان</w:t>
      </w:r>
      <w:bookmarkEnd w:id="980"/>
    </w:p>
    <w:p>
      <w:pPr>
        <w:pStyle w:val="Heading6"/>
        <w:numPr>
          <w:ilvl w:val="5"/>
          <w:numId w:val="1"/>
        </w:numPr>
        <w:rPr/>
      </w:pPr>
      <w:bookmarkStart w:id="981" w:name="__RefHeading___Toc764280_3244359995"/>
      <w:bookmarkStart w:id="982" w:name="_Toc365"/>
      <w:bookmarkEnd w:id="981"/>
      <w:r>
        <w:rPr>
          <w:rtl w:val="true"/>
        </w:rPr>
        <w:t>اشارة</w:t>
      </w:r>
      <w:bookmarkEnd w:id="982"/>
    </w:p>
    <w:p>
      <w:pPr>
        <w:pStyle w:val="BookText"/>
        <w:rPr/>
      </w:pPr>
      <w:r>
        <w:rPr>
          <w:rFonts w:ascii="IRNazanin" w:hAnsi="IRNazanin" w:eastAsia="IRNazanin"/>
          <w:color w:val="111111"/>
          <w:sz w:val="28"/>
          <w:sz w:val="28"/>
          <w:szCs w:val="28"/>
          <w:rtl w:val="true"/>
          <w:lang w:bidi="fa-IR"/>
        </w:rPr>
        <w:t>حسبما اشتهر کالحرکة و الجریان فی الدم و الماء</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تختصّ بشی‌ء من الإشکال؛ لأنّها لیست أسوأ حالا من ذات الزمان، فیجوز استصحاب کون الماء جاریا، و الدم سیّالا و کان یخرج، فلو کان الأثر مترتّبا فلا منع بحسب الطبع عن جریان هذا الاستصحاب</w:t>
      </w:r>
      <w:r>
        <w:rPr>
          <w:rFonts w:eastAsia="IRNazanin" w:cs="IRNazanin"/>
          <w:color w:val="111111"/>
          <w:sz w:val="28"/>
          <w:szCs w:val="28"/>
          <w:rtl w:val="true"/>
          <w:lang w:bidi="fa-IR"/>
        </w:rPr>
        <w:t>.</w:t>
      </w:r>
      <w:bookmarkStart w:id="983" w:name="pg13177_118188"/>
    </w:p>
    <w:p>
      <w:pPr>
        <w:pStyle w:val="BookText"/>
        <w:rPr/>
      </w:pPr>
      <w:bookmarkEnd w:id="983"/>
      <w:r>
        <w:rPr>
          <w:rFonts w:ascii="IRNazanin" w:hAnsi="IRNazanin" w:eastAsia="IRNazanin"/>
          <w:color w:val="111111"/>
          <w:sz w:val="28"/>
          <w:sz w:val="28"/>
          <w:szCs w:val="28"/>
          <w:rtl w:val="true"/>
          <w:lang w:bidi="fa-IR"/>
        </w:rPr>
        <w:t xml:space="preserve">و المناقشة فی بعض الصور؛ بدعوی رجوعها إلی الشکّ فی المقتضی، غیر مسموعة، کما فی تقریرات بعض الأعلام </w:t>
      </w:r>
      <w:r>
        <w:rPr>
          <w:rStyle w:val="FootnoteAnchor"/>
          <w:rtl w:val="true"/>
        </w:rPr>
        <w:footnoteReference w:id="1216"/>
      </w:r>
      <w:r>
        <w:rPr>
          <w:rFonts w:ascii="IRNazanin" w:hAnsi="IRNazanin" w:eastAsia="IRNazanin"/>
          <w:color w:val="111111"/>
          <w:sz w:val="28"/>
          <w:sz w:val="28"/>
          <w:szCs w:val="28"/>
          <w:rtl w:val="true"/>
          <w:lang w:bidi="fa-IR"/>
        </w:rPr>
        <w:t>، کما أنّ المناقشة فی تقدّم الأصل السببیّ، هی بحث آخر غیر منع الجریان لأجل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یجری الاستصحاب الوجودیّ، یجری العدمیّ لو ارید به نفی الأثر المترتّب علی الوجود، و إلّا فیأتی البحث حول مثبتیّة الأصل، و کما یجری بنحو العلّیة التامّة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حرکة السفینة و جریان الدم و الماء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المرکّبة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السفینة کانت متوجّهة و متحرّکة نحو البلد الکذائیّ، و هذا الماء کان جاریا، و هذا الدم کان سیّالا و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ما مرّ</w:t>
      </w:r>
      <w:r>
        <w:rPr>
          <w:rStyle w:val="FootnoteAnchor"/>
          <w:rtl w:val="true"/>
        </w:rPr>
        <w:footnoteReference w:id="1217"/>
      </w: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الیوم کان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کذب و غلط،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الساعة کانت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الماء موجود أعمّ من القارّ و غیر القارّ، فیکون الموضوع محفوظا فی القضیّتین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هویّة الماء محفوظة و هویّة واحدة متشخّصة بتشخّص واحد و لو کان مثل الاوقیانوس الکبیر</w:t>
      </w:r>
      <w:r>
        <w:rPr>
          <w:rFonts w:eastAsia="IRNazanin" w:cs="IRNazanin"/>
          <w:color w:val="111111"/>
          <w:sz w:val="28"/>
          <w:szCs w:val="28"/>
          <w:rtl w:val="true"/>
          <w:lang w:bidi="fa-IR"/>
        </w:rPr>
        <w:t>.</w:t>
      </w:r>
    </w:p>
    <w:p>
      <w:pPr>
        <w:pStyle w:val="Heading6"/>
        <w:numPr>
          <w:ilvl w:val="5"/>
          <w:numId w:val="1"/>
        </w:numPr>
        <w:rPr/>
      </w:pPr>
      <w:bookmarkStart w:id="984" w:name="__RefHeading___Toc764282_3244359995"/>
      <w:bookmarkStart w:id="985" w:name="_Toc366"/>
      <w:bookmarkEnd w:id="984"/>
      <w:r>
        <w:rPr>
          <w:rtl w:val="true"/>
        </w:rPr>
        <w:t>بقی شی‌ء</w:t>
      </w:r>
      <w:r>
        <w:rPr>
          <w:rtl w:val="true"/>
        </w:rPr>
        <w:t xml:space="preserve">: </w:t>
      </w:r>
      <w:r>
        <w:rPr>
          <w:rtl w:val="true"/>
        </w:rPr>
        <w:t>فی بیان أقسام المتصرّمات</w:t>
      </w:r>
      <w:bookmarkEnd w:id="985"/>
    </w:p>
    <w:p>
      <w:pPr>
        <w:pStyle w:val="BookText"/>
        <w:rPr/>
      </w:pPr>
      <w:r>
        <w:rPr>
          <w:rFonts w:ascii="IRNazanin" w:hAnsi="IRNazanin" w:eastAsia="IRNazanin"/>
          <w:color w:val="111111"/>
          <w:sz w:val="28"/>
          <w:sz w:val="28"/>
          <w:szCs w:val="28"/>
          <w:rtl w:val="true"/>
          <w:lang w:bidi="fa-IR"/>
        </w:rPr>
        <w:t>و هو أنّ المتدرّجات بین ما هی متّصلة حقیقة، و ما هی تسامحیّة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هی تسامحیّة بحسب النوع و الطبع، کالتکلّم و القراءة و الخطابة و الصلاة، و ما لا یکون کذلک، کالماء الجاری و الدم السائل الخارج من العروق و هکذا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فی رابعة صلاة الظهر، أو اولی العصر، فهل</w:t>
      </w:r>
      <w:bookmarkStart w:id="986" w:name="pg13177_118189"/>
    </w:p>
    <w:p>
      <w:pPr>
        <w:pStyle w:val="BookText"/>
        <w:rPr/>
      </w:pPr>
      <w:bookmarkEnd w:id="986"/>
      <w:r>
        <w:rPr>
          <w:rFonts w:ascii="IRNazanin" w:hAnsi="IRNazanin" w:eastAsia="IRNazanin"/>
          <w:color w:val="111111"/>
          <w:sz w:val="28"/>
          <w:sz w:val="28"/>
          <w:szCs w:val="28"/>
          <w:rtl w:val="true"/>
          <w:lang w:bidi="fa-IR"/>
        </w:rPr>
        <w:t>یستصحب صلاة الظهر و کونه مشتغلا بها؛ للعلم بأنّه کان مشتغلا بها، و شکّ فی الخروج منها، أو إذا شکّ فی أنّ الإمام فرغ من القراءة و التسبیحة کی یلتحق به، و لا یکون علیه شی‌ء لو لم یجر الاستصحاب لولا قاعدة الاشتغال، أم یجری الاستصحاب، فعلیه القراءة إذا کان مشتغلا بالتسبیحة؟</w:t>
      </w:r>
    </w:p>
    <w:p>
      <w:pPr>
        <w:pStyle w:val="BookText"/>
        <w:rPr/>
      </w:pPr>
      <w:r>
        <w:rPr>
          <w:rFonts w:ascii="IRNazanin" w:hAnsi="IRNazanin" w:eastAsia="IRNazanin"/>
          <w:color w:val="111111"/>
          <w:sz w:val="28"/>
          <w:sz w:val="28"/>
          <w:szCs w:val="28"/>
          <w:rtl w:val="true"/>
          <w:lang w:bidi="fa-IR"/>
        </w:rPr>
        <w:t xml:space="preserve">و الذی یظهر من بعضهم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إجراؤه </w:t>
      </w:r>
      <w:r>
        <w:rPr>
          <w:rStyle w:val="FootnoteAnchor"/>
          <w:rtl w:val="true"/>
        </w:rPr>
        <w:footnoteReference w:id="1218"/>
      </w:r>
      <w:r>
        <w:rPr>
          <w:rFonts w:ascii="IRNazanin" w:hAnsi="IRNazanin" w:eastAsia="IRNazanin"/>
          <w:color w:val="111111"/>
          <w:sz w:val="28"/>
          <w:sz w:val="28"/>
          <w:szCs w:val="28"/>
          <w:rtl w:val="true"/>
          <w:lang w:bidi="fa-IR"/>
        </w:rPr>
        <w:t>نظرا إلی المسامحة، و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المناقشة؛ لعدم اتباع المسامحة العرفیّة إلّا مع الدلیل الخاصّ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التفصیل بین الصور؛ لکون بعضها من الشکّ فی المقتضی، أو أنّ بعضها من الکلّی من القسم الثالث، فهو فی غیر محلّه؛ لأنّه خروج عن الجهة المبحوث عنها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تدریجیّة الموضوع هل تضرّ بصحّة الجریان، أم لا؟ فلا معنی لتکثیر الصور المترائیة فی کلمات الأفاضل و الأعلام هنا</w:t>
      </w:r>
      <w:r>
        <w:rPr>
          <w:rStyle w:val="FootnoteAnchor"/>
          <w:rtl w:val="true"/>
        </w:rPr>
        <w:footnoteReference w:id="1220"/>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لنا تفصیل بین المتدرّجات المعنونة بالعنوان الوحدانیّ، کالقراءة و الخطابة و الخطبة یوم الجمعة، و قراءة القرآن، و هکذا کالصلاة، و المتدرّجات غیر المعنونة بتلک العناوین، کالماء الجاری، و الدم السائل، ففی الاولی یجری دون الأخیرة، و المفصّل هو العرف، فلیتدبّر</w:t>
      </w:r>
      <w:r>
        <w:rPr>
          <w:rFonts w:eastAsia="IRNazanin" w:cs="IRNazanin"/>
          <w:color w:val="111111"/>
          <w:sz w:val="28"/>
          <w:szCs w:val="28"/>
          <w:rtl w:val="true"/>
          <w:lang w:bidi="fa-IR"/>
        </w:rPr>
        <w:t>.</w:t>
      </w:r>
    </w:p>
    <w:p>
      <w:pPr>
        <w:pStyle w:val="Heading6"/>
        <w:numPr>
          <w:ilvl w:val="5"/>
          <w:numId w:val="1"/>
        </w:numPr>
        <w:rPr/>
      </w:pPr>
      <w:bookmarkStart w:id="987" w:name="__RefHeading___Toc764284_3244359995"/>
      <w:bookmarkStart w:id="988" w:name="_Toc367"/>
      <w:bookmarkEnd w:id="987"/>
      <w:r>
        <w:rPr>
          <w:rtl w:val="true"/>
        </w:rPr>
        <w:t>بقی شی‌ء</w:t>
      </w:r>
      <w:r>
        <w:rPr>
          <w:rtl w:val="true"/>
        </w:rPr>
        <w:t xml:space="preserve">: </w:t>
      </w:r>
      <w:r>
        <w:rPr>
          <w:rtl w:val="true"/>
        </w:rPr>
        <w:t>فی استصحاب عدم الزمان</w:t>
      </w:r>
      <w:bookmarkEnd w:id="98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یجری الاستصحاب الوجودیّ یجری العدمیّ، فیقال فی مثل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bookmarkStart w:id="989" w:name="pg13177_118190"/>
    </w:p>
    <w:p>
      <w:pPr>
        <w:pStyle w:val="BookText"/>
        <w:rPr/>
      </w:pPr>
      <w:bookmarkEnd w:id="989"/>
      <w:r>
        <w:rPr>
          <w:rFonts w:ascii="IRNazanin" w:hAnsi="IRNazanin" w:eastAsia="IRNazanin"/>
          <w:color w:val="111111"/>
          <w:sz w:val="28"/>
          <w:sz w:val="28"/>
          <w:szCs w:val="28"/>
          <w:rtl w:val="true"/>
          <w:lang w:bidi="fa-IR"/>
        </w:rPr>
        <w:t>ینقض اللیل، أو النهار، أو شهر رمضان، أو حول تعریف اللقطة، أو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هذا علی عدم اعتبار البقاء فی جریان الاستصحاب،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کلام العلّامة الأراکیّ </w:t>
      </w:r>
      <w:r>
        <w:rPr>
          <w:rStyle w:val="FootnoteAnchor"/>
          <w:rtl w:val="true"/>
        </w:rPr>
        <w:footnoteReference w:id="122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 إجراء استصحاب عدم دخول الوقت من استصحاب الأمر التدریجیّ </w:t>
      </w:r>
      <w:r>
        <w:rPr>
          <w:rStyle w:val="FootnoteAnchor"/>
          <w:rtl w:val="true"/>
        </w:rPr>
        <w:footnoteReference w:id="1222"/>
      </w:r>
      <w:r>
        <w:rPr>
          <w:rFonts w:ascii="IRNazanin" w:hAnsi="IRNazanin" w:eastAsia="IRNazanin"/>
          <w:color w:val="111111"/>
          <w:sz w:val="28"/>
          <w:sz w:val="28"/>
          <w:szCs w:val="28"/>
          <w:rtl w:val="true"/>
          <w:lang w:bidi="fa-IR"/>
        </w:rPr>
        <w:t>، خال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بقاء النهار و اللیل و شهر رمضان و غیر ذلک، لیس من الأمر التدریجیّ؛ لأنّ العنوان الموضوع فی القضیّة غیر تدریجیّ، و ما هو التدریجیّ لیس محطّ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إجراءه فی الأمر التدریجیّ، فلا بدّ من الإشارة إلی ما هو المتدرّج الخارجیّ،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الساعة، أو هذا الجریان، أو هذه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یکون مجری الاستصحاب نفس الخارج المتدرّج، فعندئذ لا معنی لإجراء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لمفروضیّة وجوده بنفس الإشارة، فیبقی استصحاب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بنحو العدم الأزلیّ مورد جریان الاستصحاب، أو هذا الماء أو الدم کانا جاریین و سیّالین، و الآن مشکوکان و هکذا، فإنّه یمکن، فما فی کلمات القوم خال من التحصیل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مصبّ استصحاب الأمر التدریجیّ مخصوص بمواضیع خاصّة، و اللّه هو الموفّق</w:t>
      </w:r>
      <w:r>
        <w:rPr>
          <w:rFonts w:eastAsia="IRNazanin" w:cs="IRNazanin"/>
          <w:color w:val="111111"/>
          <w:sz w:val="28"/>
          <w:szCs w:val="28"/>
          <w:rtl w:val="true"/>
          <w:lang w:bidi="fa-IR"/>
        </w:rPr>
        <w:t>.</w:t>
      </w:r>
    </w:p>
    <w:p>
      <w:pPr>
        <w:pStyle w:val="Heading5"/>
        <w:numPr>
          <w:ilvl w:val="4"/>
          <w:numId w:val="1"/>
        </w:numPr>
        <w:rPr/>
      </w:pPr>
      <w:bookmarkStart w:id="990" w:name="__RefHeading___Toc764286_3244359995"/>
      <w:bookmarkStart w:id="991" w:name="_Toc368"/>
      <w:bookmarkEnd w:id="990"/>
      <w:r>
        <w:rPr>
          <w:rtl w:val="true"/>
        </w:rPr>
        <w:t>الجهة الرابعة</w:t>
      </w:r>
      <w:r>
        <w:rPr>
          <w:rtl w:val="true"/>
        </w:rPr>
        <w:t xml:space="preserve">: </w:t>
      </w:r>
      <w:r>
        <w:rPr>
          <w:rtl w:val="true"/>
        </w:rPr>
        <w:t>فی بیان شبهة مثبتیة الأصل الجاری فی المتصرّمات</w:t>
      </w:r>
      <w:bookmarkEnd w:id="991"/>
    </w:p>
    <w:p>
      <w:pPr>
        <w:pStyle w:val="BookText"/>
        <w:rPr/>
      </w:pPr>
      <w:r>
        <w:rPr>
          <w:rFonts w:ascii="IRNazanin" w:hAnsi="IRNazanin" w:eastAsia="IRNazanin"/>
          <w:color w:val="111111"/>
          <w:sz w:val="28"/>
          <w:sz w:val="28"/>
          <w:szCs w:val="28"/>
          <w:rtl w:val="true"/>
          <w:lang w:bidi="fa-IR"/>
        </w:rPr>
        <w:t>فی أنّ کثیرا أو جمیع الاستصحابات فی الزمان و الزمانیّات المنطبقة علی الزمان، من الاصول المثبتة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 بیانه نشیر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القسم الثالث المذکور فی</w:t>
      </w:r>
    </w:p>
    <w:p>
      <w:pPr>
        <w:pStyle w:val="BookText"/>
        <w:rPr/>
      </w:pPr>
      <w:r>
        <w:rPr>
          <w:rFonts w:ascii="IRNazanin" w:hAnsi="IRNazanin" w:eastAsia="IRNazanin"/>
          <w:color w:val="111111"/>
          <w:sz w:val="28"/>
          <w:sz w:val="28"/>
          <w:szCs w:val="28"/>
          <w:rtl w:val="true"/>
          <w:lang w:bidi="fa-IR"/>
        </w:rPr>
        <w:t xml:space="preserve">کلمات الشیخ </w:t>
      </w:r>
      <w:r>
        <w:rPr>
          <w:rStyle w:val="FootnoteAnchor"/>
          <w:rtl w:val="true"/>
        </w:rPr>
        <w:footnoteReference w:id="1223"/>
      </w:r>
      <w:r>
        <w:rPr>
          <w:rFonts w:ascii="IRNazanin" w:hAnsi="IRNazanin" w:eastAsia="IRNazanin"/>
          <w:color w:val="111111"/>
          <w:sz w:val="28"/>
          <w:sz w:val="28"/>
          <w:szCs w:val="28"/>
          <w:rtl w:val="true"/>
          <w:lang w:bidi="fa-IR"/>
        </w:rPr>
        <w:t xml:space="preserve">و أتباعه </w:t>
      </w:r>
      <w:r>
        <w:rPr>
          <w:rStyle w:val="FootnoteAnchor"/>
          <w:rtl w:val="true"/>
        </w:rPr>
        <w:footnoteReference w:id="1224"/>
      </w:r>
      <w:r>
        <w:rPr>
          <w:rFonts w:ascii="IRNazanin" w:hAnsi="IRNazanin" w:eastAsia="IRNazanin"/>
          <w:color w:val="111111"/>
          <w:sz w:val="28"/>
          <w:sz w:val="28"/>
          <w:szCs w:val="28"/>
          <w:rtl w:val="true"/>
          <w:lang w:bidi="fa-IR"/>
        </w:rPr>
        <w:t>، لیس أمرا مستقلّا فی البحث، بل هو یرجع إلی أنّ التقیید بالأمر التدریجیّ إمّا لا یجری ذاک المقیّد لقیده، أو یجری بلا قید، فلا یکون متدرّجا، أو یکون الأمر التدریجیّ علی وجه الظرفیّة، أو یردّد إثباتا؛ للإهمال أو للإجمال، و علی کلّ لیس قسما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الزمان سواء کان علی وجه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أو الناقصة، و استصحاب المتدرّج، یعدّ مثبتا؛ و ذلک لأنّ الزمان إن کان ظرفا فالتعبّد ببقاء شهر رمضان أو النهار أو اللیل، لا یثبت کون المأتیّ به فی النهار؛ لأنّ الظرفیّة و لو کانت ظرفا اعتبارا، إلّا أنّها قید علی نعت الظرفیّة، و التقیّد الذی هو المعنی الحرفیّ لا یثبت هنا و لا فی غیر المقام إلّا علی القول بالأصل المثبت، هذا فی الظرفیّة، و فی القیدیّة بطریق أولی، و هکذا فی مورد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مفاد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الناقصة، فقد عرفت عدم جریانه </w:t>
      </w:r>
      <w:r>
        <w:rPr>
          <w:rStyle w:val="FootnoteAnchor"/>
          <w:rtl w:val="true"/>
        </w:rPr>
        <w:footnoteReference w:id="1225"/>
      </w:r>
      <w:r>
        <w:rPr>
          <w:rFonts w:ascii="IRNazanin" w:hAnsi="IRNazanin" w:eastAsia="IRNazanin"/>
          <w:color w:val="111111"/>
          <w:sz w:val="28"/>
          <w:sz w:val="28"/>
          <w:szCs w:val="28"/>
          <w:rtl w:val="true"/>
          <w:lang w:bidi="fa-IR"/>
        </w:rPr>
        <w:t xml:space="preserve">، فلا یثبت کون الزمان الحاضر شهر رمضان، و لا اللیل، و لا النهار، و ما فی کلام العلّامة الأراکی </w:t>
      </w:r>
      <w:r>
        <w:rPr>
          <w:rStyle w:val="FootnoteAnchor"/>
          <w:rtl w:val="true"/>
        </w:rPr>
        <w:footnoteReference w:id="1226"/>
      </w:r>
      <w:r>
        <w:rPr>
          <w:rFonts w:ascii="IRNazanin" w:hAnsi="IRNazanin" w:eastAsia="IRNazanin"/>
          <w:color w:val="111111"/>
          <w:sz w:val="28"/>
          <w:sz w:val="28"/>
          <w:szCs w:val="28"/>
          <w:rtl w:val="true"/>
          <w:lang w:bidi="fa-IR"/>
        </w:rPr>
        <w:t>خال من التحصیل بالضرورة عقلا و عرفا، و یکفی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العدم التامّ، فهو یفید بالنسبة إلی نفی الحکم الثابت علی عنوان العدم المضاف، أو نفس المضاف؛ لیرفع حکمه،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انقضت سنة تعلّق الزکاة، فلا تعلّق، و لا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من التدریجیّات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 شهر رمضان أو اللیل و النهار فلا یجری؛ للزوم إثبات الوجوب بالتعبّد بعدم انقضاء الشهر و الیوم، و أیّام الإقامة، و سنة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أیضا لیس</w:t>
      </w:r>
    </w:p>
    <w:p>
      <w:pPr>
        <w:pStyle w:val="BookText"/>
        <w:rPr/>
      </w:pPr>
      <w:r>
        <w:rPr>
          <w:rFonts w:ascii="IRNazanin" w:hAnsi="IRNazanin" w:eastAsia="IRNazanin"/>
          <w:color w:val="111111"/>
          <w:sz w:val="28"/>
          <w:sz w:val="28"/>
          <w:szCs w:val="28"/>
          <w:rtl w:val="true"/>
          <w:lang w:bidi="fa-IR"/>
        </w:rPr>
        <w:t>من المتدرّجات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الاستصحاب الحکمیّ بالنسبة إلی المقیّد بما أنّه مقیّد، کالصلاة المقیّدة بالنهار، أو بکونها فی النهار، أو الإمساک النهاریّ، أو المقیّد بکونه فی النهار، فإنّه و لو کان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منشأ الشکّ إذا لم یجر فیه الأصل لجهة من الجهات، لا مانع من جریان الأصل الحکمیّ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أیضا خارج عن التدریجیّة،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یکون الزمان ظرفا یمکن أن یکون ظرفا واقعا؛ لأنّ بطلان الصلاة قبل الظرف المحدود و بعده مستند إلی انتفاء الأمر، و انتفاء الأمر فی سائر الأوقات مستندة المصالح المنتهیة إلی التوسعة علی المکلّفین، أو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تامّ؛ لأنّ التوسعة تقتضی عدم التحدید، و لو لم یکن وجه مرجّح لاعتبار ظرفیّة الحدّ الخاصّ، للزم الترجیح بلا مرجّح،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کلمات الشیخ رحمه اللّه </w:t>
      </w:r>
      <w:r>
        <w:rPr>
          <w:rStyle w:val="FootnoteAnchor"/>
          <w:rtl w:val="true"/>
        </w:rPr>
        <w:footnoteReference w:id="1227"/>
      </w:r>
      <w:r>
        <w:rPr>
          <w:rFonts w:ascii="IRNazanin" w:hAnsi="IRNazanin" w:eastAsia="IRNazanin"/>
          <w:color w:val="111111"/>
          <w:sz w:val="28"/>
          <w:sz w:val="28"/>
          <w:szCs w:val="28"/>
          <w:rtl w:val="true"/>
          <w:lang w:bidi="fa-IR"/>
        </w:rPr>
        <w:t xml:space="preserve">و غیره فی تقریب مثبتیّة الأصل الجاری فی المتدرّجات </w:t>
      </w:r>
      <w:r>
        <w:rPr>
          <w:rStyle w:val="FootnoteAnchor"/>
          <w:rtl w:val="true"/>
        </w:rPr>
        <w:footnoteReference w:id="1228"/>
      </w:r>
      <w:r>
        <w:rPr>
          <w:rFonts w:ascii="IRNazanin" w:hAnsi="IRNazanin" w:eastAsia="IRNazanin"/>
          <w:color w:val="111111"/>
          <w:sz w:val="28"/>
          <w:sz w:val="28"/>
          <w:szCs w:val="28"/>
          <w:rtl w:val="true"/>
          <w:lang w:bidi="fa-IR"/>
        </w:rPr>
        <w:t>، خال من التحصیل؛ لإمکان حلّ المشکلة بما فی کتب جماعة</w:t>
      </w:r>
      <w:r>
        <w:rPr>
          <w:rStyle w:val="FootnoteAnchor"/>
          <w:rtl w:val="true"/>
        </w:rPr>
        <w:footnoteReference w:id="1229"/>
      </w:r>
      <w:r>
        <w:rPr>
          <w:rFonts w:ascii="Amiri" w:hAnsi="Amiri" w:eastAsia="Amiri" w:cs="Amiri"/>
          <w:color w:val="111111"/>
          <w:sz w:val="28"/>
          <w:sz w:val="28"/>
          <w:szCs w:val="28"/>
          <w:rtl w:val="true"/>
          <w:lang w:bidi="ar-SA"/>
        </w:rPr>
        <w:t>، و منهم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لو کان وجه الإشکال أنّ التعبّد ببقاء الزمان و وقت الصلاة و الصوم، یکون مثبتا بالنسبة إلی وقوعهما فیه، فهو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التعبّد ببقاء الزمان کالتعبّد بعالمیّة زید، و لیس وجوب الإکرام و الصوم و الصلاة من الأصل المثبت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الحاجة إلی کون الزمان الحاضر من اللیل و النهار، ترتفع باستصحاب</w:t>
      </w:r>
    </w:p>
    <w:p>
      <w:pPr>
        <w:pStyle w:val="BookText"/>
        <w:rPr/>
      </w:pPr>
      <w:r>
        <w:rPr>
          <w:rFonts w:ascii="IRNazanin" w:hAnsi="IRNazanin" w:eastAsia="IRNazanin"/>
          <w:color w:val="111111"/>
          <w:sz w:val="28"/>
          <w:sz w:val="28"/>
          <w:szCs w:val="28"/>
          <w:rtl w:val="true"/>
          <w:lang w:bidi="fa-IR"/>
        </w:rPr>
        <w:t xml:space="preserve">الوقت الموصوف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الرمضانیّة، و النهاریّة، و اللیلیّة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لیس من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الزمان ظرفا، فلا تثبت الظرفیّة باستصحاب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إمکان الاستصحاب التعلیقیّ؛ أی أنّه علی یقین بأنّه لو صلّی کانت صلاته فی النهار، و الآن کما کان، و لکنّه من التعلیق الاختراعیّ الممنوع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المحقّق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القضیّة البتّیة المحصورة إلی الشرطیّة؛ بدعوی أنّها حقیقیّة</w:t>
      </w:r>
      <w:r>
        <w:rPr>
          <w:rStyle w:val="FootnoteAnchor"/>
          <w:rtl w:val="true"/>
        </w:rPr>
        <w:footnoteReference w:id="1231"/>
      </w:r>
      <w:r>
        <w:rPr>
          <w:rFonts w:ascii="IRNazanin" w:hAnsi="IRNazanin" w:eastAsia="IRNazanin"/>
          <w:color w:val="111111"/>
          <w:sz w:val="28"/>
          <w:sz w:val="28"/>
          <w:szCs w:val="28"/>
          <w:rtl w:val="true"/>
          <w:lang w:bidi="fa-IR"/>
        </w:rPr>
        <w:t>، خلاف التحقیق المصرّح به فی مواضع کثیرة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مثل هذا الاستصحاب مثبتا، للزم مثبتیّة الاصول المشابهة له کافّة، کاستصحاب الستر و الطهور المنصوص فی الأخبار</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هذا یشهد علی أنّ الاصول المثبتة حجّة، کما یأتی تحقیقه إن شاء اللّه تعالی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استصحاب الزمان و الوقت و الشهر و النهار و السنة و الأیّام، کلّه غیر جار إلّا علی القول بحجّیة الأصل المثبت؛ سواء کان الزمان ظرفا أو قیدا للهیئة، أو المادّة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الموجودات التدریجیّة، فلا منع من جریان الأصل فیها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الماء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یسیل، و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الشبهة المفهومیّة لا یجری الأصل، و لا ینبغی البحث عنه هنا؛ لأنّه بحث آخر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بنینا علی أنّ مفاد أدلّة الاستصحاب هو التعبّد بالیقین بما له من</w:t>
      </w:r>
    </w:p>
    <w:p>
      <w:pPr>
        <w:pStyle w:val="BookText"/>
        <w:rPr/>
      </w:pPr>
      <w:r>
        <w:rPr>
          <w:rFonts w:ascii="IRNazanin" w:hAnsi="IRNazanin" w:eastAsia="IRNazanin"/>
          <w:color w:val="111111"/>
          <w:sz w:val="28"/>
          <w:sz w:val="28"/>
          <w:szCs w:val="28"/>
          <w:rtl w:val="true"/>
          <w:lang w:bidi="fa-IR"/>
        </w:rPr>
        <w:t xml:space="preserve">المتعلّق فی ظرف الشک </w:t>
      </w:r>
      <w:r>
        <w:rPr>
          <w:rStyle w:val="FootnoteAnchor"/>
          <w:rtl w:val="true"/>
        </w:rPr>
        <w:footnoteReference w:id="1235"/>
      </w:r>
      <w:r>
        <w:rPr>
          <w:rFonts w:ascii="IRNazanin" w:hAnsi="IRNazanin" w:eastAsia="IRNazanin"/>
          <w:color w:val="111111"/>
          <w:sz w:val="28"/>
          <w:sz w:val="28"/>
          <w:szCs w:val="28"/>
          <w:rtl w:val="true"/>
          <w:lang w:bidi="fa-IR"/>
        </w:rPr>
        <w:t>، فلا یهمّنا هذا الغموض؛ لأنّه أمارة تعبّدیة بحکم الأمارات الاخر،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لم یجر الأصل الحکمیّ فی مثل شهر رمضان؛ بتوهّم أنّه من القسم الثالث غیر الجاری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عندنا جار کما حرّرناه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شاهدا علی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للرؤیة </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لا تدلّ علی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القطع الموضوعیّ جزء الموضوع لوجوب الصوم؛ لظهور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w:t>
      </w:r>
      <w:r>
        <w:rPr>
          <w:rStyle w:val="FootnoteAnchor"/>
          <w:rtl w:val="true"/>
        </w:rPr>
        <w:footnoteReference w:id="1239"/>
      </w:r>
      <w:r>
        <w:rPr>
          <w:rFonts w:ascii="IRNazanin" w:hAnsi="IRNazanin" w:eastAsia="IRNazanin"/>
          <w:color w:val="111111"/>
          <w:sz w:val="28"/>
          <w:sz w:val="28"/>
          <w:szCs w:val="28"/>
          <w:rtl w:val="true"/>
          <w:lang w:bidi="fa-IR"/>
        </w:rPr>
        <w:t xml:space="preserve">لا یضرّ بجریانه؛ لما تحرّر من قیام الاستصحاب مقام أقسام الیقین </w:t>
      </w:r>
      <w:r>
        <w:rPr>
          <w:rStyle w:val="FootnoteAnchor"/>
          <w:rtl w:val="true"/>
        </w:rPr>
        <w:footnoteReference w:id="1240"/>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أدلّته هو عنوان الیقین الصادق علی الصفتیّ و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النظر فی کلّ من أدلّة الموقّتات، و لعلّ فیها ما لا یکون الأصل الجاری فی الزمان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مثبت علی جمیع التقادیر حتّی بالنسبة إلی الوقوفین فی عرفات و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جریانه فی الزمانیّات فی الجملة ممکن إلّا فی بعض منها، کما فی استصحاب بقاء اشتغال الإمام بالقراءة، فإنّه لا یثبت به شی‌ء، لاعتبار إدراکه حال القراءة أو الالتحاق بالجماعة حال التسبیحة کی یترتّب علیه حکم، و هذا ممّا لا یثبت بالأصل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الأصل العدمیّ علی خلافه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استصحاب اشتغاله بالخطبة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یترتّب علیه شی‌ء</w:t>
      </w:r>
      <w:r>
        <w:rPr>
          <w:rFonts w:eastAsia="IRNazanin" w:cs="IRNazanin"/>
          <w:color w:val="111111"/>
          <w:sz w:val="28"/>
          <w:szCs w:val="28"/>
          <w:rtl w:val="true"/>
          <w:lang w:bidi="fa-IR"/>
        </w:rPr>
        <w:t>-</w:t>
      </w:r>
      <w:bookmarkStart w:id="992" w:name="pg13177_118195"/>
    </w:p>
    <w:p>
      <w:pPr>
        <w:pStyle w:val="BookText"/>
        <w:rPr/>
      </w:pPr>
      <w:bookmarkEnd w:id="992"/>
      <w:r>
        <w:rPr>
          <w:rFonts w:ascii="IRNazanin" w:hAnsi="IRNazanin" w:eastAsia="IRNazanin"/>
          <w:color w:val="111111"/>
          <w:sz w:val="28"/>
          <w:sz w:val="28"/>
          <w:szCs w:val="28"/>
          <w:rtl w:val="true"/>
          <w:lang w:bidi="fa-IR"/>
        </w:rPr>
        <w:t>ممّا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اشتغاله بعقد النکاح و غیره، فلا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فراغه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عدم غروب الشمس و طلوعها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یعدّ من التدریجیّات و لو کان له الأثر الشرعیّ فرضا</w:t>
      </w:r>
      <w:r>
        <w:rPr>
          <w:rFonts w:eastAsia="IRNazanin" w:cs="IRNazanin"/>
          <w:color w:val="111111"/>
          <w:sz w:val="28"/>
          <w:szCs w:val="28"/>
          <w:rtl w:val="true"/>
          <w:lang w:bidi="fa-IR"/>
        </w:rPr>
        <w:t>.</w:t>
      </w:r>
    </w:p>
    <w:p>
      <w:pPr>
        <w:pStyle w:val="Heading5"/>
        <w:numPr>
          <w:ilvl w:val="4"/>
          <w:numId w:val="1"/>
        </w:numPr>
        <w:rPr/>
      </w:pPr>
      <w:bookmarkStart w:id="993" w:name="__RefHeading___Toc764288_3244359995"/>
      <w:bookmarkStart w:id="994" w:name="_Toc369"/>
      <w:bookmarkEnd w:id="993"/>
      <w:r>
        <w:rPr>
          <w:rtl w:val="true"/>
        </w:rPr>
        <w:t>الجهة الخامسة</w:t>
      </w:r>
      <w:r>
        <w:rPr>
          <w:rtl w:val="true"/>
        </w:rPr>
        <w:t xml:space="preserve">: </w:t>
      </w:r>
      <w:r>
        <w:rPr>
          <w:rtl w:val="true"/>
        </w:rPr>
        <w:t>فی بیان معارضة الأصل الجاری فی المتصرّمات بغیره</w:t>
      </w:r>
      <w:bookmarkEnd w:id="994"/>
    </w:p>
    <w:p>
      <w:pPr>
        <w:pStyle w:val="Heading6"/>
        <w:numPr>
          <w:ilvl w:val="5"/>
          <w:numId w:val="1"/>
        </w:numPr>
        <w:rPr/>
      </w:pPr>
      <w:bookmarkStart w:id="995" w:name="__RefHeading___Toc764290_3244359995"/>
      <w:bookmarkStart w:id="996" w:name="_Toc370"/>
      <w:bookmarkEnd w:id="995"/>
      <w:r>
        <w:rPr>
          <w:rtl w:val="true"/>
        </w:rPr>
        <w:t>اشارة</w:t>
      </w:r>
      <w:bookmarkEnd w:id="996"/>
    </w:p>
    <w:p>
      <w:pPr>
        <w:pStyle w:val="BookText"/>
        <w:rPr/>
      </w:pPr>
      <w:r>
        <w:rPr>
          <w:rFonts w:ascii="IRNazanin" w:hAnsi="IRNazanin" w:eastAsia="IRNazanin"/>
          <w:color w:val="111111"/>
          <w:sz w:val="28"/>
          <w:sz w:val="28"/>
          <w:szCs w:val="28"/>
          <w:rtl w:val="true"/>
          <w:lang w:bidi="fa-IR"/>
        </w:rPr>
        <w:t>بناء علی جریان الاستصحاب الموضوعیّ فی ذات الوقت و الزمان، أو فی نفس المتدرّج، و بناء علی کونه غیر مثبت، تبقی الشبهة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وجود أصل معارض للأصل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المعارضة أوضح فی مورد جریان الأصل الحکمیّ فی الزمان و الزمانیّ؛ و ذلک لأنّه مع الشکّ فی بقاء شهر رمضان أو الیوم و اللیلة و هکذا العام و السنة و زمان العدّة و التعریف و غیر ذلک،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یجب الصوم فی هذا الیوم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فیعارض الأصل الحکمیّ،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هذا الیوم من رمضان فی الأزل،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اعتبار الرمضانیّة من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تجب صلاة العصر فی هذه الساعة، و الآن کما کان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هذه الساعة من النهار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یتعارض الأصل الوجودیّ و العدمیّ للحکمین التکلیفیّین و الوضعیّین، کذلک فی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التامّتین، فلو شکّ فی أنّ زیدا موجود فکما یستصحب بقاؤه، کذلک یستصحب عدم تعلّق الإرادة التکوینیّة بوجوده فی هذه الساعة و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عندئذ یظهر وجه ارتباط شبهة النراقیّ </w:t>
      </w:r>
      <w:r>
        <w:rPr>
          <w:rStyle w:val="FootnoteAnchor"/>
          <w:rtl w:val="true"/>
        </w:rPr>
        <w:footnoteReference w:id="1241"/>
      </w:r>
      <w:r>
        <w:rPr>
          <w:rFonts w:ascii="IRNazanin" w:hAnsi="IRNazanin" w:eastAsia="IRNazanin"/>
          <w:color w:val="111111"/>
          <w:sz w:val="28"/>
          <w:sz w:val="28"/>
          <w:szCs w:val="28"/>
          <w:rtl w:val="true"/>
          <w:lang w:bidi="fa-IR"/>
        </w:rPr>
        <w:t xml:space="preserve">بما نحن فیه؛ لإمکان تقریبها فی یوم الشکّ فی بقاء شهر رمضان، أو ساعة اللیل و النهار،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فی غیر محلّه من جهة، و فی محلّه من جهة اخری،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ینجرّ البحث بالنسبة إلی الشکّ بعد مضیّ شهر رمضان، أو بعد زوال الحمرة و استتار القرص و طلوع الشمس، و إن کان أجنبیّا عمّا هو محطّ البحث هنا، و قد وقعوا فی حیص و بیص حول شبهة العلّامة الکاشانیّ النراقیّ رحمه اللّه و قد تصدّی لذلک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شاء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اشیر إلیه یظهر جریانها فی الشبهة الموضوعیّة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ینبغی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الشبهة کما یمکن إجراؤها فی جانب الموقّتات فیما نحن فیه، تجری فی الشبهات الحکمیّة الکلّیة،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صلاة الجمعة واجبة، و الآن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فی هذه العصور فی الأزل واجبة، و الآن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جعل النجاسة أو الخیار أو الوجود بالنسبة إلی موارد الشکّ وضعیّا، أو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هذه الشبهة تجری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الموضوعیّة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عادلا،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زید عادلا فی هذه الساعة فی الأزل،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فالنراقیّ رحمه اللّه فی معزل من التحقیق فی تضییق الشبهة؛ بتوهّم جریانها فی الأحکام الوضعیّة و التکلیفیّة علی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الناقصة، بل هی تجری علی الإطلاق، و یوجد أصل معارض لجمیع الاستصحابات الوجودیّة الحکمیّة، و الموضوعیّة التامّة و الناقصة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غیر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یظهر لی أنّه قدّس سرّه لم یجعل مصبّ الشبهة الواجبات</w:t>
      </w:r>
    </w:p>
    <w:p>
      <w:pPr>
        <w:pStyle w:val="BookText"/>
        <w:rPr/>
      </w:pPr>
      <w:r>
        <w:rPr>
          <w:rFonts w:ascii="IRNazanin" w:hAnsi="IRNazanin" w:eastAsia="IRNazanin"/>
          <w:color w:val="111111"/>
          <w:sz w:val="28"/>
          <w:sz w:val="28"/>
          <w:szCs w:val="28"/>
          <w:rtl w:val="true"/>
          <w:lang w:bidi="fa-IR"/>
        </w:rPr>
        <w:t>الموقّتة؛ لقوله بجریانها فی الوضعیّات، و إنّما مثل و قیّد مصبّ أصالة العدم الأزلیّ بما بعد الزوال لتقطیع الأزمنة، و تعدّد الیقین و الشکّ فی محطّ واحد،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مسألتنا إشکال المعارضة علی الإطلاق، و هکذا فی المسألة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الشکّ فی الشبهة الحکمیّة الکلّیة، و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الشکّ بعد زوال الوقت فی الموقّتات، فتمام الکلام فی الامور الثلاثة، و نشیر إلیها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توهّم عدم صحّة أصالة العدم الأزلیّ حسب صورة الظاهرة؛ لأنّ الزمان المأخوذ تحت دائرة العدم المحمولیّ قید الموضوع،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الصلاة فی هذه الساعة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صوم الغد و صلاة الساعة واجبة، معارضا لاستصحاب وجوب الصوم الکلّی، و وجوب الصلاة الجزئیّ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زید موجودا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الصلاة واجبة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بقید بعد الزوال لم تکن واجبة أزلا، کذلک زید فی الاستصحاب الموضوعیّ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بعد الزوال هذا الماء جاریا فی الأزل، و الأمر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الموقّتات یکون الأصل الجاری، أصلا ملحوظا بالقیاس إلی حال کلّ مکلّف، و هکذا بالنسبة إلی الأصل الموضوعیّ بالقیاس إلی وجود زید، أو جریان الماء</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التکالیف الکلّیة کوجوب الجمعة، یجری الاستصحاب الوجودیّ بالنسبة إلی العنوان الکلّی؛ لعدم إحراز الشخص الواحد زمانی الیقین و الشکّ فی جانب الاستصحاب الوجودیّ، بل مجری الأصل عنوان کلّی؛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مثلا صلاة الجمعة واجبة علی المسلمین و الآن هی مورد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یعارضه أنّه لم تکن الصلاة فی هذا العصر واجبة، و الآن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فنطاق شبهة النراقیّ رحمه اللّه واسع، و لو تمّت یلزم عدم جریان الاصول الوجودیّة کافّة کما عرفت، حتّی بالنسبة إلی موارد جریانه فی الأخبار الخاصّة، إلّا أنّها لأجلها جاریة دون غیرها، و لازم ذلک التفصیل بین الاستصحابات الوجودیّة و العدمیّة، فیسقط قوله باختصاص الشبهة بغیر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تعلیله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فی الموضوعیّات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النهار و اللیل، و حیاة زید، و عدالة عمرو،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لجعل الشارع فی وجودها</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غافلا عن أنّه لو کان الأمر کما ذکره، للزم عدم جریان استصحاب وجود زید و عدالة عمرو؛ لعدم دخالة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بإجراء الموضوع و التعبّد بالبقاء یترتّب علیه الآثار الخاصّة، کما أنّه باستصحاب العدم تنتفی آثار الوجود المضاف إلیه العدم، أو نفس العدم المضاف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ممّا مرّ معارضة الاستصحاب الحکمیّ الجزئیّ مع العدم الأزلیّ الحکمیّ، کما ظهر مواضع ضعف تقریره للشبهة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باستصحاب عدم جعل ملاقاة البول سببا للنجاسة بعد الغسل مرّة</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غافلا عن عدم تعدّد الجعل فی ناحیة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بتعارض وجوب الصوم قبل عروض الحمّی، و استصحاب عدمه الأصلیّ قبل وجوب الصوم</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انتهی، فإنّ ذلک العدم الأصلیّ منتقض، فلا بدّ من تقییده بالوقت کی لا یکون منتقضا، و لا یتوجّه إلیه حلّ بعض المتعرّضین له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فی بیان اتصال زمان الشک بالیقین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الشکّ فی تکلیف ما بعد الزوال، حاصل قبل مجی‌ء یوم الجمعة وقت ملاحظة أمر الشارع، فشکّ فی یوم</w:t>
      </w:r>
      <w:bookmarkStart w:id="997" w:name="pg13177_118199"/>
    </w:p>
    <w:p>
      <w:pPr>
        <w:pStyle w:val="BookText"/>
        <w:rPr/>
      </w:pPr>
      <w:bookmarkEnd w:id="997"/>
      <w:r>
        <w:rPr>
          <w:rFonts w:ascii="IRNazanin" w:hAnsi="IRNazanin" w:eastAsia="IRNazanin"/>
          <w:color w:val="111111"/>
          <w:sz w:val="28"/>
          <w:sz w:val="28"/>
          <w:szCs w:val="28"/>
          <w:rtl w:val="true"/>
          <w:lang w:bidi="fa-IR"/>
        </w:rPr>
        <w:t>الخمیس مثلا حال ورود الأمر فی أنّ الجلوس غدا، هل هو مکلّف به بعد الزوال أیضا،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مع أنّه لا حاجة إلیه؛ لإمکان طروّ الشکّ الفعلیّ بعد الزوال، فإنّه بعد التقیید المذکور یصحّ الاستصحاب؛ لاتصال زمان الیقین بالعدم المضاف إلی المقیّد بعد الالتفات حتّی بعد الزوال، فإذا أصبح یوم الثلاثین یصحّ أن یشکّ فی أنّ وجوب الصوم فی هذا ثابت بعد ما لم یکن مجعولا فی الأزل بالضرورة؛ لعدم هذا الیوم</w:t>
      </w:r>
      <w:r>
        <w:rPr>
          <w:rFonts w:eastAsia="IRNazanin" w:cs="IRNazanin"/>
          <w:color w:val="111111"/>
          <w:sz w:val="28"/>
          <w:szCs w:val="28"/>
          <w:rtl w:val="true"/>
          <w:lang w:bidi="fa-IR"/>
        </w:rPr>
        <w:t>.</w:t>
      </w:r>
    </w:p>
    <w:p>
      <w:pPr>
        <w:pStyle w:val="Heading6"/>
        <w:numPr>
          <w:ilvl w:val="5"/>
          <w:numId w:val="1"/>
        </w:numPr>
        <w:rPr/>
      </w:pPr>
      <w:bookmarkStart w:id="998" w:name="__RefHeading___Toc764292_3244359995"/>
      <w:bookmarkStart w:id="999" w:name="_Toc371"/>
      <w:bookmarkEnd w:id="998"/>
      <w:r>
        <w:rPr>
          <w:rtl w:val="true"/>
        </w:rPr>
        <w:t>جولة</w:t>
      </w:r>
      <w:r>
        <w:rPr>
          <w:rtl w:val="true"/>
        </w:rPr>
        <w:t xml:space="preserve">: </w:t>
      </w:r>
      <w:r>
        <w:rPr>
          <w:rtl w:val="true"/>
        </w:rPr>
        <w:t>حول أجوبة الأعلام عن شبهة المحقق النراقی</w:t>
      </w:r>
      <w:bookmarkEnd w:id="999"/>
    </w:p>
    <w:p>
      <w:pPr>
        <w:pStyle w:val="BookText"/>
        <w:rPr/>
      </w:pPr>
      <w:r>
        <w:rPr>
          <w:rFonts w:ascii="IRNazanin" w:hAnsi="IRNazanin" w:eastAsia="IRNazanin"/>
          <w:color w:val="111111"/>
          <w:sz w:val="28"/>
          <w:sz w:val="28"/>
          <w:szCs w:val="28"/>
          <w:rtl w:val="true"/>
          <w:lang w:bidi="fa-IR"/>
        </w:rPr>
        <w:t xml:space="preserve">قال الشیخ الأعظم الأنصاریّ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محطّ شبهة العلّامة النراقیّ رحمه اللّه إمّا یؤخذ الزمان ظرفا، فلا یجری الأصل العدمیّ، أو یؤخذ الزمان قیدا فلا یجری الأصل الوجودیّ</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نظره لا محالة إلی أنّه فی الأوّل لا یکون تشخّص الحکم و البعث و الإرادة بما هو الزمان دخیل فیه، و فی الثانی إلی ما هو الدخیل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الظرفیّة قید ثبوتا و إثباتا، و لا یجری الاستصحاب لما تحرّر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تشخّص الحکم بعنوان وحدانیّ و هی الصلاة و الصوم و الجلوس و القیود العینیّة و التحلیلیّة، و أنّ الزمان قید ثبوتا و إثباتا، و یجری الاستصحاب؛ لوحدة الموضوع عرفا حقیقة لا تسامحا، کما تحرّر فی بحث قاعدة المیسور</w:t>
      </w:r>
      <w:r>
        <w:rPr>
          <w:rStyle w:val="FootnoteAnchor"/>
          <w:rtl w:val="true"/>
        </w:rPr>
        <w:footnoteReference w:id="1247"/>
      </w:r>
      <w:r>
        <w:rPr>
          <w:rFonts w:ascii="IRNazanin" w:hAnsi="IRNazanin" w:eastAsia="IRNazanin"/>
          <w:color w:val="111111"/>
          <w:sz w:val="28"/>
          <w:sz w:val="28"/>
          <w:szCs w:val="28"/>
          <w:rtl w:val="true"/>
          <w:lang w:bidi="fa-IR"/>
        </w:rPr>
        <w:t>، و أنّ القضاء تبع الأداء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بالنسبة إلی الجلوس فی دائرة، لا ینافی کونه قیدا للهیئة أو المادّة فی زمان آخر و دائرة اخری، و مقصود استاذه هو أنّ الجلوس</w:t>
      </w:r>
    </w:p>
    <w:p>
      <w:pPr>
        <w:pStyle w:val="BookText"/>
        <w:rPr/>
      </w:pPr>
      <w:r>
        <w:rPr>
          <w:rFonts w:ascii="IRNazanin" w:hAnsi="IRNazanin" w:eastAsia="IRNazanin"/>
          <w:color w:val="111111"/>
          <w:sz w:val="28"/>
          <w:sz w:val="28"/>
          <w:szCs w:val="28"/>
          <w:rtl w:val="true"/>
          <w:lang w:bidi="fa-IR"/>
        </w:rPr>
        <w:t>قبل الزوال بلا قید، و بعد الزوال مقیّد، و عندئذ لا منع من جریان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شمول أدلّة الاستصحاب لکلا الاستصحابین غیر ممکن؛ للمناقضة بینهما</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المناقضة بعد انحلال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لجریان خصوص الوجودیّ أو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أراد شمول أدلّة الاجتهاد للقیدیّة و الظرفیّة، کما أفاده الشیخ رحمه اللّه و هو الأشبه، لا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یرجع إلی عدم عثورهم علی مغزی مرام النراقیّ؛ لأنّه فی ناحیة الاستصحاب الوجودیّ نحتاج إلی دلیل اجتهادیّ، و أمّا فی ناحیة الاستصحاب العدمیّ فلا نحتاج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التقریرات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لا میز له فالعدم الأزلیّ و المضاف و المقیّد مشترک فی العدمیّة و عدم المطلق أو عدم جزء المقیّد هو العدم الواحد و هو المطلق و قد انتقض فلا یجری العدمی مطلقا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المتّبع هی القضایا، و هی تتعدّد بالاعتبارات و النسب و لو کانت الأعدام واحدة؛ ضرورة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عند رؤیة الهلال ما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الصوم عند رؤیة هلال رجب ما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یخصّ باستصحاب، و هکذا فی الأعدام الناعتة المضافة، فالعدم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الصوم فی رمضان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انتقض، و أمّا الصوم المقیّد بیوم الثلاثین، فهو أیضا ما کان واجبا و لم ینتقض، و لا شبهة فی تعدّد القضیّتین 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الأصل الوجودیّ علی الأصل العدمیّ؛ للسببیّة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الحکومة یجوز أن تنعکس حسب ما 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فرض تقیّد المادّة بقید بعد الزوال و العصر و یوم الثلاثین، یوجب تباین مصبّ الاستصحابین من غیر منشئیّة أحدهما للآخر، بل منشؤه فقدان النصّ، و لو قلنا بجواز حکومة الأصل السببیّ علی المسبّبی فیما کانا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العدمیّ غیر جار؛ لعدم کونه مجعولا، و لا یعقل أن یکون للعدم مصلحة کی یتعبّد به، مع کفایة البراءة العقلیّة و العقلائیّة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أعرض الأصحاب عن إجرائه فی الشکّ فی الجزئیّة و الشرطیّة و المانعیّة؛ لتمسّکهم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مقتضی ما سلکه الاستاذ البروجردیّ رحمه اللّه </w:t>
      </w:r>
      <w:r>
        <w:rPr>
          <w:rStyle w:val="FootnoteAnchor"/>
          <w:rtl w:val="true"/>
        </w:rPr>
        <w:footnoteReference w:id="1251"/>
      </w:r>
      <w:r>
        <w:rPr>
          <w:rFonts w:ascii="IRNazanin" w:hAnsi="IRNazanin" w:eastAsia="IRNazanin"/>
          <w:color w:val="111111"/>
          <w:sz w:val="28"/>
          <w:sz w:val="28"/>
          <w:szCs w:val="28"/>
          <w:rtl w:val="true"/>
          <w:lang w:bidi="fa-IR"/>
        </w:rPr>
        <w:t>انصراف أدلّة الاستصحاب عن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یؤیّده التمسّک باستصحاب الطهارة عند الشکّ فی النوم فی الصحیحة الاولی، مع أنّه لیس أزلیّا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بأن یختار رحمه اللّه انصرافه عن مطلق الاستصحابات العدمیّة إلّا فیما قام علیه الإجماع، کاستصحاب عدم النسخ، و تفصیله فی محلّه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فیه، و هو واضح؛ ضرورة جواز التمسّک به لإخراج الفرد من تحت دائرة المخصّص، ثمّ التمسّک بالعامّ، و لیس ذلک من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الاستصحاب بحکم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و قاله فی مجلس بحثه ببیان ألطف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الأمر غیر الجائز إهمال الحیثیّات فی مجاری الاصول، و عندئذ لا معارضة بینهما، بل کلّ منهما جار؛ لإمکان کون الجلوس بما هو هو واجبا، و الصوم واجبا، و أن لا یکون الجلوس المقیّد بما هو مقیّد واجبا، و لا صوم یوم الثلاثین بما هو صوم الثلاثین واجبا، و هذا لا ینافی وجوب صوم رمضان فی تلک القطعة، لا صوم الثلاثین فلا تغفل، و فی مقام الامتثال یصوم بعنوان رمضان، و یترک بعنوان الثلاثین؛ لأنّ المقیّد یترک بترک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یرجع إلی المطلق و المقیّد العنوانیّین؛ لأنّ المطلق و المقیّد الاصطلاحیّین إمّا یرجع إطلاقهما إلی التقیید، فلازمه عدم وجوب الجلوس بعد الزوال، أو یرجعان إلی المعارضة لأجل کون التقیید مستهجنا بناء علی تصوّره، أو یکون الإطلاق آبیا عن التقیید، فیندرجان فی الأخبار العلاجیّة، و کلاهما هنا منتف، و حیث لا یراد من أدلّة الاستصحاب معان حیثیّة، بل النظر إلی الامور الخارجیّة، فالمقیّد مصداق المطلق، فیقع التعارض غیر القابل للعلاج، و هو مرام النراقیّ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فی مقام الامتثال، ربّما لا یکون نفی الوجوب المقیّد قصدیّا کی یتعیّن امتثال النهی فی الجانبین بالقصد،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جواب 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الأصل العدمیّ غیر جار؛ لعدم العلم بعدم الجلوس بعد هذا الزوال؛ لعدم هذا الزوال المشار إلیه فی کلامه حیث فرض یوم الجمعة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معنی کلّیا</w:t>
      </w:r>
      <w:r>
        <w:rPr>
          <w:rFonts w:eastAsia="Amiri" w:cs="Amiri" w:ascii="Amiri" w:hAnsi="Amiri"/>
          <w:color w:val="111111"/>
          <w:sz w:val="28"/>
          <w:szCs w:val="28"/>
          <w:rtl w:val="true"/>
          <w:lang w:bidi="ar-SA"/>
        </w:rPr>
        <w:t>.</w:t>
      </w:r>
      <w:bookmarkStart w:id="1000" w:name="pg13177_118203"/>
    </w:p>
    <w:p>
      <w:pPr>
        <w:pStyle w:val="BookText"/>
        <w:rPr/>
      </w:pPr>
      <w:bookmarkEnd w:id="1000"/>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یجری استصحاب عدم کون زید بن عمرو، مع أنّ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الموضوع له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منطبق علی الأکثر، و لکنّه جزئیّ عرفیّ، کذلک الأمر هنا،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منفصلا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شخص أنّه زید بن عمرو، یستصحب العدم الأزلیّ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هذا زید بن عمرو،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فیتمسّک بالعموم، کما فی جمیع المخصّصات و المقیّدات المنفصلة،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المشار إلیه أمر تصوّری ارید سلب ربط مضی عنه فی الأزمنة السالفة و لو لم یکن فی تلک الأزمنة موجودا،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لم یکن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کما تحرّر فی محلّه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1" w:name="__RefHeading___Toc764294_3244359995"/>
      <w:bookmarkStart w:id="1002" w:name="_Toc372"/>
      <w:bookmarkEnd w:id="1001"/>
      <w:r>
        <w:rPr>
          <w:rtl w:val="true"/>
        </w:rPr>
        <w:t>التحقیق فی الجواب عن شبهة المحقق النراقی</w:t>
      </w:r>
      <w:bookmarkEnd w:id="1002"/>
    </w:p>
    <w:p>
      <w:pPr>
        <w:pStyle w:val="BookText"/>
        <w:rPr/>
      </w:pPr>
      <w:r>
        <w:rPr>
          <w:rFonts w:ascii="IRNazanin" w:hAnsi="IRNazanin" w:eastAsia="IRNazanin"/>
          <w:color w:val="111111"/>
          <w:sz w:val="28"/>
          <w:sz w:val="28"/>
          <w:szCs w:val="28"/>
          <w:rtl w:val="true"/>
          <w:lang w:bidi="fa-IR"/>
        </w:rPr>
        <w:t>و ما هو التحقیق فی صور المسألة هو الجواب التاسع؛ و ذلک لأنّ من الصور ما یکون الشکّ فی الشبهة الحکمیّة بالنسبة إلی الأحکام الکلّیة الوجودیّة، کوجوب الجمعة و غیرها، فإنّه إذا کان علی یقین من وجوبها علی کافّة المسلمین، فلا شکّ فی عصرنا، و إذا شکّ فی وجوبها بالنسبة إلینا، فلا بدّ و أن یکون علی یقین من وجوبها علی المسلمین الحاضرین، فلا یکفی مجرّد التعبّد بالبقاء بالنسبة إلی الغائبین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کفی إجراء البراءة عن قیدیّة الحضور فلا حاجة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یفید حتّی علی القول بأماریّة الاستصحاب؛ لعدم إمکان تسریة الحکم من موضوع إلی موضوع آخر حتّی بالأمارة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الکلّیة العدمیّة، فإنّا علی یقین بعدم وجوب الصوم عند رؤیة هلال رجب، أو الصلاة عند کذا و هکذا، فإنّه لا یجری الاستصحاب</w:t>
      </w:r>
    </w:p>
    <w:p>
      <w:pPr>
        <w:pStyle w:val="BookText"/>
        <w:rPr/>
      </w:pPr>
      <w:r>
        <w:rPr>
          <w:rFonts w:ascii="IRNazanin" w:hAnsi="IRNazanin" w:eastAsia="IRNazanin"/>
          <w:color w:val="111111"/>
          <w:sz w:val="28"/>
          <w:sz w:val="28"/>
          <w:szCs w:val="28"/>
          <w:rtl w:val="true"/>
          <w:lang w:bidi="fa-IR"/>
        </w:rPr>
        <w:t>العدمیّ الحکمیّ أصلا؛ لأنّ الأحکام الإلهیة بالنسبة إلی الامم لیست حوادث، و الإرادات التشریعیّة لیست فیما لا یزال، و إنّما التبلیغ و التنجیز بوسائط الکتب و الأنبیاء، فعندئذ کیف یعقل العلم بعدم الوجوب المذکور، أو عدم وجوب الجلوس بعد الزوال، أو الصوم یوم الثلاثین؛ لاحتمال وجوبها و عدم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عدم التنجیز داخل فی الأحکام العقلیّة، و قد مرّ البحث حوله </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خصوص استصحاب عدم وجوب الجلوس المقیّد، یأتی جواب آخر هو من افق طلّاب العلوم الاعتباریّة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فی الموقّتات بعد مضیّ الوقت من غیر فرق بین الموسّعة و المضیّقة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سواء جری الاستصحاب الوجودیّ مطلقا؛ و لو کان الزمان قیدا، أم لم یجر مطلقا؛ لرجوع الظرفیّة إلی القیدیّة، أو التفصیل، لا یجری العدمیّ؛ ضرورة أنّه یرجع إلی المطلق و المقیّد بعد الزوال، و یکون المطلق واجبا، و القید مشکوکة قیدیّته؛ سواء کان بالنسبة إلی الهیئة، أو المادّة، أو متعلّق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وجوب الجلوس المقیّد، غیر معقول کی یرفع بالاستصحاب؛ لما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الإیجابیّین أو التحریمیّین التأسیسیّین کما لا یعقلان بالنسبة إلی عنوان واحد، غیر معقولین بالنسبة إلی المطلق و المقیّد، و تفصیله فی بحوث الترتّب و الضدّ</w:t>
      </w:r>
      <w:r>
        <w:rPr>
          <w:rStyle w:val="FootnoteAnchor"/>
          <w:rtl w:val="true"/>
        </w:rPr>
        <w:footnoteReference w:id="1257"/>
      </w:r>
      <w:r>
        <w:rPr>
          <w:rFonts w:ascii="IRNazanin" w:hAnsi="IRNazanin" w:eastAsia="IRNazanin"/>
          <w:color w:val="111111"/>
          <w:sz w:val="28"/>
          <w:sz w:val="28"/>
          <w:szCs w:val="28"/>
          <w:rtl w:val="true"/>
          <w:lang w:bidi="fa-IR"/>
        </w:rPr>
        <w:t xml:space="preserve">و اجتماع الأمر و النهی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فعندئذ لا معنی لاحتمال الوجوب النفسیّ للجلوس المقیّد کی یتمسّک بالأصل، بل الجلوس إمّا واجب بالاستصحاب، و قیدیّة بعد الزوال مرفوعة بالبراءة،</w:t>
      </w:r>
    </w:p>
    <w:p>
      <w:pPr>
        <w:pStyle w:val="BookText"/>
        <w:rPr/>
      </w:pPr>
      <w:r>
        <w:rPr>
          <w:rFonts w:ascii="IRNazanin" w:hAnsi="IRNazanin" w:eastAsia="IRNazanin"/>
          <w:color w:val="111111"/>
          <w:sz w:val="28"/>
          <w:sz w:val="28"/>
          <w:szCs w:val="28"/>
          <w:rtl w:val="true"/>
          <w:lang w:bidi="fa-IR"/>
        </w:rPr>
        <w:t>أو بالاستصحاب غیر المعارض معه، أو لیس بواجب؛ لعدم جریان الاستصحاب الحکمیّ الوجودیّ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الاستصحابین مفاد المطلق و المقیّد، فإذا نظرنا إلی کلّ واحد مستقلّا یکون مقتضی أصالة الجدّ معه، و إذا لاحظناهما نجد امتناع کونهما جدّیین، فیجمع بینهما بحمل المطلق علی المقیّد؛ لو کان المقیّد جاریا مع قطع النظر عمّا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ما 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 ذاتا فی الحکمیّ الوجودیّ و العدمیّ بالنسبة إلی الأحکام الکلّیة، کوجوب صلاة الجمعة، و عدم وجوب صوم الغد، أو صوم هذه الساعة، أو عدم وجوب صلاة هذه الساعة قبل الغروب عند الشبهة الموضوعیّة؛ و ذلک کلّه لأنّ لسان الاستصحاب لیس إلّا التعبّد ببقاء المجعول، فلو شکّ فی بقاء وجوب إکرام العلماء، و هکذا شکّ فی بقاء عدم وجوب إکرام الفسّاق، فتعبّدنا بهما، فهما عامّان من وجه، و یعامل معهما معاملة العامّین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إهمال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کون الزمان قیدا و ظرفا للوجوب الواحد</w:t>
      </w:r>
      <w:r>
        <w:rPr>
          <w:rStyle w:val="FootnoteAnchor"/>
          <w:rtl w:val="true"/>
        </w:rPr>
        <w:footnoteReference w:id="1259"/>
      </w:r>
      <w:r>
        <w:rPr>
          <w:rFonts w:ascii="IRNazanin" w:hAnsi="IRNazanin" w:eastAsia="IRNazanin"/>
          <w:color w:val="111111"/>
          <w:sz w:val="28"/>
          <w:sz w:val="28"/>
          <w:szCs w:val="28"/>
          <w:rtl w:val="true"/>
          <w:lang w:bidi="fa-IR"/>
        </w:rPr>
        <w:t>بتوهّم أنّ مفاد الاستصحاب دائما جدّی و مطابق للجدّ، کمصبّ الإجماع، مع أنّ المقایسة فی غیر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مقتضی إطلاق دلیل الاستصحاب، هو التعبد ببقاء الیقین؛ سواء کان متعلّقا بالحکم الجدّی، أو الحکم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المعاملة معهما معاملة العامّین من وجه، أو المطلق و المقیّد، تعدّ من الأصل المثبت، فی غیر محلّه؛ لما سیمرّ علیک تحقیق المسألة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الثابت بالاستصحاب الوجودیّ، هو الوجوب الجدّی المطلق، و المنفیّ عدم الوجوب المقیّد الجدّی، و هذا لا یعقل إلّا فی صورة احتمال وجوده،</w:t>
      </w:r>
    </w:p>
    <w:p>
      <w:pPr>
        <w:pStyle w:val="BookText"/>
        <w:rPr/>
      </w:pPr>
      <w:r>
        <w:rPr>
          <w:rFonts w:ascii="IRNazanin" w:hAnsi="IRNazanin" w:eastAsia="IRNazanin"/>
          <w:color w:val="111111"/>
          <w:sz w:val="28"/>
          <w:sz w:val="28"/>
          <w:szCs w:val="28"/>
          <w:rtl w:val="true"/>
          <w:lang w:bidi="fa-IR"/>
        </w:rPr>
        <w:t>و هو غیر معقول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یکفینا الکلام الأوّل الجاری بالنسبة إلی تلک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فی الموسّعات غیر الاصطلاحیّة، کوجوب صوم شهر رمضان، أو الموسّعات کالصلاة عند الشکّ فی تمامیّة الوقت المضروب للواجب، و عند الشبهة الموضوعیّة أو الحکمیّة، فإنّه أیضا یجری الوجودیّ لولا بعض ما مرّ فی بحث قاعدة المیسور</w:t>
      </w:r>
      <w:r>
        <w:rPr>
          <w:rStyle w:val="FootnoteAnchor"/>
          <w:rtl w:val="true"/>
        </w:rPr>
        <w:footnoteReference w:id="1261"/>
      </w:r>
      <w:r>
        <w:rPr>
          <w:rFonts w:ascii="IRNazanin" w:hAnsi="IRNazanin" w:eastAsia="IRNazanin"/>
          <w:color w:val="111111"/>
          <w:sz w:val="28"/>
          <w:sz w:val="28"/>
          <w:szCs w:val="28"/>
          <w:rtl w:val="true"/>
          <w:lang w:bidi="fa-IR"/>
        </w:rPr>
        <w:t>، و لا یجری العدمیّ؛ لعین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الجواب الوحید ما ذکرناه أوّلا، و إلّا فلا یتصوّر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فی الهلیّة البسیطة أو المرکّبة، و قد عرفت وجه جریان أصل المشکلة فیها</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الأحکام الوضعیّة؛ لأنّها و لو کانت قابلة للجعل، إلّا أنّ اعتبارها متقوّم بآثارها الوجودیّة أو العدمیّة، و حیث إنّ الاستصحاب الوجودیّ و هو بقاء وجود زید، أو العدمیّ و هو عدم وجود زید بعد الزوال، تابع الأثر، فإن کان للوجودیّ أثر معلوم دون العدمیّ فیترتّب علیه، و فی العکس بالعکس، و لا یعقل وجود الأثر لهما معا إلّا إنشاء، فیستصحبان، و یحمل المطلق علی المقیّد،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العدمیّ فی ناحیة الهلیّة البسیطة و المرکّبة؛ باعتبار عدم الأثر له، مثلا لو شکّ فی أنّ هذا الماء جار أم لا، فإنّه لمکان کونه جاریا یستصحب جریانه، فیترتّب علیه أثره، و أمّا الماء المقیّد بما بعد الزوال جریانه، فإنّه و إن یستصحب علی نعت الاستصحاب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هذا الماء فی الأزل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له الأثر بما أنّه مقیّد، کما لا یخفی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اشتباه الأمر علی العلّامة المذکور فی کیفیّة إجراء الأصل العدمیّ فی</w:t>
      </w:r>
      <w:bookmarkStart w:id="1003" w:name="pg13177_118207"/>
    </w:p>
    <w:p>
      <w:pPr>
        <w:pStyle w:val="BookText"/>
        <w:rPr/>
      </w:pPr>
      <w:bookmarkEnd w:id="1003"/>
      <w:r>
        <w:rPr>
          <w:rFonts w:ascii="IRNazanin" w:hAnsi="IRNazanin" w:eastAsia="IRNazanin"/>
          <w:color w:val="111111"/>
          <w:sz w:val="28"/>
          <w:sz w:val="28"/>
          <w:szCs w:val="28"/>
          <w:rtl w:val="true"/>
          <w:lang w:bidi="fa-IR"/>
        </w:rPr>
        <w:t>الأحکام الوضعیّة؛ لأنّ مثل النجاسة و الملکیّة و الجزئیّة و إن کانت تقبل الاشتداد عندنا، و هو اعتبار الشدّة، لا الشدّة التی فی التکوینیّات، إلّا أنّ الشرع لم یجعل الشدّة، و إنّما ینتزع أو تعتبر الشدّة بلحاظ الآثار الخاصة المترتّبة علیها، کالحاجة إلی التعفیر و التعدّد فی بعض النجاسات، و زوال الملکیّة فی بعض التملیکات، و بطلان الفریضة بترک بعض الأجزاء، فلا تخلط</w:t>
      </w:r>
      <w:r>
        <w:rPr>
          <w:rFonts w:eastAsia="IRNazanin" w:cs="IRNazanin"/>
          <w:color w:val="111111"/>
          <w:sz w:val="28"/>
          <w:szCs w:val="28"/>
          <w:rtl w:val="true"/>
          <w:lang w:bidi="fa-IR"/>
        </w:rPr>
        <w:t>.</w:t>
      </w:r>
    </w:p>
    <w:p>
      <w:pPr>
        <w:pStyle w:val="Heading6"/>
        <w:numPr>
          <w:ilvl w:val="5"/>
          <w:numId w:val="1"/>
        </w:numPr>
        <w:rPr/>
      </w:pPr>
      <w:bookmarkStart w:id="1004" w:name="__RefHeading___Toc764296_3244359995"/>
      <w:bookmarkStart w:id="1005" w:name="_Toc373"/>
      <w:bookmarkEnd w:id="1004"/>
      <w:r>
        <w:rPr>
          <w:rtl w:val="true"/>
        </w:rPr>
        <w:t>تذنیب</w:t>
      </w:r>
      <w:r>
        <w:rPr>
          <w:rtl w:val="true"/>
        </w:rPr>
        <w:t xml:space="preserve">: </w:t>
      </w:r>
      <w:r>
        <w:rPr>
          <w:rtl w:val="true"/>
        </w:rPr>
        <w:t>حول استصحاب أحکام الشرائع السابقة</w:t>
      </w:r>
      <w:bookmarkEnd w:id="1005"/>
    </w:p>
    <w:p>
      <w:pPr>
        <w:pStyle w:val="BookText"/>
        <w:rPr/>
      </w:pPr>
      <w:r>
        <w:rPr>
          <w:rFonts w:ascii="IRNazanin" w:hAnsi="IRNazanin" w:eastAsia="IRNazanin"/>
          <w:color w:val="111111"/>
          <w:sz w:val="28"/>
          <w:sz w:val="28"/>
          <w:szCs w:val="28"/>
          <w:rtl w:val="true"/>
          <w:lang w:bidi="fa-IR"/>
        </w:rPr>
        <w:t xml:space="preserve">من موارد جریان هذه الشبهة حدیث استصحاب أحکام الشرائع السابقة، و قد ذهب أکثرهم إلی جریانه </w:t>
      </w:r>
      <w:r>
        <w:rPr>
          <w:rStyle w:val="FootnoteAnchor"/>
          <w:rtl w:val="true"/>
        </w:rPr>
        <w:footnoteReference w:id="1263"/>
      </w:r>
      <w:r>
        <w:rPr>
          <w:rFonts w:ascii="IRNazanin" w:hAnsi="IRNazanin" w:eastAsia="IRNazanin"/>
          <w:color w:val="111111"/>
          <w:sz w:val="28"/>
          <w:sz w:val="28"/>
          <w:szCs w:val="28"/>
          <w:rtl w:val="true"/>
          <w:lang w:bidi="fa-IR"/>
        </w:rPr>
        <w:t>، و بعضهم إلی المعارضة المذکورة، و استشکل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الجریان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المسألة قلیلة الجدوی، و لا حاجة إلی إطالة الکلام بعد ما عرفت المناقشة فی استصحاب العدم الأزلیّ </w:t>
      </w:r>
      <w:r>
        <w:rPr>
          <w:rStyle w:val="FootnoteAnchor"/>
          <w:rtl w:val="true"/>
        </w:rPr>
        <w:footnoteReference w:id="1265"/>
      </w:r>
      <w:r>
        <w:rPr>
          <w:rFonts w:ascii="IRNazanin" w:hAnsi="IRNazanin" w:eastAsia="IRNazanin"/>
          <w:color w:val="111111"/>
          <w:sz w:val="28"/>
          <w:sz w:val="28"/>
          <w:szCs w:val="28"/>
          <w:rtl w:val="true"/>
          <w:lang w:bidi="fa-IR"/>
        </w:rPr>
        <w:t>لعدم الیقین بعدم الجعل بالنسبة إلی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فی مطلق القوانین العرفیّة و الشرعیّة، تکون علی نعت القضایا الحقیقیّة، فإن کنت علی یقین بأنّ حرمة الغصب فی الامم السابقة ثابتة علی الناس کافّة، فلا شکّ بالنسبة إلینا کی نحتاج إلی الاستصحاب بالنسبة إلی الحرمة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إنّا نحتاج إلی استصحاب عدم النسخ، و حیث إنّ الإجماع قائم خصوصا علی جریانه، فهو و لو کان مثبتا یکون جاریا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مثبتا، فاسد؛ ضرورة أنّ ثبوت الحکم بالنسبة إلی هذه الامّة من لوازم عدم النسخ، فما فی کلام العلّامة الأراکیّ رحمه اللّه من أنّه لیس مثبتا</w:t>
      </w:r>
      <w:r>
        <w:rPr>
          <w:rStyle w:val="FootnoteAnchor"/>
          <w:rtl w:val="true"/>
        </w:rPr>
        <w:footnoteReference w:id="1266"/>
      </w:r>
      <w:r>
        <w:rPr>
          <w:rFonts w:ascii="IRNazanin" w:hAnsi="IRNazanin" w:eastAsia="IRNazanin"/>
          <w:color w:val="111111"/>
          <w:sz w:val="28"/>
          <w:sz w:val="28"/>
          <w:szCs w:val="28"/>
          <w:rtl w:val="true"/>
          <w:lang w:bidi="fa-IR"/>
        </w:rPr>
        <w:t>، فی غیر محلّه؛ لأنّ نفس التعبّد بعدم النسخ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من قبیل نفس التعبّد بعدم الرافع و الناقض؛ ضرورة أنّ الوضوء یبقی، و یکون الشکّ فیه من الشکّ فی الرافع، و هنا یعدّ من الشکّ فی المقتضی، أو نحتاج إلی الإمضاء و ارتضاء الرسول الأعظم الإسلامیّ صلّی اللّه علیه و اله و سلّم و هذا یستفاد من حرمة نقض الیقین بالشکّ، فما فی کلام العلّامة النائینیّ </w:t>
      </w:r>
      <w:r>
        <w:rPr>
          <w:rStyle w:val="FootnoteAnchor"/>
          <w:rtl w:val="true"/>
        </w:rPr>
        <w:footnoteReference w:id="1267"/>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الحاجة إلی استصحاب تلک الأحکام فهو اشتباه؛ لأنّ موضوع القضیّة إمّا یشمل هذه الامّة فدلیله کاف، و إمّا لا یشمل هذه الامّة فلا یجری؛ لأنّ موضوعه هو القدر المتیقّن المشکوک عنوانه، فلا یجری حتّی استصحاب عدم النسخ؛ لعدم وجود دلیل یشمل هذه الامّة کی یحتمل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قلتات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مرضیّة و غیر لازمة، و یکفیک ما فی المفصّلات مع ضعف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أفاده الوالد المحقّق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معلومیّة الموضوع فی الشریعة السابقة؛ لاحتمال کون موضوع الحکم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و هذا هو الذی ذکرناه، و لنعم ما أفاد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جواز التمسّک باستصحاب عدم أخذ القید الموجب؛ لعدم انطباقه علی هذه الامّة، غیر صحیح و لو قلنا بحجّیة الأصل المثبت؛ لأنّه لا یلزم أن یؤخذ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المتهوّدین و النصرانیّین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یقال بعدم أخذه، بل یمکن أن یؤخذ</w:t>
      </w:r>
    </w:p>
    <w:p>
      <w:pPr>
        <w:pStyle w:val="BookText"/>
        <w:rPr/>
      </w:pPr>
      <w:r>
        <w:rPr>
          <w:rFonts w:ascii="IRNazanin" w:hAnsi="IRNazanin" w:eastAsia="IRNazanin"/>
          <w:color w:val="111111"/>
          <w:sz w:val="28"/>
          <w:sz w:val="28"/>
          <w:szCs w:val="28"/>
          <w:rtl w:val="true"/>
          <w:lang w:bidi="fa-IR"/>
        </w:rPr>
        <w:t xml:space="preserve">عنوان واحد بسیط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فاستصحاب ذات الحکم بالنسبة إلی الموضوع ممنوع، و لا تصل النوبة إلی استصحاب عدم النسخ،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بنسخ جملة من الأحکام </w:t>
      </w:r>
      <w:r>
        <w:rPr>
          <w:rStyle w:val="FootnoteAnchor"/>
          <w:rtl w:val="true"/>
        </w:rPr>
        <w:footnoteReference w:id="1269"/>
      </w:r>
      <w:r>
        <w:rPr>
          <w:rFonts w:ascii="IRNazanin" w:hAnsi="IRNazanin" w:eastAsia="IRNazanin"/>
          <w:color w:val="111111"/>
          <w:sz w:val="28"/>
          <w:sz w:val="28"/>
          <w:szCs w:val="28"/>
          <w:rtl w:val="true"/>
          <w:lang w:bidi="fa-IR"/>
        </w:rPr>
        <w:t>، لا یمنع من جریانه بالنسبة إلی ما هو محطّ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فی موارد عدم لزوم المخالفة العملیّة لا یمنع جریانه، فلیلاحظ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ممنوعیّة جریانه، مدفوع بما تحرّر فی بحوث الاشتغال </w:t>
      </w:r>
      <w:r>
        <w:rPr>
          <w:rStyle w:val="FootnoteAnchor"/>
          <w:rtl w:val="true"/>
        </w:rPr>
        <w:footnoteReference w:id="1270"/>
      </w:r>
      <w:r>
        <w:rPr>
          <w:rFonts w:ascii="IRNazanin" w:hAnsi="IRNazanin" w:eastAsia="IRNazanin"/>
          <w:color w:val="111111"/>
          <w:sz w:val="28"/>
          <w:sz w:val="28"/>
          <w:szCs w:val="28"/>
          <w:rtl w:val="true"/>
          <w:lang w:bidi="fa-IR"/>
        </w:rPr>
        <w:t xml:space="preserve">، کما عن العلّامة النائینیّ رحمه اللّه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مقتضی جملة من الآیات عدم نسخ الشرائع السابقة؛ لقوله تعالی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مُصَدِّقاً لِما بَیْنَ یَدَیْهِ مِنَ التَّوْراةِ</w:t>
      </w:r>
      <w:r>
        <w:rPr>
          <w:rStyle w:val="FootnoteAnchor"/>
          <w:rtl w:val="true"/>
        </w:rPr>
        <w:footnoteReference w:id="1272"/>
      </w:r>
      <w:r>
        <w:rPr>
          <w:rFonts w:ascii="Amiri" w:hAnsi="Amiri" w:eastAsia="Amiri" w:cs="Amiri"/>
          <w:color w:val="111111"/>
          <w:sz w:val="28"/>
          <w:sz w:val="28"/>
          <w:szCs w:val="28"/>
          <w:rtl w:val="true"/>
          <w:lang w:bidi="ar-SA"/>
        </w:rPr>
        <w:t>و 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w:t>
      </w:r>
      <w:r>
        <w:rPr>
          <w:rStyle w:val="FootnoteAnchor"/>
          <w:rtl w:val="true"/>
        </w:rPr>
        <w:footnoteReference w:id="1273"/>
      </w:r>
      <w:r>
        <w:rPr>
          <w:rFonts w:ascii="IRNazanin" w:hAnsi="IRNazanin" w:eastAsia="IRNazanin"/>
          <w:color w:val="111111"/>
          <w:sz w:val="28"/>
          <w:sz w:val="28"/>
          <w:szCs w:val="28"/>
          <w:rtl w:val="true"/>
          <w:lang w:bidi="fa-IR"/>
        </w:rPr>
        <w:t>أنّ الشرائع السابقة باطلة کلّها، و الجمع واضح فلیلاحظ</w:t>
      </w:r>
      <w:r>
        <w:rPr>
          <w:rFonts w:eastAsia="IRNazanin" w:cs="IRNazanin"/>
          <w:color w:val="111111"/>
          <w:sz w:val="28"/>
          <w:szCs w:val="28"/>
          <w:rtl w:val="true"/>
          <w:lang w:bidi="fa-IR"/>
        </w:rPr>
        <w:t>.</w:t>
      </w:r>
      <w:bookmarkStart w:id="1006" w:name="pg13177_118210"/>
    </w:p>
    <w:p>
      <w:pPr>
        <w:pStyle w:val="Heading4"/>
        <w:numPr>
          <w:ilvl w:val="3"/>
          <w:numId w:val="1"/>
        </w:numPr>
        <w:rPr/>
      </w:pPr>
      <w:bookmarkStart w:id="1007" w:name="__RefHeading___Toc764298_3244359995"/>
      <w:bookmarkStart w:id="1008" w:name="_Toc374"/>
      <w:bookmarkEnd w:id="1006"/>
      <w:bookmarkEnd w:id="1007"/>
      <w:r>
        <w:rPr>
          <w:rtl w:val="true"/>
        </w:rPr>
        <w:t>التنبیه العاشر فی الاستصحاب التعلیقیّ</w:t>
      </w:r>
      <w:bookmarkEnd w:id="1008"/>
    </w:p>
    <w:p>
      <w:pPr>
        <w:pStyle w:val="Heading5"/>
        <w:numPr>
          <w:ilvl w:val="4"/>
          <w:numId w:val="1"/>
        </w:numPr>
        <w:rPr/>
      </w:pPr>
      <w:bookmarkStart w:id="1009" w:name="__RefHeading___Toc764300_3244359995"/>
      <w:bookmarkStart w:id="1010" w:name="_Toc375"/>
      <w:bookmarkEnd w:id="1009"/>
      <w:r>
        <w:rPr>
          <w:rtl w:val="true"/>
        </w:rPr>
        <w:t>اشارة</w:t>
      </w:r>
      <w:bookmarkEnd w:id="1010"/>
    </w:p>
    <w:p>
      <w:pPr>
        <w:pStyle w:val="BookText"/>
        <w:rPr/>
      </w:pPr>
      <w:r>
        <w:rPr>
          <w:rFonts w:ascii="IRNazanin" w:hAnsi="IRNazanin" w:eastAsia="IRNazanin"/>
          <w:color w:val="111111"/>
          <w:sz w:val="28"/>
          <w:sz w:val="28"/>
          <w:szCs w:val="28"/>
          <w:rtl w:val="true"/>
          <w:lang w:bidi="fa-IR"/>
        </w:rPr>
        <w:t>و قبل الخوض فی مغزی المرام نقدّم امورا</w:t>
      </w:r>
      <w:r>
        <w:rPr>
          <w:rFonts w:eastAsia="IRNazanin" w:cs="IRNazanin"/>
          <w:color w:val="111111"/>
          <w:sz w:val="28"/>
          <w:szCs w:val="28"/>
          <w:rtl w:val="true"/>
          <w:lang w:bidi="fa-IR"/>
        </w:rPr>
        <w:t>:</w:t>
      </w:r>
    </w:p>
    <w:p>
      <w:pPr>
        <w:pStyle w:val="Heading5"/>
        <w:numPr>
          <w:ilvl w:val="4"/>
          <w:numId w:val="1"/>
        </w:numPr>
        <w:rPr/>
      </w:pPr>
      <w:bookmarkStart w:id="1011" w:name="__RefHeading___Toc764302_3244359995"/>
      <w:bookmarkStart w:id="1012" w:name="_Toc376"/>
      <w:bookmarkEnd w:id="1011"/>
      <w:r>
        <w:rPr>
          <w:rtl w:val="true"/>
        </w:rPr>
        <w:t>الأمر الأوّل</w:t>
      </w:r>
      <w:r>
        <w:rPr>
          <w:rtl w:val="true"/>
        </w:rPr>
        <w:t xml:space="preserve">: </w:t>
      </w:r>
      <w:r>
        <w:rPr>
          <w:rtl w:val="true"/>
        </w:rPr>
        <w:t>تحریر محطّ النزاع</w:t>
      </w:r>
      <w:bookmarkEnd w:id="1012"/>
    </w:p>
    <w:p>
      <w:pPr>
        <w:pStyle w:val="BookText"/>
        <w:rPr/>
      </w:pPr>
      <w:r>
        <w:rPr>
          <w:rFonts w:ascii="IRNazanin" w:hAnsi="IRNazanin" w:eastAsia="IRNazanin"/>
          <w:color w:val="111111"/>
          <w:sz w:val="28"/>
          <w:sz w:val="28"/>
          <w:szCs w:val="28"/>
          <w:rtl w:val="true"/>
          <w:lang w:bidi="fa-IR"/>
        </w:rPr>
        <w:t>ربّما یکون فی هذا العلم اصطلاح فی مسألة علی خلاف الاصطلاح فی مسألة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اصطلحوا علی أنّ الوضع عامّ، و الموضوع له عامّ، و مرادهم نفس الطبیعة المبحوث عنها فی باب المطلق و المقیّد لا العامّ، و الخاصّ فی باب العامّ و الخاصّ، و اصطلحوا علی أنّ الموضوع له خاصّ مریدین به العامّ المصطلح علیه فی باب العامّ و الخاصّ،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تعبیرهم عن الواجبات المشروطة و الوجوب المشروط هنا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علیه فی باب الواجبات فی مقدّمة الواجب، مریدین به غیر الوجوب المشروط، و هذا یوجب انتقال الاصولیّ إلی أنّ جریان الاستصحاب کما یثبت فی الوجوب المنجّز، هو أیضا یجری فی الوجوب المعلّق؛ لفعلیّة الوجوب و لو کان الواجب استقبالیّا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عالما بأنّه واجب علیه الصلاة المتقیّدة بالطهور المائیّ عند الزوال، و شکّ بعد ذلک فی الوجوب المذکور؛ باحتمال جواز صرف الماء فی حیاة الحیوان المحتاج إلیه، و یصیر بعد ذلک بلا ماء، فإنّه بعد الفراغ من تصویر الوجوب</w:t>
      </w:r>
      <w:bookmarkStart w:id="1013" w:name="pg13177_118211"/>
    </w:p>
    <w:p>
      <w:pPr>
        <w:pStyle w:val="BookText"/>
        <w:rPr/>
      </w:pPr>
      <w:bookmarkEnd w:id="1013"/>
      <w:r>
        <w:rPr>
          <w:rFonts w:ascii="IRNazanin" w:hAnsi="IRNazanin" w:eastAsia="IRNazanin"/>
          <w:color w:val="111111"/>
          <w:sz w:val="28"/>
          <w:sz w:val="28"/>
          <w:szCs w:val="28"/>
          <w:rtl w:val="true"/>
          <w:lang w:bidi="fa-IR"/>
        </w:rPr>
        <w:t>المعلّق لا بأس بجریان استصحابه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النزاع فی الوجوب المشروط، لا المعلّق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یمکن جریان بعض إشکالات الاستصحاب المشروط فی التعلیقیّ، مثل مشکلة المثبتیّة و غیرها، کما یأتی إن شاء اللّه تعالی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764304_3244359995"/>
      <w:bookmarkStart w:id="1015" w:name="_Toc377"/>
      <w:bookmarkEnd w:id="1014"/>
      <w:r>
        <w:rPr>
          <w:rtl w:val="true"/>
        </w:rPr>
        <w:t>الأمر الثانی</w:t>
      </w:r>
      <w:r>
        <w:rPr>
          <w:rtl w:val="true"/>
        </w:rPr>
        <w:t xml:space="preserve">: </w:t>
      </w:r>
      <w:r>
        <w:rPr>
          <w:rtl w:val="true"/>
        </w:rPr>
        <w:t>فی جریان الاستصحاب حتّی مع إنکار المشروط</w:t>
      </w:r>
      <w:bookmarkEnd w:id="1015"/>
    </w:p>
    <w:p>
      <w:pPr>
        <w:pStyle w:val="BookText"/>
        <w:rPr/>
      </w:pPr>
      <w:r>
        <w:rPr>
          <w:rFonts w:ascii="IRNazanin" w:hAnsi="IRNazanin" w:eastAsia="IRNazanin"/>
          <w:color w:val="111111"/>
          <w:sz w:val="28"/>
          <w:sz w:val="28"/>
          <w:szCs w:val="28"/>
          <w:rtl w:val="true"/>
          <w:lang w:bidi="fa-IR"/>
        </w:rPr>
        <w:t>لا ینبغی الخلط بین المبانی و ما هو محطّ البحث هنا، مثلا لو أنکرنا الوجوب المشروط، و اخترنا رجوعه إلی الوجوب المعلّق کما هو المختار، أو استظهرنا رجوع الشرط إلی قید الموضوع، کما هو مختار العلّامة الخراسانیّ رحمه اللّه فی الحاشیة</w:t>
      </w:r>
      <w:r>
        <w:rPr>
          <w:rStyle w:val="FootnoteAnchor"/>
          <w:rtl w:val="true"/>
        </w:rPr>
        <w:footnoteReference w:id="1275"/>
      </w:r>
      <w:r>
        <w:rPr>
          <w:rFonts w:ascii="IRNazanin" w:hAnsi="IRNazanin" w:eastAsia="IRNazanin"/>
          <w:color w:val="111111"/>
          <w:sz w:val="28"/>
          <w:sz w:val="28"/>
          <w:szCs w:val="28"/>
          <w:rtl w:val="true"/>
          <w:lang w:bidi="fa-IR"/>
        </w:rPr>
        <w:t xml:space="preserve">، و تبعه العلّامة النائینیّ </w:t>
      </w:r>
      <w:r>
        <w:rPr>
          <w:rStyle w:val="FootnoteAnchor"/>
          <w:rtl w:val="true"/>
        </w:rPr>
        <w:footnoteReference w:id="1276"/>
      </w:r>
      <w:r>
        <w:rPr>
          <w:rFonts w:ascii="IRNazanin" w:hAnsi="IRNazanin" w:eastAsia="IRNazanin"/>
          <w:color w:val="111111"/>
          <w:sz w:val="28"/>
          <w:sz w:val="28"/>
          <w:szCs w:val="28"/>
          <w:rtl w:val="true"/>
          <w:lang w:bidi="fa-IR"/>
        </w:rPr>
        <w:t>، کما هو کثیرا ما یتبعه، و قد غفل عنه جماعة من الأعلام، فلا یجوز إنکار جریان الاستصحاب التعلیقیّ؛ من ناحیة رجوعه إلی الوجوب الفعلیّ و الموضوع المقیّد، فإنّه خال من التحصیل، بل البحث هنا ممحّض فی کون المستصحب واجبا مشروطا حسب الاصطلاح فی الواجبات المشروطة، أو المعلّقة بما هی معلقة</w:t>
      </w:r>
      <w:r>
        <w:rPr>
          <w:rFonts w:eastAsia="IRNazanin" w:cs="IRNazanin"/>
          <w:color w:val="111111"/>
          <w:sz w:val="28"/>
          <w:szCs w:val="28"/>
          <w:rtl w:val="true"/>
          <w:lang w:bidi="fa-IR"/>
        </w:rPr>
        <w:t>.</w:t>
      </w:r>
    </w:p>
    <w:p>
      <w:pPr>
        <w:pStyle w:val="Heading5"/>
        <w:numPr>
          <w:ilvl w:val="4"/>
          <w:numId w:val="1"/>
        </w:numPr>
        <w:rPr/>
      </w:pPr>
      <w:bookmarkStart w:id="1016" w:name="__RefHeading___Toc764306_3244359995"/>
      <w:bookmarkStart w:id="1017" w:name="_Toc378"/>
      <w:bookmarkEnd w:id="1016"/>
      <w:r>
        <w:rPr>
          <w:rtl w:val="true"/>
        </w:rPr>
        <w:t>الأمر الثالث</w:t>
      </w:r>
      <w:r>
        <w:rPr>
          <w:rtl w:val="true"/>
        </w:rPr>
        <w:t xml:space="preserve">: </w:t>
      </w:r>
      <w:r>
        <w:rPr>
          <w:rtl w:val="true"/>
        </w:rPr>
        <w:t>فی بیان صور الوجوبات المشروطة</w:t>
      </w:r>
      <w:bookmarkEnd w:id="1017"/>
    </w:p>
    <w:p>
      <w:pPr>
        <w:pStyle w:val="Heading6"/>
        <w:numPr>
          <w:ilvl w:val="5"/>
          <w:numId w:val="1"/>
        </w:numPr>
        <w:rPr/>
      </w:pPr>
      <w:bookmarkStart w:id="1018" w:name="__RefHeading___Toc764308_3244359995"/>
      <w:bookmarkStart w:id="1019" w:name="_Toc379"/>
      <w:bookmarkEnd w:id="1018"/>
      <w:r>
        <w:rPr>
          <w:rtl w:val="true"/>
        </w:rPr>
        <w:t>اشارة</w:t>
      </w:r>
      <w:bookmarkEnd w:id="101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الوجوبات المشروطة کثیرة؛ ضرورة أنّه کما یجوز أن یکون الجزاء حکما نفسیّا إیجابیّا أو تحریمیّا، یجوز أن یکون حکما طریقیّا مثل آیة النبأ</w:t>
      </w:r>
      <w:r>
        <w:rPr>
          <w:rStyle w:val="FootnoteAnchor"/>
          <w:rtl w:val="true"/>
        </w:rPr>
        <w:footnoteReference w:id="1277"/>
      </w:r>
      <w:r>
        <w:rPr>
          <w:rFonts w:ascii="IRNazanin" w:hAnsi="IRNazanin" w:eastAsia="IRNazanin"/>
          <w:color w:val="111111"/>
          <w:sz w:val="28"/>
          <w:sz w:val="28"/>
          <w:szCs w:val="28"/>
          <w:rtl w:val="true"/>
          <w:lang w:bidi="fa-IR"/>
        </w:rPr>
        <w:t>،</w:t>
      </w:r>
      <w:bookmarkStart w:id="1020" w:name="pg13177_118212"/>
    </w:p>
    <w:p>
      <w:pPr>
        <w:pStyle w:val="BookText"/>
        <w:rPr/>
      </w:pPr>
      <w:bookmarkEnd w:id="1020"/>
      <w:r>
        <w:rPr>
          <w:rFonts w:ascii="IRNazanin" w:hAnsi="IRNazanin" w:eastAsia="IRNazanin"/>
          <w:color w:val="111111"/>
          <w:sz w:val="28"/>
          <w:sz w:val="28"/>
          <w:szCs w:val="28"/>
          <w:rtl w:val="true"/>
          <w:lang w:bidi="fa-IR"/>
        </w:rPr>
        <w:t>و حکما وضعیّا مثل ما ورد فی الکرّ منطوقا و مفهوما</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کتاب الطهارة، أبواب الماء المطلق،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علی القول به هنا و فی آیة النبأ، و یجوز أن یکون حکما وجودیّا أو عدمیّا، کما فی خیار المجلس منطوقا و مفهوما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البیع، أبواب الخیار،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ربّما یکون قید الشرط أمرا عدمیّا، کمفهوم ما ورد فی الکرّ و فی خیار المجلس، و هکذا جمیع المفاهیم فی القضایا الشرطیّة إذا کان الشرط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أن یکون وجوبا غیریّا علی القول به، مثلا کان إذا صلّی فی وبر حیوان صحّت صلاته، و لکنّه یشکّ فی أنّه الآن کذلک أم لا؛ لاحتمال صیرورته محرّم اللحم بالعرض، و هکذا فی أمثال هذه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الوجوب الشرطیّ النفسیّ العرضیّ مورد الشکّ، کما لو نذر أن یصلّی رکعتین بشرط أن یجیئه زید، و شکّ لأجل طروّ الشیخوخة علیه فی بقاء القضیّة المنذورة</w:t>
      </w:r>
      <w:r>
        <w:rPr>
          <w:rFonts w:eastAsia="IRNazanin" w:cs="IRNazanin"/>
          <w:color w:val="111111"/>
          <w:sz w:val="28"/>
          <w:szCs w:val="28"/>
          <w:rtl w:val="true"/>
          <w:lang w:bidi="fa-IR"/>
        </w:rPr>
        <w:t>.</w:t>
      </w:r>
    </w:p>
    <w:p>
      <w:pPr>
        <w:pStyle w:val="Heading6"/>
        <w:numPr>
          <w:ilvl w:val="5"/>
          <w:numId w:val="1"/>
        </w:numPr>
        <w:rPr/>
      </w:pPr>
      <w:bookmarkStart w:id="1021" w:name="__RefHeading___Toc764310_3244359995"/>
      <w:bookmarkStart w:id="1022" w:name="_Toc380"/>
      <w:bookmarkEnd w:id="1021"/>
      <w:r>
        <w:rPr>
          <w:rtl w:val="true"/>
        </w:rPr>
        <w:t>بقی شی‌ء</w:t>
      </w:r>
      <w:r>
        <w:rPr>
          <w:rtl w:val="true"/>
        </w:rPr>
        <w:t xml:space="preserve">: </w:t>
      </w:r>
      <w:r>
        <w:rPr>
          <w:rtl w:val="true"/>
        </w:rPr>
        <w:t>فی عدم جریان الاستصحاب مطلقا فی الشبهات المفهومیّة الموضوعیّة</w:t>
      </w:r>
      <w:bookmarkEnd w:id="102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یجری الاستصحاب فی الشبهات المفهومیّة الموضوعیّة بالضرورة؛ لأنّ استصحاب الموضوع تعبّد بالحکم الثابت له، و إذا کان منشأ الشبهة الموضوعیّة عدم وضوح المفهوم، لا مجال للتعبّد بالحکم؛ لعدم معلومیّة ثبوت الحکم الواقعیّ کی یتعبّد به عند الشکّ فی بقاء موضوعه، کما فی مثل استصحاب الکرّ المردّد أنّه سبعة</w:t>
      </w:r>
      <w:bookmarkStart w:id="1023" w:name="pg13177_118213"/>
    </w:p>
    <w:p>
      <w:pPr>
        <w:pStyle w:val="BookText"/>
        <w:rPr/>
      </w:pPr>
      <w:bookmarkEnd w:id="1023"/>
      <w:r>
        <w:rPr>
          <w:rFonts w:ascii="IRNazanin" w:hAnsi="IRNazanin" w:eastAsia="IRNazanin"/>
          <w:color w:val="111111"/>
          <w:sz w:val="28"/>
          <w:sz w:val="28"/>
          <w:szCs w:val="28"/>
          <w:rtl w:val="true"/>
          <w:lang w:bidi="fa-IR"/>
        </w:rPr>
        <w:t>و عشرون شبرا، أو ثلاثة و أربعون مثلا، ضرورة أنّه لم یثبت الحکم الإلهیّ إلّا لعنوان الکرّ المعلوم عند اللّه، و غیر المعلوم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یجری فی المنجّز، لا یجری فی المعلّق</w:t>
      </w:r>
      <w:r>
        <w:rPr>
          <w:rFonts w:eastAsia="IRNazanin" w:cs="IRNazanin"/>
          <w:color w:val="111111"/>
          <w:sz w:val="28"/>
          <w:szCs w:val="28"/>
          <w:rtl w:val="true"/>
          <w:lang w:bidi="fa-IR"/>
        </w:rPr>
        <w:t>.</w:t>
      </w:r>
    </w:p>
    <w:p>
      <w:pPr>
        <w:pStyle w:val="Heading5"/>
        <w:numPr>
          <w:ilvl w:val="4"/>
          <w:numId w:val="1"/>
        </w:numPr>
        <w:rPr/>
      </w:pPr>
      <w:bookmarkStart w:id="1024" w:name="__RefHeading___Toc764312_3244359995"/>
      <w:bookmarkStart w:id="1025" w:name="_Toc381"/>
      <w:bookmarkEnd w:id="1024"/>
      <w:r>
        <w:rPr>
          <w:rtl w:val="true"/>
        </w:rPr>
        <w:t>الأمر الرابع</w:t>
      </w:r>
      <w:r>
        <w:rPr>
          <w:rtl w:val="true"/>
        </w:rPr>
        <w:t xml:space="preserve">: </w:t>
      </w:r>
      <w:r>
        <w:rPr>
          <w:rtl w:val="true"/>
        </w:rPr>
        <w:t>فی بیان منشأ الشکّ فی المقام</w:t>
      </w:r>
      <w:bookmarkEnd w:id="1025"/>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الشکّ فی البقاء فیما نحن فیه، لیس احتمال النسخ؛ ضرورة أنّه عندئذ یجری الاستصحاب عند الموافق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یرجع الشرطیّة إلی الفعلیّة، و لأجله ینکر جریانه، فله الإنکار، إلّا أنّه نکیر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منشأ الشکّ إمّا یکون تبدّل العنوان المأخوذ فی الدلیل الاجتهادیّ، مع بقاء موضوع الاستصحاب، کالعنب و الزبیب مثلا و إن أنکرناه فی الفقه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یکون منشؤه إهمال الدلیل الاجتهادیّ، کما فی خیار المجلس، فإنّهما بلا إشکال کانا بالخیار قبل الافتراق، و لکن شکّ فی أنّهما إذا افترقا بعد ما تصرّف أحدهما، فهل یجب البیع أم لا؟</w:t>
      </w:r>
    </w:p>
    <w:p>
      <w:pPr>
        <w:pStyle w:val="BookText"/>
        <w:rPr/>
      </w:pPr>
      <w:r>
        <w:rPr>
          <w:rFonts w:ascii="IRNazanin" w:hAnsi="IRNazanin" w:eastAsia="IRNazanin"/>
          <w:color w:val="111111"/>
          <w:sz w:val="28"/>
          <w:sz w:val="28"/>
          <w:szCs w:val="28"/>
          <w:rtl w:val="true"/>
          <w:lang w:bidi="fa-IR"/>
        </w:rPr>
        <w:t>أو یکون منشؤه إجمال الدلیل، کما فی وساطة الاستطاعة بالنسبة إلی وجوب الحجّ، فإنّه یحتمل کونها واسطة فی العروض، فیدور الأمر مدارها، أو واسطة فی الثبوت، فلا یدور الحکم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المشهور فهموا الوساطة فی الثبوت، و لذلک قالوا بوجوبه تسکّعا،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منشؤه حدوث علّة اخری مقام العلّة الاولی، مع فهم العلّیة للاولی، کما فی التغییر بالنجس بالنسبة إلی نجاسة الماء</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مجری التعلیقیّ موضوع الحکم، کما فی</w:t>
      </w:r>
    </w:p>
    <w:p>
      <w:pPr>
        <w:pStyle w:val="BookText"/>
        <w:rPr/>
      </w:pPr>
      <w:r>
        <w:rPr>
          <w:rFonts w:ascii="IRNazanin" w:hAnsi="IRNazanin" w:eastAsia="IRNazanin"/>
          <w:color w:val="111111"/>
          <w:sz w:val="28"/>
          <w:sz w:val="28"/>
          <w:szCs w:val="28"/>
          <w:rtl w:val="true"/>
          <w:lang w:bidi="fa-IR"/>
        </w:rPr>
        <w:t>المستطیع، و ربّما یکون متعلّق المتعلّق، کما فی الماء إذا تغیّر بالنجس، أو الأرض الموقوفة مسجدا، ثمّ زالت مسجدیّته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النزاع فی الأخیر بعد فرض انتفاء علّة النجاسة و هی التغیّر، مدفوع بما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الشکّ فی بقاء نجاسة الماء لأجل الجهة الاخری الموجبة لبقائها</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یکون منشؤه التردّد فی أنّ السبب لوجوب الحجّ أو نجاسة الماء، هل هی کفایة العلّة الاولی، أم هو حدوث السبب الآخر، مع وحدة الموضوع فی جانب الموضوع و متعلّق المتعلّق؟</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مصبّ الاستصحاب هو الوجوب التنجیزیّ، أو النجاسة الثابتة، بل مصبّه أنّه کان زید إذا تخرج الرفقة یجب علیه الخروج، فهل الآن کما کان أم لا؟ و أنّ هذا الماء کان إذا لاقی النجاسة الکذائیّة ینجس، فهل الآن کما کان أم لا؟</w:t>
      </w:r>
    </w:p>
    <w:p>
      <w:pPr>
        <w:pStyle w:val="BookText"/>
        <w:rPr/>
      </w:pPr>
      <w:r>
        <w:rPr>
          <w:rFonts w:ascii="IRNazanin" w:hAnsi="IRNazanin" w:eastAsia="IRNazanin"/>
          <w:color w:val="111111"/>
          <w:sz w:val="28"/>
          <w:sz w:val="28"/>
          <w:szCs w:val="28"/>
          <w:rtl w:val="true"/>
          <w:lang w:bidi="fa-IR"/>
        </w:rPr>
        <w:t>مع أنّ إجراء استصحاب بقاء نفس النجاسة مثبت،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بالقیاس إلی تنجس نفس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التعلیقیّ بالنسبة إلی نجاسة الملاقی، و عدم حصول طهارة ما یغسل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فی محطّ النزاع، کما تری فی جملة من مکاتیب الأعلام رحمهم اللّه لأنّ البحث هنا فی إبقاء الحکم المعلّق خارجا؛ بمعنی إمکان الإشارة إلی الموضوع فی الخارج لأجل جهة من الجهات، دون الشکّ فی النسخ المستند إلی قصور الجعل، کما فی النسخ المجازیّ، أو البداء کما فی نسخ الحقیقیّ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إذا أخبر لا یجب الفحص حسب مفهوم آیة النبأ، و شکّ فی بقاء الحکم بالنسبة إلیه؛ لأجل سفه عرضه، أو کان زید إذا باع شیئا یحتاج إلی الإجازة؛ لعدم البلوغ مثلا، و لکن لاقتران السفه ببلوغه و عروضه علیه حال بلوغه</w:t>
      </w:r>
      <w:bookmarkStart w:id="1026" w:name="pg13177_118215"/>
    </w:p>
    <w:p>
      <w:pPr>
        <w:pStyle w:val="BookText"/>
        <w:rPr/>
      </w:pPr>
      <w:bookmarkEnd w:id="1026"/>
      <w:r>
        <w:rPr>
          <w:rFonts w:ascii="IRNazanin" w:hAnsi="IRNazanin" w:eastAsia="IRNazanin"/>
          <w:color w:val="111111"/>
          <w:sz w:val="28"/>
          <w:sz w:val="28"/>
          <w:szCs w:val="28"/>
          <w:rtl w:val="true"/>
          <w:lang w:bidi="fa-IR"/>
        </w:rPr>
        <w:t xml:space="preserve">یشکّ فی الحکم المذکور، فهل یجری الاستصحاب، أم لا؟ و سیمرّ علیک وجه آخر للشکّ فی الأمر الثامن إن شاء اللّه تعالی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764314_3244359995"/>
      <w:bookmarkStart w:id="1028" w:name="_Toc382"/>
      <w:bookmarkEnd w:id="1027"/>
      <w:r>
        <w:rPr>
          <w:rtl w:val="true"/>
        </w:rPr>
        <w:t>الأمر الخامس</w:t>
      </w:r>
      <w:r>
        <w:rPr>
          <w:rtl w:val="true"/>
        </w:rPr>
        <w:t xml:space="preserve">: </w:t>
      </w:r>
      <w:r>
        <w:rPr>
          <w:rtl w:val="true"/>
        </w:rPr>
        <w:t>فی بیان أنحاء التعلیقات</w:t>
      </w:r>
      <w:bookmarkEnd w:id="1028"/>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التعلیقات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التعلیقات الشرعیّة المنصوص علیها و إن کانت من قبیل الواجبات المعلّقة المصطلح علیها فی المجلّد الأوّل </w:t>
      </w:r>
      <w:r>
        <w:rPr>
          <w:rStyle w:val="FootnoteAnchor"/>
          <w:rtl w:val="true"/>
        </w:rPr>
        <w:footnoteReference w:id="1282"/>
      </w:r>
      <w:r>
        <w:rPr>
          <w:rFonts w:ascii="IRNazanin" w:hAnsi="IRNazanin" w:eastAsia="IRNazanin"/>
          <w:color w:val="111111"/>
          <w:sz w:val="28"/>
          <w:sz w:val="28"/>
          <w:szCs w:val="28"/>
          <w:rtl w:val="true"/>
          <w:lang w:bidi="fa-IR"/>
        </w:rPr>
        <w:t xml:space="preserve">،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التعلیقات الاختراعیّة بالنسبة إلی الأحکام التکلیفیّة أو الوضعیّة، کالأمثلة التی عرفت، مثل إرجاع القضیّة المقیّدة إلی الشرطیّة،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الرقبة المؤمنة واجب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یرجع إلی أنّه لو کانت هذه الرقبة مؤمنة لوجب عتقها، و یشکّ فی الوجوب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أنّه کان إذا ذهب ثلثاه بالنار یطهر و یحلّ، فالآن هذا المعنی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إذا یسجد علی هذا الشی‌ء صحّت سجدته، و الآن بعد ما صار مطبوخا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إذا یصلّی فیه صحّت صلاته، و الآن بعد ما صار موطوء أیضا حلّت الصلاة فیه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شرعیّة بعض ما ذکرناه إشکال، بل منع</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الاختراعیّة و الابتکاریّة بالنسبة إلی الموضوعات، مثل أنّ هذا الماء کان إذا یتمّم بمنّ من الماء یکون کرّا، و شکّ فی ذلک لاحتمال ذهاب مقدار منه قبل أن یتمّم به، و نتیجة الاستصحاب أنّه کرّ؛ لإتمامه بالمنّ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إذا یخرج و یسافر من البلد الکذائیّ بمقدار ساعة یصیر مسافة و ثمانیة فراسخ، و لکنّه لأجل احتمال سعة البلدة شکّ فی بقاء القضیّة الشرطیّة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تری فی کتب جمع من الفقهاء فی العصیر العنبیّ </w:t>
      </w:r>
      <w:r>
        <w:rPr>
          <w:rStyle w:val="FootnoteAnchor"/>
          <w:rtl w:val="true"/>
        </w:rPr>
        <w:footnoteReference w:id="1284"/>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تکثیر الاحتمالات حول القضیّة الشرطیّة الشرعیّة</w:t>
      </w:r>
      <w:r>
        <w:rPr>
          <w:rStyle w:val="FootnoteAnchor"/>
          <w:rtl w:val="true"/>
        </w:rPr>
        <w:footnoteReference w:id="1285"/>
      </w:r>
      <w:r>
        <w:rPr>
          <w:rFonts w:ascii="IRNazanin" w:hAnsi="IRNazanin" w:eastAsia="IRNazanin"/>
          <w:color w:val="111111"/>
          <w:sz w:val="28"/>
          <w:sz w:val="28"/>
          <w:szCs w:val="28"/>
          <w:rtl w:val="true"/>
          <w:lang w:bidi="fa-IR"/>
        </w:rPr>
        <w:t>، خال من التحصیل؛ لأنّ المفروض کونها شرطیّة، لا تنجیزیّة، فکل الاحتمالات من رجوع القضیّة الشرطیّة إلی سببیّة المفارقة أو الغلیان لوجوب البیع و حرمة العنب، أو رجوعها إلی جعل الملازمة و التلازم بینهما، أو غیر ذلک، خلاف المفروض فی الجهة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ربّما یکون الشرط و القید أمرا عدمیّا، و لا یعقل سببیّته؛ ضرورة أنّ الجهة المبحوث عنها هنا هی الشکّ فی بقاء الحکم التعلیقیّ؛ لعدم تحقّق الشرط، أو الشکّ فی ذلک علی ما عرفت فی 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فی الاستصحاب التنجیزیّ، یکون البحث فی صورة الشکّ فی بقاء الموضوع بعد ما کان معلوما، أو فی بقاء الحکم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هنا یکون بعد العلم بالکبری الکلّیة فی الجملة فی صورة الشکّ فی بقاء الحکم، و فی الشبهة الحکمیّة، أو بعد العلم بالکبری الکلّیة مطلقا فی الشبهة الموضوعیّة، بعد ما کان الموضوع المشکوک البقاء معلوما سابقا علی نحو التعلیق فی الفرضین، و هکذا فی الوضعیّات الشرعیّة أو الاختراعیّة، و أوضح من ذلک التعلیقات الاختراعیّة بالنسبة إلی الموضوعات التکوینیّة</w:t>
      </w:r>
      <w:r>
        <w:rPr>
          <w:rFonts w:eastAsia="IRNazanin" w:cs="IRNazanin"/>
          <w:color w:val="111111"/>
          <w:sz w:val="28"/>
          <w:szCs w:val="28"/>
          <w:rtl w:val="true"/>
          <w:lang w:bidi="fa-IR"/>
        </w:rPr>
        <w:t>.</w:t>
      </w:r>
      <w:bookmarkStart w:id="1029" w:name="pg13177_118217"/>
    </w:p>
    <w:p>
      <w:pPr>
        <w:pStyle w:val="Heading5"/>
        <w:numPr>
          <w:ilvl w:val="4"/>
          <w:numId w:val="1"/>
        </w:numPr>
        <w:rPr/>
      </w:pPr>
      <w:bookmarkStart w:id="1030" w:name="__RefHeading___Toc764316_3244359995"/>
      <w:bookmarkStart w:id="1031" w:name="_Toc383"/>
      <w:bookmarkEnd w:id="1029"/>
      <w:bookmarkEnd w:id="1030"/>
      <w:r>
        <w:rPr>
          <w:rtl w:val="true"/>
        </w:rPr>
        <w:t>الأمر السادس</w:t>
      </w:r>
      <w:r>
        <w:rPr>
          <w:rtl w:val="true"/>
        </w:rPr>
        <w:t xml:space="preserve">: </w:t>
      </w:r>
      <w:r>
        <w:rPr>
          <w:rtl w:val="true"/>
        </w:rPr>
        <w:t>فی جریان النزاع حتّی مع عدم تحقّق الشرط</w:t>
      </w:r>
      <w:bookmarkEnd w:id="1031"/>
    </w:p>
    <w:p>
      <w:pPr>
        <w:pStyle w:val="BookText"/>
        <w:rPr/>
      </w:pPr>
      <w:r>
        <w:rPr>
          <w:rFonts w:ascii="IRNazanin" w:hAnsi="IRNazanin" w:eastAsia="IRNazanin"/>
          <w:color w:val="111111"/>
          <w:sz w:val="28"/>
          <w:sz w:val="28"/>
          <w:szCs w:val="28"/>
          <w:rtl w:val="true"/>
          <w:lang w:bidi="fa-IR"/>
        </w:rPr>
        <w:t>ممّا لا ینبغی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محطّ النزاع بالنسبة إلی تحقّق الشرط و عدم تحقّقه أعمّ، مثلا کما یشکّ بعد غلیان ماء الزبیب، أو بعد خروج الرفقة، أو بعد افتراقهما؛ فی أنّه یحرم أم لا، أو یجب الخروج أم لا، أو یجب البیع أم لا؛ ضرورة أنّا نشیر إلی الماء المذکور بأنّه کان إذا غلی یحرم، فالآن کما کان؛ بناء علی جریان الاستصحاب، و هکذا فی المثالین، کذلک قبل تحقّق الغلیان و خروج الرفقة و الافتراق؛ لأنّ التعبّد به حسب الاستصحاب قضیّة بحکم القضیّة الاجتهادیّة المنجّزة، التی ربّما یکون موضوعها محقّقا، و ربّما یتحقّق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کلّ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القضیّة الاجتهادیّة حقیقیّة سواء کانت منجّزة، أو معلّقة علی قسمیه</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764318_3244359995"/>
      <w:bookmarkStart w:id="1033" w:name="_Toc384"/>
      <w:bookmarkEnd w:id="1032"/>
      <w:r>
        <w:rPr>
          <w:rtl w:val="true"/>
        </w:rPr>
        <w:t>الأمر السابع</w:t>
      </w:r>
      <w:r>
        <w:rPr>
          <w:rtl w:val="true"/>
        </w:rPr>
        <w:t xml:space="preserve">: </w:t>
      </w:r>
      <w:r>
        <w:rPr>
          <w:rtl w:val="true"/>
        </w:rPr>
        <w:t>فی أنّ الفعلی لا یصیر مشروطا و بالعکس</w:t>
      </w:r>
      <w:bookmarkEnd w:id="1033"/>
    </w:p>
    <w:p>
      <w:pPr>
        <w:pStyle w:val="Heading6"/>
        <w:numPr>
          <w:ilvl w:val="5"/>
          <w:numId w:val="1"/>
        </w:numPr>
        <w:rPr/>
      </w:pPr>
      <w:bookmarkStart w:id="1034" w:name="__RefHeading___Toc764320_3244359995"/>
      <w:bookmarkStart w:id="1035" w:name="_Toc385"/>
      <w:bookmarkEnd w:id="1034"/>
      <w:r>
        <w:rPr>
          <w:rtl w:val="true"/>
        </w:rPr>
        <w:t>اشارة</w:t>
      </w:r>
      <w:bookmarkEnd w:id="1035"/>
    </w:p>
    <w:p>
      <w:pPr>
        <w:pStyle w:val="BookText"/>
        <w:rPr/>
      </w:pPr>
      <w:r>
        <w:rPr>
          <w:rFonts w:ascii="IRNazanin" w:hAnsi="IRNazanin" w:eastAsia="IRNazanin"/>
          <w:color w:val="111111"/>
          <w:sz w:val="28"/>
          <w:sz w:val="28"/>
          <w:szCs w:val="28"/>
          <w:rtl w:val="true"/>
          <w:lang w:bidi="fa-IR"/>
        </w:rPr>
        <w:t>إنّ الواجبات غیر الموقّتة موقّتة تکوینا، و الموقّتات الشرعیّة موقّتة تکوینا و تشریعا، و إنّما الفرق فی قصد القربة و عدم جواز التقدیم علی أوقاتها فی الثانیة، و الواجبات المضیّقة موقّتة تکوینا و تشریعا، و مضیّقة أیضا تشریعا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الموقّتات الموسّعة، فلا تصیر مضیّقة عند التأخیر إلّا تکوینا و عقلا، لا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الواجبات المشروطة،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تحرّر فی محله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و لو تحقّق شرطها، و لا تصیر فعلیّة و مقیّدة بعد تحقّق الشرط، و لا یعقل انقلاب الشرطیّة إلی الفعلیّة فی القضایا المنطقیّة و الشرعیّة</w:t>
      </w:r>
      <w:r>
        <w:rPr>
          <w:rFonts w:eastAsia="IRNazanin" w:cs="IRNazanin"/>
          <w:color w:val="111111"/>
          <w:sz w:val="28"/>
          <w:szCs w:val="28"/>
          <w:rtl w:val="true"/>
          <w:lang w:bidi="fa-IR"/>
        </w:rPr>
        <w:t>.</w:t>
      </w:r>
      <w:bookmarkStart w:id="1036" w:name="pg13177_118218"/>
    </w:p>
    <w:p>
      <w:pPr>
        <w:pStyle w:val="BookText"/>
        <w:rPr/>
      </w:pPr>
      <w:bookmarkEnd w:id="1036"/>
      <w:r>
        <w:rPr>
          <w:rFonts w:ascii="IRNazanin" w:hAnsi="IRNazanin" w:eastAsia="IRNazanin"/>
          <w:color w:val="111111"/>
          <w:sz w:val="28"/>
          <w:sz w:val="28"/>
          <w:szCs w:val="28"/>
          <w:rtl w:val="true"/>
          <w:lang w:bidi="fa-IR"/>
        </w:rPr>
        <w:t xml:space="preserve">نعم، کما أنّ الفعلیّة بتحقّق موضوعها تصیر منجّزة، کذلک الشرطیّة بعد تحقّق شرطها تصیر منجّزة، فما قد یتوهّم من الانقلاب یرجع إلی قصوره، و تفصیله یطلب من محلّه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إمّا فعلیّ، أو مشروط، و کما أنّ الفعلیّ لا یصیر مشروطا باعتبار موضوعه فی مقام ضرب القانون، کذلک المشروط لا یصیر فعلیّا فی مرحلة الجعل و التشریع، و إنّما الاختلاف بینهما بحسب القید الذی اخذ شرطا أو اخذ قیدا، فإن کانت الاستطاعة شرطا لا یجب عقلا تحصیلها، و إن اخذت قیدا یجب تحصیلها؛ لتنجّز الحکم فی الثانی دون الأوّل، و إذا حصلت یصیر منجّزا، و لا یصیر فعلیّا؛ حسبما حرّرناه بتفصیل فی موارد من هذه الموسوعة،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لو لم یصر بعد تحقّق الشرط فعلیّا، لا یکون إلّا إنشائیّا، و لا امتثال للحکم الإنشائیّ، و لا تنجّز له، مندفع بما تحرّر 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الوجوبات الشرطیّة کلّها فعلیّة تعلیقیّة ثبوتا، و إنّما معنی الشرطیّة، شرطیة آثارها الخاصّة حفظا لظواهر الأدلّة</w:t>
      </w:r>
      <w:r>
        <w:rPr>
          <w:rStyle w:val="FootnoteAnchor"/>
          <w:rtl w:val="true"/>
        </w:rPr>
        <w:footnoteReference w:id="128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1037" w:name="__RefHeading___Toc764322_3244359995"/>
      <w:bookmarkStart w:id="1038" w:name="_Toc386"/>
      <w:bookmarkEnd w:id="1037"/>
      <w:r>
        <w:rPr>
          <w:rtl w:val="true"/>
        </w:rPr>
        <w:t>مشاکل الاستصحاب التعلیقی</w:t>
      </w:r>
      <w:bookmarkEnd w:id="103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الامور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یصیر الوجوب المشروط بتحقّق شرطه فعلیّا، لا یعتبر فی المستصحب أن یکون حکما فعلیّا، أو موضوعا ذا حکم، کما ذکرنا ذلک مرارا</w:t>
      </w:r>
      <w:r>
        <w:rPr>
          <w:rStyle w:val="FootnoteAnchor"/>
          <w:rtl w:val="true"/>
        </w:rPr>
        <w:footnoteReference w:id="1289"/>
      </w:r>
      <w:r>
        <w:rPr>
          <w:rFonts w:ascii="IRNazanin" w:hAnsi="IRNazanin" w:eastAsia="IRNazanin"/>
          <w:color w:val="111111"/>
          <w:sz w:val="28"/>
          <w:sz w:val="28"/>
          <w:szCs w:val="28"/>
          <w:rtl w:val="true"/>
          <w:lang w:bidi="fa-IR"/>
        </w:rPr>
        <w:t>، فالمستصحب قضیّة شرطیّة یتعبّد بها حال الشکّ؛ بمقتضی أدلّة الاستصحاب و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کلام الشیخ </w:t>
      </w:r>
      <w:r>
        <w:rPr>
          <w:rStyle w:val="FootnoteAnchor"/>
          <w:rtl w:val="true"/>
        </w:rPr>
        <w:footnoteReference w:id="1290"/>
      </w:r>
      <w:r>
        <w:rPr>
          <w:rFonts w:ascii="IRNazanin" w:hAnsi="IRNazanin" w:eastAsia="IRNazanin"/>
          <w:color w:val="111111"/>
          <w:sz w:val="28"/>
          <w:sz w:val="28"/>
          <w:szCs w:val="28"/>
          <w:rtl w:val="true"/>
          <w:lang w:bidi="fa-IR"/>
        </w:rPr>
        <w:t xml:space="preserve">و غیره من جرّ البحث إلی جعل السببیّة و أمثال ذلک </w:t>
      </w:r>
      <w:r>
        <w:rPr>
          <w:rStyle w:val="FootnoteAnchor"/>
          <w:rtl w:val="true"/>
        </w:rPr>
        <w:footnoteReference w:id="1291"/>
      </w:r>
      <w:r>
        <w:rPr>
          <w:rFonts w:ascii="IRNazanin" w:hAnsi="IRNazanin" w:eastAsia="IRNazanin"/>
          <w:color w:val="111111"/>
          <w:sz w:val="28"/>
          <w:sz w:val="28"/>
          <w:szCs w:val="28"/>
          <w:rtl w:val="true"/>
          <w:lang w:bidi="fa-IR"/>
        </w:rPr>
        <w:t>، خروج عن البحث؛ لما عرفت فی بعض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للشرع اعتبار أمر عدمیّ شرطا فی القضیّة الشرطیّة، مع أنّه لا معنی لسببیّته و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کثیرا من المقالات هنا ینقدح فسادها بالتدبّر فی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وصلت إلی أصل المشکلة، و لکنّ جوابها بکفایة التعبّد بالحکم الإنشائیّ </w:t>
      </w:r>
      <w:r>
        <w:rPr>
          <w:rStyle w:val="FootnoteAnchor"/>
          <w:rtl w:val="true"/>
        </w:rPr>
        <w:footnoteReference w:id="1292"/>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عدم اشتراط کون المستصحب حکما فعلیّا، أو قضیّة فعلیّة؛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المشروط دائما مشروط حتّی فی صورة العلم بتحقّق الاستطاعة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المشروط لیس له الفعلیّة، فقضیّة المراتب للحکم فاسدة من جهات کثیرة، و منها هذه الجهة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تقریرات العلّامة النائینیّ </w:t>
      </w:r>
      <w:r>
        <w:rPr>
          <w:rStyle w:val="FootnoteAnchor"/>
          <w:rtl w:val="true"/>
        </w:rPr>
        <w:footnoteReference w:id="1294"/>
      </w:r>
      <w:r>
        <w:rPr>
          <w:rFonts w:ascii="IRNazanin" w:hAnsi="IRNazanin" w:eastAsia="IRNazanin"/>
          <w:color w:val="111111"/>
          <w:sz w:val="28"/>
          <w:sz w:val="28"/>
          <w:szCs w:val="28"/>
          <w:rtl w:val="true"/>
          <w:lang w:bidi="fa-IR"/>
        </w:rPr>
        <w:t>یکشف عن عدم وصوله إلی مغزی المسألة؛ لما عرفت فی بعض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منشأ الشکّ لیس احتمال النسخ هنا، کی یعارض بمقالة النراقیّ رحمه اللّه </w:t>
      </w:r>
      <w:r>
        <w:rPr>
          <w:rStyle w:val="FootnoteAnchor"/>
          <w:rtl w:val="true"/>
        </w:rPr>
        <w:footnoteReference w:id="1295"/>
      </w:r>
      <w:r>
        <w:rPr>
          <w:rFonts w:ascii="IRNazanin" w:hAnsi="IRNazanin" w:eastAsia="IRNazanin"/>
          <w:color w:val="111111"/>
          <w:sz w:val="28"/>
          <w:sz w:val="28"/>
          <w:szCs w:val="28"/>
          <w:rtl w:val="true"/>
          <w:lang w:bidi="fa-IR"/>
        </w:rPr>
        <w:t xml:space="preserve">و قد مرّ فسادها بما لا مزید علیه </w:t>
      </w:r>
      <w:r>
        <w:rPr>
          <w:rStyle w:val="FootnoteAnchor"/>
          <w:rtl w:val="true"/>
        </w:rPr>
        <w:footnoteReference w:id="1296"/>
      </w:r>
      <w:r>
        <w:rPr>
          <w:rFonts w:ascii="IRNazanin" w:hAnsi="IRNazanin" w:eastAsia="IRNazanin"/>
          <w:color w:val="111111"/>
          <w:sz w:val="28"/>
          <w:sz w:val="28"/>
          <w:szCs w:val="28"/>
          <w:rtl w:val="true"/>
          <w:lang w:bidi="fa-IR"/>
        </w:rPr>
        <w:t>، و ما هو المنشأ امور اخر إمّا خارجیّة،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مثل ذلک من مشکلات جریان التعلیقیّ </w:t>
      </w:r>
      <w:r>
        <w:rPr>
          <w:rStyle w:val="FootnoteAnchor"/>
          <w:rtl w:val="true"/>
        </w:rPr>
        <w:footnoteReference w:id="1297"/>
      </w:r>
      <w:r>
        <w:rPr>
          <w:rFonts w:ascii="IRNazanin" w:hAnsi="IRNazanin" w:eastAsia="IRNazanin"/>
          <w:color w:val="111111"/>
          <w:sz w:val="28"/>
          <w:sz w:val="28"/>
          <w:szCs w:val="28"/>
          <w:rtl w:val="true"/>
          <w:lang w:bidi="fa-IR"/>
        </w:rPr>
        <w:t>غلط، کما عرفت فی بعض الامور السابقة؛ لأنّه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رجوع القیود إلی الموضوع و عدمه، فإنّه مضافا إلی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قال الشیخ رحمه اللّه بامتناع تقیید الهیئة کما تحرّر فی محلّه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أن یعدّ من مشکلات هذه المسألة المفروض تعلیقیّة الحکم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لا تدور حول حدیث الموضوع و الحکم، أو فعلیّة الحکم و عدمها، کی یناقش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و إن کانت أرکان الاستصحاب محفوظة فی التعلیقیّ، و إنّما یطرأ الشکّ بعد الیقین بالخیار للبیّعین؛ لأجل تصرّف أحدهما مثلا فیما انتقل إلیه، و لکنّ الاستصحاب مثبت؛ لأنّ مقتضی التعبّد بالقضیّة المعلّقة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الخبر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التعبّد بالحکم بعد تحقّق الشرط بالنسبة إلی الموضوع، و هذا ممّا لا بأس به بالنسبة إلی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أدلّة الاستصحاب المنطبقة علی الخارج، فهی التعبّد بالحکم علی تقدیر الشرط المتعبّد به، فیلزم الوساطة بعد کون الموضوع محفوظا فی حالتی الیقین و الشکّ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التشبث بخفاء الواسطة غیر واقع فی محلّه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الشرطیّة ترجع إلی أنّه علی تقدیر الغلیان یکون ماء العنب حراما، و ما هو المجعول شرعا لیست السببیّة کی یرجع التقدیریّ إلی التنجیزیّ، و لا الملازمة، بل هو الحرمة أو الوجوب علی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التعبد بالقضیّة الشرطیّة فی ظرف الشکّ، لا ینتهی إلی الأثر إلّا بعد إحراز الشرط، فإذا احرز الشرط فیحکم بالحرمة أو الوجوب حسب الاستصحاب، فیکون ذلک من الأصل المثبت</w:t>
      </w:r>
      <w:r>
        <w:rPr>
          <w:rFonts w:eastAsia="IRNazanin" w:cs="IRNazanin"/>
          <w:color w:val="111111"/>
          <w:sz w:val="28"/>
          <w:szCs w:val="28"/>
          <w:rtl w:val="true"/>
          <w:lang w:bidi="fa-IR"/>
        </w:rPr>
        <w:t>.</w:t>
      </w:r>
      <w:bookmarkStart w:id="1039" w:name="pg13177_118221"/>
    </w:p>
    <w:p>
      <w:pPr>
        <w:pStyle w:val="BookText"/>
        <w:rPr/>
      </w:pPr>
      <w:bookmarkEnd w:id="1039"/>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محطّ جعل المولی هو أمر کلّی، و ما هو محطّ جریان الاستصحاب خارج عن جعله، و تابع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المثبت حقیقته هی الحکم أو نفیه عن موضوع لأجل التعبّد بما تعلّق به الیقین، و هو غیر ذلک الموضوع، إلّا أنّ التعبّد بوجود البیاض فی الجسم ینافی السواد فیه، فعندئذ یرفع حکم السواد أو یثبت حکم عدم السواد بإجراء التعبّد بالبیاض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مثل المقام فما یتعبّد به هی القضیّة الشرطیّة التی هی شرطیّة دائما، إلّا أنّه دائما یتنجّز الجزاء بإحراز الشرط؛ و هو الاستطاعة مثلا أو غیرها، فلا واسطة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إذا باع شیئا لا یجب علیه الوفاء، فإذا 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خصوصیّة طرأت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یتعبّد بتلک القضیّة، إلّا أنّ بیعه خارجا یحرز وجدانا، و یحکم بعدم الوجوب حسب التعبّد بتلک القضیّة، لا باستصحاب خاصّ فی ناحیة الشرط أو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فی الاستصحابات المنجّزة؛ أی غیر المعلّقة، و الفعلیّة، فإنّه باستصحاب بقاء الموضوع یحکم بوجوب الإکرام، إلّا أنّه لا یجری بالنسبة إلی الحکم استصحاب خاصّ به، فافهم و اغتنم</w:t>
      </w:r>
      <w:r>
        <w:rPr>
          <w:rFonts w:eastAsia="IRNazanin" w:cs="IRNazanin"/>
          <w:color w:val="111111"/>
          <w:sz w:val="28"/>
          <w:szCs w:val="28"/>
          <w:rtl w:val="true"/>
          <w:lang w:bidi="fa-IR"/>
        </w:rPr>
        <w:t>.</w:t>
      </w:r>
    </w:p>
    <w:p>
      <w:pPr>
        <w:pStyle w:val="Heading6"/>
        <w:numPr>
          <w:ilvl w:val="5"/>
          <w:numId w:val="1"/>
        </w:numPr>
        <w:rPr/>
      </w:pPr>
      <w:bookmarkStart w:id="1040" w:name="__RefHeading___Toc764324_3244359995"/>
      <w:bookmarkStart w:id="1041" w:name="_Toc387"/>
      <w:bookmarkEnd w:id="1040"/>
      <w:r>
        <w:rPr>
          <w:rtl w:val="true"/>
        </w:rPr>
        <w:t>تذنیب</w:t>
      </w:r>
      <w:r>
        <w:rPr>
          <w:rtl w:val="true"/>
        </w:rPr>
        <w:t xml:space="preserve">: </w:t>
      </w:r>
      <w:r>
        <w:rPr>
          <w:rtl w:val="true"/>
        </w:rPr>
        <w:t>حول التفصیل بین التعلیق الشرعیّ و غیره</w:t>
      </w:r>
      <w:bookmarkEnd w:id="1041"/>
    </w:p>
    <w:p>
      <w:pPr>
        <w:pStyle w:val="BookText"/>
        <w:rPr/>
      </w:pPr>
      <w:r>
        <w:rPr>
          <w:rFonts w:ascii="IRNazanin" w:hAnsi="IRNazanin" w:eastAsia="IRNazanin"/>
          <w:color w:val="111111"/>
          <w:sz w:val="28"/>
          <w:sz w:val="28"/>
          <w:szCs w:val="28"/>
          <w:rtl w:val="true"/>
          <w:lang w:bidi="fa-IR"/>
        </w:rPr>
        <w:t>ذهب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اختصاص الجریان بالتعلیق الشرعیّ، و أنّ الشرطیّة الشرعیّة یجری فیها الاستصحاب، دون الاختراعیّة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کلامه الأعمّ من الابتکاریّة فی الموضوعات التکوینیّة، و الأحکام الوضعیّة، بل فی الاختراعیّة حتّی بالنسبة إلی الأحکام التکلیفیّة،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کان إذا بلغ یجب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اتصال حالة مردّدة بین الجنون</w:t>
      </w:r>
    </w:p>
    <w:p>
      <w:pPr>
        <w:pStyle w:val="BookText"/>
        <w:rPr/>
      </w:pPr>
      <w:r>
        <w:rPr>
          <w:rFonts w:ascii="IRNazanin" w:hAnsi="IRNazanin" w:eastAsia="IRNazanin"/>
          <w:color w:val="111111"/>
          <w:sz w:val="28"/>
          <w:sz w:val="28"/>
          <w:szCs w:val="28"/>
          <w:rtl w:val="true"/>
          <w:lang w:bidi="fa-IR"/>
        </w:rPr>
        <w:t>و غیره ببلوغه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یجری الاستصحاب المذکور؛ لأنّ ما فی الشرع لیس إلّا قضیّة فعلیّة؛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البالغ یجب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فعلیّة اخری؛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المجنون مرفوع عنه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یجوز مثلا التمسّک بالعامّ فی الشبهة المصداقیّة، فلنا التمسّک باستصحاب تعلیقیّ؛ و هو أنّه کان إذا بلغ یجب علیه الصلاة، و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وجه الاختصاص کون الأصل فی غیر الشرطیّة الشرعیّة مثبتا؛ لأنّ الشرع اعتبر ترتّب الحکم فی التعلیقیّة الشرعیّة، و فی غیر الشرعیّة لیس الأمر کذلک، فیلزم شبهة المثبتیّة هنا دونها؛ لأنّ تحقّق الغلیان وجدانا بمنزلة الموضوع للحکم حقیقة</w:t>
      </w:r>
      <w:r>
        <w:rPr>
          <w:rStyle w:val="FootnoteAnchor"/>
          <w:rtl w:val="true"/>
        </w:rPr>
        <w:footnoteReference w:id="1299"/>
      </w:r>
      <w:r>
        <w:rPr>
          <w:rFonts w:ascii="IRNazanin" w:hAnsi="IRNazanin" w:eastAsia="IRNazanin"/>
          <w:color w:val="111111"/>
          <w:sz w:val="28"/>
          <w:sz w:val="28"/>
          <w:szCs w:val="28"/>
          <w:rtl w:val="true"/>
          <w:lang w:bidi="fa-IR"/>
        </w:rPr>
        <w:t>، انتهی ما عندنا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المتعبّد به فی الاستصحاب التعلیقیّ، لیس إلّا القضیّة الشرطیّة، و لیس هو التعبّد بفعلیّة الحکم لدی تحقّق المعلّق علیه،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لا یصیر الحکم فعلیّا بعد ما کان إنشائیّا، بل الحکم فی المشروطات کافّة فعلیّ تعلیقیّ حسب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و یجب إکرام العالم عند مجی‌ء زید، من غیر کون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العلّامة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محلّه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الشرط لیس بمنزلة الموضوع؛ لمکان کونه أمرا عدمیّا أحیانا کما مرّ</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فی جمیع الاستصحابات التعلیقیّة التی هی مورد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من غیر ناحیة النسخ کما مرّ</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مجراها أمرا شرعیّا؛ لأنّ موضوع المستصحب هو الموضوع الخارجیّ، کما فی زید، و فی العنب بعد ما یبس و صار زبیبا، و هکذا</w:t>
      </w:r>
    </w:p>
    <w:p>
      <w:pPr>
        <w:pStyle w:val="BookText"/>
        <w:rPr/>
      </w:pPr>
      <w:r>
        <w:rPr>
          <w:rFonts w:ascii="IRNazanin" w:hAnsi="IRNazanin" w:eastAsia="IRNazanin"/>
          <w:color w:val="111111"/>
          <w:sz w:val="28"/>
          <w:sz w:val="28"/>
          <w:szCs w:val="28"/>
          <w:rtl w:val="true"/>
          <w:lang w:bidi="fa-IR"/>
        </w:rPr>
        <w:t>فی المتبایعین، و المجعول هو الأمر الکلّی و الحکم علی نفس الطبیعة، و لا سیّما فی الموارد التی یکون التعلیق فی القضیّة الشرطیّة الشرعیّة علی نعت الإطلاق، کما تری فی الأمثلة، و قلّما یتّفق التعلیق فی العمومات التی تتصدّی لتسریة الحکم إلی الأفراد، و علی هذا مجری استصحاب التعلیق الشرعیّ أیضا غیر شرعیّ؛ و هو أنّ هذا الجسم کان إذا غلی یحرم، مع أنّ الشرع بالنسبة إلی هذا الجسم لیس ذا حکم، و هکذا بالنسبة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السرّ کلّ السرّ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تابعون لدلیل الاستصحاب، و الیقین و الشکّ، مع اتصال زمان الشکّ بالیقین؛ سواء کانت القضیة من موارد مثل الغلیان و العنب و الزبیب، أو من موارد الأحکام الوضعیّة، أو من موارد الموضوعات التکوینیّة؛ بعد إمکان التعبّد به بما هی القضیّة الشرطیّة؛ فإنّه إذا تعلّق بها الیقین و الشکّ یؤخذ بإطلاق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فی کلمات القوم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الاستصحاب التعلیقیّ بالنسبة إلی المقدّم فی القضیّة، فیرون عدم الیقین، أو المرکّب المنتفی جزؤه، أو إجرائه بالنسبة إلی التالی، فیرون اختصاصه بالقضیّة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 باطل، بل الیقین تعلّق بنفس القضیّة الشرطیّة، و الیقین فعلیّ، و الشرطیّة فعلیّة فی شرطیّتها، کما أنّک علی یقین فعلیّ بقضیّة شرطیّة منطقیّة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الشمس إذا طلعت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أیضا متعلّق بتلک القضیّة الشرطیّة حسبما تحرّر، فلا فرق بین الشرعیّات و غیر الشرعیّات الأعمّ من الوضعیّات و الموضوعات و غیرها، بعد کون التعبّد بتلک القضیّة ذا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شبهة المثبتیّة، کان أن یتشبث به لإنکار جریان التعلیقیّ فی محلّ النزاع مطلقا، دون التفصیل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السرّ فی جریانه علی الإطلاق، جواز نسبة تلک القضیّة</w:t>
      </w:r>
      <w:bookmarkStart w:id="1042" w:name="pg13177_118224"/>
    </w:p>
    <w:p>
      <w:pPr>
        <w:pStyle w:val="BookText"/>
        <w:rPr/>
      </w:pPr>
      <w:bookmarkEnd w:id="1042"/>
      <w:r>
        <w:rPr>
          <w:rFonts w:ascii="IRNazanin" w:hAnsi="IRNazanin" w:eastAsia="IRNazanin"/>
          <w:color w:val="111111"/>
          <w:sz w:val="28"/>
          <w:sz w:val="28"/>
          <w:szCs w:val="28"/>
          <w:rtl w:val="true"/>
          <w:lang w:bidi="fa-IR"/>
        </w:rPr>
        <w:t>الشرطیّة إلی الشرع حتّی فی الموضوعات، مثلا یجوز نسبة القول بأنّ زیدا إذا کان عالما یجب إکرامه، فإذا کان یشکّ فی أنّه إذا کان عالما فهل یجب إکرامه تصحّ نسبته أیضا حسب إطلاق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تالی القضیّة الشرطیّة الاختراعیّة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تالیها موضوعا، کما إذا کان هذا الماء إذا یزید علیه منّ من الماء لکان کرّا، و إذا 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نقصان الماء المشار إلیه علی وجه یبقی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الاستصحاب، و یتعبّد بأنّ هذا الماء إذا اضیف إلیه منّ یکون کرّا، و یترتّب علیه آثار الکرّیة من عدم تنجّسه، و مطهّریته، و غیر ذلک؛ إذا القی علیه منّ من الماء، کما أنّ الأمر کذلک فی موضوع القضیّة الفعلیّة، و یحرز بالاستصحاب موضوع الحکم</w:t>
      </w:r>
      <w:r>
        <w:rPr>
          <w:rFonts w:eastAsia="IRNazanin" w:cs="IRNazanin"/>
          <w:color w:val="111111"/>
          <w:sz w:val="28"/>
          <w:szCs w:val="28"/>
          <w:rtl w:val="true"/>
          <w:lang w:bidi="fa-IR"/>
        </w:rPr>
        <w:t>.</w:t>
      </w:r>
    </w:p>
    <w:p>
      <w:pPr>
        <w:pStyle w:val="Heading6"/>
        <w:numPr>
          <w:ilvl w:val="5"/>
          <w:numId w:val="1"/>
        </w:numPr>
        <w:rPr/>
      </w:pPr>
      <w:bookmarkStart w:id="1043" w:name="__RefHeading___Toc764326_3244359995"/>
      <w:bookmarkStart w:id="1044" w:name="_Toc388"/>
      <w:bookmarkEnd w:id="1043"/>
      <w:r>
        <w:rPr>
          <w:rtl w:val="true"/>
        </w:rPr>
        <w:t>تذنیب آخر</w:t>
      </w:r>
      <w:r>
        <w:rPr>
          <w:rtl w:val="true"/>
        </w:rPr>
        <w:t xml:space="preserve">: </w:t>
      </w:r>
      <w:r>
        <w:rPr>
          <w:rtl w:val="true"/>
        </w:rPr>
        <w:t>معارضة التعلیقیّ دائما باستصحاب تنجیزیّ أو تعلیقیّ</w:t>
      </w:r>
      <w:bookmarkEnd w:id="104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تقدیر جریان الاستصحاب التعلیقیّ ذاتا، و علی تقدیر عدم کونه من الأصل المثبت، هو معارض باستصحاب تنجیزیّ دائما، أو تعلیقیّ علی ما یتوهّم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ذلک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فی شبهة النراقیّ رحمه اللّه علی ما أوسعناها</w:t>
      </w:r>
      <w:r>
        <w:rPr>
          <w:rStyle w:val="FootnoteAnchor"/>
          <w:rtl w:val="true"/>
        </w:rPr>
        <w:footnoteReference w:id="1304"/>
      </w:r>
      <w:r>
        <w:rPr>
          <w:rFonts w:ascii="IRNazanin" w:hAnsi="IRNazanin" w:eastAsia="IRNazanin"/>
          <w:color w:val="111111"/>
          <w:sz w:val="28"/>
          <w:sz w:val="28"/>
          <w:szCs w:val="28"/>
          <w:rtl w:val="true"/>
          <w:lang w:bidi="fa-IR"/>
        </w:rPr>
        <w:t>فإنّ هذا الشی‌ء کان إذا غلی یحرم، و إذا افترقا یجب البیع، و هکذا فی التعلیقات الاختراعیّة الموضوعیّة، أو الحکمیّة الوضعیّة، أو التکلیفیّة، و لم یجعل اللّه تعالی هذا الشی‌ء فی هذا العصر إذا غلی یحرم، فالآن کما کان، أو لم یجعل اللّه الملازمة بین غلیان هذا الشی‌ء و الحرمة فی ظرف الشکّ، أو لم یجعل اللّه تعالی سببیّة الغلیان لحرمة هذا الشی‌ء فی هذا العصر و فی زمان الشکّ 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امتناع جعل السببیّة کتوهّم امتناع الملازمة، و قد مرّ تفصیله </w:t>
      </w:r>
      <w:r>
        <w:rPr>
          <w:rStyle w:val="FootnoteAnchor"/>
          <w:rtl w:val="true"/>
        </w:rPr>
        <w:footnoteReference w:id="1305"/>
      </w:r>
      <w:r>
        <w:rPr>
          <w:rFonts w:ascii="IRNazanin" w:hAnsi="IRNazanin" w:eastAsia="IRNazanin"/>
          <w:color w:val="111111"/>
          <w:sz w:val="28"/>
          <w:sz w:val="28"/>
          <w:szCs w:val="28"/>
          <w:rtl w:val="true"/>
          <w:lang w:bidi="fa-IR"/>
        </w:rPr>
        <w:t>، فالاستصحاب التعلیقیّ یعارضه التعلیقیّ، أو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عدم تمامیّة رکن الأصل العدمیّ الأزلیّ فی الشبهات الحکمیّة</w:t>
      </w:r>
      <w:r>
        <w:rPr>
          <w:rStyle w:val="FootnoteAnchor"/>
          <w:rtl w:val="true"/>
        </w:rPr>
        <w:footnoteReference w:id="1306"/>
      </w:r>
      <w:r>
        <w:rPr>
          <w:rFonts w:ascii="IRNazanin" w:hAnsi="IRNazanin" w:eastAsia="IRNazanin"/>
          <w:color w:val="111111"/>
          <w:sz w:val="28"/>
          <w:sz w:val="28"/>
          <w:szCs w:val="28"/>
          <w:rtl w:val="true"/>
          <w:lang w:bidi="fa-IR"/>
        </w:rPr>
        <w:t>، و أنّه لا أثر فی الشبهة الموضوعیّة؛ لتقیّدها بکونها بعد الزوال، أو فی هذا العصر و فی ظرف الشکّ، فلا یقاوم الأصل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الشبهات الحکمیّة الکلّیة إشکال آخر مرّ تفصیله، و هو یمنع من جریانه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جریان العدمیّ؛ من أجل امتناع الإشارة إلی الخارج، مندفع بما مرّ فی استصحاب عدم التذکیة</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یعارض الأصل الموضوعیّ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تخیّل العلّامة النراقیّ رحمه اللّه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العدمیّ الموضوعیّ الآخر، و یستصحب أنّه لم یجعل اللّه الإنسان بعد الزوال، فی قبال استصحاب الإنسان المعلوم قبله،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کلمات الأعلام رحمهم اللّه فی المثال المعروف </w:t>
      </w:r>
      <w:r>
        <w:rPr>
          <w:rStyle w:val="FootnoteAnchor"/>
          <w:rtl w:val="true"/>
        </w:rPr>
        <w:footnoteReference w:id="1309"/>
      </w:r>
      <w:r>
        <w:rPr>
          <w:rFonts w:ascii="IRNazanin" w:hAnsi="IRNazanin" w:eastAsia="IRNazanin"/>
          <w:color w:val="111111"/>
          <w:sz w:val="28"/>
          <w:sz w:val="28"/>
          <w:szCs w:val="28"/>
          <w:rtl w:val="true"/>
          <w:lang w:bidi="fa-IR"/>
        </w:rPr>
        <w:t>و هو أنّه بمقتضی التعلیقیّ یحرم هذا الشی‌ء إذا غلی، و بمقتضی التنجیزیّ إذا تحقّق الغلیان یشکّ فی حرمته بعد ما کان حلالا قطعا، فتستصحب الإباحة و الجواز و الطهارة و الحلّیة؛ لأنّ الغلیان من العوارض و الأحوال، فلا یلزم خلل فی موضوع الاستصحاب بالضرورة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عثرنا علیه من إفادات شهیدنا السعید قدّس سرّه و بقیت مباحث اخر لم تصلها و للأسف ید التتبع و التحقیق و الحمد للّه أوّلا و آخرا</w:t>
      </w:r>
      <w:r>
        <w:rPr>
          <w:rFonts w:eastAsia="IRNazanin" w:cs="IRNazanin"/>
          <w:color w:val="111111"/>
          <w:sz w:val="28"/>
          <w:szCs w:val="28"/>
          <w:rtl w:val="true"/>
          <w:lang w:bidi="fa-IR"/>
        </w:rPr>
        <w:t>.</w:t>
      </w:r>
      <w:bookmarkStart w:id="1045" w:name="pg13177_118227"/>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6" w:name="__RefHeading___Toc764328_3244359995"/>
      <w:bookmarkStart w:id="1047" w:name="_Toc389"/>
      <w:bookmarkEnd w:id="1045"/>
      <w:bookmarkEnd w:id="1046"/>
      <w:r>
        <w:rPr>
          <w:rtl w:val="true"/>
        </w:rPr>
        <w:t>مصادر التحقیق</w:t>
      </w:r>
      <w:bookmarkEnd w:id="1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 السیّد أبو القاسم الموسوی الخوئی، مکتبة المصطفوی و مکتبة الفقیه،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أهل اللّجاج، أبی منصور أحمد بن علیّ بن ابی طالب الطبرسی، انتشارات اسوة،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أبو بکر محمّد بن علی الرازی الجصّاص، دار الکتب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إلی أحکام الإیمان، العلّامة الحلّی الحسن بن یوسف بن علی بن المطهّر، مؤسسة النشر الإسلامی،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فیما اختلف من الأخبار، أبو جعفر شیخ الطائفة محمّد بن الحسن الطوسی، دار 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الإمام الخمینی قدّس سرّه، مؤسسة تنظیم و نشر آثار الإمام الخمینی قدّس سرّه،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فی معرفة الصحابة، ابن الأثیر أبو الحسن علی بن أبی الکرم،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الحکم، الحاج ملّا هادی السبزواری، المکتبة الإسلامیة،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إشارات الاصول، ملّا ابراهیم الکرباسی، الطبعة الحجریة،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و التنبیهات، الشیخ الرئیس أبو علیّ الحسین بن عبد اللّه بن سینا، دفتر نشر کتاب،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الصحابة، ابن حجر العسقلانی أبو الفضل أحمد بن علیّ،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الإعتقادات، العلّامة المجلسی محمّد باقر بن محمّد تقی المجلسی، مکتبة المجلسی، أصفهان،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إفاضة العوائد، السیّد محمّد رضا الموسوی الگلپایگانی، دار القرآن الکریم،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الموارد، سعید الخوری، مکتبة آیة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أبو جعفر شیخ الطائفة محمّد بن الحسن الطوسی،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السیّد المرتضی علم الهدی أبو القاسم علیّ بن الحسین الموسوی،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الهدایة فی التعلیقة علی الکفایة، الإمام الخمینی قدّس سرّه، مؤسسة تنظیم و نشر آثار الإمام الخمینی قدّس سرّه،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الوسائل فی شرح الرسائل، المیرزا موسی التبریزی، الطبعة الحجریة، دار المعارف الإسلامیة، طهران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المسالک إلی الفیّة ابن مالک، جمال الدین ابن هشام، انتشارات سیّد الشهداء،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الفوائد فی شرح القواعد، فخر المحقّقین محمّد بن الحسن الحلّی، المطبعة العلمیة،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 العلّامة محمّد باقر بن محمّد تقی المجلسی،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الفوائد فی شرح الفرائد، المیرزا محمّد حسن الآشتیانی، الطبعة الحجریة، مکتبة آیة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الشیخ حسین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عز الدین بحر العلوم، مؤسسة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الاصول، الشیخ محمّد حسین الأصفهانی، مؤسسة النشر الإسلامی،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الأفکار، الشیخ حبیب اللّه الرشتی، مؤسسة آل البیت علیهم السّلام لإحیاء التراث، الطبعة الحجریة،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هاشم 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الدرر فی شرح قاعدة لا ضرر، الإمام الخمینی قدّس سرّه، مؤسسة تنظیم و نشر آثار الإمام الخمینی قدّس سرّه،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الزاهر فی صلاة الجمعة و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علی المنتظری، مطبعة الحکمة،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السیّد هاشم الحسینی البحرانی، مؤسسة إسماعیلیان، قم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أبو جعفر محمّد بن الحسن بن فروخ الصفّار،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المرضیّة، جلال الدین السیوطی، مع تعلیقة مصطفی الحسینی الدشتی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محمّد رضا الزبیدی، دار مکتبة الحیاة،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 شیخ الطائفة أبو جعفر محمّد بن الحسن الطوسی،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تحریرات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الخمینی، مؤسسة تنظیم و نشر آثار الإمام الخمینی،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تحریرات فی الفقه، الواجبات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الخمینی، مؤسسة تنظیم و نشر آثار الإمام الخمینی،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تحریرات فی الفقه، کتاب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الخمینی، مؤسسة تنظیم و نشر آثار الإمام الخمینی،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تحریرات فی الفقه، کتاب الخیارات،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الخمینی، مؤسسة تنظیم و نشر آثار الإمام الخمینی،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تحریرات فی الفقه،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الخمینی، مؤسسة تنظیم و نشر آثار الإمام الخمینی،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 العلّامة الحلّی الحسن بن یوسف بن علی بن المطهّر، مؤسسة طوس،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الوسیلة، الإمام الخمینی قدّس سرّه، انتشارات دار العلم،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علیهم السّلام، الحسن بن علیّ بن الحسین بن شعبة الحرّانی، مؤسسة النشر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 العلّامة الحلّی الحسن بن یوسف بن علی بن المطهّر الحلّی، الطبعة</w:t>
      </w:r>
    </w:p>
    <w:p>
      <w:pPr>
        <w:pStyle w:val="BookText"/>
        <w:rPr/>
      </w:pPr>
      <w:r>
        <w:rPr>
          <w:rFonts w:ascii="IRNazanin" w:hAnsi="IRNazanin" w:eastAsia="IRNazanin"/>
          <w:color w:val="111111"/>
          <w:sz w:val="28"/>
          <w:sz w:val="28"/>
          <w:szCs w:val="28"/>
          <w:rtl w:val="true"/>
          <w:lang w:bidi="fa-IR"/>
        </w:rPr>
        <w:t>الحجریة، المکتبة الرضویة،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الاصول، الشیخ علی بن فتح اللّه النهاوندی، الطبعة الحجریّة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 الترجیح، الإمام الخمینی قدّس سرّه، مؤسسة تنظیم و نشر آثار الإمام الخمینی قدّس سرّه،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الحکمة المتعالیة،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الخمینی، مؤسسة تنظیم و نشر آثار الإمام الخمینی،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الوحید البهبهانی علی منهج المقال، الوحید البهبهانی محمّد باقر محمّد أکمل، 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رشیقة علی شرح منظومة السبزواری، المیرزا مهدی الآشتیانی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العیاشی أبو نصر محمّد بن مسعود بن عیّاش السلمی السمرقندی، 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الخمینی، مؤسسة تنظیم و نشر آثار الإمام الخمینی،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أبو الحسن علیّ بن إبراهیم القمی، مکتبة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الفخر الرازی محمّد بن عمر بن الحسین بن علی الرازی، مکتب الإعلام الإسلامی،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المجدّد الشیرازی، الشیخ علی الروزدری، مؤسسة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التلویحات ضمن مجموعة المصنفات، شهاب الدین یحیی السهروردی، مؤسسة مطالعات و تحقیقات فرهنگی،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الشهید الثانی، زین الدین بن علیّ بن أحمد العاملی، مکتب الإعلام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التقوی الاشتهاردی، مؤسسة تنظیم و نشر آثار الإمام الخمینی قدّس سرّه،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الرائع لمختصر الشرائع، مقداد بن عبد اللّه السیوری،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علم الرجال، الشیخ عبد اللّه المامقانی، الطبعة الحجریّة، المطبعة المرتضویة، النجف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فی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المیرزا علی التبریزی الغروی، المطبعة العلمیّة،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الشیخ الصدوق محمّد بن علیّ بن الحسین بن بابویه،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فی شرح المقنعة، أبو جعفر شیخ الطائفة محمّد بن الحسن الطوسی، دار الکتب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جعفر السبحانی، مؤسسة النشر الإسلامی،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و إزاحة الاشتباهات عن الطرق و الأسناد، محمّد بن علیّ الأردبیلی، مکتبة آیة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فی شرح المختصر النافع، السیّد أحمد الخوانساری، مکتبة الصدوق،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القواعد، المحقّق الثانی علیّ بن الحسین بن عبد العالی الکرکی، مؤسسة آل البیت علیهم السّلام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 الحاج آقا حسین الطباطبائی البروجردی، مطبعة مهر،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أبو عبد اللّه محمّد بن أحمد الأنصاری القرطبی، مؤسسة التاریخ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المرتضوی اللنگرودی، مؤسسة تنظیم و نشر آثار الإمام الخمینی،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الإسلام، الشیخ محمّد حسن النجفی، دار الکتب الإسلامیة،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النضید، العلّامة الحلّی الحسن بن یوسف بن علی بن المطهّر الحلّی، انتشارات بیدار،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المکاسب، المحقّق الأصفهانی، دار الذخائر،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المکاسب، المحقّق الإیروانی، انتشارات مکتبة کتبی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فرائد الاصول، الشیخ آقا رضا الهمدانی،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کفایة الاصول، الشیخ علی القوچانی، مکتبة الوجدانی،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کفایة الاصول، المیرزا أبو الحسن المشکینی، منشورات دار الحکمة،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بهاء الدین الحجتی البروجردی، مطبعة الصدر،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معالم الدین، سلطان العلماء السیّد علاء الدین حسین بن رفیع الدین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المتین، الشیخ البهائی محمّد بن الحسین بن عبد الصمد العاملیّ، انتشارات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فی أحکام العترة الطاهرة، الشیخ یوسف بن أحمد البحرانی،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السیّد محسن الطباطبائی الحکیم، المطبعة العلمیّة، النجف،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الإشراق، ضمن مجموعة شیخ الإشراق، شهاب الدین یحیی السهروردی، مؤسسة مطالعات و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فی الأسفار العقلیّة الأربعة، صدر المتألهین محمّد بن إبراهیم الشیرازی، مکتبة المصطفوی،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الشیخ الصدوق محمّد بن علیّ بن الحسین بن بابویه القمّی، مؤسسة النشر الإسلامی،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فی معرفة الرجال، العلّامة الحلّی الحسن بن یوسف بن علی بن المطهّر، منشورات الرضی،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 الصلاة، الإمام الخمینی قدّس سرّه، مطبعة مهر،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بالمأثور، جلال الدین عبد الرحمن السیوطی، مکتبة آیة اللّه المرعشی، قم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الشیخ عبد الکریم الحائری، مؤسسة النشر الإسلامی،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فی الحاشیة علی الفرائد، الآخوند الخراسانی محمّد کاظم الهروی الخراسانی، مؤسسة الطبع و النشر التابعة لوزارة الثقافة و الإرشاد الإسلامی،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یوسف بن أحمد البحرانی،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الشرعیة فی فقه الإمامیة، الشهید الأوّل محمّد بن مکی العاملی، 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أبو حنیفة النعمان بن محمّد بن منصور بن أحمد بن حیّون التمیمی المغربی،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المعاد فی شرح الإرشاد، محمّد باقر السبزواری، مؤسسة آل البیت علیهم السّلام،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اصول الشریعة، السیّد المرتضی علم الهدی أبو القاسم علیّ بن الحسین الموسوی، انتشارات دانشگاه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الشیعة فی أحکام الشریعة، الشهید الأوّل محمّد بن مکی العاملی،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أبو العباس أحمد بن علیّ بن العباس النجاشی،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الإمام الخمینی قدّس سرّه، مؤسسة إسماعیلیان،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الشریف المرتضی، السیّد المرتضی علم الهدی أبو القاسم علیّ بن</w:t>
      </w:r>
    </w:p>
    <w:p>
      <w:pPr>
        <w:pStyle w:val="BookText"/>
        <w:rPr/>
      </w:pPr>
      <w:r>
        <w:rPr>
          <w:rFonts w:ascii="IRNazanin" w:hAnsi="IRNazanin" w:eastAsia="IRNazanin"/>
          <w:color w:val="111111"/>
          <w:sz w:val="28"/>
          <w:sz w:val="28"/>
          <w:szCs w:val="28"/>
          <w:rtl w:val="true"/>
          <w:lang w:bidi="fa-IR"/>
        </w:rPr>
        <w:t xml:space="preserve">الحسین، دار القرآن الکریم،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الفشارکیّة، السیّد محمّد الفشارکی 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المحقّق الکرکی، المحقّق الثانی الشیخ علی بن الحسین الکرکی، 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الذهب المسکوک فی اللباس المشکوک، المیرزا علی الإیروانی النجفی، مکتبة بوذر جمهری،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الطلب و الإرادة، الإمام الخمینی قدّس سرّه،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بعض الأفاضل إلی علماء مدینة السلام، ضمن رسائل الشیخ الرئیس أبی علی الحسین بن عبد اللّه بن سینا، انتشارات بیدار،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المشتق، الشیخ الکلانتر، ضمن مجموعة رسائل فقهیّة و اصولیّة، مکتبة المفید،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أحکام الخلل فی الصلاة، المحقّق المیرزا محمّد تقی الشیرازی، المطبوع ضمن حاشیة المکاسب،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فی علم الدرایة، الشهید الثانی زین الدین بن علی بن أحمد العاملی، مکتبة آیة اللّه المرعشی،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فی شرح إرشاد الأذهان، الشهید الثانی زین الدین بن علی بن أحمد العاملی،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شرح اللمعة الدمشقیة، الشهید الثانی زین الدین بن علی بن أحمد العاملی، الطبعة الحجریة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السالکین، السیّد علی خان الحسینی الحسنی المدنی الشیرازی، مؤسسة</w:t>
      </w:r>
    </w:p>
    <w:p>
      <w:pPr>
        <w:pStyle w:val="BookText"/>
        <w:rPr/>
      </w:pPr>
      <w:r>
        <w:rPr>
          <w:rFonts w:ascii="IRNazanin" w:hAnsi="IRNazanin" w:eastAsia="IRNazanin"/>
          <w:color w:val="111111"/>
          <w:sz w:val="28"/>
          <w:sz w:val="28"/>
          <w:szCs w:val="28"/>
          <w:rtl w:val="true"/>
          <w:lang w:bidi="fa-IR"/>
        </w:rPr>
        <w:t xml:space="preserve">النشر الإسلامی،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فی بیان الأحکام بالدلائل، السیّد علی الطباطبائی، مؤسسة آل البیت علیهم 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الاصول، الشیخ البهائی محمّد بن الحسین بن عبد الصمد، 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ابن ادریس الحلّی أبو جعفر محمّد بن منصور بن أحمد،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 محمّد بن یزید القزوینی،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أبو عیسی محمّد بن عیسی بن سورة الترمذی،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أبو بکر أحمد بن الحسین بن علیّ البیهقی، دار المعرفة،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 أحمد بن شعیب بن علی بن بحر النسائی، دار إحیاء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علی ألفیّة ابن مالک، عبد اللّه بن عقیل العقیلی الهمدانی، المکتبة التجاریة، القاهرة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الأسماء الحسنی، المولی هادی السبزواری، انتشارات دانشگاه طهران،</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الإشارات و التنبیهات، المحقق الطوسی نصیر الدین محمّد بن محمّد بن الحسن، مرکز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البدخشی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العضدی علی مختصر ابن الحاجب، عبد الرحمن بن أحمد بن عبد الغفار، تصحیح أحمد رامز الشهیر بشهری المدرس،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الکافیة، رضی الدین محمّد بن الحسن الاسترآبادی النحوی، دار الکتب العلمیّة،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المطالع، قطب الدین محمّد بن محمّد الرازی، انتشارات الکتبی،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المنظومة، المولی هادی السبزواری مکتبة العلّامة،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السیّد الشریف علیّ بن محمّد الجرجانی، منشورات الشریف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حکمة الإشراق، قطب الدین محمود بن مسعود بن مصلح الشیرازی، انتشارات بیدار،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شذور الذهب، ابن هشام الأنصاری أبو محمّد بن یوسف بن أحمد، دار الهجرة،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عیون الحکمة، الفخر الرازی محمّد بن عمر الطبری، مکتبة الانجلو المصریّة، القاهرة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التلخیص، نشر أدب الحوزة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الشمسیة، مجموعة حواش و تعلیقات، قطب الدین الرازی محمّد بن محمّد الرازی و غیره، شرکة شمس المشرق، بیروت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الشیخ الرئیس أبو علیّ الحسین بن عبد اللّه بن سینا، مکتبة آیة اللّه</w:t>
      </w:r>
    </w:p>
    <w:p>
      <w:pPr>
        <w:pStyle w:val="BookText"/>
        <w:rPr/>
      </w:pPr>
      <w:r>
        <w:rPr>
          <w:rFonts w:ascii="IRNazanin" w:hAnsi="IRNazanin" w:eastAsia="IRNazanin"/>
          <w:color w:val="111111"/>
          <w:sz w:val="28"/>
          <w:sz w:val="28"/>
          <w:szCs w:val="28"/>
          <w:rtl w:val="true"/>
          <w:lang w:bidi="fa-IR"/>
        </w:rPr>
        <w:t xml:space="preserve">المرعشی،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الإلهام فی شرح تجرید الکلام، عبد الرزاق اللاهیجی الفیاض، مکتبة الفارابی، طهران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الربوبیة فی المناهج السلوکیة، صدر المتألهین محمّد بن إبراهیم الشیرازی، مرکز نشر دانشگاهی، مشهد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الفیض الکاشانی محمّد حسن بن الشاه مرتضی، دار المرتضی،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إسماعیل بن حمّاد الجوهری،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أبو الحسین مسلم بن الحجاج القشیری النیسابوری، مؤسسة عزّ الدین،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الشیخ عبد الکریم الحائری، مرکز انتشارات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الآملی، مؤسسة آل البیت علیهم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الاصول، السیّد إبراهیم القزوینی، الطبعة الحجریة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الشیخ الأعظم مرتضی بن محمّد أمین الأنصاری الدزفولی، مؤسسة آل البیت علیهم السّلام، الطبعة الحجریّة،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الاصول، شیخ الطائفة أبو جعفر محمّد بن الحسن الطوسی،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العرشیة، صدر المتألهین محمّد بن ابراهیم الشیرازی، انتشارات مهدوی،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السیّد محمّد کاظم الطباطبائی الیزدی، مع تعلیقات عدّة من الأعلام، 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الطبعة الحدیثة مع تعلیقات عدّة من الفقهاء،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مع تعلیقات السیّد البروجردی، المطبعة الإسلامیة، طهران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مع تعلیقات السیّد الحکیم، دار الکتب الإسلامیة،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الشیخ الصدوق أبو جعفر محمّد بن علیّ بن الحسین، دار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العناوین، السیّد میر عبد الفتاح الحسینی المراغی،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المولی أحمد بن محمّد مهدی بن أبی ذر النراقی، مرکز الأبحاث و الدراسات الإسلامیة،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 العزیزیّة فی الأحادیث الدینیّة، ابن أبی جمهور محمّد بن علیّ بن إبراهیم الأحسائی، مطبعة سید الشهداء، قم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 الشیخ الصدوق، أبو جعفر محمّد بن علی بن الحسین بن بابویه القمّی، منشورات الأعلمی،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 عبد الواحد بن محمّد التمیمی الآمدی، مکتب الإعلام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العوائد من درر الفوائد، المیرزا محمّد الثقفی الطهرانی، چاپخانه حیدری،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الشیخ الأعظم مرتضی بن محمّد أمین الأنصاری، مؤسسة النشر الإسلامی،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الغرویة فی الاصول الفقهیة، محمّد حسین بن عبد الرحیم الأصفهانی،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إلی الإمام الرضا علیه السّلام، مؤسسة آل البیت علیهم السّلام،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الصدوق، أبو جعفر محمّد بن علیّ بن الحسین بن بابویه القمی، دار الکتب الإسلامیة، النجف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علیّ الکاظمی، 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الحائریة، الوحید البهبهانی محمّد باقر بن محمّد أکمل، مجمع الفکر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الضیائیة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جامی، عبد الرحمن بن أحمد بن محمّد الدشتی، انتشارات ناصر خسرو</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المدنیة، محمّد أمین الأسترآبادی،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الرحموت المطبوع فی ذیل المستصفی، محبّ اللّه بن عبد المشکور، دار الذخائر،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شیخ الشریعة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السبحانی،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محمّد تقی التستری،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الفیروزآبادی مجد الدین محمّد بن یعقوب، 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میرداماد محمّد بن محمّد الحسینی، انتشارات دانشگاه طهران،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الحمیری أبو العباس عبد اللّه بن جعفر، مؤسسة آل البیت علیهم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 العلّامة الحلّی الحسن بن یوسف بن علی بن المطهّر الحلّی،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الجلیّة فی شرح الرسالة الشمسیّة، العلّامة الحلّی الحسن بن یوسف بن علی بن المطهّر الحلّی،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السیّد حسین الموسوی البجنوردی، 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 المحقق القمی محمّد حسین الجیلانی، انتشارات علمیة الإسلامیة،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ثقة الإسلام الکلینی محمّد بن یعقوب بن إسحاق، دار الکتب الإسلامیة،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الکافیة فی النحو، ابن الحاجب جمال الدین أبی عمرو عثمان بن عمر النحوی المالکی، دار الکتب العلمیّة،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أبو القاسم جعفر بن محمّد بن قولویه القمّی، مؤسسة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الإمام الخمینی قدّس سرّه، مؤسسة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طالب التجلیل التبریزی، مؤسسة النشر الإسلامی،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سیبویه، أبو بشر عمرو بن عثمان بن قنبر الملّقب بسیبویه، نشر أدب الحوزة،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حقائق غوامض التنزیل و عیون الأقاویل فی وجوه التأویل، محمود بن عمر الزمخشری، دار الکتب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عن خفیّات مبهمات الشریعة الغرّاء، الشیخ الکبیر کاشف الغطاء جعفر بن خضر، منشورات المهدوی،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الفاضل الهندی محمّد بن الحسن بن محمّد الأصفهانی، مکتبة آیة اللّه المرعشی،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العلّامة الحلّی الحسن بن یوسف بن المطهّر الحلّی، مؤسسة النشر الإسلامی، قم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الآخوند الخراسانی محمّد کاظم، مؤسسة النشر الإسلامی، قم</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و بحر الغرائب، المیرزا محمّد المشهدی بن محمّد رضا بن اسماعیل بن جمال الدین القمّی، مؤسسة النشر الإسلامی،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سنین الأقوال و الأفعال، علاء الدین علیّ المتقی بن حسام الدین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الکراکجی أبو الفتح محمّد بن علی بن عثمان الکراکجی، دار 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المحدّث القمّی عباس بن محمّد رضا، مکتبة الصدر، 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أبو الفضل محمّد بن مکرّم، 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الوصول إلی علم الاصول، العلّامة الحلّی الحسن بن یوسف بن علی بن المطهّر الحلّی، مکتب الإعلام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 تقی الخوئی، المطبعة العلمیة،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 المعاد، صدر المتألهین محمّد بن إبراهیم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محمّد بن أبی سهل السرخسی، دار الفکر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جلال الدین محمّد بن الشیخ بهاء الدین محمّد بن حسین البلخی</w:t>
      </w:r>
    </w:p>
    <w:p>
      <w:pPr>
        <w:pStyle w:val="BookText"/>
        <w:rPr/>
      </w:pPr>
      <w:r>
        <w:rPr>
          <w:rFonts w:ascii="IRNazanin" w:hAnsi="IRNazanin" w:eastAsia="IRNazanin"/>
          <w:color w:val="111111"/>
          <w:sz w:val="28"/>
          <w:sz w:val="28"/>
          <w:szCs w:val="28"/>
          <w:rtl w:val="true"/>
          <w:lang w:bidi="fa-IR"/>
        </w:rPr>
        <w:t xml:space="preserve">المشهور بالمولوی، سازمان انتشارات جاویدان،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مطلع النیّرین، فخر الدین الطریحی، مکتبة الهلال،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لعلوم القرآن، أبو علیّ الفضل بن الحسن الطبرسی،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 الشیخ عنایة اللّه علی القهپائی، مؤسسة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فی شرح إرشاد الأذهان، المولی المحقّق أحمد الأردبیلی، منشورات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 محیی الدین بن شرف النوری،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أبو جعفر أحمد بن محمّد بن خالد البرقی، دار الکتب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إسحاق الفیّاض، دار الهادی للمطبوعات،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العلماء، محمّد هادی الطهرانی،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فی علم اصول الفقه، الفخر الرازی محمّد بن عمر الطبری،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بالآثار، أبو محمّد علی بن أحمد بن سعید بن حزم الأندلسی،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المعانی، سعد الدین مسعود بن عمر بن عبد اللّه التفتازانی الهروی الشافعی الخراسانی، مکتبة مصطفوی،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 فی أحکام الشریعة، العلّامة الحلّی الحسن بن یوسف بن علی بن المطهّر، مکتبة نینوی الحدیثة، طهران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 فی شرح شرائع الإسلام، السیّد محمّد بن علی الموسوی العاملی،</w:t>
      </w:r>
    </w:p>
    <w:p>
      <w:pPr>
        <w:pStyle w:val="BookText"/>
        <w:rPr/>
      </w:pPr>
      <w:r>
        <w:rPr>
          <w:rFonts w:ascii="IRNazanin" w:hAnsi="IRNazanin" w:eastAsia="IRNazanin"/>
          <w:color w:val="111111"/>
          <w:sz w:val="28"/>
          <w:sz w:val="28"/>
          <w:szCs w:val="28"/>
          <w:rtl w:val="true"/>
          <w:lang w:bidi="fa-IR"/>
        </w:rPr>
        <w:t xml:space="preserve">مؤسسة آل البیت علیهم السّلام،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العلّامة المجلسی محمّد باقر بن محمّد تقی، دار الکتب الإسلامیة، 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الأفهام إلی تنقیح شرائع الإسلام، الشهید الثانی زین الدین علی بن أحمد العاملی، دار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الحاج المیرزا حسین النوری مؤسسة آل البیت علیهم 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المستصفی من علم الاصول، أبو حامد محمّد بن محمّد الغزالی، دار الذخائر،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ابن إدریس الحلّی أبو عبد اللّه محمّد بن منصور بن أحمد، مدرسة الإمام المهدی علیه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الوثقی، السیّد محسن الطباطبائی الحکیم، مؤسسة إسماعیلیان،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فی أحکام الشریعة، أحمد بن محمّد مهدی النراقی، مکتبة آیة اللّه المرعشی،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مرتضی البروجردی، المطبعة العلمیة،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تحریر الوسیلة، للمؤلّف قدّس سرّه السیّد مصطفی الخمینی، مؤسسة تنظیم و نشر آثار الإمام الخمینی قدّس سرّه،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أحمد بن محمّد بن حنبل، دار الفکر، بیروت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المشارح و المطارحات، ضمن مجموعة مصنّفات شیخ الإشراق، مؤسسة مطالعات و تحقیقات فرهنگی،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 فی شرح الدروس، حسین بن جمال الدین محمّد الخوانساری،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صدر المتألهین محمّد بن إبراهیم الشیرازی، مکتبة طهوری،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 سرور الواعظ الحسینی البهسودی، مکتبة الداوری،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التوحیدی، انتشارات وجدانی،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 الشیخ آقا رضا بن محمّد هادی الهمدانی،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فی غریب الشرح الکبیر، أحمد بن محمّد بن علی المقری الفیّومی، دار الکتب العلمیة،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الهدایة إلی الخلافة و الولایة، الإمام الخمینی قدّس سرّه، مؤسسة تنظیم و نشر آثار الإمام الخمینی قدّس سرّه،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أبو القاسم الکلانتر،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العالیة من العلم الإلهی، فخر الدین الرازی،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المطوّل فی شرح تلخیص المفتاح، سعد الدین التفتازانی مسعود بن عمر بن عبد اللّه، مکتبة آیة اللّه المرعشی،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الاصول، المحقق الحلّی جعفر بن الحسن بن یحیی بن سعید الهذلی، مؤسسة آل البیت علیهم السّلام،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و ملاذ المجتهدین، الحسن بن زین الدین العاملی،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الشیخ الصدوق محمّد بن علی بن الحسین بن بابویه القمّی، مؤسسة النشر الإسلامی،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المحقق الحلّی جعفر بن الحسن بن یحیی بن سعید الهذلی، مؤسسة سیّد الشهداء علیه السّلام،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رضا الخلخالی،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فی اصول الفقه، أبو الحسین محمّد بن علی بن الطیّب البصری المعتزلی، دار الکتب العلمیة،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السیّد أبو القاسم الخوئی، منشورات مدینة العلم،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عن کتب الأعاریب، ابن هشام أبو محمّد عبد اللّه بن یوسف الأنصاری، المکتبة العلمیة الإسلامیة، طهران،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عبد اللّه بن أحمد بن محمّد بن قدامة،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الاصول، السیّد محمّد الطباطبائی،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 یوسف بن ابی بکر محمّد بن علی السکاکی،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 فی شرح قواعد العلّامة، السیّد محمّد جواد الحسینی العاملی، مؤسسة آل البیت علیهم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الراغب الأصفهانی أبو القاسم الحسین بن محمّد، المکتبة المرتضویة،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 و نفائس الأسرار فی أحکام النبی المختار و عترته الأطهار علیهم السّلام، الشیخ أسد اللّه الدزفولی التستری، مؤسسة آل البیت علیهم السّلام، قم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الاصول، الشیخ ضیاء الدین العراقی، الجزء الأوّل، مؤسسة مجمع الفکر</w:t>
      </w:r>
    </w:p>
    <w:p>
      <w:pPr>
        <w:pStyle w:val="BookText"/>
        <w:rPr/>
      </w:pPr>
      <w:r>
        <w:rPr>
          <w:rFonts w:ascii="IRNazanin" w:hAnsi="IRNazanin" w:eastAsia="IRNazanin"/>
          <w:color w:val="111111"/>
          <w:sz w:val="28"/>
          <w:sz w:val="28"/>
          <w:szCs w:val="28"/>
          <w:rtl w:val="true"/>
          <w:lang w:bidi="fa-IR"/>
        </w:rPr>
        <w:t xml:space="preserve">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الجزء الثانی، مکتبة بوذرجمهری، 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مقاییس اللّغة، ابو الحسین أحمد بن فارس بن زکریا، مکتب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الشیخ الصدوق محمّد بن علیّ بن الحسین بن بابویه القمی، مؤسسة الإمام الهادی علیه السّلام،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الشیخ الأعظم مرتضی بن محمّد أمین الأنصاری، الطبعة الحجریة، 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المحرّمة، الإمام الخمینی قدّس سرّه، مؤسسة تنظیم و نشر آثار الإمام الخمینی قدّس سرّه،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أبو الفتح محمّد بن عبد الکریم بن أبی بکر أحمد الشهرستانی، دار صعب،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محمّد بن علی بن شهر آشوب السرویّ المازندرانی، انتشارات العلّامة،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الأحکام و الاصول، أحمد بن محمّد مهدی أبی ذر النراقی،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البدخشی، دار 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إلی علم الاصول، الإمام الخمینی قدّس سرّه، مؤسسة تنظیم و نشر آثار الإمام الخمینی قدّس سرّه،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فی الأحادیث الصحاح و الحسان، الحسن بن زین الدین العاملی الجباعی، مؤسسة النشر الإسلامی،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الاصول، السیّد حسن الموسوی البجنوردی، مطبعة النجف،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فی تحقیق المذهب، العلّامة الحلّی الحسن بن یوسف بن علی بن المطهّر الحلّی،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أرسطو، تحقیق عبد الرحمن البدوی، وکالة المطبوعات الکویت، دار القلم،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السیّد أبو القاسم الموسوی الخوئی، مطبعة مهر،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الطالب فی حاشیة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موسی النجفی الخوانساری،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الأحکام فی بیان الحلال و الحرام، السیّد عبد الأعلی الموسوی السبزواری، مؤسسة المنار،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السیّد محمّد حسین الطباطبائی، مؤسسة إسماعیلیان،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من الغرق فی بحر الضلالات، أبو علی الحسین بن عبد اللّه بن سینا،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المحقّق الطوسی نصیر الدین محمّد بن محمّد بن الحسن،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أبو جعفر أحمد بن محمّد بن عیسی الأشعری القمّی، مدرسة الإمام المهدی علیه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الإحکام فی معرفة الأحکام، العلّامة الحلّی الحسن بن یوسف بن علی بن المطهّر الحلّی، 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 المنتظری، نشر</w:t>
      </w:r>
    </w:p>
    <w:p>
      <w:pPr>
        <w:pStyle w:val="BookText"/>
        <w:rPr/>
      </w:pPr>
      <w:r>
        <w:rPr>
          <w:rFonts w:ascii="Amiri" w:hAnsi="Amiri" w:eastAsia="Amiri" w:cs="Amiri"/>
          <w:color w:val="111111"/>
          <w:sz w:val="28"/>
          <w:sz w:val="28"/>
          <w:szCs w:val="28"/>
          <w:rtl w:val="true"/>
          <w:lang w:bidi="ar-SA"/>
        </w:rPr>
        <w:t xml:space="preserve">تفکّر،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تقی البروجردی، مؤسسة النشر الإسلامی،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المحقّق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الموحدی الفاضل،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الحکمة، السیّد محمّد حسین الطباطبائی، مؤسسة النشر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فی شرح الکفایة، الشیخ محمّد حسین الأصفهانی، مؤسسة آل البیت علیهم السّلام،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الدرایة فی شرح الوجیزة، السیّد حسن الصدر، نشر مشعر،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السؤل، جمال الدین عبد الرحیم الأسنوی، دار 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النهایة فی شرح الکفایة، المیرزا علی الإیروانی، مکتب الإعلام الإسلامی،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الوصول، العلّامة الحلّی الحسن بن یوسف بن المطهّر الحلّی، 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ابن الأثیر المبارک بن محمّد الجزری، 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مجرّد الفقه و الفتاوی، الشیخ الطوسی محمّد بن الحسن بن علی الطوسی، انتشارات قدس محمّدی، قم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الشریف الرضی محمّد بن الحسین بن موسی، دار الهجرة،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الفیض الکاشانی محمّد بن الشاه مرتضی، المکتبة الإسلامیة،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فی اصول الفقه، الفاضل التونی عبد اللّه بن محمّد البشروی الخراسانی، مجمع الفکر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بن علی، مؤسسة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الأذهان، أبو المجد محمّد رضا النجفی الأصفهانی، مؤسسة آل البیت علیهم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 فی شرح معالم الدین، محمّد تقی الأصفهانی، مؤسسة آل البیت علیهم السّلام، الطبعة الحجریة، قم</w:t>
      </w:r>
      <w:r>
        <w:rPr>
          <w:rFonts w:eastAsia="IRNazanin" w:cs="IRNazanin"/>
          <w:color w:val="111111"/>
          <w:sz w:val="28"/>
          <w:szCs w:val="28"/>
          <w:rtl w:val="true"/>
          <w:lang w:bidi="fa-IR"/>
        </w:rPr>
        <w:t>.</w:t>
      </w:r>
      <w:bookmarkStart w:id="1048" w:name="pg13177_118255"/>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9" w:name="__RefHeading___Toc764330_3244359995"/>
      <w:bookmarkStart w:id="1050" w:name="_Toc390"/>
      <w:bookmarkEnd w:id="1048"/>
      <w:bookmarkEnd w:id="1049"/>
      <w:r>
        <w:rPr>
          <w:rtl w:val="true"/>
        </w:rPr>
        <w:t>فهرس المحتویات</w:t>
      </w:r>
      <w:bookmarkEnd w:id="1050"/>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الأقلّ و الأکثر مقدّمة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فیها امور 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هذه المسألة و مسائل الأسباب و المحصّلات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الأقلّ و الأکثر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التحریمیّة من الأقلّ و الأکثر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المثال لهذه الشبهة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الدوران بین المطلق و المقیّد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بقی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یتوجّه إلی المحققین الآخند و النائینی و العراقی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الأقلّ و الأکثر الاستقلالیّین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الأقلّ و الأکثر الارتباطیّین من المرکّبات الخارجیّة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الوجوه المستند إلیها لتقریب الاشتغال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تذییل 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الاشتغال فی الارتباطیّ من المرکبات الخارجیة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قصور البراءة العقلائیّة فی المقام </w:t>
      </w:r>
      <w:r>
        <w:rPr>
          <w:rFonts w:eastAsia="IRNazanin" w:cs="IRNazanin"/>
          <w:color w:val="111111"/>
          <w:sz w:val="28"/>
          <w:szCs w:val="28"/>
          <w:lang w:bidi="fa-IR"/>
        </w:rPr>
        <w:t>40</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تردّد الأمر بین الارتباطی و الاستقلالی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منع جریان البراءة الشرعیّة عن الأکثر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جریان البراءتین العقلیّة و الشرعیّة هنا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نقل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کلام الشیخ الرئیس فی ردّ الرجل الهمدانی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تتمیم 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المطلق و المقیّد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حکم الدوران بین الإطلاق و التقیید العنوانیّین و التطبیقیّین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موارد الشکّ فی مانعیّة شی‌ء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الشکّ فی السقوط التی یکون منشأها الشکّ فی الثبوت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الأسباب و المحصّلات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بطلان البحث لخروج المسبب عن الاختیار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تحقیق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انحصار السبب بالعقلی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تکمیل و 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تقید المسبّب بالسبب الخاص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اختیار الاشتغال عند الشکّ فی المحصل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ما لا تصل إلیه العقول من الأسباب عند الشکّ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الموضوعیّة للأقلّ و الأکثر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بسط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سرّ عدم التمسّک بأدلّة الحلّ و البراءة فی المقام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بقی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متعلق الأمر أو النهی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 الأجزاء الخارجیّة و التحلیلیّة هنا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افتراض السید المجدد للشرط العدمی علی نعت العموم الاصولی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الشبهة الموضوعیة للأقل و الأکثر علی ثلاثة وجوه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الموضوعیّة للمانع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قاطعیّة شی‌ء لشبهة حکمیّة، أو موضوعیّة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بقی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القاطعیة بالنسبة إلی المرکّبات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تکمیل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القاطعیة للهیئة الاتصالیة و لعنوان العبادة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اعتبار القاطع و المانع بالنسبة إلی المرکّب غیر العبادی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مقتضی الأصل فی الشبهة الحکمیة للقاطع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مقتضی الأصل فی الهیئة الاتصالیّة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مقتضی الأصل فی الشبهة الموضوعیّة للقاطع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تنبیهات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الإخلال بأجزاء المرکّب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مقتضی القواعد الأوّلیّة الثبوتیة فی صورة الإخلال بالمرکّب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صحّة المرکّب مع الإخلال بالجزء عمدا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تحریر محطّ النزاع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امتناع خطاب الناسی و الغافل و إمکانه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خطاب الغافل بناء علی شخصیة الخطابات الشرعیة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حول أصالة الرکنیّة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إهمال دلیل الجزء و الشرط فی الأسباب و المسبّبات و العقود و الإیقاعات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العجز عن الجزء و الشرط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وجه عدم التمسّک بالإطلاق عند العجز عن الجزء و دفعه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رکنیة الجزء القربی و لو مع إهمال دلیله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الإخلال بإحدی المرکّبات علی نحو الزیادة العمدیّة و السهویّة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تصویر ذلک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المرکّب المشتمل علی الزیادة حقیقة کانت، أو عرفیّة </w:t>
      </w:r>
      <w:r>
        <w:rPr>
          <w:rFonts w:eastAsia="IRNazanin" w:cs="IRNazanin"/>
          <w:color w:val="111111"/>
          <w:sz w:val="28"/>
          <w:szCs w:val="28"/>
          <w:lang w:bidi="fa-IR"/>
        </w:rPr>
        <w:t>120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وجوه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القاعدة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الزیادة المحرّمة تشریعا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إخلال الزیادة بالهیئة الاتصالی و التوالیّ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إخلال الزیادة الصوریّة بالتوالی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هو محط الکلام فی الزیادة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المرکّب مع نیّة الانبعاث عن الامر المتعلق بالطبیعة المزید فیها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أجنبیة البحث عن الزیادة فی الصلاة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الفرق بین سجدة التلاوة و إقحام الصلاة فی الصلاة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خاتمة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استصحاب الصحّة و استصحاب الهیئة الاتصالیّة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محلّ الکلام فی استصحاب الصحة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حقیقة الصحّة و الفساد و کیفیة اتّصاف المرکّب بهما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التحقیق فی استصحاب الصحّة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استصحاب الهیئة الاتصالیّة عند الشک فی حصول القاطع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مرجعیة الاشتغال مع عدم جریان الاستصحاب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الاضطرار إلی إیجاد المانع و القاطع و ترک الجزء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دعوی البراءة عن وجوب المرکّب لتعارض الإطلاقین و دفعها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تأیید لوجوب الإتیان بالمرکّب مع الجزء و تحمل الاضطرار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مقتضی القواعد الثانویة الإثباتیّة فی صورة الإخلال بالمرکّب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مقتضی الاصول العملیّة فی صورة نسیان جزء المرکّب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التمسّک بحدیث الرفع لنفی جزئیّة المنسیّ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توهّم عدم جریان الاستصحاب فی المقام و دفعه </w:t>
      </w:r>
      <w:r>
        <w:rPr>
          <w:rFonts w:eastAsia="IRNazanin" w:cs="IRNazanin"/>
          <w:color w:val="111111"/>
          <w:sz w:val="28"/>
          <w:szCs w:val="28"/>
          <w:lang w:bidi="fa-IR"/>
        </w:rPr>
        <w:t>147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حکم نسیان الجزء و الجزئیّة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 نسیان الجزء و الجزئیّة فی الوقت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خاتمة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نسیان الجزء بالنسبة إلی غیر المرکّبات العبادیّة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الشکّ فی أنّ رفع نسیان الجزء واقعی أو ظاهری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نسیان المانعیة و القاطعیة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الزیادة فی المرکّب نسیانا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فی صورة العجز العقلی عن إتیان الجزء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استفادة رفع ما لا یقدرون من حدیث الرفع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تتمّة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تقدم البراءة عن أصل وجوب الطبیعة علی الاستصحاب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القواعد الثانویّة فیما لو عجز عن بعض المأمور به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حول التمسّک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أمرتکم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التعرض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أمرتکم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ابتناء المسألة علی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التعرض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التعرض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یدرک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دلالة الأحادیث الثلاثة علی وجوب الباقی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مقتضی القواعد الأولیة و الثانویة بالنسبة إلی وجوب الباقی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مقتضی القواعد الأوّلیة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مقتضی القواعد الثانویة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التردّد بین کون الشی‌ء جزء أو شرطا، و مانعا أو قاطعا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الاحتیاط و البراءات الثلاث العقلیّة، و العقلائیّة، و الشرعیّة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الاحتیاط </w:t>
      </w:r>
      <w:r>
        <w:rPr>
          <w:rFonts w:eastAsia="IRNazanin" w:cs="IRNazanin"/>
          <w:color w:val="111111"/>
          <w:sz w:val="28"/>
          <w:szCs w:val="28"/>
          <w:lang w:bidi="fa-IR"/>
        </w:rPr>
        <w:t>195</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حسن الاحتیاط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جواز الاحتیاط علی الإطلاق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الاحتیاط فی الشبهات البدویّة التوصلیة و التعبدیّة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عدم إمکان الاحتیاط فی العبادات و ما فیه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استواء الاحتیاط و ترکه بلحاظ العقل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استلزام الاحتیاط للتکرار فی الشبهات البدویة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الاحتیاط مع عدم التمکن من حلّ العلم الإجمالی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الاحتیاط فی مورد العلم الإجمالی مع التمکّن من حلّه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عدم اعتبار قصد الوجه بناء علی الاحتیاط فی الأقل و الأکثر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استحالة قصد الوجه و التمییز فی موارد الانحلال بالحجّة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المراتب الأربع للامتثال و الطاعة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بطلان تکرار العبادة مع إمکان حلّ العلم الإجمالی بسهولة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توهّم دوران الأمر بین التعیین و التخییر عند التمکن من حلّ العلم و دفعه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بقاء موضوع الاحتیاط عند الانحلال الحکمی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شرط الاحتیاط فی النواهی التعبدیة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الاحتیاط قبل الفحص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المناقشة الصغرویة فی الاحتیاط حتّی فی الشبهات البدویة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 البراءة العقلیّة و النقلیّة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ترک الفحص لیس ظلما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مشکلة عدم إدراک العقل وجوب الفحص و التفقّه و جوابها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وجوب الفحص فی بعض الشبهات الموضوعیة </w:t>
      </w:r>
      <w:r>
        <w:rPr>
          <w:rFonts w:eastAsia="IRNazanin" w:cs="IRNazanin"/>
          <w:color w:val="111111"/>
          <w:sz w:val="28"/>
          <w:szCs w:val="28"/>
          <w:lang w:bidi="fa-IR"/>
        </w:rPr>
        <w:t>224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عدم جریان البراءة الشرعیة قبل الفحص مطلقا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مختار الوالد المحقق من عدم معذوریة الغافل التارک للفحص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ختام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استحقاق العقاب علی ترک الفحص و التعلم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تحقیق و تشحیذ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الحجة هی احتمال التکلیف أو نفس الطریق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توجیه الفقهاء العظام إلی أمر هام فی اتخاذهم الحجج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خاتمة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مشکلة صحّة عمل الجاهل فی موارد الجهر و القصر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تکمیل منّا لحلّ المشکلة السابقة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وجه آخر لحلّ المشکلة السابقة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تعدّد عقاب الجاهل التارک لصلاته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ختام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شرطی الفاضل التونی لجریان البراءة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نفی الضرر تحقیق حول سند القاعدة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تنبیه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الإشکال علی اعتبار المتن من ناحیة اختلافه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تنبیه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إجمال القاعدة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تنبیه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ذیل القاعدة و صدورها مرّات أو مرّة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تنبیه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الوجوه التی یمکن الاعتماد علیها لرفع الإجمال المذکور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آخر لوجه الإجمال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تنبیه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حلّ مشکلة أبدعناها علی القاعدة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تحدید العمومات و الإطلاقات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بقی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وجه آخر لتقدیم ضرر الأنصاری علی ضرر سمرة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تنبیه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إبطال ما أفاده الأعلام حول القاعدة المذکورة </w:t>
      </w:r>
      <w:r>
        <w:rPr>
          <w:rFonts w:eastAsia="IRNazanin" w:cs="IRNazanin"/>
          <w:color w:val="111111"/>
          <w:sz w:val="28"/>
          <w:szCs w:val="28"/>
          <w:lang w:bidi="fa-IR"/>
        </w:rPr>
        <w:t>276</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إیراد علی حلّنا لمشکلة الإجمال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إفادة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وجوه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یلزم التکرار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الأدلة الأوّلیّة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تأیید ثان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حول بیان النفی الادعائی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الفائدة الخاصة به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نفی الضرر عن الأنصاری بإدخاله علی سمرة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السلطنة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تزاحم الضررین أو الضرر مع الحرج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التزاحم بین إضرار الغیر و تحمّل الحرج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مرجعیة قاعدة السلطنة فی المقام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حکم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نفی الحرج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تزاحم الضررین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تحمّل الضرر فی البیع و الهبة و نحوهما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الأحکام العدمیة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بطلان الوضوء الضرری و نحوه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القاعدة مع موارد تحمل الضرر الموجب للحرج و العجز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المقصد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حول تعریف الاستصحاب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الاستصحاب </w:t>
      </w:r>
      <w:r>
        <w:rPr>
          <w:rFonts w:eastAsia="IRNazanin" w:cs="IRNazanin"/>
          <w:color w:val="111111"/>
          <w:sz w:val="28"/>
          <w:szCs w:val="28"/>
          <w:lang w:bidi="fa-IR"/>
        </w:rPr>
        <w:t>314</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الاستصحاب من المسائل الاصولیة أو الفقهیة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بحث استصحاب الأحکام العقلیة و نحوه هنا فی غیر محله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الامور المستدل بها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أو بناء العقلاء و ارتکازهم، أو الإجماع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الانسداد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الخاصّة و الروایات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المضمرة الأولی لزرارة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حجّیتها لأجل الإضمار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دلالتها علی حجّیة الاستصحاب فی الجملة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إیرادین علی المضمرة مع دفعهما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تذنیب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القرائن الدالّة علی أماریة الاستصحاب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المضمرة علی حجّیة الاستصحاب مطلقا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المضمرة الثانیة لزرارة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حجّیتها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عرض لوجوه رفع المناقضة المتوهّمة فی المضمرة الثانیة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إذا کان الشرط إحراز الطهارة الأعمّ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إجمال المضمرة موجب لعدم تعارضها مع الأخبار الاخری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الاستدلال بها، و الفقرات الصالحة له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خروج مورد الروایة عن التعلیل المذکور فیها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النسخة الواردة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ذاک؟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دلالة الفقرة الثانیة علی عدم تنجیز العلم الإجمالی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إشکال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تعذیر الاستصحاب دون تنجیزه </w:t>
      </w:r>
      <w:r>
        <w:rPr>
          <w:rFonts w:eastAsia="IRNazanin" w:cs="IRNazanin"/>
          <w:color w:val="111111"/>
          <w:sz w:val="28"/>
          <w:szCs w:val="28"/>
          <w:lang w:bidi="fa-IR"/>
        </w:rPr>
        <w:t>363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الثالثة لزرارة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مقتضی القاعدة فی مورد الشکّ فی الرکعات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الروایة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حجّیة هذه الروایة لو کانت تقیّة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یرتبط بما نحن فیه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ینقض الیقین بالشکّ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بالمعتبرة الثالثة لزرارة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عدم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المدّعی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إسحاق بن عمّار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الروایة للزمان و الزمانی و اختصاصها بالاستصحاب و عدمه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استفادة اختصاص الروایة بالاستصحاب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علی بن محمّد القاسانی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رفع الإجمال عن المکاتبة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التذنیب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الأخبار التی استدلّ بها جلّ الأعلام دون کلّهم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ضعف التمسّک بالأخبار السابقة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التذنیب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الأخبار التی لا یتمسّک بها إلّا الآحاد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عبد اللّه بن سنان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الاخر الکثیرة المنتشرة فی الأبواب المختلفة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قبل الخوض فی التنبیهات لا بدّ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تحکیم إطلاق أدلة الاستصحاب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أرکان الاستصحاب </w:t>
      </w:r>
      <w:r>
        <w:rPr>
          <w:rFonts w:eastAsia="IRNazanin" w:cs="IRNazanin"/>
          <w:color w:val="111111"/>
          <w:sz w:val="28"/>
          <w:szCs w:val="28"/>
          <w:lang w:bidi="fa-IR"/>
        </w:rPr>
        <w:t>404</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المقتضی و المانع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مناشئ الشکّ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الاستصحاب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التنبیهات 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استصحاب الأحکام المستکشفة بالأحکام العقلیة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اختصاص حجّیة الاستصحاب بالشکّ فی الرافع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التمسّک بالارتکاز العقلائیّ علی التفصیل المزبور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حجّیة الاستصحاب فی الشکّ فی المقتضی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تصویر الشکّ فی الرافع و المقتضی فی الشبهات الموضوعیة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اختیار العموم حتّی مع اختصاص الحجّیة بالرافع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التفصیل بین وجود الرافع و رافعیّة الموجود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التفصیل بین الأحکام التکلیفیّة و الوضعیّة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الأحکام الوضعیّة و بیان ماهیّتها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معانی بعض الألفاظ المرتبطة بالمقام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تقسیم الجعل إلی البسیط و المرکّب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توقف الاعتبارات علی الاحتیاج العقلائی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حقیقة الأحکام الوضعیّة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أقسام الاعتباریات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مسببات العقود هی لوازم ذات السبب و الماهیة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التفصیل بین استصحاب الأحکام و الموضوعات </w:t>
      </w:r>
      <w:r>
        <w:rPr>
          <w:rFonts w:eastAsia="IRNazanin" w:cs="IRNazanin"/>
          <w:color w:val="111111"/>
          <w:sz w:val="28"/>
          <w:szCs w:val="28"/>
          <w:lang w:bidi="fa-IR"/>
        </w:rPr>
        <w:t>436</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اعتبار فعلیّة الشکّ و الیقین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الشکّ حدوثا و بقاء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جریان الاستصحاب فی مؤدی الاصول و الأمارات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جریان الاستصحاب فی مؤدّی الاصول و الأمارات و حلّها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استصحاب الکلّی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استصحاب الفرد و کفایته عن الکلّی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اعتراضات و أجوبة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العبائیّة و حلها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بقیت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إطلاق جریان القسم الثانی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جولة حول الأمثلة کی لا یقع الطلبة فی الاشتباه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تأیید لمسلکنا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الفرض الثانی من القسم الثالث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الفرض الثالث من القسم الأخیر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استصحاب عدم التذکیة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و هنا أمر ثالث</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بقی أمر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أنحاء الشبهة فی المقام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 إلیک خامس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حول موضوع المحلّل و المحرّم و الطاهر و النجس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ما یدلّ علی التذکیة و القابلیة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حکم الشبهة الحکمیة للتذکیة </w:t>
      </w:r>
      <w:r>
        <w:rPr>
          <w:rFonts w:eastAsia="IRNazanin" w:cs="IRNazanin"/>
          <w:color w:val="111111"/>
          <w:sz w:val="28"/>
          <w:szCs w:val="28"/>
          <w:lang w:bidi="fa-IR"/>
        </w:rPr>
        <w:t>493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الشبهة الموضوعیّة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تعنون العامّ أو المطلق بضدّ الخاصّ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استصحاب الکلّی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استصحاب الفرد المردّد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استصحاب المتصرّمات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جهات البحث و أنحاء الشکوک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مشاکل استصحاب نفس الزمان و الوقت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توضیح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 مشکلة استصحاب الزمان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إبداع استصحاب یسمّی بالمنعکس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تخصیص البحث بالامور المتصرّمة بما هی متصرّمة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المتصرّمات المنطبقة علی الزمان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أقسام المتصرّمات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استصحاب عدم الزمان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شبهة مثبتیة الأصل الجاری فی المتصرّمات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معارضة الأصل الجاری فی المتصرّمات بغیره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أجوبة الأعلام عن شبهة المحقق النراقی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التحقیق فی الجواب عن شبهة المحقق النراقی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استصحاب أحکام الشرائع السابقة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التعلیقیّ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و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محطّ النزاع </w:t>
      </w:r>
      <w:r>
        <w:rPr>
          <w:rFonts w:eastAsia="IRNazanin" w:cs="IRNazanin"/>
          <w:color w:val="111111"/>
          <w:sz w:val="28"/>
          <w:szCs w:val="28"/>
          <w:lang w:bidi="fa-IR"/>
        </w:rPr>
        <w:t>540</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الاستصحاب حتّی مع إنکار المشروط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صور الوجوبات المشروطة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جریان الاستصحاب فی الشبهات المفهومیّة الموضوعیّة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منشأ الشکّ فی المقام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أنحاء التعلیقات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النزاع حتّی مع عدم تحقّق الشرط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الفعلی لا یصیر مشروطا و بالعکس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مشاکل الاستصحاب التعلیقی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التفصیل بین التعلیق الشرعیّ و غیره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تذنیب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التعلیقیّ دائما باستصحاب تنجیزیّ أو تعلیقیّ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مصادر التحقیق </w:t>
      </w:r>
      <w:r>
        <w:rPr>
          <w:rFonts w:eastAsia="IRNazanin" w:cs="IRNazanin"/>
          <w:color w:val="111111"/>
          <w:sz w:val="28"/>
          <w:szCs w:val="28"/>
          <w:lang w:bidi="fa-IR"/>
        </w:rPr>
        <w:t>557</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585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تحریرات فی الفقه، 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جعل البحث المذکور مسألة مستقلّة أجنبیّة عن بحث الأقلّ و الأکثر، کالأسباب و المحصّلات، کما یأتی تتمّة إن شاء اللّه تعالی منه قدّس سرّه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تحریرات فی الفقه،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کتاب الحج، الفصل الثالث،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من یصحّ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الهامش،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بعض الأفاضل إلی علماء مدینة السلام، ضمن رسائل الشیخ الرئیس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هذه المباحث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الفقه، 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رسالة الذهب المسکوک فی اللباس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المحقّق الحائری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تصل هذه الدورة من بحوثه الاصولیة إلی مباحث التعادل و الترجیح و لعلّه قدّس سرّه قرّر هذه المباحث فی المختصر النافع فی علم الاصول و هو مفقود أو فی رسالة مستقلّة لم تصل إلینا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للمؤلف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الواجبات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الخلل، المحقّق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الصلاة،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الخلل، المحقّق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تکبیرة الإحرام،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الاستحاضة،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الرجل إحدی یدیه علی الاخری فی الصلاة عمل، و لیس فی الصلاة عمل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الاستحاضة،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تکبیرة الإحرام،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الدرر و لا فی سائر مظانّه فی هذه العجالة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قضاء الصلوات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المجلّد الأوّل، لاحظ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الخلل، المحقّق الشیرازی، ذیل حاشیته علی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الصلاة،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العائدة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 فی مستدرک الوسائل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المصنّف قدّس سرّه علی خاتمة المستدرک مفقودة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درر الفوائد، المحقّق الحائری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من یصح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المؤلّف قدّس سرّه بذلک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العروة الوثقی، کتاب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فی التقلید،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ما 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الاجتهاد و التقلید الاستدلالیة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فصل فی القراءة،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فصل فی أحکام صلاة المسافر،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فی الخلل الواقع فی الصلاة،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الشفعة،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کتاب الصلح،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نجزم بمراده قدّس سرّه من بعض أصدقائه، فتأمّل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البهجة المرضیة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تعلیقة الوحید البهبهانی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شرح الکافیة، الشریف الرضی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 ضمن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المقصد الأوّل، الجهة الاولی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کتاب الخلع و المبارات،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کتاب الوصایا،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 أحکامه،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ذکره فی فوائده الرجالیة و هی مفقودة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العبارة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تکبیرة الإحرام،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أبواب الرکوع،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أبواب أحکام المساجد،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الشفعة،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تمسّک به الإمام الجواد علیه السّلام،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کتاب الحدود، أبواب حدّ السرقة،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 ضمن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التی کتبها قدّس سرّه فی بورسا مفقودة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مکاتیب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 ضمن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المحقّق الأصفهانی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کتاب الحدود و التعزیرات، أبواب حدّ القذف،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عند شروطهم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لکن لم نعثر علیه بعینه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لا ضرر، ضمن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رسالة فی قاعدة نفی الضرر، ضمن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 ضمن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 ضمن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 ضمن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الرسائل، الإمام الخمینی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مشیخة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یصلّی فی جلود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البیع، الإمام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الباب السادس، الأمر الرابع عشر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دیات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تعلیقة علی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تحریر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یأتی فی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کتاب الصلاة من تحریرات فی الفقه مفقودة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فتح العزیز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الشکّ فی الرکعات،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ما علّق علیه الأعلام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الأیمان، أبواب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 المؤلّف قدّس سرّه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 فوائده الرجالیة و هی مفقودة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لا تعاد،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الفقه، 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الطهارة، الإمام الخمینی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عبد اللّه بن سنان المرویّة فی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کتاب الشهادات،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هذه المباحث</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هذه المباحث</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أنّ الأجل لم یمهله لإنجاز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تعلیقة علی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البحث فی قواعده الحکمیّة و هی مفقودة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لاحظ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الأخیر،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الرسالة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حاشیة کفایة الاصول، المحقّق البروجردی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بعض الأفاضل إلی علماء مدینة السلام، ضمن رسائل الشیخ الرئیس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حاشیة المکاسب، السیّد الیزدی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النسخة الموجودة لدینا نحو سطر من العبارة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النسخة الموجودة لدینا نحو سطر من العبارة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الرسائل، الإمام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حکمة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المضاف،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أبواب الأسآر،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الفقه، 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بحر الفوائد،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حاشیة فرائد الاصول، المحقّق الهمدانی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کتاب الصید و الذبائح، أبواب الصید،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الصید و الذبائح أبواب الذبائح،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اللفظ، و لعلّه إشارة إلی ما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الصید و الذبائح، أبواب الذبائح،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الإجارة من تحریرات فی الفقه،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حاشیة فرائد الاصول، المحقّق الهمدانی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منتهی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کتاب البیع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کفایة الاصول، المحقّق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لاحظ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لم یصل الکتاب إلی هذه المباحث</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 الکتاب و للأسف إلی هذه المباحث</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الماء قدر کرّ لم ینجسه شی‌ء</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تحریرات فی الفقه، 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 الکتاب إلی الأمر الثامن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الفرائد،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56280</Words>
  <Characters>243035</Characters>
  <CharactersWithSpaces>297283</CharactersWithSpaces>
  <Paragraphs>2033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2026-08-24T01:18:15Z</dcterms:created>
  <dc:creator>ghaemiyeh.com</dc:creator>
  <dc:description/>
  <dc:language>en-US</dc:language>
  <cp:lastModifiedBy/>
  <dcterms:modified xsi:type="dcterms:W3CDTF">2026-08-24T04:48:51Z</dcterms:modified>
  <cp:revision>1</cp:revision>
  <dc:subject/>
  <dc:title>تحریرات فی الاصول جلد 8</dc:title>
</cp:coreProperties>
</file>

<file path=docProps/custom.xml><?xml version="1.0" encoding="utf-8"?>
<Properties xmlns="http://schemas.openxmlformats.org/officeDocument/2006/custom-properties" xmlns:vt="http://schemas.openxmlformats.org/officeDocument/2006/docPropsVTypes"/>
</file>