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طریق الوصول الی مهمات علم الاصول اصول الفقه باسلوب حدیث و آراء جدیدة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922_324435999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95924_324435999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95926_3244359995">
            <w:r>
              <w:rPr>
                <w:webHidden/>
                <w:rStyle w:val="IndexLink"/>
                <w:rtl w:val="true"/>
              </w:rPr>
              <w:t>کلام جوهری حول نظم الکتاب ومقاصده</w:t>
            </w:r>
            <w:r>
              <w:rPr>
                <w:rStyle w:val="IndexLink"/>
                <w:rtl w:val="true"/>
              </w:rPr>
              <w:tab/>
            </w:r>
            <w:r>
              <w:rPr>
                <w:rStyle w:val="IndexLink"/>
              </w:rPr>
              <w:t>11</w:t>
            </w:r>
          </w:hyperlink>
        </w:p>
        <w:p>
          <w:pPr>
            <w:pStyle w:val="Contents2"/>
            <w:tabs>
              <w:tab w:val="clear" w:pos="8743"/>
              <w:tab w:val="right" w:pos="9026" w:leader="dot"/>
            </w:tabs>
            <w:rPr/>
          </w:pPr>
          <w:hyperlink w:anchor="__RefHeading___Toc95928_3244359995">
            <w:r>
              <w:rPr>
                <w:webHidden/>
                <w:rStyle w:val="IndexLink"/>
                <w:rtl w:val="true"/>
              </w:rPr>
              <w:t>تقسیم المباحث الاصولیة و ترتیبها علی ما ینبغی</w:t>
            </w:r>
            <w:r>
              <w:rPr>
                <w:rStyle w:val="IndexLink"/>
                <w:rtl w:val="true"/>
              </w:rPr>
              <w:tab/>
            </w:r>
            <w:r>
              <w:rPr>
                <w:rStyle w:val="IndexLink"/>
              </w:rPr>
              <w:t>14</w:t>
            </w:r>
          </w:hyperlink>
        </w:p>
        <w:p>
          <w:pPr>
            <w:pStyle w:val="Contents2"/>
            <w:tabs>
              <w:tab w:val="clear" w:pos="8743"/>
              <w:tab w:val="right" w:pos="9026" w:leader="dot"/>
            </w:tabs>
            <w:rPr/>
          </w:pPr>
          <w:hyperlink w:anchor="__RefHeading___Toc95930_3244359995">
            <w:r>
              <w:rPr>
                <w:webHidden/>
                <w:rStyle w:val="IndexLink"/>
                <w:rtl w:val="true"/>
              </w:rPr>
              <w:t>المدخل</w:t>
            </w:r>
            <w:r>
              <w:rPr>
                <w:rStyle w:val="IndexLink"/>
                <w:rtl w:val="true"/>
              </w:rPr>
              <w:tab/>
            </w:r>
            <w:r>
              <w:rPr>
                <w:rStyle w:val="IndexLink"/>
              </w:rPr>
              <w:t>16</w:t>
            </w:r>
          </w:hyperlink>
        </w:p>
        <w:p>
          <w:pPr>
            <w:pStyle w:val="Contents3"/>
            <w:tabs>
              <w:tab w:val="clear" w:pos="8459"/>
              <w:tab w:val="right" w:pos="9026" w:leader="dot"/>
            </w:tabs>
            <w:rPr/>
          </w:pPr>
          <w:hyperlink w:anchor="__RefHeading___Toc95932_3244359995">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95934_3244359995">
            <w:r>
              <w:rPr>
                <w:webHidden/>
                <w:rStyle w:val="IndexLink"/>
              </w:rPr>
              <w:t>1</w:t>
            </w:r>
            <w:r>
              <w:rPr>
                <w:rStyle w:val="IndexLink"/>
                <w:rtl w:val="true"/>
              </w:rPr>
              <w:t xml:space="preserve">. </w:t>
            </w:r>
            <w:r>
              <w:rPr>
                <w:rStyle w:val="IndexLink"/>
                <w:rtl w:val="true"/>
              </w:rPr>
              <w:t>تعریف علم الاصول وبیان موضوعه وفائدته</w:t>
            </w:r>
            <w:r>
              <w:rPr>
                <w:rStyle w:val="IndexLink"/>
                <w:rtl w:val="true"/>
              </w:rPr>
              <w:tab/>
            </w:r>
            <w:r>
              <w:rPr>
                <w:rStyle w:val="IndexLink"/>
              </w:rPr>
              <w:t>17</w:t>
            </w:r>
          </w:hyperlink>
        </w:p>
        <w:p>
          <w:pPr>
            <w:pStyle w:val="Contents3"/>
            <w:tabs>
              <w:tab w:val="clear" w:pos="8459"/>
              <w:tab w:val="right" w:pos="9026" w:leader="dot"/>
            </w:tabs>
            <w:rPr/>
          </w:pPr>
          <w:hyperlink w:anchor="__RefHeading___Toc95936_3244359995">
            <w:r>
              <w:rPr>
                <w:webHidden/>
                <w:rStyle w:val="IndexLink"/>
              </w:rPr>
              <w:t>2</w:t>
            </w:r>
            <w:r>
              <w:rPr>
                <w:rStyle w:val="IndexLink"/>
                <w:rtl w:val="true"/>
              </w:rPr>
              <w:t xml:space="preserve">. </w:t>
            </w:r>
            <w:r>
              <w:rPr>
                <w:rStyle w:val="IndexLink"/>
                <w:rtl w:val="true"/>
              </w:rPr>
              <w:t>معنی الحجّة وأقسامها</w:t>
            </w:r>
            <w:r>
              <w:rPr>
                <w:rStyle w:val="IndexLink"/>
                <w:rtl w:val="true"/>
              </w:rPr>
              <w:tab/>
            </w:r>
            <w:r>
              <w:rPr>
                <w:rStyle w:val="IndexLink"/>
              </w:rPr>
              <w:t>18</w:t>
            </w:r>
          </w:hyperlink>
        </w:p>
        <w:p>
          <w:pPr>
            <w:pStyle w:val="Contents3"/>
            <w:tabs>
              <w:tab w:val="clear" w:pos="8459"/>
              <w:tab w:val="right" w:pos="9026" w:leader="dot"/>
            </w:tabs>
            <w:rPr/>
          </w:pPr>
          <w:hyperlink w:anchor="__RefHeading___Toc95938_3244359995">
            <w:r>
              <w:rPr>
                <w:webHidden/>
                <w:rStyle w:val="IndexLink"/>
              </w:rPr>
              <w:t>3</w:t>
            </w:r>
            <w:r>
              <w:rPr>
                <w:rStyle w:val="IndexLink"/>
                <w:rtl w:val="true"/>
              </w:rPr>
              <w:t xml:space="preserve">. </w:t>
            </w:r>
            <w:r>
              <w:rPr>
                <w:rStyle w:val="IndexLink"/>
                <w:rtl w:val="true"/>
              </w:rPr>
              <w:t>حجّیة القطع</w:t>
            </w:r>
            <w:r>
              <w:rPr>
                <w:rStyle w:val="IndexLink"/>
                <w:rtl w:val="true"/>
              </w:rPr>
              <w:tab/>
            </w:r>
            <w:r>
              <w:rPr>
                <w:rStyle w:val="IndexLink"/>
              </w:rPr>
              <w:t>21</w:t>
            </w:r>
          </w:hyperlink>
        </w:p>
        <w:p>
          <w:pPr>
            <w:pStyle w:val="Contents3"/>
            <w:tabs>
              <w:tab w:val="clear" w:pos="8459"/>
              <w:tab w:val="right" w:pos="9026" w:leader="dot"/>
            </w:tabs>
            <w:rPr/>
          </w:pPr>
          <w:hyperlink w:anchor="__RefHeading___Toc95940_3244359995">
            <w:r>
              <w:rPr>
                <w:webHidden/>
                <w:rStyle w:val="IndexLink"/>
              </w:rPr>
              <w:t>4</w:t>
            </w:r>
            <w:r>
              <w:rPr>
                <w:rStyle w:val="IndexLink"/>
                <w:rtl w:val="true"/>
              </w:rPr>
              <w:t xml:space="preserve">. </w:t>
            </w:r>
            <w:r>
              <w:rPr>
                <w:rStyle w:val="IndexLink"/>
                <w:rtl w:val="true"/>
              </w:rPr>
              <w:t>حجّیة القطع الحاصل من المقدّمات العقلیّة</w:t>
            </w:r>
            <w:r>
              <w:rPr>
                <w:rStyle w:val="IndexLink"/>
                <w:rtl w:val="true"/>
              </w:rPr>
              <w:tab/>
            </w:r>
            <w:r>
              <w:rPr>
                <w:rStyle w:val="IndexLink"/>
              </w:rPr>
              <w:t>22</w:t>
            </w:r>
          </w:hyperlink>
        </w:p>
        <w:p>
          <w:pPr>
            <w:pStyle w:val="Contents4"/>
            <w:tabs>
              <w:tab w:val="clear" w:pos="8176"/>
              <w:tab w:val="right" w:pos="9026" w:leader="dot"/>
            </w:tabs>
            <w:rPr/>
          </w:pPr>
          <w:hyperlink w:anchor="__RefHeading___Toc95942_3244359995">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95944_3244359995">
            <w:r>
              <w:rPr>
                <w:webHidden/>
                <w:rStyle w:val="IndexLink"/>
                <w:rtl w:val="true"/>
              </w:rPr>
              <w:t>الجهة الاولی</w:t>
            </w:r>
            <w:r>
              <w:rPr>
                <w:rStyle w:val="IndexLink"/>
                <w:rtl w:val="true"/>
              </w:rPr>
              <w:t xml:space="preserve">: </w:t>
            </w:r>
            <w:r>
              <w:rPr>
                <w:rStyle w:val="IndexLink"/>
                <w:rtl w:val="true"/>
              </w:rPr>
              <w:t>دعوی عدم حصول القطع من المقدّمات العقلیّة</w:t>
            </w:r>
            <w:r>
              <w:rPr>
                <w:rStyle w:val="IndexLink"/>
                <w:rtl w:val="true"/>
              </w:rPr>
              <w:tab/>
            </w:r>
            <w:r>
              <w:rPr>
                <w:rStyle w:val="IndexLink"/>
              </w:rPr>
              <w:t>23</w:t>
            </w:r>
          </w:hyperlink>
        </w:p>
        <w:p>
          <w:pPr>
            <w:pStyle w:val="Contents4"/>
            <w:tabs>
              <w:tab w:val="clear" w:pos="8176"/>
              <w:tab w:val="right" w:pos="9026" w:leader="dot"/>
            </w:tabs>
            <w:rPr/>
          </w:pPr>
          <w:hyperlink w:anchor="__RefHeading___Toc95946_3244359995">
            <w:r>
              <w:rPr>
                <w:webHidden/>
                <w:rStyle w:val="IndexLink"/>
                <w:rtl w:val="true"/>
              </w:rPr>
              <w:t>الجهة الثانیة</w:t>
            </w:r>
            <w:r>
              <w:rPr>
                <w:rStyle w:val="IndexLink"/>
                <w:rtl w:val="true"/>
              </w:rPr>
              <w:t xml:space="preserve">: </w:t>
            </w:r>
            <w:r>
              <w:rPr>
                <w:rStyle w:val="IndexLink"/>
                <w:rtl w:val="true"/>
              </w:rPr>
              <w:t>عدم حجّیة القطع الحاصل من المقدّمات العقلیّة</w:t>
            </w:r>
            <w:r>
              <w:rPr>
                <w:rStyle w:val="IndexLink"/>
                <w:rtl w:val="true"/>
              </w:rPr>
              <w:tab/>
            </w:r>
            <w:r>
              <w:rPr>
                <w:rStyle w:val="IndexLink"/>
              </w:rPr>
              <w:t>24</w:t>
            </w:r>
          </w:hyperlink>
        </w:p>
        <w:p>
          <w:pPr>
            <w:pStyle w:val="Contents3"/>
            <w:tabs>
              <w:tab w:val="clear" w:pos="8459"/>
              <w:tab w:val="right" w:pos="9026" w:leader="dot"/>
            </w:tabs>
            <w:rPr/>
          </w:pPr>
          <w:hyperlink w:anchor="__RefHeading___Toc95948_3244359995">
            <w:r>
              <w:rPr>
                <w:webHidden/>
                <w:rStyle w:val="IndexLink"/>
              </w:rPr>
              <w:t>5</w:t>
            </w:r>
            <w:r>
              <w:rPr>
                <w:rStyle w:val="IndexLink"/>
                <w:rtl w:val="true"/>
              </w:rPr>
              <w:t xml:space="preserve">. </w:t>
            </w:r>
            <w:r>
              <w:rPr>
                <w:rStyle w:val="IndexLink"/>
                <w:rtl w:val="true"/>
              </w:rPr>
              <w:t>أقسام القطع</w:t>
            </w:r>
            <w:r>
              <w:rPr>
                <w:rStyle w:val="IndexLink"/>
                <w:rtl w:val="true"/>
              </w:rPr>
              <w:tab/>
            </w:r>
            <w:r>
              <w:rPr>
                <w:rStyle w:val="IndexLink"/>
              </w:rPr>
              <w:t>27</w:t>
            </w:r>
          </w:hyperlink>
        </w:p>
        <w:p>
          <w:pPr>
            <w:pStyle w:val="Contents3"/>
            <w:tabs>
              <w:tab w:val="clear" w:pos="8459"/>
              <w:tab w:val="right" w:pos="9026" w:leader="dot"/>
            </w:tabs>
            <w:rPr/>
          </w:pPr>
          <w:hyperlink w:anchor="__RefHeading___Toc95950_3244359995">
            <w:r>
              <w:rPr>
                <w:webHidden/>
                <w:rStyle w:val="IndexLink"/>
              </w:rPr>
              <w:t>6</w:t>
            </w:r>
            <w:r>
              <w:rPr>
                <w:rStyle w:val="IndexLink"/>
                <w:rtl w:val="true"/>
              </w:rPr>
              <w:t xml:space="preserve">. </w:t>
            </w:r>
            <w:r>
              <w:rPr>
                <w:rStyle w:val="IndexLink"/>
                <w:rtl w:val="true"/>
              </w:rPr>
              <w:t>أحکام القطع الطریقی والموضوعی</w:t>
            </w:r>
            <w:r>
              <w:rPr>
                <w:rStyle w:val="IndexLink"/>
                <w:rtl w:val="true"/>
              </w:rPr>
              <w:tab/>
            </w:r>
            <w:r>
              <w:rPr>
                <w:rStyle w:val="IndexLink"/>
              </w:rPr>
              <w:t>29</w:t>
            </w:r>
          </w:hyperlink>
        </w:p>
        <w:p>
          <w:pPr>
            <w:pStyle w:val="Contents3"/>
            <w:tabs>
              <w:tab w:val="clear" w:pos="8459"/>
              <w:tab w:val="right" w:pos="9026" w:leader="dot"/>
            </w:tabs>
            <w:rPr/>
          </w:pPr>
          <w:hyperlink w:anchor="__RefHeading___Toc95952_3244359995">
            <w:r>
              <w:rPr>
                <w:webHidden/>
                <w:rStyle w:val="IndexLink"/>
              </w:rPr>
              <w:t>7</w:t>
            </w:r>
            <w:r>
              <w:rPr>
                <w:rStyle w:val="IndexLink"/>
                <w:rtl w:val="true"/>
              </w:rPr>
              <w:t xml:space="preserve">. </w:t>
            </w:r>
            <w:r>
              <w:rPr>
                <w:rStyle w:val="IndexLink"/>
                <w:rtl w:val="true"/>
              </w:rPr>
              <w:t>مدی حجّیة العلم الإجمالی</w:t>
            </w:r>
            <w:r>
              <w:rPr>
                <w:rStyle w:val="IndexLink"/>
                <w:rtl w:val="true"/>
              </w:rPr>
              <w:tab/>
            </w:r>
            <w:r>
              <w:rPr>
                <w:rStyle w:val="IndexLink"/>
              </w:rPr>
              <w:t>30</w:t>
            </w:r>
          </w:hyperlink>
        </w:p>
        <w:p>
          <w:pPr>
            <w:pStyle w:val="Contents3"/>
            <w:tabs>
              <w:tab w:val="clear" w:pos="8459"/>
              <w:tab w:val="right" w:pos="9026" w:leader="dot"/>
            </w:tabs>
            <w:rPr/>
          </w:pPr>
          <w:hyperlink w:anchor="__RefHeading___Toc95954_3244359995">
            <w:r>
              <w:rPr>
                <w:webHidden/>
                <w:rStyle w:val="IndexLink"/>
              </w:rPr>
              <w:t>8</w:t>
            </w:r>
            <w:r>
              <w:rPr>
                <w:rStyle w:val="IndexLink"/>
                <w:rtl w:val="true"/>
              </w:rPr>
              <w:t xml:space="preserve">. </w:t>
            </w:r>
            <w:r>
              <w:rPr>
                <w:rStyle w:val="IndexLink"/>
                <w:rtl w:val="true"/>
              </w:rPr>
              <w:t>أصالة عدم حجّیة الظنّ إلّاما خرج بالدلیل</w:t>
            </w:r>
            <w:r>
              <w:rPr>
                <w:rStyle w:val="IndexLink"/>
                <w:rtl w:val="true"/>
              </w:rPr>
              <w:tab/>
            </w:r>
            <w:r>
              <w:rPr>
                <w:rStyle w:val="IndexLink"/>
              </w:rPr>
              <w:t>31</w:t>
            </w:r>
          </w:hyperlink>
        </w:p>
        <w:p>
          <w:pPr>
            <w:pStyle w:val="Contents3"/>
            <w:tabs>
              <w:tab w:val="clear" w:pos="8459"/>
              <w:tab w:val="right" w:pos="9026" w:leader="dot"/>
            </w:tabs>
            <w:rPr/>
          </w:pPr>
          <w:hyperlink w:anchor="__RefHeading___Toc95956_3244359995">
            <w:r>
              <w:rPr>
                <w:webHidden/>
                <w:rStyle w:val="IndexLink"/>
              </w:rPr>
              <w:t>9</w:t>
            </w:r>
            <w:r>
              <w:rPr>
                <w:rStyle w:val="IndexLink"/>
                <w:rtl w:val="true"/>
              </w:rPr>
              <w:t xml:space="preserve">. </w:t>
            </w:r>
            <w:r>
              <w:rPr>
                <w:rStyle w:val="IndexLink"/>
                <w:rtl w:val="true"/>
              </w:rPr>
              <w:t>کیفیة الجمع بین الحکم الواقعی والظاهری</w:t>
            </w:r>
            <w:r>
              <w:rPr>
                <w:rStyle w:val="IndexLink"/>
                <w:rtl w:val="true"/>
              </w:rPr>
              <w:tab/>
            </w:r>
            <w:r>
              <w:rPr>
                <w:rStyle w:val="IndexLink"/>
              </w:rPr>
              <w:t>32</w:t>
            </w:r>
          </w:hyperlink>
        </w:p>
        <w:p>
          <w:pPr>
            <w:pStyle w:val="Contents3"/>
            <w:tabs>
              <w:tab w:val="clear" w:pos="8459"/>
              <w:tab w:val="right" w:pos="9026" w:leader="dot"/>
            </w:tabs>
            <w:rPr/>
          </w:pPr>
          <w:hyperlink w:anchor="__RefHeading___Toc95958_3244359995">
            <w:r>
              <w:rPr>
                <w:webHidden/>
                <w:rStyle w:val="IndexLink"/>
              </w:rPr>
              <w:t>10</w:t>
            </w:r>
            <w:r>
              <w:rPr>
                <w:rStyle w:val="IndexLink"/>
                <w:rtl w:val="true"/>
              </w:rPr>
              <w:t xml:space="preserve">. </w:t>
            </w:r>
            <w:r>
              <w:rPr>
                <w:rStyle w:val="IndexLink"/>
                <w:rtl w:val="true"/>
              </w:rPr>
              <w:t>دعوی حجّیة مطلق الظنّ بدلیل الانسداد</w:t>
            </w:r>
            <w:r>
              <w:rPr>
                <w:rStyle w:val="IndexLink"/>
                <w:rtl w:val="true"/>
              </w:rPr>
              <w:tab/>
            </w:r>
            <w:r>
              <w:rPr>
                <w:rStyle w:val="IndexLink"/>
              </w:rPr>
              <w:t>36</w:t>
            </w:r>
          </w:hyperlink>
        </w:p>
        <w:p>
          <w:pPr>
            <w:pStyle w:val="Contents4"/>
            <w:tabs>
              <w:tab w:val="clear" w:pos="8176"/>
              <w:tab w:val="right" w:pos="9026" w:leader="dot"/>
            </w:tabs>
            <w:rPr/>
          </w:pPr>
          <w:hyperlink w:anchor="__RefHeading___Toc95960_3244359995">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95962_3244359995">
            <w:r>
              <w:rPr>
                <w:webHidden/>
                <w:rStyle w:val="IndexLink"/>
                <w:rtl w:val="true"/>
              </w:rPr>
              <w:t>الأوّل</w:t>
            </w:r>
            <w:r>
              <w:rPr>
                <w:rStyle w:val="IndexLink"/>
                <w:rtl w:val="true"/>
              </w:rPr>
              <w:t xml:space="preserve">: </w:t>
            </w:r>
            <w:r>
              <w:rPr>
                <w:rStyle w:val="IndexLink"/>
                <w:rtl w:val="true"/>
              </w:rPr>
              <w:t>حجّیة مطلق الظنّ علی فرض الانسداد</w:t>
            </w:r>
            <w:r>
              <w:rPr>
                <w:rStyle w:val="IndexLink"/>
                <w:rtl w:val="true"/>
              </w:rPr>
              <w:tab/>
            </w:r>
            <w:r>
              <w:rPr>
                <w:rStyle w:val="IndexLink"/>
              </w:rPr>
              <w:t>38</w:t>
            </w:r>
          </w:hyperlink>
        </w:p>
        <w:p>
          <w:pPr>
            <w:pStyle w:val="Contents4"/>
            <w:tabs>
              <w:tab w:val="clear" w:pos="8176"/>
              <w:tab w:val="right" w:pos="9026" w:leader="dot"/>
            </w:tabs>
            <w:rPr/>
          </w:pPr>
          <w:hyperlink w:anchor="__RefHeading___Toc95964_3244359995">
            <w:r>
              <w:rPr>
                <w:webHidden/>
                <w:rStyle w:val="IndexLink"/>
                <w:rtl w:val="true"/>
              </w:rPr>
              <w:t>الثانی</w:t>
            </w:r>
            <w:r>
              <w:rPr>
                <w:rStyle w:val="IndexLink"/>
                <w:rtl w:val="true"/>
              </w:rPr>
              <w:t xml:space="preserve">: </w:t>
            </w:r>
            <w:r>
              <w:rPr>
                <w:rStyle w:val="IndexLink"/>
                <w:rtl w:val="true"/>
              </w:rPr>
              <w:t>عدم حجّیة مطلق الظنّ فی مقام الإمتثال</w:t>
            </w:r>
            <w:r>
              <w:rPr>
                <w:rStyle w:val="IndexLink"/>
                <w:rtl w:val="true"/>
              </w:rPr>
              <w:tab/>
            </w:r>
            <w:r>
              <w:rPr>
                <w:rStyle w:val="IndexLink"/>
              </w:rPr>
              <w:t>39</w:t>
            </w:r>
          </w:hyperlink>
        </w:p>
        <w:p>
          <w:pPr>
            <w:pStyle w:val="Contents2"/>
            <w:tabs>
              <w:tab w:val="clear" w:pos="8743"/>
              <w:tab w:val="right" w:pos="9026" w:leader="dot"/>
            </w:tabs>
            <w:rPr/>
          </w:pPr>
          <w:hyperlink w:anchor="__RefHeading___Toc95966_3244359995">
            <w:r>
              <w:rPr>
                <w:webHidden/>
                <w:rStyle w:val="IndexLink"/>
                <w:rtl w:val="true"/>
              </w:rPr>
              <w:t>المقصد الأول</w:t>
            </w:r>
            <w:r>
              <w:rPr>
                <w:rStyle w:val="IndexLink"/>
                <w:rtl w:val="true"/>
              </w:rPr>
              <w:t xml:space="preserve">: </w:t>
            </w:r>
            <w:r>
              <w:rPr>
                <w:rStyle w:val="IndexLink"/>
                <w:rtl w:val="true"/>
              </w:rPr>
              <w:t>الکتاب العزیز</w:t>
            </w:r>
            <w:r>
              <w:rPr>
                <w:rStyle w:val="IndexLink"/>
                <w:rtl w:val="true"/>
              </w:rPr>
              <w:tab/>
            </w:r>
            <w:r>
              <w:rPr>
                <w:rStyle w:val="IndexLink"/>
              </w:rPr>
              <w:t>41</w:t>
            </w:r>
          </w:hyperlink>
        </w:p>
        <w:p>
          <w:pPr>
            <w:pStyle w:val="Contents3"/>
            <w:tabs>
              <w:tab w:val="clear" w:pos="8459"/>
              <w:tab w:val="right" w:pos="9026" w:leader="dot"/>
            </w:tabs>
            <w:rPr/>
          </w:pPr>
          <w:hyperlink w:anchor="__RefHeading___Toc95968_3244359995">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95970_3244359995">
            <w:r>
              <w:rPr>
                <w:webHidden/>
                <w:rStyle w:val="IndexLink"/>
              </w:rPr>
              <w:t>1</w:t>
            </w:r>
            <w:r>
              <w:rPr>
                <w:rStyle w:val="IndexLink"/>
                <w:rtl w:val="true"/>
              </w:rPr>
              <w:t xml:space="preserve">. </w:t>
            </w:r>
            <w:r>
              <w:rPr>
                <w:rStyle w:val="IndexLink"/>
                <w:rtl w:val="true"/>
              </w:rPr>
              <w:t>حجّیة کتاب اللَّه سنداً</w:t>
            </w:r>
            <w:r>
              <w:rPr>
                <w:rStyle w:val="IndexLink"/>
                <w:rtl w:val="true"/>
              </w:rPr>
              <w:tab/>
            </w:r>
            <w:r>
              <w:rPr>
                <w:rStyle w:val="IndexLink"/>
              </w:rPr>
              <w:t>43</w:t>
            </w:r>
          </w:hyperlink>
        </w:p>
        <w:p>
          <w:pPr>
            <w:pStyle w:val="Contents3"/>
            <w:tabs>
              <w:tab w:val="clear" w:pos="8459"/>
              <w:tab w:val="right" w:pos="9026" w:leader="dot"/>
            </w:tabs>
            <w:rPr/>
          </w:pPr>
          <w:hyperlink w:anchor="__RefHeading___Toc95972_3244359995">
            <w:r>
              <w:rPr>
                <w:webHidden/>
                <w:rStyle w:val="IndexLink"/>
              </w:rPr>
              <w:t>2</w:t>
            </w:r>
            <w:r>
              <w:rPr>
                <w:rStyle w:val="IndexLink"/>
                <w:rtl w:val="true"/>
              </w:rPr>
              <w:t xml:space="preserve">. </w:t>
            </w:r>
            <w:r>
              <w:rPr>
                <w:rStyle w:val="IndexLink"/>
                <w:rtl w:val="true"/>
              </w:rPr>
              <w:t>حجّیة ظواهر الألفاظ عموماً</w:t>
            </w:r>
            <w:r>
              <w:rPr>
                <w:rStyle w:val="IndexLink"/>
                <w:rtl w:val="true"/>
              </w:rPr>
              <w:tab/>
            </w:r>
            <w:r>
              <w:rPr>
                <w:rStyle w:val="IndexLink"/>
              </w:rPr>
              <w:t>44</w:t>
            </w:r>
          </w:hyperlink>
        </w:p>
        <w:p>
          <w:pPr>
            <w:pStyle w:val="Contents4"/>
            <w:tabs>
              <w:tab w:val="clear" w:pos="8176"/>
              <w:tab w:val="right" w:pos="9026" w:leader="dot"/>
            </w:tabs>
            <w:rPr/>
          </w:pPr>
          <w:hyperlink w:anchor="__RefHeading___Toc95974_3244359995">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95976_3244359995">
            <w:r>
              <w:rPr>
                <w:webHidden/>
                <w:rStyle w:val="IndexLink"/>
                <w:rtl w:val="true"/>
              </w:rPr>
              <w:t>تحدید حجّیة الظواهر عند بعض</w:t>
            </w:r>
            <w:r>
              <w:rPr>
                <w:rStyle w:val="IndexLink"/>
                <w:rtl w:val="true"/>
              </w:rPr>
              <w:tab/>
            </w:r>
            <w:r>
              <w:rPr>
                <w:rStyle w:val="IndexLink"/>
              </w:rPr>
              <w:t>45</w:t>
            </w:r>
          </w:hyperlink>
        </w:p>
        <w:p>
          <w:pPr>
            <w:pStyle w:val="Contents3"/>
            <w:tabs>
              <w:tab w:val="clear" w:pos="8459"/>
              <w:tab w:val="right" w:pos="9026" w:leader="dot"/>
            </w:tabs>
            <w:rPr/>
          </w:pPr>
          <w:hyperlink w:anchor="__RefHeading___Toc95978_3244359995">
            <w:r>
              <w:rPr>
                <w:webHidden/>
                <w:rStyle w:val="IndexLink"/>
              </w:rPr>
              <w:t>3</w:t>
            </w:r>
            <w:r>
              <w:rPr>
                <w:rStyle w:val="IndexLink"/>
                <w:rtl w:val="true"/>
              </w:rPr>
              <w:t xml:space="preserve">. </w:t>
            </w:r>
            <w:r>
              <w:rPr>
                <w:rStyle w:val="IndexLink"/>
                <w:rtl w:val="true"/>
              </w:rPr>
              <w:t>حجّیة ظواهر الکتاب بالخصوص</w:t>
            </w:r>
            <w:r>
              <w:rPr>
                <w:rStyle w:val="IndexLink"/>
                <w:rtl w:val="true"/>
              </w:rPr>
              <w:tab/>
            </w:r>
            <w:r>
              <w:rPr>
                <w:rStyle w:val="IndexLink"/>
              </w:rPr>
              <w:t>46</w:t>
            </w:r>
          </w:hyperlink>
        </w:p>
        <w:p>
          <w:pPr>
            <w:pStyle w:val="Contents4"/>
            <w:tabs>
              <w:tab w:val="clear" w:pos="8176"/>
              <w:tab w:val="right" w:pos="9026" w:leader="dot"/>
            </w:tabs>
            <w:rPr/>
          </w:pPr>
          <w:hyperlink w:anchor="__RefHeading___Toc95980_3244359995">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95982_3244359995">
            <w:r>
              <w:rPr>
                <w:webHidden/>
                <w:rStyle w:val="IndexLink"/>
                <w:rtl w:val="true"/>
              </w:rPr>
              <w:t>أدلّة الأخباریین حول تقیید حجّیة ظواهر الکتاب ونقدها</w:t>
            </w:r>
            <w:r>
              <w:rPr>
                <w:rStyle w:val="IndexLink"/>
                <w:rtl w:val="true"/>
              </w:rPr>
              <w:tab/>
            </w:r>
            <w:r>
              <w:rPr>
                <w:rStyle w:val="IndexLink"/>
              </w:rPr>
              <w:t>49</w:t>
            </w:r>
          </w:hyperlink>
        </w:p>
        <w:p>
          <w:pPr>
            <w:pStyle w:val="Contents3"/>
            <w:tabs>
              <w:tab w:val="clear" w:pos="8459"/>
              <w:tab w:val="right" w:pos="9026" w:leader="dot"/>
            </w:tabs>
            <w:rPr/>
          </w:pPr>
          <w:hyperlink w:anchor="__RefHeading___Toc95984_3244359995">
            <w:r>
              <w:rPr>
                <w:webHidden/>
                <w:rStyle w:val="IndexLink"/>
              </w:rPr>
              <w:t>4</w:t>
            </w:r>
            <w:r>
              <w:rPr>
                <w:rStyle w:val="IndexLink"/>
                <w:rtl w:val="true"/>
              </w:rPr>
              <w:t xml:space="preserve">. </w:t>
            </w:r>
            <w:r>
              <w:rPr>
                <w:rStyle w:val="IndexLink"/>
                <w:rtl w:val="true"/>
              </w:rPr>
              <w:t>الکلام فی عدم تحریف الکتاب العزیز</w:t>
            </w:r>
            <w:r>
              <w:rPr>
                <w:rStyle w:val="IndexLink"/>
                <w:rtl w:val="true"/>
              </w:rPr>
              <w:tab/>
            </w:r>
            <w:r>
              <w:rPr>
                <w:rStyle w:val="IndexLink"/>
              </w:rPr>
              <w:t>52</w:t>
            </w:r>
          </w:hyperlink>
        </w:p>
        <w:p>
          <w:pPr>
            <w:pStyle w:val="Contents4"/>
            <w:tabs>
              <w:tab w:val="clear" w:pos="8176"/>
              <w:tab w:val="right" w:pos="9026" w:leader="dot"/>
            </w:tabs>
            <w:rPr/>
          </w:pPr>
          <w:hyperlink w:anchor="__RefHeading___Toc95986_3244359995">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95988_3244359995">
            <w:r>
              <w:rPr>
                <w:webHidden/>
                <w:rStyle w:val="IndexLink"/>
                <w:rtl w:val="true"/>
              </w:rPr>
              <w:t>الأوّل</w:t>
            </w:r>
            <w:r>
              <w:rPr>
                <w:rStyle w:val="IndexLink"/>
                <w:rtl w:val="true"/>
              </w:rPr>
              <w:t xml:space="preserve">: </w:t>
            </w:r>
            <w:r>
              <w:rPr>
                <w:rStyle w:val="IndexLink"/>
                <w:rtl w:val="true"/>
              </w:rPr>
              <w:t>تعیین موضع النزاع</w:t>
            </w:r>
            <w:r>
              <w:rPr>
                <w:rStyle w:val="IndexLink"/>
                <w:rtl w:val="true"/>
              </w:rPr>
              <w:tab/>
            </w:r>
            <w:r>
              <w:rPr>
                <w:rStyle w:val="IndexLink"/>
              </w:rPr>
              <w:t>52</w:t>
            </w:r>
          </w:hyperlink>
        </w:p>
        <w:p>
          <w:pPr>
            <w:pStyle w:val="Contents4"/>
            <w:tabs>
              <w:tab w:val="clear" w:pos="8176"/>
              <w:tab w:val="right" w:pos="9026" w:leader="dot"/>
            </w:tabs>
            <w:rPr/>
          </w:pPr>
          <w:hyperlink w:anchor="__RefHeading___Toc95990_3244359995">
            <w:r>
              <w:rPr>
                <w:webHidden/>
                <w:rStyle w:val="IndexLink"/>
                <w:rtl w:val="true"/>
              </w:rPr>
              <w:t>الثانی</w:t>
            </w:r>
            <w:r>
              <w:rPr>
                <w:rStyle w:val="IndexLink"/>
                <w:rtl w:val="true"/>
              </w:rPr>
              <w:t xml:space="preserve">: </w:t>
            </w:r>
            <w:r>
              <w:rPr>
                <w:rStyle w:val="IndexLink"/>
                <w:rtl w:val="true"/>
              </w:rPr>
              <w:t>أدلّة القائلین بعدم التحریف</w:t>
            </w:r>
            <w:r>
              <w:rPr>
                <w:rStyle w:val="IndexLink"/>
                <w:rtl w:val="true"/>
              </w:rPr>
              <w:tab/>
            </w:r>
            <w:r>
              <w:rPr>
                <w:rStyle w:val="IndexLink"/>
              </w:rPr>
              <w:t>54</w:t>
            </w:r>
          </w:hyperlink>
        </w:p>
        <w:p>
          <w:pPr>
            <w:pStyle w:val="Contents4"/>
            <w:tabs>
              <w:tab w:val="clear" w:pos="8176"/>
              <w:tab w:val="right" w:pos="9026" w:leader="dot"/>
            </w:tabs>
            <w:rPr/>
          </w:pPr>
          <w:hyperlink w:anchor="__RefHeading___Toc95992_3244359995">
            <w:r>
              <w:rPr>
                <w:webHidden/>
                <w:rStyle w:val="IndexLink"/>
                <w:rtl w:val="true"/>
              </w:rPr>
              <w:t>الثالث</w:t>
            </w:r>
            <w:r>
              <w:rPr>
                <w:rStyle w:val="IndexLink"/>
                <w:rtl w:val="true"/>
              </w:rPr>
              <w:t xml:space="preserve">: </w:t>
            </w:r>
            <w:r>
              <w:rPr>
                <w:rStyle w:val="IndexLink"/>
                <w:rtl w:val="true"/>
              </w:rPr>
              <w:t>أدلّة القائلین بالتحریف ونقدها</w:t>
            </w:r>
            <w:r>
              <w:rPr>
                <w:rStyle w:val="IndexLink"/>
                <w:rtl w:val="true"/>
              </w:rPr>
              <w:t>:</w:t>
              <w:tab/>
            </w:r>
            <w:r>
              <w:rPr>
                <w:rStyle w:val="IndexLink"/>
              </w:rPr>
              <w:t>59</w:t>
            </w:r>
          </w:hyperlink>
        </w:p>
        <w:p>
          <w:pPr>
            <w:pStyle w:val="Contents2"/>
            <w:tabs>
              <w:tab w:val="clear" w:pos="8743"/>
              <w:tab w:val="right" w:pos="9026" w:leader="dot"/>
            </w:tabs>
            <w:rPr/>
          </w:pPr>
          <w:hyperlink w:anchor="__RefHeading___Toc95994_3244359995">
            <w:r>
              <w:rPr>
                <w:webHidden/>
                <w:rStyle w:val="IndexLink"/>
                <w:rtl w:val="true"/>
              </w:rPr>
              <w:t>المقصد الثانی</w:t>
            </w:r>
            <w:r>
              <w:rPr>
                <w:rStyle w:val="IndexLink"/>
                <w:rtl w:val="true"/>
              </w:rPr>
              <w:t xml:space="preserve">: </w:t>
            </w:r>
            <w:r>
              <w:rPr>
                <w:rStyle w:val="IndexLink"/>
                <w:rtl w:val="true"/>
              </w:rPr>
              <w:t>السنة</w:t>
            </w:r>
            <w:r>
              <w:rPr>
                <w:rStyle w:val="IndexLink"/>
                <w:rtl w:val="true"/>
              </w:rPr>
              <w:tab/>
            </w:r>
            <w:r>
              <w:rPr>
                <w:rStyle w:val="IndexLink"/>
              </w:rPr>
              <w:t>65</w:t>
            </w:r>
          </w:hyperlink>
        </w:p>
        <w:p>
          <w:pPr>
            <w:pStyle w:val="Contents3"/>
            <w:tabs>
              <w:tab w:val="clear" w:pos="8459"/>
              <w:tab w:val="right" w:pos="9026" w:leader="dot"/>
            </w:tabs>
            <w:rPr/>
          </w:pPr>
          <w:hyperlink w:anchor="__RefHeading___Toc95996_3244359995">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95998_3244359995">
            <w:r>
              <w:rPr>
                <w:webHidden/>
                <w:rStyle w:val="IndexLink"/>
              </w:rPr>
              <w:t>1</w:t>
            </w:r>
            <w:r>
              <w:rPr>
                <w:rStyle w:val="IndexLink"/>
                <w:rtl w:val="true"/>
              </w:rPr>
              <w:t xml:space="preserve">. </w:t>
            </w:r>
            <w:r>
              <w:rPr>
                <w:rStyle w:val="IndexLink"/>
                <w:rtl w:val="true"/>
              </w:rPr>
              <w:t>الخبر المتواتر</w:t>
            </w:r>
            <w:r>
              <w:rPr>
                <w:rStyle w:val="IndexLink"/>
                <w:rtl w:val="true"/>
              </w:rPr>
              <w:tab/>
            </w:r>
            <w:r>
              <w:rPr>
                <w:rStyle w:val="IndexLink"/>
              </w:rPr>
              <w:t>67</w:t>
            </w:r>
          </w:hyperlink>
        </w:p>
        <w:p>
          <w:pPr>
            <w:pStyle w:val="Contents4"/>
            <w:tabs>
              <w:tab w:val="clear" w:pos="8176"/>
              <w:tab w:val="right" w:pos="9026" w:leader="dot"/>
            </w:tabs>
            <w:rPr/>
          </w:pPr>
          <w:hyperlink w:anchor="__RefHeading___Toc96000_3244359995">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96002_3244359995">
            <w:r>
              <w:rPr>
                <w:webHidden/>
                <w:rStyle w:val="IndexLink"/>
                <w:rtl w:val="true"/>
              </w:rPr>
              <w:t>أقسام التواتر</w:t>
            </w:r>
            <w:r>
              <w:rPr>
                <w:rStyle w:val="IndexLink"/>
                <w:rtl w:val="true"/>
              </w:rPr>
              <w:t>:</w:t>
              <w:tab/>
            </w:r>
            <w:r>
              <w:rPr>
                <w:rStyle w:val="IndexLink"/>
              </w:rPr>
              <w:t>68</w:t>
            </w:r>
          </w:hyperlink>
        </w:p>
        <w:p>
          <w:pPr>
            <w:pStyle w:val="Contents3"/>
            <w:tabs>
              <w:tab w:val="clear" w:pos="8459"/>
              <w:tab w:val="right" w:pos="9026" w:leader="dot"/>
            </w:tabs>
            <w:rPr/>
          </w:pPr>
          <w:hyperlink w:anchor="__RefHeading___Toc96004_3244359995">
            <w:r>
              <w:rPr>
                <w:webHidden/>
                <w:rStyle w:val="IndexLink"/>
              </w:rPr>
              <w:t>2</w:t>
            </w:r>
            <w:r>
              <w:rPr>
                <w:rStyle w:val="IndexLink"/>
                <w:rtl w:val="true"/>
              </w:rPr>
              <w:t xml:space="preserve">. </w:t>
            </w:r>
            <w:r>
              <w:rPr>
                <w:rStyle w:val="IndexLink"/>
                <w:rtl w:val="true"/>
              </w:rPr>
              <w:t>خبر الواحد</w:t>
            </w:r>
            <w:r>
              <w:rPr>
                <w:rStyle w:val="IndexLink"/>
                <w:rtl w:val="true"/>
              </w:rPr>
              <w:tab/>
            </w:r>
            <w:r>
              <w:rPr>
                <w:rStyle w:val="IndexLink"/>
              </w:rPr>
              <w:t>69</w:t>
            </w:r>
          </w:hyperlink>
        </w:p>
        <w:p>
          <w:pPr>
            <w:pStyle w:val="Contents4"/>
            <w:tabs>
              <w:tab w:val="clear" w:pos="8176"/>
              <w:tab w:val="right" w:pos="9026" w:leader="dot"/>
            </w:tabs>
            <w:rPr/>
          </w:pPr>
          <w:hyperlink w:anchor="__RefHeading___Toc96006_3244359995">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96008_3244359995">
            <w:r>
              <w:rPr>
                <w:webHidden/>
                <w:rStyle w:val="IndexLink"/>
                <w:rtl w:val="true"/>
              </w:rPr>
              <w:t>أدلّة القائلین بعدم الحجّیة</w:t>
            </w:r>
            <w:r>
              <w:rPr>
                <w:rStyle w:val="IndexLink"/>
                <w:rtl w:val="true"/>
              </w:rPr>
              <w:t>:</w:t>
              <w:tab/>
            </w:r>
            <w:r>
              <w:rPr>
                <w:rStyle w:val="IndexLink"/>
              </w:rPr>
              <w:t>70</w:t>
            </w:r>
          </w:hyperlink>
        </w:p>
        <w:p>
          <w:pPr>
            <w:pStyle w:val="Contents5"/>
            <w:tabs>
              <w:tab w:val="clear" w:pos="7892"/>
              <w:tab w:val="right" w:pos="9026" w:leader="dot"/>
            </w:tabs>
            <w:rPr/>
          </w:pPr>
          <w:hyperlink w:anchor="__RefHeading___Toc96010_3244359995">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96012_3244359995">
            <w:r>
              <w:rPr>
                <w:webHidden/>
                <w:rStyle w:val="IndexLink"/>
                <w:rtl w:val="true"/>
              </w:rPr>
              <w:t>الدلیل الأوّل</w:t>
            </w:r>
            <w:r>
              <w:rPr>
                <w:rStyle w:val="IndexLink"/>
                <w:rtl w:val="true"/>
              </w:rPr>
              <w:t xml:space="preserve">: </w:t>
            </w:r>
            <w:r>
              <w:rPr>
                <w:rStyle w:val="IndexLink"/>
                <w:rtl w:val="true"/>
              </w:rPr>
              <w:t>الکتاب</w:t>
            </w:r>
            <w:r>
              <w:rPr>
                <w:rStyle w:val="IndexLink"/>
                <w:rtl w:val="true"/>
              </w:rPr>
              <w:tab/>
            </w:r>
            <w:r>
              <w:rPr>
                <w:rStyle w:val="IndexLink"/>
              </w:rPr>
              <w:t>70</w:t>
            </w:r>
          </w:hyperlink>
        </w:p>
        <w:p>
          <w:pPr>
            <w:pStyle w:val="Contents5"/>
            <w:tabs>
              <w:tab w:val="clear" w:pos="7892"/>
              <w:tab w:val="right" w:pos="9026" w:leader="dot"/>
            </w:tabs>
            <w:rPr/>
          </w:pPr>
          <w:hyperlink w:anchor="__RefHeading___Toc96014_3244359995">
            <w:r>
              <w:rPr>
                <w:webHidden/>
                <w:rStyle w:val="IndexLink"/>
                <w:rtl w:val="true"/>
              </w:rPr>
              <w:t>الدلیل الثانی</w:t>
            </w:r>
            <w:r>
              <w:rPr>
                <w:rStyle w:val="IndexLink"/>
                <w:rtl w:val="true"/>
              </w:rPr>
              <w:t xml:space="preserve">: </w:t>
            </w:r>
            <w:r>
              <w:rPr>
                <w:rStyle w:val="IndexLink"/>
                <w:rtl w:val="true"/>
              </w:rPr>
              <w:t>السنّة</w:t>
            </w:r>
            <w:r>
              <w:rPr>
                <w:rStyle w:val="IndexLink"/>
                <w:rtl w:val="true"/>
              </w:rPr>
              <w:tab/>
            </w:r>
            <w:r>
              <w:rPr>
                <w:rStyle w:val="IndexLink"/>
              </w:rPr>
              <w:t>72</w:t>
            </w:r>
          </w:hyperlink>
        </w:p>
        <w:p>
          <w:pPr>
            <w:pStyle w:val="Contents5"/>
            <w:tabs>
              <w:tab w:val="clear" w:pos="7892"/>
              <w:tab w:val="right" w:pos="9026" w:leader="dot"/>
            </w:tabs>
            <w:rPr/>
          </w:pPr>
          <w:hyperlink w:anchor="__RefHeading___Toc96016_3244359995">
            <w:r>
              <w:rPr>
                <w:webHidden/>
                <w:rStyle w:val="IndexLink"/>
                <w:rtl w:val="true"/>
              </w:rPr>
              <w:t>الدلیل الثالث</w:t>
            </w:r>
            <w:r>
              <w:rPr>
                <w:rStyle w:val="IndexLink"/>
                <w:rtl w:val="true"/>
              </w:rPr>
              <w:t xml:space="preserve">: </w:t>
            </w:r>
            <w:r>
              <w:rPr>
                <w:rStyle w:val="IndexLink"/>
                <w:rtl w:val="true"/>
              </w:rPr>
              <w:t>الإجماع</w:t>
            </w:r>
            <w:r>
              <w:rPr>
                <w:rStyle w:val="IndexLink"/>
                <w:rtl w:val="true"/>
              </w:rPr>
              <w:tab/>
            </w:r>
            <w:r>
              <w:rPr>
                <w:rStyle w:val="IndexLink"/>
              </w:rPr>
              <w:t>75</w:t>
            </w:r>
          </w:hyperlink>
        </w:p>
        <w:p>
          <w:pPr>
            <w:pStyle w:val="Contents5"/>
            <w:tabs>
              <w:tab w:val="clear" w:pos="7892"/>
              <w:tab w:val="right" w:pos="9026" w:leader="dot"/>
            </w:tabs>
            <w:rPr/>
          </w:pPr>
          <w:hyperlink w:anchor="__RefHeading___Toc96018_3244359995">
            <w:r>
              <w:rPr>
                <w:webHidden/>
                <w:rStyle w:val="IndexLink"/>
                <w:rtl w:val="true"/>
              </w:rPr>
              <w:t>الدلیل الرابع</w:t>
            </w:r>
            <w:r>
              <w:rPr>
                <w:rStyle w:val="IndexLink"/>
                <w:rtl w:val="true"/>
              </w:rPr>
              <w:t xml:space="preserve">: </w:t>
            </w:r>
            <w:r>
              <w:rPr>
                <w:rStyle w:val="IndexLink"/>
                <w:rtl w:val="true"/>
              </w:rPr>
              <w:t>العقل</w:t>
            </w:r>
            <w:r>
              <w:rPr>
                <w:rStyle w:val="IndexLink"/>
                <w:rtl w:val="true"/>
              </w:rPr>
              <w:tab/>
            </w:r>
            <w:r>
              <w:rPr>
                <w:rStyle w:val="IndexLink"/>
              </w:rPr>
              <w:t>76</w:t>
            </w:r>
          </w:hyperlink>
        </w:p>
        <w:p>
          <w:pPr>
            <w:pStyle w:val="Contents4"/>
            <w:tabs>
              <w:tab w:val="clear" w:pos="8176"/>
              <w:tab w:val="right" w:pos="9026" w:leader="dot"/>
            </w:tabs>
            <w:rPr/>
          </w:pPr>
          <w:hyperlink w:anchor="__RefHeading___Toc96020_3244359995">
            <w:r>
              <w:rPr>
                <w:webHidden/>
                <w:rStyle w:val="IndexLink"/>
                <w:rtl w:val="true"/>
              </w:rPr>
              <w:t>أدلّة القائلین بحجّیة خبر الواحد</w:t>
            </w:r>
            <w:r>
              <w:rPr>
                <w:rStyle w:val="IndexLink"/>
                <w:rtl w:val="true"/>
              </w:rPr>
              <w:tab/>
            </w:r>
            <w:r>
              <w:rPr>
                <w:rStyle w:val="IndexLink"/>
              </w:rPr>
              <w:t>77</w:t>
            </w:r>
          </w:hyperlink>
        </w:p>
        <w:p>
          <w:pPr>
            <w:pStyle w:val="Contents5"/>
            <w:tabs>
              <w:tab w:val="clear" w:pos="7892"/>
              <w:tab w:val="right" w:pos="9026" w:leader="dot"/>
            </w:tabs>
            <w:rPr/>
          </w:pPr>
          <w:hyperlink w:anchor="__RefHeading___Toc96022_3244359995">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96024_3244359995">
            <w:r>
              <w:rPr>
                <w:webHidden/>
                <w:rStyle w:val="IndexLink"/>
                <w:rtl w:val="true"/>
              </w:rPr>
              <w:t>الدلیل الأول</w:t>
            </w:r>
            <w:r>
              <w:rPr>
                <w:rStyle w:val="IndexLink"/>
                <w:rtl w:val="true"/>
              </w:rPr>
              <w:t xml:space="preserve">: </w:t>
            </w:r>
            <w:r>
              <w:rPr>
                <w:rStyle w:val="IndexLink"/>
                <w:rtl w:val="true"/>
              </w:rPr>
              <w:t>الکتاب</w:t>
            </w:r>
            <w:r>
              <w:rPr>
                <w:rStyle w:val="IndexLink"/>
                <w:rtl w:val="true"/>
              </w:rPr>
              <w:t>:</w:t>
              <w:tab/>
            </w:r>
            <w:r>
              <w:rPr>
                <w:rStyle w:val="IndexLink"/>
              </w:rPr>
              <w:t>77</w:t>
            </w:r>
          </w:hyperlink>
        </w:p>
        <w:p>
          <w:pPr>
            <w:pStyle w:val="Contents6"/>
            <w:tabs>
              <w:tab w:val="clear" w:pos="7609"/>
              <w:tab w:val="right" w:pos="9026" w:leader="dot"/>
            </w:tabs>
            <w:rPr/>
          </w:pPr>
          <w:hyperlink w:anchor="__RefHeading___Toc96026_3244359995">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96028_3244359995">
            <w:r>
              <w:rPr>
                <w:webHidden/>
                <w:rStyle w:val="IndexLink"/>
                <w:rtl w:val="true"/>
              </w:rPr>
              <w:t>مناقشات فی دلالة الآیة و حلّها</w:t>
            </w:r>
            <w:r>
              <w:rPr>
                <w:rStyle w:val="IndexLink"/>
                <w:rtl w:val="true"/>
              </w:rPr>
              <w:tab/>
            </w:r>
            <w:r>
              <w:rPr>
                <w:rStyle w:val="IndexLink"/>
              </w:rPr>
              <w:t>79</w:t>
            </w:r>
          </w:hyperlink>
        </w:p>
        <w:p>
          <w:pPr>
            <w:pStyle w:val="Contents5"/>
            <w:tabs>
              <w:tab w:val="clear" w:pos="7892"/>
              <w:tab w:val="right" w:pos="9026" w:leader="dot"/>
            </w:tabs>
            <w:rPr/>
          </w:pPr>
          <w:hyperlink w:anchor="__RefHeading___Toc96030_3244359995">
            <w:r>
              <w:rPr>
                <w:webHidden/>
                <w:rStyle w:val="IndexLink"/>
                <w:rtl w:val="true"/>
              </w:rPr>
              <w:t>الدلیل الثانی</w:t>
            </w:r>
            <w:r>
              <w:rPr>
                <w:rStyle w:val="IndexLink"/>
                <w:rtl w:val="true"/>
              </w:rPr>
              <w:t xml:space="preserve">: </w:t>
            </w:r>
            <w:r>
              <w:rPr>
                <w:rStyle w:val="IndexLink"/>
                <w:rtl w:val="true"/>
              </w:rPr>
              <w:t>السنّة</w:t>
            </w:r>
            <w:r>
              <w:rPr>
                <w:rStyle w:val="IndexLink"/>
                <w:rtl w:val="true"/>
              </w:rPr>
              <w:tab/>
            </w:r>
            <w:r>
              <w:rPr>
                <w:rStyle w:val="IndexLink"/>
              </w:rPr>
              <w:t>89</w:t>
            </w:r>
          </w:hyperlink>
        </w:p>
        <w:p>
          <w:pPr>
            <w:pStyle w:val="Contents5"/>
            <w:tabs>
              <w:tab w:val="clear" w:pos="7892"/>
              <w:tab w:val="right" w:pos="9026" w:leader="dot"/>
            </w:tabs>
            <w:rPr/>
          </w:pPr>
          <w:hyperlink w:anchor="__RefHeading___Toc96032_3244359995">
            <w:r>
              <w:rPr>
                <w:webHidden/>
                <w:rStyle w:val="IndexLink"/>
                <w:rtl w:val="true"/>
              </w:rPr>
              <w:t>الدلیل الثالث</w:t>
            </w:r>
            <w:r>
              <w:rPr>
                <w:rStyle w:val="IndexLink"/>
                <w:rtl w:val="true"/>
              </w:rPr>
              <w:t xml:space="preserve">: </w:t>
            </w:r>
            <w:r>
              <w:rPr>
                <w:rStyle w:val="IndexLink"/>
                <w:rtl w:val="true"/>
              </w:rPr>
              <w:t>الإجماع</w:t>
            </w:r>
            <w:r>
              <w:rPr>
                <w:rStyle w:val="IndexLink"/>
                <w:rtl w:val="true"/>
              </w:rPr>
              <w:tab/>
            </w:r>
            <w:r>
              <w:rPr>
                <w:rStyle w:val="IndexLink"/>
              </w:rPr>
              <w:t>94</w:t>
            </w:r>
          </w:hyperlink>
        </w:p>
        <w:p>
          <w:pPr>
            <w:pStyle w:val="Contents5"/>
            <w:tabs>
              <w:tab w:val="clear" w:pos="7892"/>
              <w:tab w:val="right" w:pos="9026" w:leader="dot"/>
            </w:tabs>
            <w:rPr/>
          </w:pPr>
          <w:hyperlink w:anchor="__RefHeading___Toc96034_3244359995">
            <w:r>
              <w:rPr>
                <w:webHidden/>
                <w:rStyle w:val="IndexLink"/>
                <w:rtl w:val="true"/>
              </w:rPr>
              <w:t>الدلیل الرابع</w:t>
            </w:r>
            <w:r>
              <w:rPr>
                <w:rStyle w:val="IndexLink"/>
                <w:rtl w:val="true"/>
              </w:rPr>
              <w:t xml:space="preserve">: </w:t>
            </w:r>
            <w:r>
              <w:rPr>
                <w:rStyle w:val="IndexLink"/>
                <w:rtl w:val="true"/>
              </w:rPr>
              <w:t>العقل</w:t>
            </w:r>
            <w:r>
              <w:rPr>
                <w:rStyle w:val="IndexLink"/>
                <w:rtl w:val="true"/>
              </w:rPr>
              <w:tab/>
            </w:r>
            <w:r>
              <w:rPr>
                <w:rStyle w:val="IndexLink"/>
              </w:rPr>
              <w:t>96</w:t>
            </w:r>
          </w:hyperlink>
        </w:p>
        <w:p>
          <w:pPr>
            <w:pStyle w:val="Contents4"/>
            <w:tabs>
              <w:tab w:val="clear" w:pos="8176"/>
              <w:tab w:val="right" w:pos="9026" w:leader="dot"/>
            </w:tabs>
            <w:rPr/>
          </w:pPr>
          <w:hyperlink w:anchor="__RefHeading___Toc96036_3244359995">
            <w:r>
              <w:rPr>
                <w:webHidden/>
                <w:rStyle w:val="IndexLink"/>
                <w:rtl w:val="true"/>
              </w:rPr>
              <w:t>نتیجة البحث فی حجّیة خبر الواحد</w:t>
            </w:r>
            <w:r>
              <w:rPr>
                <w:rStyle w:val="IndexLink"/>
                <w:rtl w:val="true"/>
              </w:rPr>
              <w:tab/>
            </w:r>
            <w:r>
              <w:rPr>
                <w:rStyle w:val="IndexLink"/>
              </w:rPr>
              <w:t>98</w:t>
            </w:r>
          </w:hyperlink>
        </w:p>
        <w:p>
          <w:pPr>
            <w:pStyle w:val="Contents4"/>
            <w:tabs>
              <w:tab w:val="clear" w:pos="8176"/>
              <w:tab w:val="right" w:pos="9026" w:leader="dot"/>
            </w:tabs>
            <w:rPr/>
          </w:pPr>
          <w:hyperlink w:anchor="__RefHeading___Toc96038_3244359995">
            <w:r>
              <w:rPr>
                <w:webHidden/>
                <w:rStyle w:val="IndexLink"/>
                <w:rtl w:val="true"/>
              </w:rPr>
              <w:t>بقی هنا امور مهمّة</w:t>
            </w:r>
            <w:r>
              <w:rPr>
                <w:rStyle w:val="IndexLink"/>
                <w:rtl w:val="true"/>
              </w:rPr>
              <w:t>:</w:t>
              <w:tab/>
            </w:r>
            <w:r>
              <w:rPr>
                <w:rStyle w:val="IndexLink"/>
              </w:rPr>
              <w:t>99</w:t>
            </w:r>
          </w:hyperlink>
        </w:p>
        <w:p>
          <w:pPr>
            <w:pStyle w:val="Contents5"/>
            <w:tabs>
              <w:tab w:val="clear" w:pos="7892"/>
              <w:tab w:val="right" w:pos="9026" w:leader="dot"/>
            </w:tabs>
            <w:rPr/>
          </w:pPr>
          <w:hyperlink w:anchor="__RefHeading___Toc96040_3244359995">
            <w:r>
              <w:rPr>
                <w:webHidden/>
                <w:rStyle w:val="IndexLink"/>
                <w:rtl w:val="true"/>
              </w:rPr>
              <w:t>الأوّل</w:t>
            </w:r>
            <w:r>
              <w:rPr>
                <w:rStyle w:val="IndexLink"/>
                <w:rtl w:val="true"/>
              </w:rPr>
              <w:t xml:space="preserve">: </w:t>
            </w:r>
            <w:r>
              <w:rPr>
                <w:rStyle w:val="IndexLink"/>
                <w:rtl w:val="true"/>
              </w:rPr>
              <w:t>عدم حجّیة خبر الواحد فی الاصول</w:t>
            </w:r>
            <w:r>
              <w:rPr>
                <w:rStyle w:val="IndexLink"/>
                <w:rtl w:val="true"/>
              </w:rPr>
              <w:tab/>
            </w:r>
            <w:r>
              <w:rPr>
                <w:rStyle w:val="IndexLink"/>
              </w:rPr>
              <w:t>99</w:t>
            </w:r>
          </w:hyperlink>
        </w:p>
        <w:p>
          <w:pPr>
            <w:pStyle w:val="Contents5"/>
            <w:tabs>
              <w:tab w:val="clear" w:pos="7892"/>
              <w:tab w:val="right" w:pos="9026" w:leader="dot"/>
            </w:tabs>
            <w:rPr/>
          </w:pPr>
          <w:hyperlink w:anchor="__RefHeading___Toc96042_3244359995">
            <w:r>
              <w:rPr>
                <w:webHidden/>
                <w:rStyle w:val="IndexLink"/>
                <w:rtl w:val="true"/>
              </w:rPr>
              <w:t>الثانی</w:t>
            </w:r>
            <w:r>
              <w:rPr>
                <w:rStyle w:val="IndexLink"/>
                <w:rtl w:val="true"/>
              </w:rPr>
              <w:t xml:space="preserve">: </w:t>
            </w:r>
            <w:r>
              <w:rPr>
                <w:rStyle w:val="IndexLink"/>
                <w:rtl w:val="true"/>
              </w:rPr>
              <w:t>خبر الواحد هل یکون حجّة فی الموضوعات أو لا؟</w:t>
            </w:r>
            <w:r>
              <w:rPr>
                <w:rStyle w:val="IndexLink"/>
                <w:rtl w:val="true"/>
              </w:rPr>
              <w:tab/>
            </w:r>
            <w:r>
              <w:rPr>
                <w:rStyle w:val="IndexLink"/>
              </w:rPr>
              <w:t>99</w:t>
            </w:r>
          </w:hyperlink>
        </w:p>
        <w:p>
          <w:pPr>
            <w:pStyle w:val="Contents5"/>
            <w:tabs>
              <w:tab w:val="clear" w:pos="7892"/>
              <w:tab w:val="right" w:pos="9026" w:leader="dot"/>
            </w:tabs>
            <w:rPr/>
          </w:pPr>
          <w:hyperlink w:anchor="__RefHeading___Toc96044_3244359995">
            <w:r>
              <w:rPr>
                <w:webHidden/>
                <w:rStyle w:val="IndexLink"/>
                <w:rtl w:val="true"/>
              </w:rPr>
              <w:t>الثالث</w:t>
            </w:r>
            <w:r>
              <w:rPr>
                <w:rStyle w:val="IndexLink"/>
                <w:rtl w:val="true"/>
              </w:rPr>
              <w:t xml:space="preserve">: </w:t>
            </w:r>
            <w:r>
              <w:rPr>
                <w:rStyle w:val="IndexLink"/>
                <w:rtl w:val="true"/>
              </w:rPr>
              <w:t>المعیار فی حجّیة خبر الواحد</w:t>
            </w:r>
            <w:r>
              <w:rPr>
                <w:rStyle w:val="IndexLink"/>
                <w:rtl w:val="true"/>
              </w:rPr>
              <w:tab/>
            </w:r>
            <w:r>
              <w:rPr>
                <w:rStyle w:val="IndexLink"/>
              </w:rPr>
              <w:t>101</w:t>
            </w:r>
          </w:hyperlink>
        </w:p>
        <w:p>
          <w:pPr>
            <w:pStyle w:val="Contents5"/>
            <w:tabs>
              <w:tab w:val="clear" w:pos="7892"/>
              <w:tab w:val="right" w:pos="9026" w:leader="dot"/>
            </w:tabs>
            <w:rPr/>
          </w:pPr>
          <w:hyperlink w:anchor="__RefHeading___Toc96046_3244359995">
            <w:r>
              <w:rPr>
                <w:webHidden/>
                <w:rStyle w:val="IndexLink"/>
                <w:rtl w:val="true"/>
              </w:rPr>
              <w:t>الرابع</w:t>
            </w:r>
            <w:r>
              <w:rPr>
                <w:rStyle w:val="IndexLink"/>
                <w:rtl w:val="true"/>
              </w:rPr>
              <w:t xml:space="preserve">: </w:t>
            </w:r>
            <w:r>
              <w:rPr>
                <w:rStyle w:val="IndexLink"/>
                <w:rtl w:val="true"/>
              </w:rPr>
              <w:t>لما ذا یرجع إلی الکتب الرجالیة فی إثبات وثاقة الرواة</w:t>
            </w:r>
            <w:r>
              <w:rPr>
                <w:rStyle w:val="IndexLink"/>
                <w:rtl w:val="true"/>
              </w:rPr>
              <w:tab/>
            </w:r>
            <w:r>
              <w:rPr>
                <w:rStyle w:val="IndexLink"/>
              </w:rPr>
              <w:t>102</w:t>
            </w:r>
          </w:hyperlink>
        </w:p>
        <w:p>
          <w:pPr>
            <w:pStyle w:val="Contents5"/>
            <w:tabs>
              <w:tab w:val="clear" w:pos="7892"/>
              <w:tab w:val="right" w:pos="9026" w:leader="dot"/>
            </w:tabs>
            <w:rPr/>
          </w:pPr>
          <w:hyperlink w:anchor="__RefHeading___Toc96048_3244359995">
            <w:r>
              <w:rPr>
                <w:webHidden/>
                <w:rStyle w:val="IndexLink"/>
                <w:rtl w:val="true"/>
              </w:rPr>
              <w:t>الخامس</w:t>
            </w:r>
            <w:r>
              <w:rPr>
                <w:rStyle w:val="IndexLink"/>
                <w:rtl w:val="true"/>
              </w:rPr>
              <w:t xml:space="preserve">: </w:t>
            </w:r>
            <w:r>
              <w:rPr>
                <w:rStyle w:val="IndexLink"/>
                <w:rtl w:val="true"/>
              </w:rPr>
              <w:t>نظرة عاجلة إلی روایات الکتب الأربعة</w:t>
            </w:r>
            <w:r>
              <w:rPr>
                <w:rStyle w:val="IndexLink"/>
                <w:rtl w:val="true"/>
              </w:rPr>
              <w:tab/>
            </w:r>
            <w:r>
              <w:rPr>
                <w:rStyle w:val="IndexLink"/>
              </w:rPr>
              <w:t>102</w:t>
            </w:r>
          </w:hyperlink>
        </w:p>
        <w:p>
          <w:pPr>
            <w:pStyle w:val="Contents3"/>
            <w:tabs>
              <w:tab w:val="clear" w:pos="8459"/>
              <w:tab w:val="right" w:pos="9026" w:leader="dot"/>
            </w:tabs>
            <w:rPr/>
          </w:pPr>
          <w:hyperlink w:anchor="__RefHeading___Toc96050_3244359995">
            <w:r>
              <w:rPr>
                <w:webHidden/>
                <w:rStyle w:val="IndexLink"/>
              </w:rPr>
              <w:t>3</w:t>
            </w:r>
            <w:r>
              <w:rPr>
                <w:rStyle w:val="IndexLink"/>
                <w:rtl w:val="true"/>
              </w:rPr>
              <w:t xml:space="preserve">. </w:t>
            </w:r>
            <w:r>
              <w:rPr>
                <w:rStyle w:val="IndexLink"/>
                <w:rtl w:val="true"/>
              </w:rPr>
              <w:t>فی حکم تعارض الروایات</w:t>
            </w:r>
            <w:r>
              <w:rPr>
                <w:rStyle w:val="IndexLink"/>
                <w:rtl w:val="true"/>
              </w:rPr>
              <w:tab/>
            </w:r>
            <w:r>
              <w:rPr>
                <w:rStyle w:val="IndexLink"/>
              </w:rPr>
              <w:t>104</w:t>
            </w:r>
          </w:hyperlink>
        </w:p>
        <w:p>
          <w:pPr>
            <w:pStyle w:val="Contents4"/>
            <w:tabs>
              <w:tab w:val="clear" w:pos="8176"/>
              <w:tab w:val="right" w:pos="9026" w:leader="dot"/>
            </w:tabs>
            <w:rPr/>
          </w:pPr>
          <w:hyperlink w:anchor="__RefHeading___Toc96052_3244359995">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96054_3244359995">
            <w:r>
              <w:rPr>
                <w:webHidden/>
                <w:rStyle w:val="IndexLink"/>
                <w:rtl w:val="true"/>
              </w:rPr>
              <w:t>الفرق بین التعارض والتزاحم</w:t>
            </w:r>
            <w:r>
              <w:rPr>
                <w:rStyle w:val="IndexLink"/>
                <w:rtl w:val="true"/>
              </w:rPr>
              <w:tab/>
            </w:r>
            <w:r>
              <w:rPr>
                <w:rStyle w:val="IndexLink"/>
              </w:rPr>
              <w:t>105</w:t>
            </w:r>
          </w:hyperlink>
        </w:p>
        <w:p>
          <w:pPr>
            <w:pStyle w:val="Contents5"/>
            <w:tabs>
              <w:tab w:val="clear" w:pos="7892"/>
              <w:tab w:val="right" w:pos="9026" w:leader="dot"/>
            </w:tabs>
            <w:rPr/>
          </w:pPr>
          <w:hyperlink w:anchor="__RefHeading___Toc96056_3244359995">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96058_3244359995">
            <w:r>
              <w:rPr>
                <w:webHidden/>
                <w:rStyle w:val="IndexLink"/>
                <w:rtl w:val="true"/>
              </w:rPr>
              <w:t>المقام الأوّل</w:t>
            </w:r>
            <w:r>
              <w:rPr>
                <w:rStyle w:val="IndexLink"/>
                <w:rtl w:val="true"/>
              </w:rPr>
              <w:t xml:space="preserve">: </w:t>
            </w:r>
            <w:r>
              <w:rPr>
                <w:rStyle w:val="IndexLink"/>
                <w:rtl w:val="true"/>
              </w:rPr>
              <w:t>فی أنحاء التعارضات البدویّة</w:t>
            </w:r>
            <w:r>
              <w:rPr>
                <w:rStyle w:val="IndexLink"/>
                <w:rtl w:val="true"/>
              </w:rPr>
              <w:tab/>
            </w:r>
            <w:r>
              <w:rPr>
                <w:rStyle w:val="IndexLink"/>
              </w:rPr>
              <w:t>106</w:t>
            </w:r>
          </w:hyperlink>
        </w:p>
        <w:p>
          <w:pPr>
            <w:pStyle w:val="Contents6"/>
            <w:tabs>
              <w:tab w:val="clear" w:pos="7609"/>
              <w:tab w:val="right" w:pos="9026" w:leader="dot"/>
            </w:tabs>
            <w:rPr/>
          </w:pPr>
          <w:hyperlink w:anchor="__RefHeading___Toc96060_3244359995">
            <w:r>
              <w:rPr>
                <w:webHidden/>
                <w:rStyle w:val="IndexLink"/>
              </w:rPr>
              <w:t>1</w:t>
            </w:r>
            <w:r>
              <w:rPr>
                <w:rStyle w:val="IndexLink"/>
                <w:rtl w:val="true"/>
              </w:rPr>
              <w:t xml:space="preserve">. </w:t>
            </w:r>
            <w:r>
              <w:rPr>
                <w:rStyle w:val="IndexLink"/>
                <w:rtl w:val="true"/>
              </w:rPr>
              <w:t>التخصیص والتخصّص والحکومة والورود</w:t>
            </w:r>
            <w:r>
              <w:rPr>
                <w:rStyle w:val="IndexLink"/>
                <w:rtl w:val="true"/>
              </w:rPr>
              <w:tab/>
            </w:r>
            <w:r>
              <w:rPr>
                <w:rStyle w:val="IndexLink"/>
              </w:rPr>
              <w:t>106</w:t>
            </w:r>
          </w:hyperlink>
        </w:p>
        <w:p>
          <w:pPr>
            <w:pStyle w:val="Contents6"/>
            <w:tabs>
              <w:tab w:val="clear" w:pos="7609"/>
              <w:tab w:val="right" w:pos="9026" w:leader="dot"/>
            </w:tabs>
            <w:rPr/>
          </w:pPr>
          <w:hyperlink w:anchor="__RefHeading___Toc96062_3244359995">
            <w:r>
              <w:rPr>
                <w:webHidden/>
                <w:rStyle w:val="IndexLink"/>
              </w:rPr>
              <w:t>2</w:t>
            </w:r>
            <w:r>
              <w:rPr>
                <w:rStyle w:val="IndexLink"/>
                <w:rtl w:val="true"/>
              </w:rPr>
              <w:t xml:space="preserve">. </w:t>
            </w:r>
            <w:r>
              <w:rPr>
                <w:rStyle w:val="IndexLink"/>
                <w:rtl w:val="true"/>
              </w:rPr>
              <w:t>عدم التعارض بین أدلّة الأمارات والاصول</w:t>
            </w:r>
            <w:r>
              <w:rPr>
                <w:rStyle w:val="IndexLink"/>
                <w:rtl w:val="true"/>
              </w:rPr>
              <w:tab/>
            </w:r>
            <w:r>
              <w:rPr>
                <w:rStyle w:val="IndexLink"/>
              </w:rPr>
              <w:t>108</w:t>
            </w:r>
          </w:hyperlink>
        </w:p>
        <w:p>
          <w:pPr>
            <w:pStyle w:val="Contents6"/>
            <w:tabs>
              <w:tab w:val="clear" w:pos="7609"/>
              <w:tab w:val="right" w:pos="9026" w:leader="dot"/>
            </w:tabs>
            <w:rPr/>
          </w:pPr>
          <w:hyperlink w:anchor="__RefHeading___Toc96064_3244359995">
            <w:r>
              <w:rPr>
                <w:webHidden/>
                <w:rStyle w:val="IndexLink"/>
              </w:rPr>
              <w:t>3</w:t>
            </w:r>
            <w:r>
              <w:rPr>
                <w:rStyle w:val="IndexLink"/>
                <w:rtl w:val="true"/>
              </w:rPr>
              <w:t xml:space="preserve">. </w:t>
            </w:r>
            <w:r>
              <w:rPr>
                <w:rStyle w:val="IndexLink"/>
                <w:rtl w:val="true"/>
              </w:rPr>
              <w:t>عدم التعارض بین العناوین الأوّلیّة والعناوین الثانویّة</w:t>
            </w:r>
            <w:r>
              <w:rPr>
                <w:rStyle w:val="IndexLink"/>
                <w:rtl w:val="true"/>
              </w:rPr>
              <w:tab/>
            </w:r>
            <w:r>
              <w:rPr>
                <w:rStyle w:val="IndexLink"/>
              </w:rPr>
              <w:t>108</w:t>
            </w:r>
          </w:hyperlink>
        </w:p>
        <w:p>
          <w:pPr>
            <w:pStyle w:val="Contents6"/>
            <w:tabs>
              <w:tab w:val="clear" w:pos="7609"/>
              <w:tab w:val="right" w:pos="9026" w:leader="dot"/>
            </w:tabs>
            <w:rPr/>
          </w:pPr>
          <w:hyperlink w:anchor="__RefHeading___Toc96066_3244359995">
            <w:r>
              <w:rPr>
                <w:webHidden/>
                <w:rStyle w:val="IndexLink"/>
              </w:rPr>
              <w:t>4</w:t>
            </w:r>
            <w:r>
              <w:rPr>
                <w:rStyle w:val="IndexLink"/>
                <w:rtl w:val="true"/>
              </w:rPr>
              <w:t xml:space="preserve">. </w:t>
            </w:r>
            <w:r>
              <w:rPr>
                <w:rStyle w:val="IndexLink"/>
                <w:rtl w:val="true"/>
              </w:rPr>
              <w:t>عدم التعارض فی موارد الجمع العرفی</w:t>
            </w:r>
            <w:r>
              <w:rPr>
                <w:rStyle w:val="IndexLink"/>
                <w:rtl w:val="true"/>
              </w:rPr>
              <w:tab/>
            </w:r>
            <w:r>
              <w:rPr>
                <w:rStyle w:val="IndexLink"/>
              </w:rPr>
              <w:t>110</w:t>
            </w:r>
          </w:hyperlink>
        </w:p>
        <w:p>
          <w:pPr>
            <w:pStyle w:val="Contents6"/>
            <w:tabs>
              <w:tab w:val="clear" w:pos="7609"/>
              <w:tab w:val="right" w:pos="9026" w:leader="dot"/>
            </w:tabs>
            <w:rPr/>
          </w:pPr>
          <w:hyperlink w:anchor="__RefHeading___Toc96068_3244359995">
            <w:r>
              <w:rPr>
                <w:webHidden/>
                <w:rStyle w:val="IndexLink"/>
                <w:rtl w:val="true"/>
              </w:rPr>
              <w:t>الضوابط العامّة للجمع الدلالی العرفی</w:t>
            </w:r>
            <w:r>
              <w:rPr>
                <w:rStyle w:val="IndexLink"/>
                <w:rtl w:val="true"/>
              </w:rPr>
              <w:tab/>
            </w:r>
            <w:r>
              <w:rPr>
                <w:rStyle w:val="IndexLink"/>
              </w:rPr>
              <w:t>111</w:t>
            </w:r>
          </w:hyperlink>
        </w:p>
        <w:p>
          <w:pPr>
            <w:pStyle w:val="Contents6"/>
            <w:tabs>
              <w:tab w:val="clear" w:pos="7609"/>
              <w:tab w:val="right" w:pos="9026" w:leader="dot"/>
            </w:tabs>
            <w:rPr/>
          </w:pPr>
          <w:hyperlink w:anchor="__RefHeading___Toc96070_3244359995">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96072_3244359995">
            <w:r>
              <w:rPr>
                <w:webHidden/>
                <w:rStyle w:val="IndexLink"/>
              </w:rPr>
              <w:t>1</w:t>
            </w:r>
            <w:r>
              <w:rPr>
                <w:rStyle w:val="IndexLink"/>
                <w:rtl w:val="true"/>
              </w:rPr>
              <w:t xml:space="preserve">. </w:t>
            </w:r>
            <w:r>
              <w:rPr>
                <w:rStyle w:val="IndexLink"/>
                <w:rtl w:val="true"/>
              </w:rPr>
              <w:t>تعارض العامّ مع المطلق</w:t>
            </w:r>
            <w:r>
              <w:rPr>
                <w:rStyle w:val="IndexLink"/>
                <w:rtl w:val="true"/>
              </w:rPr>
              <w:tab/>
            </w:r>
            <w:r>
              <w:rPr>
                <w:rStyle w:val="IndexLink"/>
              </w:rPr>
              <w:t>112</w:t>
            </w:r>
          </w:hyperlink>
        </w:p>
        <w:p>
          <w:pPr>
            <w:pStyle w:val="Contents6"/>
            <w:tabs>
              <w:tab w:val="clear" w:pos="7609"/>
              <w:tab w:val="right" w:pos="9026" w:leader="dot"/>
            </w:tabs>
            <w:rPr/>
          </w:pPr>
          <w:hyperlink w:anchor="__RefHeading___Toc96074_3244359995">
            <w:r>
              <w:rPr>
                <w:webHidden/>
                <w:rStyle w:val="IndexLink"/>
              </w:rPr>
              <w:t>2</w:t>
            </w:r>
            <w:r>
              <w:rPr>
                <w:rStyle w:val="IndexLink"/>
                <w:rtl w:val="true"/>
              </w:rPr>
              <w:t xml:space="preserve">. </w:t>
            </w:r>
            <w:r>
              <w:rPr>
                <w:rStyle w:val="IndexLink"/>
                <w:rtl w:val="true"/>
              </w:rPr>
              <w:t>تعارض الإطلاق الشمولی مع الإطلاق البدلی</w:t>
            </w:r>
            <w:r>
              <w:rPr>
                <w:rStyle w:val="IndexLink"/>
                <w:rtl w:val="true"/>
              </w:rPr>
              <w:tab/>
            </w:r>
            <w:r>
              <w:rPr>
                <w:rStyle w:val="IndexLink"/>
              </w:rPr>
              <w:t>113</w:t>
            </w:r>
          </w:hyperlink>
        </w:p>
        <w:p>
          <w:pPr>
            <w:pStyle w:val="Contents6"/>
            <w:tabs>
              <w:tab w:val="clear" w:pos="7609"/>
              <w:tab w:val="right" w:pos="9026" w:leader="dot"/>
            </w:tabs>
            <w:rPr/>
          </w:pPr>
          <w:hyperlink w:anchor="__RefHeading___Toc96076_3244359995">
            <w:r>
              <w:rPr>
                <w:webHidden/>
                <w:rStyle w:val="IndexLink"/>
              </w:rPr>
              <w:t>3</w:t>
            </w:r>
            <w:r>
              <w:rPr>
                <w:rStyle w:val="IndexLink"/>
                <w:rtl w:val="true"/>
              </w:rPr>
              <w:t xml:space="preserve">. </w:t>
            </w:r>
            <w:r>
              <w:rPr>
                <w:rStyle w:val="IndexLink"/>
                <w:rtl w:val="true"/>
              </w:rPr>
              <w:t>دوران الأمر بین النسخ والتخصیص</w:t>
            </w:r>
            <w:r>
              <w:rPr>
                <w:rStyle w:val="IndexLink"/>
                <w:rtl w:val="true"/>
              </w:rPr>
              <w:tab/>
            </w:r>
            <w:r>
              <w:rPr>
                <w:rStyle w:val="IndexLink"/>
              </w:rPr>
              <w:t>113</w:t>
            </w:r>
          </w:hyperlink>
        </w:p>
        <w:p>
          <w:pPr>
            <w:pStyle w:val="Contents6"/>
            <w:tabs>
              <w:tab w:val="clear" w:pos="7609"/>
              <w:tab w:val="right" w:pos="9026" w:leader="dot"/>
            </w:tabs>
            <w:rPr/>
          </w:pPr>
          <w:hyperlink w:anchor="__RefHeading___Toc96078_3244359995">
            <w:r>
              <w:rPr>
                <w:webHidden/>
                <w:rStyle w:val="IndexLink"/>
                <w:rtl w:val="true"/>
              </w:rPr>
              <w:t>بقی شی‌ء</w:t>
            </w:r>
            <w:r>
              <w:rPr>
                <w:rStyle w:val="IndexLink"/>
                <w:rtl w:val="true"/>
              </w:rPr>
              <w:tab/>
            </w:r>
            <w:r>
              <w:rPr>
                <w:rStyle w:val="IndexLink"/>
              </w:rPr>
              <w:t>115</w:t>
            </w:r>
          </w:hyperlink>
        </w:p>
        <w:p>
          <w:pPr>
            <w:pStyle w:val="Contents6"/>
            <w:tabs>
              <w:tab w:val="clear" w:pos="7609"/>
              <w:tab w:val="right" w:pos="9026" w:leader="dot"/>
            </w:tabs>
            <w:rPr/>
          </w:pPr>
          <w:hyperlink w:anchor="__RefHeading___Toc96080_3244359995">
            <w:r>
              <w:rPr>
                <w:webHidden/>
                <w:rStyle w:val="IndexLink"/>
              </w:rPr>
              <w:t>4</w:t>
            </w:r>
            <w:r>
              <w:rPr>
                <w:rStyle w:val="IndexLink"/>
                <w:rtl w:val="true"/>
              </w:rPr>
              <w:t xml:space="preserve">. </w:t>
            </w:r>
            <w:r>
              <w:rPr>
                <w:rStyle w:val="IndexLink"/>
                <w:rtl w:val="true"/>
              </w:rPr>
              <w:t>دوران الأمر بین التصرّف فی منطوق أحد الخبرین ومفهوم الآخر</w:t>
            </w:r>
            <w:r>
              <w:rPr>
                <w:rStyle w:val="IndexLink"/>
                <w:rtl w:val="true"/>
              </w:rPr>
              <w:tab/>
            </w:r>
            <w:r>
              <w:rPr>
                <w:rStyle w:val="IndexLink"/>
              </w:rPr>
              <w:t>117</w:t>
            </w:r>
          </w:hyperlink>
        </w:p>
        <w:p>
          <w:pPr>
            <w:pStyle w:val="Contents6"/>
            <w:tabs>
              <w:tab w:val="clear" w:pos="7609"/>
              <w:tab w:val="right" w:pos="9026" w:leader="dot"/>
            </w:tabs>
            <w:rPr/>
          </w:pPr>
          <w:hyperlink w:anchor="__RefHeading___Toc96082_3244359995">
            <w:r>
              <w:rPr>
                <w:webHidden/>
                <w:rStyle w:val="IndexLink"/>
              </w:rPr>
              <w:t>5</w:t>
            </w:r>
            <w:r>
              <w:rPr>
                <w:rStyle w:val="IndexLink"/>
                <w:rtl w:val="true"/>
              </w:rPr>
              <w:t xml:space="preserve">. </w:t>
            </w:r>
            <w:r>
              <w:rPr>
                <w:rStyle w:val="IndexLink"/>
                <w:rtl w:val="true"/>
              </w:rPr>
              <w:t>دوران الأمر بین التخصیص والمجاز</w:t>
            </w:r>
            <w:r>
              <w:rPr>
                <w:rStyle w:val="IndexLink"/>
                <w:rtl w:val="true"/>
              </w:rPr>
              <w:tab/>
            </w:r>
            <w:r>
              <w:rPr>
                <w:rStyle w:val="IndexLink"/>
              </w:rPr>
              <w:t>117</w:t>
            </w:r>
          </w:hyperlink>
        </w:p>
        <w:p>
          <w:pPr>
            <w:pStyle w:val="Contents5"/>
            <w:tabs>
              <w:tab w:val="clear" w:pos="7892"/>
              <w:tab w:val="right" w:pos="9026" w:leader="dot"/>
            </w:tabs>
            <w:rPr/>
          </w:pPr>
          <w:hyperlink w:anchor="__RefHeading___Toc96084_3244359995">
            <w:r>
              <w:rPr>
                <w:webHidden/>
                <w:rStyle w:val="IndexLink"/>
                <w:rtl w:val="true"/>
              </w:rPr>
              <w:t>المقام الثانی</w:t>
            </w:r>
            <w:r>
              <w:rPr>
                <w:rStyle w:val="IndexLink"/>
                <w:rtl w:val="true"/>
              </w:rPr>
              <w:t xml:space="preserve">: </w:t>
            </w:r>
            <w:r>
              <w:rPr>
                <w:rStyle w:val="IndexLink"/>
                <w:rtl w:val="true"/>
              </w:rPr>
              <w:t>فی التعارض الحقیقی</w:t>
            </w:r>
            <w:r>
              <w:rPr>
                <w:rStyle w:val="IndexLink"/>
                <w:rtl w:val="true"/>
              </w:rPr>
              <w:tab/>
            </w:r>
            <w:r>
              <w:rPr>
                <w:rStyle w:val="IndexLink"/>
              </w:rPr>
              <w:t>118</w:t>
            </w:r>
          </w:hyperlink>
        </w:p>
        <w:p>
          <w:pPr>
            <w:pStyle w:val="Contents6"/>
            <w:tabs>
              <w:tab w:val="clear" w:pos="7609"/>
              <w:tab w:val="right" w:pos="9026" w:leader="dot"/>
            </w:tabs>
            <w:rPr/>
          </w:pPr>
          <w:hyperlink w:anchor="__RefHeading___Toc96086_3244359995">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96088_3244359995">
            <w:r>
              <w:rPr>
                <w:webHidden/>
                <w:rStyle w:val="IndexLink"/>
                <w:rtl w:val="true"/>
              </w:rPr>
              <w:t>الجهة الاولی</w:t>
            </w:r>
            <w:r>
              <w:rPr>
                <w:rStyle w:val="IndexLink"/>
                <w:rtl w:val="true"/>
              </w:rPr>
              <w:t xml:space="preserve">: </w:t>
            </w:r>
            <w:r>
              <w:rPr>
                <w:rStyle w:val="IndexLink"/>
                <w:rtl w:val="true"/>
              </w:rPr>
              <w:t>مقتضی الأصل الأوّلی فی المتعارضین</w:t>
            </w:r>
            <w:r>
              <w:rPr>
                <w:rStyle w:val="IndexLink"/>
                <w:rtl w:val="true"/>
              </w:rPr>
              <w:tab/>
            </w:r>
            <w:r>
              <w:rPr>
                <w:rStyle w:val="IndexLink"/>
              </w:rPr>
              <w:t>119</w:t>
            </w:r>
          </w:hyperlink>
        </w:p>
        <w:p>
          <w:pPr>
            <w:pStyle w:val="Contents6"/>
            <w:tabs>
              <w:tab w:val="clear" w:pos="7609"/>
              <w:tab w:val="right" w:pos="9026" w:leader="dot"/>
            </w:tabs>
            <w:rPr/>
          </w:pPr>
          <w:hyperlink w:anchor="__RefHeading___Toc96090_3244359995">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96092_3244359995">
            <w:r>
              <w:rPr>
                <w:webHidden/>
                <w:rStyle w:val="IndexLink"/>
                <w:rtl w:val="true"/>
              </w:rPr>
              <w:t>التفصیل بین المبانی فی القول بالتساقط أو التخییر</w:t>
            </w:r>
            <w:r>
              <w:rPr>
                <w:rStyle w:val="IndexLink"/>
                <w:rtl w:val="true"/>
              </w:rPr>
              <w:tab/>
            </w:r>
            <w:r>
              <w:rPr>
                <w:rStyle w:val="IndexLink"/>
              </w:rPr>
              <w:t>120</w:t>
            </w:r>
          </w:hyperlink>
        </w:p>
        <w:p>
          <w:pPr>
            <w:pStyle w:val="Contents6"/>
            <w:tabs>
              <w:tab w:val="clear" w:pos="7609"/>
              <w:tab w:val="right" w:pos="9026" w:leader="dot"/>
            </w:tabs>
            <w:rPr/>
          </w:pPr>
          <w:hyperlink w:anchor="__RefHeading___Toc96094_3244359995">
            <w:r>
              <w:rPr>
                <w:webHidden/>
                <w:rStyle w:val="IndexLink"/>
                <w:rtl w:val="true"/>
              </w:rPr>
              <w:t>عدم دلالة المتعارضین علی نفی الثالث</w:t>
            </w:r>
            <w:r>
              <w:rPr>
                <w:rStyle w:val="IndexLink"/>
                <w:rtl w:val="true"/>
              </w:rPr>
              <w:tab/>
            </w:r>
            <w:r>
              <w:rPr>
                <w:rStyle w:val="IndexLink"/>
              </w:rPr>
              <w:t>123</w:t>
            </w:r>
          </w:hyperlink>
        </w:p>
        <w:p>
          <w:pPr>
            <w:pStyle w:val="Contents6"/>
            <w:tabs>
              <w:tab w:val="clear" w:pos="7609"/>
              <w:tab w:val="right" w:pos="9026" w:leader="dot"/>
            </w:tabs>
            <w:rPr/>
          </w:pPr>
          <w:hyperlink w:anchor="__RefHeading___Toc96096_3244359995">
            <w:r>
              <w:rPr>
                <w:webHidden/>
                <w:rStyle w:val="IndexLink"/>
                <w:rtl w:val="true"/>
              </w:rPr>
              <w:t>الجهة الثانیة</w:t>
            </w:r>
            <w:r>
              <w:rPr>
                <w:rStyle w:val="IndexLink"/>
                <w:rtl w:val="true"/>
              </w:rPr>
              <w:t xml:space="preserve">: </w:t>
            </w:r>
            <w:r>
              <w:rPr>
                <w:rStyle w:val="IndexLink"/>
                <w:rtl w:val="true"/>
              </w:rPr>
              <w:t>مقتضی الأصل الثانوی فی المتعارضین</w:t>
            </w:r>
            <w:r>
              <w:rPr>
                <w:rStyle w:val="IndexLink"/>
                <w:rtl w:val="true"/>
              </w:rPr>
              <w:tab/>
            </w:r>
            <w:r>
              <w:rPr>
                <w:rStyle w:val="IndexLink"/>
              </w:rPr>
              <w:t>124</w:t>
            </w:r>
          </w:hyperlink>
        </w:p>
        <w:p>
          <w:pPr>
            <w:pStyle w:val="Contents6"/>
            <w:tabs>
              <w:tab w:val="clear" w:pos="7609"/>
              <w:tab w:val="right" w:pos="9026" w:leader="dot"/>
            </w:tabs>
            <w:rPr/>
          </w:pPr>
          <w:hyperlink w:anchor="__RefHeading___Toc96098_3244359995">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96100_3244359995">
            <w:r>
              <w:rPr>
                <w:webHidden/>
                <w:rStyle w:val="IndexLink"/>
                <w:rtl w:val="true"/>
              </w:rPr>
              <w:t>الأمر الأوّل</w:t>
            </w:r>
            <w:r>
              <w:rPr>
                <w:rStyle w:val="IndexLink"/>
                <w:rtl w:val="true"/>
              </w:rPr>
              <w:t xml:space="preserve">: </w:t>
            </w:r>
            <w:r>
              <w:rPr>
                <w:rStyle w:val="IndexLink"/>
                <w:rtl w:val="true"/>
              </w:rPr>
              <w:t>فی أخبار التعادل</w:t>
            </w:r>
            <w:r>
              <w:rPr>
                <w:rStyle w:val="IndexLink"/>
                <w:rtl w:val="true"/>
              </w:rPr>
              <w:tab/>
            </w:r>
            <w:r>
              <w:rPr>
                <w:rStyle w:val="IndexLink"/>
              </w:rPr>
              <w:t>125</w:t>
            </w:r>
          </w:hyperlink>
        </w:p>
        <w:p>
          <w:pPr>
            <w:pStyle w:val="Contents6"/>
            <w:tabs>
              <w:tab w:val="clear" w:pos="7609"/>
              <w:tab w:val="right" w:pos="9026" w:leader="dot"/>
            </w:tabs>
            <w:rPr/>
          </w:pPr>
          <w:hyperlink w:anchor="__RefHeading___Toc96102_3244359995">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96104_3244359995">
            <w:r>
              <w:rPr>
                <w:webHidden/>
                <w:rStyle w:val="IndexLink"/>
              </w:rPr>
              <w:t>1</w:t>
            </w:r>
            <w:r>
              <w:rPr>
                <w:rStyle w:val="IndexLink"/>
                <w:rtl w:val="true"/>
              </w:rPr>
              <w:t xml:space="preserve">. </w:t>
            </w:r>
            <w:r>
              <w:rPr>
                <w:rStyle w:val="IndexLink"/>
                <w:rtl w:val="true"/>
              </w:rPr>
              <w:t>ما یدلّ علی التخییر</w:t>
            </w:r>
            <w:r>
              <w:rPr>
                <w:rStyle w:val="IndexLink"/>
                <w:rtl w:val="true"/>
              </w:rPr>
              <w:tab/>
            </w:r>
            <w:r>
              <w:rPr>
                <w:rStyle w:val="IndexLink"/>
              </w:rPr>
              <w:t>125</w:t>
            </w:r>
          </w:hyperlink>
        </w:p>
        <w:p>
          <w:pPr>
            <w:pStyle w:val="Contents6"/>
            <w:tabs>
              <w:tab w:val="clear" w:pos="7609"/>
              <w:tab w:val="right" w:pos="9026" w:leader="dot"/>
            </w:tabs>
            <w:rPr/>
          </w:pPr>
          <w:hyperlink w:anchor="__RefHeading___Toc96106_3244359995">
            <w:r>
              <w:rPr>
                <w:webHidden/>
                <w:rStyle w:val="IndexLink"/>
              </w:rPr>
              <w:t>2</w:t>
            </w:r>
            <w:r>
              <w:rPr>
                <w:rStyle w:val="IndexLink"/>
                <w:rtl w:val="true"/>
              </w:rPr>
              <w:t xml:space="preserve">. </w:t>
            </w:r>
            <w:r>
              <w:rPr>
                <w:rStyle w:val="IndexLink"/>
                <w:rtl w:val="true"/>
              </w:rPr>
              <w:t>ما یدلّ علی التوقّف والاحتیاط</w:t>
            </w:r>
            <w:r>
              <w:rPr>
                <w:rStyle w:val="IndexLink"/>
                <w:rtl w:val="true"/>
              </w:rPr>
              <w:tab/>
            </w:r>
            <w:r>
              <w:rPr>
                <w:rStyle w:val="IndexLink"/>
              </w:rPr>
              <w:t>127</w:t>
            </w:r>
          </w:hyperlink>
        </w:p>
        <w:p>
          <w:pPr>
            <w:pStyle w:val="Contents6"/>
            <w:tabs>
              <w:tab w:val="clear" w:pos="7609"/>
              <w:tab w:val="right" w:pos="9026" w:leader="dot"/>
            </w:tabs>
            <w:rPr/>
          </w:pPr>
          <w:hyperlink w:anchor="__RefHeading___Toc96108_3244359995">
            <w:r>
              <w:rPr>
                <w:webHidden/>
                <w:rStyle w:val="IndexLink"/>
                <w:rtl w:val="true"/>
              </w:rPr>
              <w:t>الأمر الثانی</w:t>
            </w:r>
            <w:r>
              <w:rPr>
                <w:rStyle w:val="IndexLink"/>
                <w:rtl w:val="true"/>
              </w:rPr>
              <w:t xml:space="preserve">: </w:t>
            </w:r>
            <w:r>
              <w:rPr>
                <w:rStyle w:val="IndexLink"/>
                <w:rtl w:val="true"/>
              </w:rPr>
              <w:t>فی أخبار الترجیح</w:t>
            </w:r>
            <w:r>
              <w:rPr>
                <w:rStyle w:val="IndexLink"/>
                <w:rtl w:val="true"/>
              </w:rPr>
              <w:tab/>
            </w:r>
            <w:r>
              <w:rPr>
                <w:rStyle w:val="IndexLink"/>
              </w:rPr>
              <w:t>132</w:t>
            </w:r>
          </w:hyperlink>
        </w:p>
        <w:p>
          <w:pPr>
            <w:pStyle w:val="Contents6"/>
            <w:tabs>
              <w:tab w:val="clear" w:pos="7609"/>
              <w:tab w:val="right" w:pos="9026" w:leader="dot"/>
            </w:tabs>
            <w:rPr/>
          </w:pPr>
          <w:hyperlink w:anchor="__RefHeading___Toc96110_3244359995">
            <w:r>
              <w:rPr>
                <w:webHidden/>
                <w:rStyle w:val="IndexLink"/>
                <w:rtl w:val="true"/>
              </w:rPr>
              <w:t>نتیجة الجمع بین روایات الترجیح</w:t>
            </w:r>
            <w:r>
              <w:rPr>
                <w:rStyle w:val="IndexLink"/>
                <w:rtl w:val="true"/>
              </w:rPr>
              <w:tab/>
            </w:r>
            <w:r>
              <w:rPr>
                <w:rStyle w:val="IndexLink"/>
              </w:rPr>
              <w:t>141</w:t>
            </w:r>
          </w:hyperlink>
        </w:p>
        <w:p>
          <w:pPr>
            <w:pStyle w:val="Contents6"/>
            <w:tabs>
              <w:tab w:val="clear" w:pos="7609"/>
              <w:tab w:val="right" w:pos="9026" w:leader="dot"/>
            </w:tabs>
            <w:rPr/>
          </w:pPr>
          <w:hyperlink w:anchor="__RefHeading___Toc96112_3244359995">
            <w:r>
              <w:rPr>
                <w:webHidden/>
                <w:rStyle w:val="IndexLink"/>
                <w:rtl w:val="true"/>
              </w:rPr>
              <w:t>بقی هنا امور</w:t>
            </w:r>
            <w:r>
              <w:rPr>
                <w:rStyle w:val="IndexLink"/>
                <w:rtl w:val="true"/>
              </w:rPr>
              <w:t>:</w:t>
              <w:tab/>
            </w:r>
            <w:r>
              <w:rPr>
                <w:rStyle w:val="IndexLink"/>
              </w:rPr>
              <w:t>142</w:t>
            </w:r>
          </w:hyperlink>
        </w:p>
        <w:p>
          <w:pPr>
            <w:pStyle w:val="Contents6"/>
            <w:tabs>
              <w:tab w:val="clear" w:pos="7609"/>
              <w:tab w:val="right" w:pos="9026" w:leader="dot"/>
            </w:tabs>
            <w:rPr/>
          </w:pPr>
          <w:hyperlink w:anchor="__RefHeading___Toc96114_3244359995">
            <w:r>
              <w:rPr>
                <w:webHidden/>
                <w:rStyle w:val="IndexLink"/>
              </w:rPr>
              <w:t>1</w:t>
            </w:r>
            <w:r>
              <w:rPr>
                <w:rStyle w:val="IndexLink"/>
                <w:rtl w:val="true"/>
              </w:rPr>
              <w:t xml:space="preserve">. </w:t>
            </w:r>
            <w:r>
              <w:rPr>
                <w:rStyle w:val="IndexLink"/>
                <w:rtl w:val="true"/>
              </w:rPr>
              <w:t>لزوم الاقتصار علی المرجّحات المنصوصة وعدمه</w:t>
            </w:r>
            <w:r>
              <w:rPr>
                <w:rStyle w:val="IndexLink"/>
                <w:rtl w:val="true"/>
              </w:rPr>
              <w:tab/>
            </w:r>
            <w:r>
              <w:rPr>
                <w:rStyle w:val="IndexLink"/>
              </w:rPr>
              <w:t>142</w:t>
            </w:r>
          </w:hyperlink>
        </w:p>
        <w:p>
          <w:pPr>
            <w:pStyle w:val="Contents6"/>
            <w:tabs>
              <w:tab w:val="clear" w:pos="7609"/>
              <w:tab w:val="right" w:pos="9026" w:leader="dot"/>
            </w:tabs>
            <w:rPr/>
          </w:pPr>
          <w:hyperlink w:anchor="__RefHeading___Toc96116_3244359995">
            <w:r>
              <w:rPr>
                <w:webHidden/>
                <w:rStyle w:val="IndexLink"/>
              </w:rPr>
              <w:t>2</w:t>
            </w:r>
            <w:r>
              <w:rPr>
                <w:rStyle w:val="IndexLink"/>
                <w:rtl w:val="true"/>
              </w:rPr>
              <w:t xml:space="preserve">. </w:t>
            </w:r>
            <w:r>
              <w:rPr>
                <w:rStyle w:val="IndexLink"/>
                <w:rtl w:val="true"/>
              </w:rPr>
              <w:t>أقسام الشهرة وکیفیة الترجیح بها</w:t>
            </w:r>
            <w:r>
              <w:rPr>
                <w:rStyle w:val="IndexLink"/>
                <w:rtl w:val="true"/>
              </w:rPr>
              <w:tab/>
            </w:r>
            <w:r>
              <w:rPr>
                <w:rStyle w:val="IndexLink"/>
              </w:rPr>
              <w:t>142</w:t>
            </w:r>
          </w:hyperlink>
        </w:p>
        <w:p>
          <w:pPr>
            <w:pStyle w:val="Contents6"/>
            <w:tabs>
              <w:tab w:val="clear" w:pos="7609"/>
              <w:tab w:val="right" w:pos="9026" w:leader="dot"/>
            </w:tabs>
            <w:rPr/>
          </w:pPr>
          <w:hyperlink w:anchor="__RefHeading___Toc96118_3244359995">
            <w:r>
              <w:rPr>
                <w:webHidden/>
                <w:rStyle w:val="IndexLink"/>
              </w:rPr>
              <w:t>3</w:t>
            </w:r>
            <w:r>
              <w:rPr>
                <w:rStyle w:val="IndexLink"/>
                <w:rtl w:val="true"/>
              </w:rPr>
              <w:t xml:space="preserve">. </w:t>
            </w:r>
            <w:r>
              <w:rPr>
                <w:rStyle w:val="IndexLink"/>
                <w:rtl w:val="true"/>
              </w:rPr>
              <w:t>لماذا تکون مخالفة العامّة من المرجّحات؟</w:t>
            </w:r>
            <w:r>
              <w:rPr>
                <w:rStyle w:val="IndexLink"/>
                <w:rtl w:val="true"/>
              </w:rPr>
              <w:tab/>
            </w:r>
            <w:r>
              <w:rPr>
                <w:rStyle w:val="IndexLink"/>
              </w:rPr>
              <w:t>144</w:t>
            </w:r>
          </w:hyperlink>
        </w:p>
        <w:p>
          <w:pPr>
            <w:pStyle w:val="Contents6"/>
            <w:tabs>
              <w:tab w:val="clear" w:pos="7609"/>
              <w:tab w:val="right" w:pos="9026" w:leader="dot"/>
            </w:tabs>
            <w:rPr/>
          </w:pPr>
          <w:hyperlink w:anchor="__RefHeading___Toc96120_3244359995">
            <w:r>
              <w:rPr>
                <w:webHidden/>
                <w:rStyle w:val="IndexLink"/>
                <w:rtl w:val="true"/>
              </w:rPr>
              <w:t>الجهة الثالثة</w:t>
            </w:r>
            <w:r>
              <w:rPr>
                <w:rStyle w:val="IndexLink"/>
                <w:rtl w:val="true"/>
              </w:rPr>
              <w:t xml:space="preserve">: </w:t>
            </w:r>
            <w:r>
              <w:rPr>
                <w:rStyle w:val="IndexLink"/>
                <w:rtl w:val="true"/>
              </w:rPr>
              <w:t>فی ترتیب المرجّحات</w:t>
            </w:r>
            <w:r>
              <w:rPr>
                <w:rStyle w:val="IndexLink"/>
                <w:rtl w:val="true"/>
              </w:rPr>
              <w:tab/>
            </w:r>
            <w:r>
              <w:rPr>
                <w:rStyle w:val="IndexLink"/>
              </w:rPr>
              <w:t>146</w:t>
            </w:r>
          </w:hyperlink>
        </w:p>
        <w:p>
          <w:pPr>
            <w:pStyle w:val="Contents6"/>
            <w:tabs>
              <w:tab w:val="clear" w:pos="7609"/>
              <w:tab w:val="right" w:pos="9026" w:leader="dot"/>
            </w:tabs>
            <w:rPr/>
          </w:pPr>
          <w:hyperlink w:anchor="__RefHeading___Toc96122_3244359995">
            <w:r>
              <w:rPr>
                <w:webHidden/>
                <w:rStyle w:val="IndexLink"/>
                <w:rtl w:val="true"/>
              </w:rPr>
              <w:t>الجهة الرابعة</w:t>
            </w:r>
            <w:r>
              <w:rPr>
                <w:rStyle w:val="IndexLink"/>
                <w:rtl w:val="true"/>
              </w:rPr>
              <w:t xml:space="preserve">: </w:t>
            </w:r>
            <w:r>
              <w:rPr>
                <w:rStyle w:val="IndexLink"/>
                <w:rtl w:val="true"/>
              </w:rPr>
              <w:t>فی المرجّحات الخارجیّة</w:t>
            </w:r>
            <w:r>
              <w:rPr>
                <w:rStyle w:val="IndexLink"/>
                <w:rtl w:val="true"/>
              </w:rPr>
              <w:tab/>
            </w:r>
            <w:r>
              <w:rPr>
                <w:rStyle w:val="IndexLink"/>
              </w:rPr>
              <w:t>147</w:t>
            </w:r>
          </w:hyperlink>
        </w:p>
        <w:p>
          <w:pPr>
            <w:pStyle w:val="Contents6"/>
            <w:tabs>
              <w:tab w:val="clear" w:pos="7609"/>
              <w:tab w:val="right" w:pos="9026" w:leader="dot"/>
            </w:tabs>
            <w:rPr/>
          </w:pPr>
          <w:hyperlink w:anchor="__RefHeading___Toc96124_3244359995">
            <w:r>
              <w:rPr>
                <w:webHidden/>
                <w:rStyle w:val="IndexLink"/>
                <w:rtl w:val="true"/>
              </w:rPr>
              <w:t>الجهة الخامسة</w:t>
            </w:r>
            <w:r>
              <w:rPr>
                <w:rStyle w:val="IndexLink"/>
                <w:rtl w:val="true"/>
              </w:rPr>
              <w:t xml:space="preserve">: </w:t>
            </w:r>
            <w:r>
              <w:rPr>
                <w:rStyle w:val="IndexLink"/>
                <w:rtl w:val="true"/>
              </w:rPr>
              <w:t>فی انقلاب النسبة</w:t>
            </w:r>
            <w:r>
              <w:rPr>
                <w:rStyle w:val="IndexLink"/>
                <w:rtl w:val="true"/>
              </w:rPr>
              <w:tab/>
            </w:r>
            <w:r>
              <w:rPr>
                <w:rStyle w:val="IndexLink"/>
              </w:rPr>
              <w:t>148</w:t>
            </w:r>
          </w:hyperlink>
        </w:p>
        <w:p>
          <w:pPr>
            <w:pStyle w:val="Contents6"/>
            <w:tabs>
              <w:tab w:val="clear" w:pos="7609"/>
              <w:tab w:val="right" w:pos="9026" w:leader="dot"/>
            </w:tabs>
            <w:rPr/>
          </w:pPr>
          <w:hyperlink w:anchor="__RefHeading___Toc96126_3244359995">
            <w:r>
              <w:rPr>
                <w:webHidden/>
                <w:rStyle w:val="IndexLink"/>
                <w:rtl w:val="true"/>
              </w:rPr>
              <w:t>الجهة السادسة</w:t>
            </w:r>
            <w:r>
              <w:rPr>
                <w:rStyle w:val="IndexLink"/>
                <w:rtl w:val="true"/>
              </w:rPr>
              <w:t xml:space="preserve">: </w:t>
            </w:r>
            <w:r>
              <w:rPr>
                <w:rStyle w:val="IndexLink"/>
                <w:rtl w:val="true"/>
              </w:rPr>
              <w:t>فی التعارض بین العامّین من وجه</w:t>
            </w:r>
            <w:r>
              <w:rPr>
                <w:rStyle w:val="IndexLink"/>
                <w:rtl w:val="true"/>
              </w:rPr>
              <w:tab/>
            </w:r>
            <w:r>
              <w:rPr>
                <w:rStyle w:val="IndexLink"/>
              </w:rPr>
              <w:t>150</w:t>
            </w:r>
          </w:hyperlink>
        </w:p>
        <w:p>
          <w:pPr>
            <w:pStyle w:val="Contents2"/>
            <w:tabs>
              <w:tab w:val="clear" w:pos="8743"/>
              <w:tab w:val="right" w:pos="9026" w:leader="dot"/>
            </w:tabs>
            <w:rPr/>
          </w:pPr>
          <w:hyperlink w:anchor="__RefHeading___Toc96128_3244359995">
            <w:r>
              <w:rPr>
                <w:webHidden/>
                <w:rStyle w:val="IndexLink"/>
                <w:rtl w:val="true"/>
              </w:rPr>
              <w:t>تذییل</w:t>
            </w:r>
            <w:r>
              <w:rPr>
                <w:rStyle w:val="IndexLink"/>
                <w:rtl w:val="true"/>
              </w:rPr>
              <w:t xml:space="preserve">: </w:t>
            </w:r>
            <w:r>
              <w:rPr>
                <w:rStyle w:val="IndexLink"/>
                <w:rtl w:val="true"/>
              </w:rPr>
              <w:t>حول الألفاظ الواردة فی الکتاب والسنة</w:t>
            </w:r>
            <w:r>
              <w:rPr>
                <w:rStyle w:val="IndexLink"/>
                <w:rtl w:val="true"/>
              </w:rPr>
              <w:tab/>
            </w:r>
            <w:r>
              <w:rPr>
                <w:rStyle w:val="IndexLink"/>
              </w:rPr>
              <w:t>152</w:t>
            </w:r>
          </w:hyperlink>
        </w:p>
        <w:p>
          <w:pPr>
            <w:pStyle w:val="Contents3"/>
            <w:tabs>
              <w:tab w:val="clear" w:pos="8459"/>
              <w:tab w:val="right" w:pos="9026" w:leader="dot"/>
            </w:tabs>
            <w:rPr/>
          </w:pPr>
          <w:hyperlink w:anchor="__RefHeading___Toc96130_3244359995">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96132_3244359995">
            <w:r>
              <w:rPr>
                <w:webHidden/>
                <w:rStyle w:val="IndexLink"/>
                <w:rtl w:val="true"/>
              </w:rPr>
              <w:t>تمهید</w:t>
            </w:r>
            <w:r>
              <w:rPr>
                <w:rStyle w:val="IndexLink"/>
                <w:rtl w:val="true"/>
              </w:rPr>
              <w:tab/>
            </w:r>
            <w:r>
              <w:rPr>
                <w:rStyle w:val="IndexLink"/>
              </w:rPr>
              <w:t>153</w:t>
            </w:r>
          </w:hyperlink>
        </w:p>
        <w:p>
          <w:pPr>
            <w:pStyle w:val="Contents3"/>
            <w:tabs>
              <w:tab w:val="clear" w:pos="8459"/>
              <w:tab w:val="right" w:pos="9026" w:leader="dot"/>
            </w:tabs>
            <w:rPr/>
          </w:pPr>
          <w:hyperlink w:anchor="__RefHeading___Toc96134_3244359995">
            <w:r>
              <w:rPr>
                <w:webHidden/>
                <w:rStyle w:val="IndexLink"/>
                <w:rtl w:val="true"/>
              </w:rPr>
              <w:t>الفصل الأول</w:t>
            </w:r>
            <w:r>
              <w:rPr>
                <w:rStyle w:val="IndexLink"/>
                <w:rtl w:val="true"/>
              </w:rPr>
              <w:t xml:space="preserve">: </w:t>
            </w:r>
            <w:r>
              <w:rPr>
                <w:rStyle w:val="IndexLink"/>
                <w:rtl w:val="true"/>
              </w:rPr>
              <w:t>حجیة قول اللغوی</w:t>
            </w:r>
            <w:r>
              <w:rPr>
                <w:rStyle w:val="IndexLink"/>
                <w:rtl w:val="true"/>
              </w:rPr>
              <w:tab/>
            </w:r>
            <w:r>
              <w:rPr>
                <w:rStyle w:val="IndexLink"/>
              </w:rPr>
              <w:t>155</w:t>
            </w:r>
          </w:hyperlink>
        </w:p>
        <w:p>
          <w:pPr>
            <w:pStyle w:val="Contents3"/>
            <w:tabs>
              <w:tab w:val="clear" w:pos="8459"/>
              <w:tab w:val="right" w:pos="9026" w:leader="dot"/>
            </w:tabs>
            <w:rPr/>
          </w:pPr>
          <w:hyperlink w:anchor="__RefHeading___Toc96136_3244359995">
            <w:r>
              <w:rPr>
                <w:webHidden/>
                <w:rStyle w:val="IndexLink"/>
                <w:rtl w:val="true"/>
              </w:rPr>
              <w:t>الفصل الثانی</w:t>
            </w:r>
            <w:r>
              <w:rPr>
                <w:rStyle w:val="IndexLink"/>
                <w:rtl w:val="true"/>
              </w:rPr>
              <w:t xml:space="preserve">: </w:t>
            </w:r>
            <w:r>
              <w:rPr>
                <w:rStyle w:val="IndexLink"/>
                <w:rtl w:val="true"/>
              </w:rPr>
              <w:t>الوضع وأنحاء الإستعمال</w:t>
            </w:r>
            <w:r>
              <w:rPr>
                <w:rStyle w:val="IndexLink"/>
                <w:rtl w:val="true"/>
              </w:rPr>
              <w:tab/>
            </w:r>
            <w:r>
              <w:rPr>
                <w:rStyle w:val="IndexLink"/>
              </w:rPr>
              <w:t>158</w:t>
            </w:r>
          </w:hyperlink>
        </w:p>
        <w:p>
          <w:pPr>
            <w:pStyle w:val="Contents4"/>
            <w:tabs>
              <w:tab w:val="clear" w:pos="8176"/>
              <w:tab w:val="right" w:pos="9026" w:leader="dot"/>
            </w:tabs>
            <w:rPr/>
          </w:pPr>
          <w:hyperlink w:anchor="__RefHeading___Toc96138_3244359995">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96140_3244359995">
            <w:r>
              <w:rPr>
                <w:webHidden/>
                <w:rStyle w:val="IndexLink"/>
                <w:rtl w:val="true"/>
              </w:rPr>
              <w:t>الأمر الأوّل</w:t>
            </w:r>
            <w:r>
              <w:rPr>
                <w:rStyle w:val="IndexLink"/>
                <w:rtl w:val="true"/>
              </w:rPr>
              <w:t xml:space="preserve">: </w:t>
            </w:r>
            <w:r>
              <w:rPr>
                <w:rStyle w:val="IndexLink"/>
                <w:rtl w:val="true"/>
              </w:rPr>
              <w:t>الوضع وأحکامه</w:t>
            </w:r>
            <w:r>
              <w:rPr>
                <w:rStyle w:val="IndexLink"/>
                <w:rtl w:val="true"/>
              </w:rPr>
              <w:tab/>
            </w:r>
            <w:r>
              <w:rPr>
                <w:rStyle w:val="IndexLink"/>
              </w:rPr>
              <w:t>158</w:t>
            </w:r>
          </w:hyperlink>
        </w:p>
        <w:p>
          <w:pPr>
            <w:pStyle w:val="Contents5"/>
            <w:tabs>
              <w:tab w:val="clear" w:pos="7892"/>
              <w:tab w:val="right" w:pos="9026" w:leader="dot"/>
            </w:tabs>
            <w:rPr/>
          </w:pPr>
          <w:hyperlink w:anchor="__RefHeading___Toc96142_3244359995">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96144_3244359995">
            <w:r>
              <w:rPr>
                <w:webHidden/>
                <w:rStyle w:val="IndexLink"/>
              </w:rPr>
              <w:t>1</w:t>
            </w:r>
            <w:r>
              <w:rPr>
                <w:rStyle w:val="IndexLink"/>
                <w:rtl w:val="true"/>
              </w:rPr>
              <w:t xml:space="preserve">. </w:t>
            </w:r>
            <w:r>
              <w:rPr>
                <w:rStyle w:val="IndexLink"/>
                <w:rtl w:val="true"/>
              </w:rPr>
              <w:t>حقیقة الوضع</w:t>
            </w:r>
            <w:r>
              <w:rPr>
                <w:rStyle w:val="IndexLink"/>
                <w:rtl w:val="true"/>
              </w:rPr>
              <w:tab/>
            </w:r>
            <w:r>
              <w:rPr>
                <w:rStyle w:val="IndexLink"/>
              </w:rPr>
              <w:t>159</w:t>
            </w:r>
          </w:hyperlink>
        </w:p>
        <w:p>
          <w:pPr>
            <w:pStyle w:val="Contents5"/>
            <w:tabs>
              <w:tab w:val="clear" w:pos="7892"/>
              <w:tab w:val="right" w:pos="9026" w:leader="dot"/>
            </w:tabs>
            <w:rPr/>
          </w:pPr>
          <w:hyperlink w:anchor="__RefHeading___Toc96146_3244359995">
            <w:r>
              <w:rPr>
                <w:webHidden/>
                <w:rStyle w:val="IndexLink"/>
              </w:rPr>
              <w:t>2</w:t>
            </w:r>
            <w:r>
              <w:rPr>
                <w:rStyle w:val="IndexLink"/>
                <w:rtl w:val="true"/>
              </w:rPr>
              <w:t xml:space="preserve">. </w:t>
            </w:r>
            <w:r>
              <w:rPr>
                <w:rStyle w:val="IndexLink"/>
                <w:rtl w:val="true"/>
              </w:rPr>
              <w:t>من هو الواضع؟</w:t>
            </w:r>
            <w:r>
              <w:rPr>
                <w:rStyle w:val="IndexLink"/>
                <w:rtl w:val="true"/>
              </w:rPr>
              <w:tab/>
            </w:r>
            <w:r>
              <w:rPr>
                <w:rStyle w:val="IndexLink"/>
              </w:rPr>
              <w:t>160</w:t>
            </w:r>
          </w:hyperlink>
        </w:p>
        <w:p>
          <w:pPr>
            <w:pStyle w:val="Contents5"/>
            <w:tabs>
              <w:tab w:val="clear" w:pos="7892"/>
              <w:tab w:val="right" w:pos="9026" w:leader="dot"/>
            </w:tabs>
            <w:rPr/>
          </w:pPr>
          <w:hyperlink w:anchor="__RefHeading___Toc96148_3244359995">
            <w:r>
              <w:rPr>
                <w:webHidden/>
                <w:rStyle w:val="IndexLink"/>
              </w:rPr>
              <w:t>3</w:t>
            </w:r>
            <w:r>
              <w:rPr>
                <w:rStyle w:val="IndexLink"/>
                <w:rtl w:val="true"/>
              </w:rPr>
              <w:t xml:space="preserve">. </w:t>
            </w:r>
            <w:r>
              <w:rPr>
                <w:rStyle w:val="IndexLink"/>
                <w:rtl w:val="true"/>
              </w:rPr>
              <w:t>أقسام الوضع</w:t>
            </w:r>
            <w:r>
              <w:rPr>
                <w:rStyle w:val="IndexLink"/>
                <w:rtl w:val="true"/>
              </w:rPr>
              <w:tab/>
            </w:r>
            <w:r>
              <w:rPr>
                <w:rStyle w:val="IndexLink"/>
              </w:rPr>
              <w:t>160</w:t>
            </w:r>
          </w:hyperlink>
        </w:p>
        <w:p>
          <w:pPr>
            <w:pStyle w:val="Contents5"/>
            <w:tabs>
              <w:tab w:val="clear" w:pos="7892"/>
              <w:tab w:val="right" w:pos="9026" w:leader="dot"/>
            </w:tabs>
            <w:rPr/>
          </w:pPr>
          <w:hyperlink w:anchor="__RefHeading___Toc96150_3244359995">
            <w:r>
              <w:rPr>
                <w:webHidden/>
                <w:rStyle w:val="IndexLink"/>
              </w:rPr>
              <w:t>4</w:t>
            </w:r>
            <w:r>
              <w:rPr>
                <w:rStyle w:val="IndexLink"/>
                <w:rtl w:val="true"/>
              </w:rPr>
              <w:t xml:space="preserve">. </w:t>
            </w:r>
            <w:r>
              <w:rPr>
                <w:rStyle w:val="IndexLink"/>
                <w:rtl w:val="true"/>
              </w:rPr>
              <w:t>تحقیق حول المعانی الحرفیة</w:t>
            </w:r>
            <w:r>
              <w:rPr>
                <w:rStyle w:val="IndexLink"/>
                <w:rtl w:val="true"/>
              </w:rPr>
              <w:tab/>
            </w:r>
            <w:r>
              <w:rPr>
                <w:rStyle w:val="IndexLink"/>
              </w:rPr>
              <w:t>161</w:t>
            </w:r>
          </w:hyperlink>
        </w:p>
        <w:p>
          <w:pPr>
            <w:pStyle w:val="Contents5"/>
            <w:tabs>
              <w:tab w:val="clear" w:pos="7892"/>
              <w:tab w:val="right" w:pos="9026" w:leader="dot"/>
            </w:tabs>
            <w:rPr/>
          </w:pPr>
          <w:hyperlink w:anchor="__RefHeading___Toc96152_3244359995">
            <w:r>
              <w:rPr>
                <w:webHidden/>
                <w:rStyle w:val="IndexLink"/>
              </w:rPr>
              <w:t>5</w:t>
            </w:r>
            <w:r>
              <w:rPr>
                <w:rStyle w:val="IndexLink"/>
                <w:rtl w:val="true"/>
              </w:rPr>
              <w:t xml:space="preserve">. </w:t>
            </w:r>
            <w:r>
              <w:rPr>
                <w:rStyle w:val="IndexLink"/>
                <w:rtl w:val="true"/>
              </w:rPr>
              <w:t>أقسام الحروف</w:t>
            </w:r>
            <w:r>
              <w:rPr>
                <w:rStyle w:val="IndexLink"/>
                <w:rtl w:val="true"/>
              </w:rPr>
              <w:tab/>
            </w:r>
            <w:r>
              <w:rPr>
                <w:rStyle w:val="IndexLink"/>
              </w:rPr>
              <w:t>164</w:t>
            </w:r>
          </w:hyperlink>
        </w:p>
        <w:p>
          <w:pPr>
            <w:pStyle w:val="Contents5"/>
            <w:tabs>
              <w:tab w:val="clear" w:pos="7892"/>
              <w:tab w:val="right" w:pos="9026" w:leader="dot"/>
            </w:tabs>
            <w:rPr/>
          </w:pPr>
          <w:hyperlink w:anchor="__RefHeading___Toc96154_3244359995">
            <w:r>
              <w:rPr>
                <w:webHidden/>
                <w:rStyle w:val="IndexLink"/>
              </w:rPr>
              <w:t>6</w:t>
            </w:r>
            <w:r>
              <w:rPr>
                <w:rStyle w:val="IndexLink"/>
                <w:rtl w:val="true"/>
              </w:rPr>
              <w:t xml:space="preserve">. </w:t>
            </w:r>
            <w:r>
              <w:rPr>
                <w:rStyle w:val="IndexLink"/>
                <w:rtl w:val="true"/>
              </w:rPr>
              <w:t>الفرق بین الإخبار والإنشاء</w:t>
            </w:r>
            <w:r>
              <w:rPr>
                <w:rStyle w:val="IndexLink"/>
                <w:rtl w:val="true"/>
              </w:rPr>
              <w:tab/>
            </w:r>
            <w:r>
              <w:rPr>
                <w:rStyle w:val="IndexLink"/>
              </w:rPr>
              <w:t>166</w:t>
            </w:r>
          </w:hyperlink>
        </w:p>
        <w:p>
          <w:pPr>
            <w:pStyle w:val="Contents5"/>
            <w:tabs>
              <w:tab w:val="clear" w:pos="7892"/>
              <w:tab w:val="right" w:pos="9026" w:leader="dot"/>
            </w:tabs>
            <w:rPr/>
          </w:pPr>
          <w:hyperlink w:anchor="__RefHeading___Toc96156_3244359995">
            <w:r>
              <w:rPr>
                <w:webHidden/>
                <w:rStyle w:val="IndexLink"/>
              </w:rPr>
              <w:t>7</w:t>
            </w:r>
            <w:r>
              <w:rPr>
                <w:rStyle w:val="IndexLink"/>
                <w:rtl w:val="true"/>
              </w:rPr>
              <w:t xml:space="preserve">. </w:t>
            </w:r>
            <w:r>
              <w:rPr>
                <w:rStyle w:val="IndexLink"/>
                <w:rtl w:val="true"/>
              </w:rPr>
              <w:t>الکلام فی معنی أسماء الإشارة</w:t>
            </w:r>
            <w:r>
              <w:rPr>
                <w:rStyle w:val="IndexLink"/>
                <w:rtl w:val="true"/>
              </w:rPr>
              <w:tab/>
            </w:r>
            <w:r>
              <w:rPr>
                <w:rStyle w:val="IndexLink"/>
              </w:rPr>
              <w:t>167</w:t>
            </w:r>
          </w:hyperlink>
        </w:p>
        <w:p>
          <w:pPr>
            <w:pStyle w:val="Contents6"/>
            <w:tabs>
              <w:tab w:val="clear" w:pos="7609"/>
              <w:tab w:val="right" w:pos="9026" w:leader="dot"/>
            </w:tabs>
            <w:rPr/>
          </w:pPr>
          <w:hyperlink w:anchor="__RefHeading___Toc96158_3244359995">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96160_3244359995">
            <w:r>
              <w:rPr>
                <w:webHidden/>
                <w:rStyle w:val="IndexLink"/>
                <w:rtl w:val="true"/>
              </w:rPr>
              <w:t>وتحقیق معنی هذه الأسماء یتمّ فی ضمن امور</w:t>
            </w:r>
            <w:r>
              <w:rPr>
                <w:rStyle w:val="IndexLink"/>
                <w:rtl w:val="true"/>
              </w:rPr>
              <w:t>:</w:t>
              <w:tab/>
            </w:r>
            <w:r>
              <w:rPr>
                <w:rStyle w:val="IndexLink"/>
              </w:rPr>
              <w:t>168</w:t>
            </w:r>
          </w:hyperlink>
        </w:p>
        <w:p>
          <w:pPr>
            <w:pStyle w:val="Contents5"/>
            <w:tabs>
              <w:tab w:val="clear" w:pos="7892"/>
              <w:tab w:val="right" w:pos="9026" w:leader="dot"/>
            </w:tabs>
            <w:rPr/>
          </w:pPr>
          <w:hyperlink w:anchor="__RefHeading___Toc96162_3244359995">
            <w:r>
              <w:rPr>
                <w:webHidden/>
                <w:rStyle w:val="IndexLink"/>
              </w:rPr>
              <w:t>8</w:t>
            </w:r>
            <w:r>
              <w:rPr>
                <w:rStyle w:val="IndexLink"/>
                <w:rtl w:val="true"/>
              </w:rPr>
              <w:t xml:space="preserve">. </w:t>
            </w:r>
            <w:r>
              <w:rPr>
                <w:rStyle w:val="IndexLink"/>
                <w:rtl w:val="true"/>
              </w:rPr>
              <w:t>الکلام فی الضمائر</w:t>
            </w:r>
            <w:r>
              <w:rPr>
                <w:rStyle w:val="IndexLink"/>
                <w:rtl w:val="true"/>
              </w:rPr>
              <w:tab/>
            </w:r>
            <w:r>
              <w:rPr>
                <w:rStyle w:val="IndexLink"/>
              </w:rPr>
              <w:t>169</w:t>
            </w:r>
          </w:hyperlink>
        </w:p>
        <w:p>
          <w:pPr>
            <w:pStyle w:val="Contents5"/>
            <w:tabs>
              <w:tab w:val="clear" w:pos="7892"/>
              <w:tab w:val="right" w:pos="9026" w:leader="dot"/>
            </w:tabs>
            <w:rPr/>
          </w:pPr>
          <w:hyperlink w:anchor="__RefHeading___Toc96164_3244359995">
            <w:r>
              <w:rPr>
                <w:webHidden/>
                <w:rStyle w:val="IndexLink"/>
              </w:rPr>
              <w:t>9</w:t>
            </w:r>
            <w:r>
              <w:rPr>
                <w:rStyle w:val="IndexLink"/>
                <w:rtl w:val="true"/>
              </w:rPr>
              <w:t xml:space="preserve">. </w:t>
            </w:r>
            <w:r>
              <w:rPr>
                <w:rStyle w:val="IndexLink"/>
                <w:rtl w:val="true"/>
              </w:rPr>
              <w:t>الکلام فی الموصولات</w:t>
            </w:r>
            <w:r>
              <w:rPr>
                <w:rStyle w:val="IndexLink"/>
                <w:rtl w:val="true"/>
              </w:rPr>
              <w:tab/>
            </w:r>
            <w:r>
              <w:rPr>
                <w:rStyle w:val="IndexLink"/>
              </w:rPr>
              <w:t>170</w:t>
            </w:r>
          </w:hyperlink>
        </w:p>
        <w:p>
          <w:pPr>
            <w:pStyle w:val="Contents5"/>
            <w:tabs>
              <w:tab w:val="clear" w:pos="7892"/>
              <w:tab w:val="right" w:pos="9026" w:leader="dot"/>
            </w:tabs>
            <w:rPr/>
          </w:pPr>
          <w:hyperlink w:anchor="__RefHeading___Toc96166_3244359995">
            <w:r>
              <w:rPr>
                <w:webHidden/>
                <w:rStyle w:val="IndexLink"/>
              </w:rPr>
              <w:t>10</w:t>
            </w:r>
            <w:r>
              <w:rPr>
                <w:rStyle w:val="IndexLink"/>
                <w:rtl w:val="true"/>
              </w:rPr>
              <w:t xml:space="preserve">. </w:t>
            </w:r>
            <w:r>
              <w:rPr>
                <w:rStyle w:val="IndexLink"/>
                <w:rtl w:val="true"/>
              </w:rPr>
              <w:t>فی وضع الهیئات والمرکّبات</w:t>
            </w:r>
            <w:r>
              <w:rPr>
                <w:rStyle w:val="IndexLink"/>
                <w:rtl w:val="true"/>
              </w:rPr>
              <w:tab/>
            </w:r>
            <w:r>
              <w:rPr>
                <w:rStyle w:val="IndexLink"/>
              </w:rPr>
              <w:t>170</w:t>
            </w:r>
          </w:hyperlink>
        </w:p>
        <w:p>
          <w:pPr>
            <w:pStyle w:val="Contents4"/>
            <w:tabs>
              <w:tab w:val="clear" w:pos="8176"/>
              <w:tab w:val="right" w:pos="9026" w:leader="dot"/>
            </w:tabs>
            <w:rPr/>
          </w:pPr>
          <w:hyperlink w:anchor="__RefHeading___Toc96168_3244359995">
            <w:r>
              <w:rPr>
                <w:webHidden/>
                <w:rStyle w:val="IndexLink"/>
                <w:rtl w:val="true"/>
              </w:rPr>
              <w:t>الأمر الثانی</w:t>
            </w:r>
            <w:r>
              <w:rPr>
                <w:rStyle w:val="IndexLink"/>
                <w:rtl w:val="true"/>
              </w:rPr>
              <w:t xml:space="preserve">: </w:t>
            </w:r>
            <w:r>
              <w:rPr>
                <w:rStyle w:val="IndexLink"/>
                <w:rtl w:val="true"/>
              </w:rPr>
              <w:t>فی المجاز</w:t>
            </w:r>
            <w:r>
              <w:rPr>
                <w:rStyle w:val="IndexLink"/>
                <w:rtl w:val="true"/>
              </w:rPr>
              <w:tab/>
            </w:r>
            <w:r>
              <w:rPr>
                <w:rStyle w:val="IndexLink"/>
              </w:rPr>
              <w:t>171</w:t>
            </w:r>
          </w:hyperlink>
        </w:p>
        <w:p>
          <w:pPr>
            <w:pStyle w:val="Contents5"/>
            <w:tabs>
              <w:tab w:val="clear" w:pos="7892"/>
              <w:tab w:val="right" w:pos="9026" w:leader="dot"/>
            </w:tabs>
            <w:rPr/>
          </w:pPr>
          <w:hyperlink w:anchor="__RefHeading___Toc96170_3244359995">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96172_3244359995">
            <w:r>
              <w:rPr>
                <w:webHidden/>
                <w:rStyle w:val="IndexLink"/>
                <w:rtl w:val="true"/>
              </w:rPr>
              <w:t>صحّة الاستعمالات المجازیة هل هی بالوضع أو بالطبع؟</w:t>
            </w:r>
            <w:r>
              <w:rPr>
                <w:rStyle w:val="IndexLink"/>
                <w:rtl w:val="true"/>
              </w:rPr>
              <w:tab/>
            </w:r>
            <w:r>
              <w:rPr>
                <w:rStyle w:val="IndexLink"/>
              </w:rPr>
              <w:t>173</w:t>
            </w:r>
          </w:hyperlink>
        </w:p>
        <w:p>
          <w:pPr>
            <w:pStyle w:val="Contents4"/>
            <w:tabs>
              <w:tab w:val="clear" w:pos="8176"/>
              <w:tab w:val="right" w:pos="9026" w:leader="dot"/>
            </w:tabs>
            <w:rPr/>
          </w:pPr>
          <w:hyperlink w:anchor="__RefHeading___Toc96174_3244359995">
            <w:r>
              <w:rPr>
                <w:webHidden/>
                <w:rStyle w:val="IndexLink"/>
                <w:rtl w:val="true"/>
              </w:rPr>
              <w:t>الأمر الثالث</w:t>
            </w:r>
            <w:r>
              <w:rPr>
                <w:rStyle w:val="IndexLink"/>
                <w:rtl w:val="true"/>
              </w:rPr>
              <w:t xml:space="preserve">: </w:t>
            </w:r>
            <w:r>
              <w:rPr>
                <w:rStyle w:val="IndexLink"/>
                <w:rtl w:val="true"/>
              </w:rPr>
              <w:t>فی علائم الحقیقة والمجاز</w:t>
            </w:r>
            <w:r>
              <w:rPr>
                <w:rStyle w:val="IndexLink"/>
                <w:rtl w:val="true"/>
              </w:rPr>
              <w:tab/>
            </w:r>
            <w:r>
              <w:rPr>
                <w:rStyle w:val="IndexLink"/>
              </w:rPr>
              <w:t>173</w:t>
            </w:r>
          </w:hyperlink>
        </w:p>
        <w:p>
          <w:pPr>
            <w:pStyle w:val="Contents5"/>
            <w:tabs>
              <w:tab w:val="clear" w:pos="7892"/>
              <w:tab w:val="right" w:pos="9026" w:leader="dot"/>
            </w:tabs>
            <w:rPr/>
          </w:pPr>
          <w:hyperlink w:anchor="__RefHeading___Toc96176_3244359995">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96178_3244359995">
            <w:r>
              <w:rPr>
                <w:webHidden/>
                <w:rStyle w:val="IndexLink"/>
              </w:rPr>
              <w:t>1</w:t>
            </w:r>
            <w:r>
              <w:rPr>
                <w:rStyle w:val="IndexLink"/>
                <w:rtl w:val="true"/>
              </w:rPr>
              <w:t xml:space="preserve">. </w:t>
            </w:r>
            <w:r>
              <w:rPr>
                <w:rStyle w:val="IndexLink"/>
                <w:rtl w:val="true"/>
              </w:rPr>
              <w:t>التبادر</w:t>
            </w:r>
            <w:r>
              <w:rPr>
                <w:rStyle w:val="IndexLink"/>
                <w:rtl w:val="true"/>
              </w:rPr>
              <w:tab/>
            </w:r>
            <w:r>
              <w:rPr>
                <w:rStyle w:val="IndexLink"/>
              </w:rPr>
              <w:t>174</w:t>
            </w:r>
          </w:hyperlink>
        </w:p>
        <w:p>
          <w:pPr>
            <w:pStyle w:val="Contents5"/>
            <w:tabs>
              <w:tab w:val="clear" w:pos="7892"/>
              <w:tab w:val="right" w:pos="9026" w:leader="dot"/>
            </w:tabs>
            <w:rPr/>
          </w:pPr>
          <w:hyperlink w:anchor="__RefHeading___Toc96180_3244359995">
            <w:r>
              <w:rPr>
                <w:webHidden/>
                <w:rStyle w:val="IndexLink"/>
              </w:rPr>
              <w:t>2</w:t>
            </w:r>
            <w:r>
              <w:rPr>
                <w:rStyle w:val="IndexLink"/>
                <w:rtl w:val="true"/>
              </w:rPr>
              <w:t xml:space="preserve">. </w:t>
            </w:r>
            <w:r>
              <w:rPr>
                <w:rStyle w:val="IndexLink"/>
                <w:rtl w:val="true"/>
              </w:rPr>
              <w:t>صحّة السلب</w:t>
            </w:r>
            <w:r>
              <w:rPr>
                <w:rStyle w:val="IndexLink"/>
                <w:rtl w:val="true"/>
              </w:rPr>
              <w:tab/>
            </w:r>
            <w:r>
              <w:rPr>
                <w:rStyle w:val="IndexLink"/>
              </w:rPr>
              <w:t>175</w:t>
            </w:r>
          </w:hyperlink>
        </w:p>
        <w:p>
          <w:pPr>
            <w:pStyle w:val="Contents5"/>
            <w:tabs>
              <w:tab w:val="clear" w:pos="7892"/>
              <w:tab w:val="right" w:pos="9026" w:leader="dot"/>
            </w:tabs>
            <w:rPr/>
          </w:pPr>
          <w:hyperlink w:anchor="__RefHeading___Toc96182_3244359995">
            <w:r>
              <w:rPr>
                <w:webHidden/>
                <w:rStyle w:val="IndexLink"/>
              </w:rPr>
              <w:t>3</w:t>
            </w:r>
            <w:r>
              <w:rPr>
                <w:rStyle w:val="IndexLink"/>
                <w:rtl w:val="true"/>
              </w:rPr>
              <w:t xml:space="preserve">. </w:t>
            </w:r>
            <w:r>
              <w:rPr>
                <w:rStyle w:val="IndexLink"/>
                <w:rtl w:val="true"/>
              </w:rPr>
              <w:t>الاطّراد وعدمه</w:t>
            </w:r>
            <w:r>
              <w:rPr>
                <w:rStyle w:val="IndexLink"/>
                <w:rtl w:val="true"/>
              </w:rPr>
              <w:tab/>
            </w:r>
            <w:r>
              <w:rPr>
                <w:rStyle w:val="IndexLink"/>
              </w:rPr>
              <w:t>177</w:t>
            </w:r>
          </w:hyperlink>
        </w:p>
        <w:p>
          <w:pPr>
            <w:pStyle w:val="Contents5"/>
            <w:tabs>
              <w:tab w:val="clear" w:pos="7892"/>
              <w:tab w:val="right" w:pos="9026" w:leader="dot"/>
            </w:tabs>
            <w:rPr/>
          </w:pPr>
          <w:hyperlink w:anchor="__RefHeading___Toc96184_3244359995">
            <w:r>
              <w:rPr>
                <w:webHidden/>
                <w:rStyle w:val="IndexLink"/>
              </w:rPr>
              <w:t>4</w:t>
            </w:r>
            <w:r>
              <w:rPr>
                <w:rStyle w:val="IndexLink"/>
                <w:rtl w:val="true"/>
              </w:rPr>
              <w:t xml:space="preserve">. </w:t>
            </w:r>
            <w:r>
              <w:rPr>
                <w:rStyle w:val="IndexLink"/>
                <w:rtl w:val="true"/>
              </w:rPr>
              <w:t>تنصیص أهل اللغة</w:t>
            </w:r>
            <w:r>
              <w:rPr>
                <w:rStyle w:val="IndexLink"/>
                <w:rtl w:val="true"/>
              </w:rPr>
              <w:tab/>
            </w:r>
            <w:r>
              <w:rPr>
                <w:rStyle w:val="IndexLink"/>
              </w:rPr>
              <w:t>179</w:t>
            </w:r>
          </w:hyperlink>
        </w:p>
        <w:p>
          <w:pPr>
            <w:pStyle w:val="Contents4"/>
            <w:tabs>
              <w:tab w:val="clear" w:pos="8176"/>
              <w:tab w:val="right" w:pos="9026" w:leader="dot"/>
            </w:tabs>
            <w:rPr/>
          </w:pPr>
          <w:hyperlink w:anchor="__RefHeading___Toc96186_3244359995">
            <w:r>
              <w:rPr>
                <w:webHidden/>
                <w:rStyle w:val="IndexLink"/>
                <w:rtl w:val="true"/>
              </w:rPr>
              <w:t>الأمر الرابع</w:t>
            </w:r>
            <w:r>
              <w:rPr>
                <w:rStyle w:val="IndexLink"/>
                <w:rtl w:val="true"/>
              </w:rPr>
              <w:t xml:space="preserve">: </w:t>
            </w:r>
            <w:r>
              <w:rPr>
                <w:rStyle w:val="IndexLink"/>
                <w:rtl w:val="true"/>
              </w:rPr>
              <w:t>فی الحقیقة الشرعیّة</w:t>
            </w:r>
            <w:r>
              <w:rPr>
                <w:rStyle w:val="IndexLink"/>
                <w:rtl w:val="true"/>
              </w:rPr>
              <w:tab/>
            </w:r>
            <w:r>
              <w:rPr>
                <w:rStyle w:val="IndexLink"/>
              </w:rPr>
              <w:t>180</w:t>
            </w:r>
          </w:hyperlink>
        </w:p>
        <w:p>
          <w:pPr>
            <w:pStyle w:val="Contents5"/>
            <w:tabs>
              <w:tab w:val="clear" w:pos="7892"/>
              <w:tab w:val="right" w:pos="9026" w:leader="dot"/>
            </w:tabs>
            <w:rPr/>
          </w:pPr>
          <w:hyperlink w:anchor="__RefHeading___Toc96188_3244359995">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96190_3244359995">
            <w:r>
              <w:rPr>
                <w:webHidden/>
                <w:rStyle w:val="IndexLink"/>
              </w:rPr>
              <w:t>1</w:t>
            </w:r>
            <w:r>
              <w:rPr>
                <w:rStyle w:val="IndexLink"/>
                <w:rtl w:val="true"/>
              </w:rPr>
              <w:t xml:space="preserve">. </w:t>
            </w:r>
            <w:r>
              <w:rPr>
                <w:rStyle w:val="IndexLink"/>
                <w:rtl w:val="true"/>
              </w:rPr>
              <w:t>أدلّة القولین</w:t>
            </w:r>
            <w:r>
              <w:rPr>
                <w:rStyle w:val="IndexLink"/>
                <w:rtl w:val="true"/>
              </w:rPr>
              <w:tab/>
            </w:r>
            <w:r>
              <w:rPr>
                <w:rStyle w:val="IndexLink"/>
              </w:rPr>
              <w:t>180</w:t>
            </w:r>
          </w:hyperlink>
        </w:p>
        <w:p>
          <w:pPr>
            <w:pStyle w:val="Contents5"/>
            <w:tabs>
              <w:tab w:val="clear" w:pos="7892"/>
              <w:tab w:val="right" w:pos="9026" w:leader="dot"/>
            </w:tabs>
            <w:rPr/>
          </w:pPr>
          <w:hyperlink w:anchor="__RefHeading___Toc96192_3244359995">
            <w:r>
              <w:rPr>
                <w:webHidden/>
                <w:rStyle w:val="IndexLink"/>
              </w:rPr>
              <w:t>2</w:t>
            </w:r>
            <w:r>
              <w:rPr>
                <w:rStyle w:val="IndexLink"/>
                <w:rtl w:val="true"/>
              </w:rPr>
              <w:t xml:space="preserve">. </w:t>
            </w:r>
            <w:r>
              <w:rPr>
                <w:rStyle w:val="IndexLink"/>
                <w:rtl w:val="true"/>
              </w:rPr>
              <w:t>حدود الحقائق الشرعیّة</w:t>
            </w:r>
            <w:r>
              <w:rPr>
                <w:rStyle w:val="IndexLink"/>
                <w:rtl w:val="true"/>
              </w:rPr>
              <w:tab/>
            </w:r>
            <w:r>
              <w:rPr>
                <w:rStyle w:val="IndexLink"/>
              </w:rPr>
              <w:t>183</w:t>
            </w:r>
          </w:hyperlink>
        </w:p>
        <w:p>
          <w:pPr>
            <w:pStyle w:val="Contents5"/>
            <w:tabs>
              <w:tab w:val="clear" w:pos="7892"/>
              <w:tab w:val="right" w:pos="9026" w:leader="dot"/>
            </w:tabs>
            <w:rPr/>
          </w:pPr>
          <w:hyperlink w:anchor="__RefHeading___Toc96194_3244359995">
            <w:r>
              <w:rPr>
                <w:webHidden/>
                <w:rStyle w:val="IndexLink"/>
              </w:rPr>
              <w:t>3</w:t>
            </w:r>
            <w:r>
              <w:rPr>
                <w:rStyle w:val="IndexLink"/>
                <w:rtl w:val="true"/>
              </w:rPr>
              <w:t xml:space="preserve">. </w:t>
            </w:r>
            <w:r>
              <w:rPr>
                <w:rStyle w:val="IndexLink"/>
                <w:rtl w:val="true"/>
              </w:rPr>
              <w:t>ثمرة المسألة</w:t>
            </w:r>
            <w:r>
              <w:rPr>
                <w:rStyle w:val="IndexLink"/>
                <w:rtl w:val="true"/>
              </w:rPr>
              <w:tab/>
            </w:r>
            <w:r>
              <w:rPr>
                <w:rStyle w:val="IndexLink"/>
              </w:rPr>
              <w:t>184</w:t>
            </w:r>
          </w:hyperlink>
        </w:p>
        <w:p>
          <w:pPr>
            <w:pStyle w:val="Contents5"/>
            <w:tabs>
              <w:tab w:val="clear" w:pos="7892"/>
              <w:tab w:val="right" w:pos="9026" w:leader="dot"/>
            </w:tabs>
            <w:rPr/>
          </w:pPr>
          <w:hyperlink w:anchor="__RefHeading___Toc96196_3244359995">
            <w:r>
              <w:rPr>
                <w:webHidden/>
                <w:rStyle w:val="IndexLink"/>
              </w:rPr>
              <w:t>4</w:t>
            </w:r>
            <w:r>
              <w:rPr>
                <w:rStyle w:val="IndexLink"/>
                <w:rtl w:val="true"/>
              </w:rPr>
              <w:t xml:space="preserve">. </w:t>
            </w:r>
            <w:r>
              <w:rPr>
                <w:rStyle w:val="IndexLink"/>
                <w:rtl w:val="true"/>
              </w:rPr>
              <w:t>حکم الشکّ فی تاریخ الاستعمال وتاریخ النقل</w:t>
            </w:r>
            <w:r>
              <w:rPr>
                <w:rStyle w:val="IndexLink"/>
                <w:rtl w:val="true"/>
              </w:rPr>
              <w:tab/>
            </w:r>
            <w:r>
              <w:rPr>
                <w:rStyle w:val="IndexLink"/>
              </w:rPr>
              <w:t>185</w:t>
            </w:r>
          </w:hyperlink>
        </w:p>
        <w:p>
          <w:pPr>
            <w:pStyle w:val="Contents4"/>
            <w:tabs>
              <w:tab w:val="clear" w:pos="8176"/>
              <w:tab w:val="right" w:pos="9026" w:leader="dot"/>
            </w:tabs>
            <w:rPr/>
          </w:pPr>
          <w:hyperlink w:anchor="__RefHeading___Toc96198_3244359995">
            <w:r>
              <w:rPr>
                <w:webHidden/>
                <w:rStyle w:val="IndexLink"/>
                <w:rtl w:val="true"/>
              </w:rPr>
              <w:t>الأمر الخامس</w:t>
            </w:r>
            <w:r>
              <w:rPr>
                <w:rStyle w:val="IndexLink"/>
                <w:rtl w:val="true"/>
              </w:rPr>
              <w:t xml:space="preserve">: </w:t>
            </w:r>
            <w:r>
              <w:rPr>
                <w:rStyle w:val="IndexLink"/>
                <w:rtl w:val="true"/>
              </w:rPr>
              <w:t>فی الصحیح والأعمّ</w:t>
            </w:r>
            <w:r>
              <w:rPr>
                <w:rStyle w:val="IndexLink"/>
                <w:rtl w:val="true"/>
              </w:rPr>
              <w:tab/>
            </w:r>
            <w:r>
              <w:rPr>
                <w:rStyle w:val="IndexLink"/>
              </w:rPr>
              <w:t>185</w:t>
            </w:r>
          </w:hyperlink>
        </w:p>
        <w:p>
          <w:pPr>
            <w:pStyle w:val="Contents5"/>
            <w:tabs>
              <w:tab w:val="clear" w:pos="7892"/>
              <w:tab w:val="right" w:pos="9026" w:leader="dot"/>
            </w:tabs>
            <w:rPr/>
          </w:pPr>
          <w:hyperlink w:anchor="__RefHeading___Toc96200_3244359995">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96202_3244359995">
            <w:r>
              <w:rPr>
                <w:webHidden/>
                <w:rStyle w:val="IndexLink"/>
              </w:rPr>
              <w:t>1</w:t>
            </w:r>
            <w:r>
              <w:rPr>
                <w:rStyle w:val="IndexLink"/>
                <w:rtl w:val="true"/>
              </w:rPr>
              <w:t xml:space="preserve">. </w:t>
            </w:r>
            <w:r>
              <w:rPr>
                <w:rStyle w:val="IndexLink"/>
                <w:rtl w:val="true"/>
              </w:rPr>
              <w:t>تحریر محلّ النزاع</w:t>
            </w:r>
            <w:r>
              <w:rPr>
                <w:rStyle w:val="IndexLink"/>
                <w:rtl w:val="true"/>
              </w:rPr>
              <w:tab/>
            </w:r>
            <w:r>
              <w:rPr>
                <w:rStyle w:val="IndexLink"/>
              </w:rPr>
              <w:t>186</w:t>
            </w:r>
          </w:hyperlink>
        </w:p>
        <w:p>
          <w:pPr>
            <w:pStyle w:val="Contents5"/>
            <w:tabs>
              <w:tab w:val="clear" w:pos="7892"/>
              <w:tab w:val="right" w:pos="9026" w:leader="dot"/>
            </w:tabs>
            <w:rPr/>
          </w:pPr>
          <w:hyperlink w:anchor="__RefHeading___Toc96204_3244359995">
            <w:r>
              <w:rPr>
                <w:webHidden/>
                <w:rStyle w:val="IndexLink"/>
              </w:rPr>
              <w:t>2</w:t>
            </w:r>
            <w:r>
              <w:rPr>
                <w:rStyle w:val="IndexLink"/>
                <w:rtl w:val="true"/>
              </w:rPr>
              <w:t xml:space="preserve">. </w:t>
            </w:r>
            <w:r>
              <w:rPr>
                <w:rStyle w:val="IndexLink"/>
                <w:rtl w:val="true"/>
              </w:rPr>
              <w:t>معنی الصحّة والفساد</w:t>
            </w:r>
            <w:r>
              <w:rPr>
                <w:rStyle w:val="IndexLink"/>
                <w:rtl w:val="true"/>
              </w:rPr>
              <w:tab/>
            </w:r>
            <w:r>
              <w:rPr>
                <w:rStyle w:val="IndexLink"/>
              </w:rPr>
              <w:t>186</w:t>
            </w:r>
          </w:hyperlink>
        </w:p>
        <w:p>
          <w:pPr>
            <w:pStyle w:val="Contents5"/>
            <w:tabs>
              <w:tab w:val="clear" w:pos="7892"/>
              <w:tab w:val="right" w:pos="9026" w:leader="dot"/>
            </w:tabs>
            <w:rPr/>
          </w:pPr>
          <w:hyperlink w:anchor="__RefHeading___Toc96206_3244359995">
            <w:r>
              <w:rPr>
                <w:webHidden/>
                <w:rStyle w:val="IndexLink"/>
              </w:rPr>
              <w:t>3</w:t>
            </w:r>
            <w:r>
              <w:rPr>
                <w:rStyle w:val="IndexLink"/>
                <w:rtl w:val="true"/>
              </w:rPr>
              <w:t xml:space="preserve">. </w:t>
            </w:r>
            <w:r>
              <w:rPr>
                <w:rStyle w:val="IndexLink"/>
                <w:rtl w:val="true"/>
              </w:rPr>
              <w:t>دخول الشرائط فی المسمّی وعدمه</w:t>
            </w:r>
            <w:r>
              <w:rPr>
                <w:rStyle w:val="IndexLink"/>
                <w:rtl w:val="true"/>
              </w:rPr>
              <w:tab/>
            </w:r>
            <w:r>
              <w:rPr>
                <w:rStyle w:val="IndexLink"/>
              </w:rPr>
              <w:t>187</w:t>
            </w:r>
          </w:hyperlink>
        </w:p>
        <w:p>
          <w:pPr>
            <w:pStyle w:val="Contents5"/>
            <w:tabs>
              <w:tab w:val="clear" w:pos="7892"/>
              <w:tab w:val="right" w:pos="9026" w:leader="dot"/>
            </w:tabs>
            <w:rPr/>
          </w:pPr>
          <w:hyperlink w:anchor="__RefHeading___Toc96208_3244359995">
            <w:r>
              <w:rPr>
                <w:webHidden/>
                <w:rStyle w:val="IndexLink"/>
              </w:rPr>
              <w:t>4</w:t>
            </w:r>
            <w:r>
              <w:rPr>
                <w:rStyle w:val="IndexLink"/>
                <w:rtl w:val="true"/>
              </w:rPr>
              <w:t xml:space="preserve">. </w:t>
            </w:r>
            <w:r>
              <w:rPr>
                <w:rStyle w:val="IndexLink"/>
                <w:rtl w:val="true"/>
              </w:rPr>
              <w:t>لزوم تصویر الجامع علی القولین</w:t>
            </w:r>
            <w:r>
              <w:rPr>
                <w:rStyle w:val="IndexLink"/>
                <w:rtl w:val="true"/>
              </w:rPr>
              <w:tab/>
            </w:r>
            <w:r>
              <w:rPr>
                <w:rStyle w:val="IndexLink"/>
              </w:rPr>
              <w:t>189</w:t>
            </w:r>
          </w:hyperlink>
        </w:p>
        <w:p>
          <w:pPr>
            <w:pStyle w:val="Contents5"/>
            <w:tabs>
              <w:tab w:val="clear" w:pos="7892"/>
              <w:tab w:val="right" w:pos="9026" w:leader="dot"/>
            </w:tabs>
            <w:rPr/>
          </w:pPr>
          <w:hyperlink w:anchor="__RefHeading___Toc96210_3244359995">
            <w:r>
              <w:rPr>
                <w:webHidden/>
                <w:rStyle w:val="IndexLink"/>
              </w:rPr>
              <w:t>5</w:t>
            </w:r>
            <w:r>
              <w:rPr>
                <w:rStyle w:val="IndexLink"/>
                <w:rtl w:val="true"/>
              </w:rPr>
              <w:t xml:space="preserve">. </w:t>
            </w:r>
            <w:r>
              <w:rPr>
                <w:rStyle w:val="IndexLink"/>
                <w:rtl w:val="true"/>
              </w:rPr>
              <w:t>ثمرة المسألة</w:t>
            </w:r>
            <w:r>
              <w:rPr>
                <w:rStyle w:val="IndexLink"/>
                <w:rtl w:val="true"/>
              </w:rPr>
              <w:tab/>
            </w:r>
            <w:r>
              <w:rPr>
                <w:rStyle w:val="IndexLink"/>
              </w:rPr>
              <w:t>192</w:t>
            </w:r>
          </w:hyperlink>
        </w:p>
        <w:p>
          <w:pPr>
            <w:pStyle w:val="Contents5"/>
            <w:tabs>
              <w:tab w:val="clear" w:pos="7892"/>
              <w:tab w:val="right" w:pos="9026" w:leader="dot"/>
            </w:tabs>
            <w:rPr/>
          </w:pPr>
          <w:hyperlink w:anchor="__RefHeading___Toc96212_3244359995">
            <w:r>
              <w:rPr>
                <w:webHidden/>
                <w:rStyle w:val="IndexLink"/>
                <w:rtl w:val="true"/>
              </w:rPr>
              <w:t>أدلّة القول بالصحیح</w:t>
            </w:r>
            <w:r>
              <w:rPr>
                <w:rStyle w:val="IndexLink"/>
                <w:rtl w:val="true"/>
              </w:rPr>
              <w:tab/>
            </w:r>
            <w:r>
              <w:rPr>
                <w:rStyle w:val="IndexLink"/>
              </w:rPr>
              <w:t>193</w:t>
            </w:r>
          </w:hyperlink>
        </w:p>
        <w:p>
          <w:pPr>
            <w:pStyle w:val="Contents6"/>
            <w:tabs>
              <w:tab w:val="clear" w:pos="7609"/>
              <w:tab w:val="right" w:pos="9026" w:leader="dot"/>
            </w:tabs>
            <w:rPr/>
          </w:pPr>
          <w:hyperlink w:anchor="__RefHeading___Toc96214_3244359995">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96216_3244359995">
            <w:r>
              <w:rPr>
                <w:webHidden/>
                <w:rStyle w:val="IndexLink"/>
                <w:rtl w:val="true"/>
              </w:rPr>
              <w:t>الوجه الأوّل</w:t>
            </w:r>
            <w:r>
              <w:rPr>
                <w:rStyle w:val="IndexLink"/>
                <w:rtl w:val="true"/>
              </w:rPr>
              <w:t xml:space="preserve">: </w:t>
            </w:r>
            <w:r>
              <w:rPr>
                <w:rStyle w:val="IndexLink"/>
                <w:rtl w:val="true"/>
              </w:rPr>
              <w:t>التبادر</w:t>
            </w:r>
            <w:r>
              <w:rPr>
                <w:rStyle w:val="IndexLink"/>
                <w:rtl w:val="true"/>
              </w:rPr>
              <w:tab/>
            </w:r>
            <w:r>
              <w:rPr>
                <w:rStyle w:val="IndexLink"/>
              </w:rPr>
              <w:t>193</w:t>
            </w:r>
          </w:hyperlink>
        </w:p>
        <w:p>
          <w:pPr>
            <w:pStyle w:val="Contents6"/>
            <w:tabs>
              <w:tab w:val="clear" w:pos="7609"/>
              <w:tab w:val="right" w:pos="9026" w:leader="dot"/>
            </w:tabs>
            <w:rPr/>
          </w:pPr>
          <w:hyperlink w:anchor="__RefHeading___Toc96218_3244359995">
            <w:r>
              <w:rPr>
                <w:webHidden/>
                <w:rStyle w:val="IndexLink"/>
                <w:rtl w:val="true"/>
              </w:rPr>
              <w:t>الوجه الثانی</w:t>
            </w:r>
            <w:r>
              <w:rPr>
                <w:rStyle w:val="IndexLink"/>
                <w:rtl w:val="true"/>
              </w:rPr>
              <w:t xml:space="preserve">: </w:t>
            </w:r>
            <w:r>
              <w:rPr>
                <w:rStyle w:val="IndexLink"/>
                <w:rtl w:val="true"/>
              </w:rPr>
              <w:t>صحّة السلب عن الفاسد</w:t>
            </w:r>
            <w:r>
              <w:rPr>
                <w:rStyle w:val="IndexLink"/>
                <w:rtl w:val="true"/>
              </w:rPr>
              <w:tab/>
            </w:r>
            <w:r>
              <w:rPr>
                <w:rStyle w:val="IndexLink"/>
              </w:rPr>
              <w:t>195</w:t>
            </w:r>
          </w:hyperlink>
        </w:p>
        <w:p>
          <w:pPr>
            <w:pStyle w:val="Contents6"/>
            <w:tabs>
              <w:tab w:val="clear" w:pos="7609"/>
              <w:tab w:val="right" w:pos="9026" w:leader="dot"/>
            </w:tabs>
            <w:rPr/>
          </w:pPr>
          <w:hyperlink w:anchor="__RefHeading___Toc96220_3244359995">
            <w:r>
              <w:rPr>
                <w:webHidden/>
                <w:rStyle w:val="IndexLink"/>
                <w:rtl w:val="true"/>
              </w:rPr>
              <w:t>الوجه الثالث</w:t>
            </w:r>
            <w:r>
              <w:rPr>
                <w:rStyle w:val="IndexLink"/>
                <w:rtl w:val="true"/>
              </w:rPr>
              <w:t xml:space="preserve">: </w:t>
            </w:r>
            <w:r>
              <w:rPr>
                <w:rStyle w:val="IndexLink"/>
                <w:rtl w:val="true"/>
              </w:rPr>
              <w:t>وجود روایات تلائم مذهب الصحیحی فقط</w:t>
            </w:r>
            <w:r>
              <w:rPr>
                <w:rStyle w:val="IndexLink"/>
                <w:rtl w:val="true"/>
              </w:rPr>
              <w:tab/>
            </w:r>
            <w:r>
              <w:rPr>
                <w:rStyle w:val="IndexLink"/>
              </w:rPr>
              <w:t>195</w:t>
            </w:r>
          </w:hyperlink>
        </w:p>
        <w:p>
          <w:pPr>
            <w:pStyle w:val="Contents5"/>
            <w:tabs>
              <w:tab w:val="clear" w:pos="7892"/>
              <w:tab w:val="right" w:pos="9026" w:leader="dot"/>
            </w:tabs>
            <w:rPr/>
          </w:pPr>
          <w:hyperlink w:anchor="__RefHeading___Toc96222_3244359995">
            <w:r>
              <w:rPr>
                <w:webHidden/>
                <w:rStyle w:val="IndexLink"/>
                <w:rtl w:val="true"/>
              </w:rPr>
              <w:t>أدلّة القول بالأعمّ</w:t>
            </w:r>
            <w:r>
              <w:rPr>
                <w:rStyle w:val="IndexLink"/>
                <w:rtl w:val="true"/>
              </w:rPr>
              <w:tab/>
            </w:r>
            <w:r>
              <w:rPr>
                <w:rStyle w:val="IndexLink"/>
              </w:rPr>
              <w:t>195</w:t>
            </w:r>
          </w:hyperlink>
        </w:p>
        <w:p>
          <w:pPr>
            <w:pStyle w:val="Contents6"/>
            <w:tabs>
              <w:tab w:val="clear" w:pos="7609"/>
              <w:tab w:val="right" w:pos="9026" w:leader="dot"/>
            </w:tabs>
            <w:rPr/>
          </w:pPr>
          <w:hyperlink w:anchor="__RefHeading___Toc96224_3244359995">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96226_3244359995">
            <w:r>
              <w:rPr>
                <w:webHidden/>
                <w:rStyle w:val="IndexLink"/>
                <w:rtl w:val="true"/>
              </w:rPr>
              <w:t>الأوّل والثانی</w:t>
            </w:r>
            <w:r>
              <w:rPr>
                <w:rStyle w:val="IndexLink"/>
                <w:rtl w:val="true"/>
              </w:rPr>
              <w:t xml:space="preserve">: </w:t>
            </w:r>
            <w:r>
              <w:rPr>
                <w:rStyle w:val="IndexLink"/>
                <w:rtl w:val="true"/>
              </w:rPr>
              <w:t>التبادر وعدم صحّة السلب عن الفاسد</w:t>
            </w:r>
            <w:r>
              <w:rPr>
                <w:rStyle w:val="IndexLink"/>
                <w:rtl w:val="true"/>
              </w:rPr>
              <w:tab/>
            </w:r>
            <w:r>
              <w:rPr>
                <w:rStyle w:val="IndexLink"/>
              </w:rPr>
              <w:t>195</w:t>
            </w:r>
          </w:hyperlink>
        </w:p>
        <w:p>
          <w:pPr>
            <w:pStyle w:val="Contents6"/>
            <w:tabs>
              <w:tab w:val="clear" w:pos="7609"/>
              <w:tab w:val="right" w:pos="9026" w:leader="dot"/>
            </w:tabs>
            <w:rPr/>
          </w:pPr>
          <w:hyperlink w:anchor="__RefHeading___Toc96228_3244359995">
            <w:r>
              <w:rPr>
                <w:webHidden/>
                <w:rStyle w:val="IndexLink"/>
                <w:rtl w:val="true"/>
              </w:rPr>
              <w:t>الثالث</w:t>
            </w:r>
            <w:r>
              <w:rPr>
                <w:rStyle w:val="IndexLink"/>
                <w:rtl w:val="true"/>
              </w:rPr>
              <w:t xml:space="preserve">: </w:t>
            </w:r>
            <w:r>
              <w:rPr>
                <w:rStyle w:val="IndexLink"/>
                <w:rtl w:val="true"/>
              </w:rPr>
              <w:t>صحّة تقسیم الصلاة إلی صحیحها وفاسدها</w:t>
            </w:r>
            <w:r>
              <w:rPr>
                <w:rStyle w:val="IndexLink"/>
                <w:rtl w:val="true"/>
              </w:rPr>
              <w:tab/>
            </w:r>
            <w:r>
              <w:rPr>
                <w:rStyle w:val="IndexLink"/>
              </w:rPr>
              <w:t>196</w:t>
            </w:r>
          </w:hyperlink>
        </w:p>
        <w:p>
          <w:pPr>
            <w:pStyle w:val="Contents6"/>
            <w:tabs>
              <w:tab w:val="clear" w:pos="7609"/>
              <w:tab w:val="right" w:pos="9026" w:leader="dot"/>
            </w:tabs>
            <w:rPr/>
          </w:pPr>
          <w:hyperlink w:anchor="__RefHeading___Toc96230_3244359995">
            <w:r>
              <w:rPr>
                <w:webHidden/>
                <w:rStyle w:val="IndexLink"/>
                <w:rtl w:val="true"/>
              </w:rPr>
              <w:t>الرابع</w:t>
            </w:r>
            <w:r>
              <w:rPr>
                <w:rStyle w:val="IndexLink"/>
                <w:rtl w:val="true"/>
              </w:rPr>
              <w:t xml:space="preserve">: </w:t>
            </w:r>
            <w:r>
              <w:rPr>
                <w:rStyle w:val="IndexLink"/>
                <w:rtl w:val="true"/>
              </w:rPr>
              <w:t>الروایات</w:t>
            </w:r>
            <w:r>
              <w:rPr>
                <w:rStyle w:val="IndexLink"/>
                <w:rtl w:val="true"/>
              </w:rPr>
              <w:tab/>
            </w:r>
            <w:r>
              <w:rPr>
                <w:rStyle w:val="IndexLink"/>
              </w:rPr>
              <w:t>196</w:t>
            </w:r>
          </w:hyperlink>
        </w:p>
        <w:p>
          <w:pPr>
            <w:pStyle w:val="Contents5"/>
            <w:tabs>
              <w:tab w:val="clear" w:pos="7892"/>
              <w:tab w:val="right" w:pos="9026" w:leader="dot"/>
            </w:tabs>
            <w:rPr/>
          </w:pPr>
          <w:hyperlink w:anchor="__RefHeading___Toc96232_3244359995">
            <w:r>
              <w:rPr>
                <w:webHidden/>
                <w:rStyle w:val="IndexLink"/>
                <w:rtl w:val="true"/>
              </w:rPr>
              <w:t>وهاهنا تنبیهان</w:t>
            </w:r>
            <w:r>
              <w:rPr>
                <w:rStyle w:val="IndexLink"/>
                <w:rtl w:val="true"/>
              </w:rPr>
              <w:t>:</w:t>
              <w:tab/>
            </w:r>
            <w:r>
              <w:rPr>
                <w:rStyle w:val="IndexLink"/>
              </w:rPr>
              <w:t>197</w:t>
            </w:r>
          </w:hyperlink>
        </w:p>
        <w:p>
          <w:pPr>
            <w:pStyle w:val="Contents6"/>
            <w:tabs>
              <w:tab w:val="clear" w:pos="7609"/>
              <w:tab w:val="right" w:pos="9026" w:leader="dot"/>
            </w:tabs>
            <w:rPr/>
          </w:pPr>
          <w:hyperlink w:anchor="__RefHeading___Toc96234_3244359995">
            <w:r>
              <w:rPr>
                <w:webHidden/>
                <w:rStyle w:val="IndexLink"/>
                <w:rtl w:val="true"/>
              </w:rPr>
              <w:t>الأوّل</w:t>
            </w:r>
            <w:r>
              <w:rPr>
                <w:rStyle w:val="IndexLink"/>
                <w:rtl w:val="true"/>
              </w:rPr>
              <w:t xml:space="preserve">: </w:t>
            </w:r>
            <w:r>
              <w:rPr>
                <w:rStyle w:val="IndexLink"/>
                <w:rtl w:val="true"/>
              </w:rPr>
              <w:t>فی دخول أسامی المعاملات فی محلّ النزاع وعدمه</w:t>
            </w:r>
            <w:r>
              <w:rPr>
                <w:rStyle w:val="IndexLink"/>
                <w:rtl w:val="true"/>
              </w:rPr>
              <w:tab/>
            </w:r>
            <w:r>
              <w:rPr>
                <w:rStyle w:val="IndexLink"/>
              </w:rPr>
              <w:t>197</w:t>
            </w:r>
          </w:hyperlink>
        </w:p>
        <w:p>
          <w:pPr>
            <w:pStyle w:val="Contents6"/>
            <w:tabs>
              <w:tab w:val="clear" w:pos="7609"/>
              <w:tab w:val="right" w:pos="9026" w:leader="dot"/>
            </w:tabs>
            <w:rPr/>
          </w:pPr>
          <w:hyperlink w:anchor="__RefHeading___Toc96236_3244359995">
            <w:r>
              <w:rPr>
                <w:webHidden/>
                <w:rStyle w:val="IndexLink"/>
                <w:rtl w:val="true"/>
              </w:rPr>
              <w:t>الثانی</w:t>
            </w:r>
            <w:r>
              <w:rPr>
                <w:rStyle w:val="IndexLink"/>
                <w:rtl w:val="true"/>
              </w:rPr>
              <w:t xml:space="preserve">: </w:t>
            </w:r>
            <w:r>
              <w:rPr>
                <w:rStyle w:val="IndexLink"/>
                <w:rtl w:val="true"/>
              </w:rPr>
              <w:t>التمسّک بإطلاقات المعاملات</w:t>
            </w:r>
            <w:r>
              <w:rPr>
                <w:rStyle w:val="IndexLink"/>
                <w:rtl w:val="true"/>
              </w:rPr>
              <w:tab/>
            </w:r>
            <w:r>
              <w:rPr>
                <w:rStyle w:val="IndexLink"/>
              </w:rPr>
              <w:t>197</w:t>
            </w:r>
          </w:hyperlink>
        </w:p>
        <w:p>
          <w:pPr>
            <w:pStyle w:val="Contents4"/>
            <w:tabs>
              <w:tab w:val="clear" w:pos="8176"/>
              <w:tab w:val="right" w:pos="9026" w:leader="dot"/>
            </w:tabs>
            <w:rPr/>
          </w:pPr>
          <w:hyperlink w:anchor="__RefHeading___Toc96238_3244359995">
            <w:r>
              <w:rPr>
                <w:webHidden/>
                <w:rStyle w:val="IndexLink"/>
                <w:rtl w:val="true"/>
              </w:rPr>
              <w:t>الأمر السادس</w:t>
            </w:r>
            <w:r>
              <w:rPr>
                <w:rStyle w:val="IndexLink"/>
                <w:rtl w:val="true"/>
              </w:rPr>
              <w:t xml:space="preserve">: </w:t>
            </w:r>
            <w:r>
              <w:rPr>
                <w:rStyle w:val="IndexLink"/>
                <w:rtl w:val="true"/>
              </w:rPr>
              <w:t>فی الاشتراک واستعمال اللفظ فی أکثر من معنی</w:t>
            </w:r>
            <w:r>
              <w:rPr>
                <w:rStyle w:val="IndexLink"/>
                <w:rtl w:val="true"/>
              </w:rPr>
              <w:tab/>
            </w:r>
            <w:r>
              <w:rPr>
                <w:rStyle w:val="IndexLink"/>
              </w:rPr>
              <w:t>198</w:t>
            </w:r>
          </w:hyperlink>
        </w:p>
        <w:p>
          <w:pPr>
            <w:pStyle w:val="Contents5"/>
            <w:tabs>
              <w:tab w:val="clear" w:pos="7892"/>
              <w:tab w:val="right" w:pos="9026" w:leader="dot"/>
            </w:tabs>
            <w:rPr/>
          </w:pPr>
          <w:hyperlink w:anchor="__RefHeading___Toc96240_3244359995">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96242_3244359995">
            <w:r>
              <w:rPr>
                <w:webHidden/>
                <w:rStyle w:val="IndexLink"/>
              </w:rPr>
              <w:t>1</w:t>
            </w:r>
            <w:r>
              <w:rPr>
                <w:rStyle w:val="IndexLink"/>
                <w:rtl w:val="true"/>
              </w:rPr>
              <w:t xml:space="preserve">. </w:t>
            </w:r>
            <w:r>
              <w:rPr>
                <w:rStyle w:val="IndexLink"/>
                <w:rtl w:val="true"/>
              </w:rPr>
              <w:t>إمکان وضع الألفاظ المشترکة</w:t>
            </w:r>
            <w:r>
              <w:rPr>
                <w:rStyle w:val="IndexLink"/>
                <w:rtl w:val="true"/>
              </w:rPr>
              <w:tab/>
            </w:r>
            <w:r>
              <w:rPr>
                <w:rStyle w:val="IndexLink"/>
              </w:rPr>
              <w:t>199</w:t>
            </w:r>
          </w:hyperlink>
        </w:p>
        <w:p>
          <w:pPr>
            <w:pStyle w:val="Contents5"/>
            <w:tabs>
              <w:tab w:val="clear" w:pos="7892"/>
              <w:tab w:val="right" w:pos="9026" w:leader="dot"/>
            </w:tabs>
            <w:rPr/>
          </w:pPr>
          <w:hyperlink w:anchor="__RefHeading___Toc96244_3244359995">
            <w:r>
              <w:rPr>
                <w:webHidden/>
                <w:rStyle w:val="IndexLink"/>
              </w:rPr>
              <w:t>2</w:t>
            </w:r>
            <w:r>
              <w:rPr>
                <w:rStyle w:val="IndexLink"/>
                <w:rtl w:val="true"/>
              </w:rPr>
              <w:t xml:space="preserve">. </w:t>
            </w:r>
            <w:r>
              <w:rPr>
                <w:rStyle w:val="IndexLink"/>
                <w:rtl w:val="true"/>
              </w:rPr>
              <w:t>علّة الاشتراک ومنشؤه</w:t>
            </w:r>
            <w:r>
              <w:rPr>
                <w:rStyle w:val="IndexLink"/>
                <w:rtl w:val="true"/>
              </w:rPr>
              <w:tab/>
            </w:r>
            <w:r>
              <w:rPr>
                <w:rStyle w:val="IndexLink"/>
              </w:rPr>
              <w:t>199</w:t>
            </w:r>
          </w:hyperlink>
        </w:p>
        <w:p>
          <w:pPr>
            <w:pStyle w:val="Contents5"/>
            <w:tabs>
              <w:tab w:val="clear" w:pos="7892"/>
              <w:tab w:val="right" w:pos="9026" w:leader="dot"/>
            </w:tabs>
            <w:rPr/>
          </w:pPr>
          <w:hyperlink w:anchor="__RefHeading___Toc96246_3244359995">
            <w:r>
              <w:rPr>
                <w:webHidden/>
                <w:rStyle w:val="IndexLink"/>
              </w:rPr>
              <w:t>3</w:t>
            </w:r>
            <w:r>
              <w:rPr>
                <w:rStyle w:val="IndexLink"/>
                <w:rtl w:val="true"/>
              </w:rPr>
              <w:t xml:space="preserve">. </w:t>
            </w:r>
            <w:r>
              <w:rPr>
                <w:rStyle w:val="IndexLink"/>
                <w:rtl w:val="true"/>
              </w:rPr>
              <w:t>إمکان وقوعه فی کلام اللَّه تعالی</w:t>
            </w:r>
            <w:r>
              <w:rPr>
                <w:rStyle w:val="IndexLink"/>
                <w:rtl w:val="true"/>
              </w:rPr>
              <w:tab/>
            </w:r>
            <w:r>
              <w:rPr>
                <w:rStyle w:val="IndexLink"/>
              </w:rPr>
              <w:t>201</w:t>
            </w:r>
          </w:hyperlink>
        </w:p>
        <w:p>
          <w:pPr>
            <w:pStyle w:val="Contents5"/>
            <w:tabs>
              <w:tab w:val="clear" w:pos="7892"/>
              <w:tab w:val="right" w:pos="9026" w:leader="dot"/>
            </w:tabs>
            <w:rPr/>
          </w:pPr>
          <w:hyperlink w:anchor="__RefHeading___Toc96248_3244359995">
            <w:r>
              <w:rPr>
                <w:webHidden/>
                <w:rStyle w:val="IndexLink"/>
                <w:rtl w:val="true"/>
              </w:rPr>
              <w:t>استعمال اللفظ فی أکثر من معنی</w:t>
            </w:r>
            <w:r>
              <w:rPr>
                <w:rStyle w:val="IndexLink"/>
                <w:rtl w:val="true"/>
              </w:rPr>
              <w:tab/>
            </w:r>
            <w:r>
              <w:rPr>
                <w:rStyle w:val="IndexLink"/>
              </w:rPr>
              <w:t>201</w:t>
            </w:r>
          </w:hyperlink>
        </w:p>
        <w:p>
          <w:pPr>
            <w:pStyle w:val="Contents5"/>
            <w:tabs>
              <w:tab w:val="clear" w:pos="7892"/>
              <w:tab w:val="right" w:pos="9026" w:leader="dot"/>
            </w:tabs>
            <w:rPr/>
          </w:pPr>
          <w:hyperlink w:anchor="__RefHeading___Toc96250_3244359995">
            <w:r>
              <w:rPr>
                <w:webHidden/>
                <w:rStyle w:val="IndexLink"/>
                <w:rtl w:val="true"/>
              </w:rPr>
              <w:t>والأقوال فی المسألة کثیرة أهمّها أربعة</w:t>
            </w:r>
            <w:r>
              <w:rPr>
                <w:rStyle w:val="IndexLink"/>
                <w:rtl w:val="true"/>
              </w:rPr>
              <w:t>:</w:t>
              <w:tab/>
            </w:r>
            <w:r>
              <w:rPr>
                <w:rStyle w:val="IndexLink"/>
              </w:rPr>
              <w:t>202</w:t>
            </w:r>
          </w:hyperlink>
        </w:p>
        <w:p>
          <w:pPr>
            <w:pStyle w:val="Contents3"/>
            <w:tabs>
              <w:tab w:val="clear" w:pos="8459"/>
              <w:tab w:val="right" w:pos="9026" w:leader="dot"/>
            </w:tabs>
            <w:rPr/>
          </w:pPr>
          <w:hyperlink w:anchor="__RefHeading___Toc96252_3244359995">
            <w:r>
              <w:rPr>
                <w:webHidden/>
                <w:rStyle w:val="IndexLink"/>
                <w:rtl w:val="true"/>
              </w:rPr>
              <w:t>الفصل الثالث</w:t>
            </w:r>
            <w:r>
              <w:rPr>
                <w:rStyle w:val="IndexLink"/>
                <w:rtl w:val="true"/>
              </w:rPr>
              <w:t xml:space="preserve">: </w:t>
            </w:r>
            <w:r>
              <w:rPr>
                <w:rStyle w:val="IndexLink"/>
                <w:rtl w:val="true"/>
              </w:rPr>
              <w:t>الأوامر</w:t>
            </w:r>
            <w:r>
              <w:rPr>
                <w:rStyle w:val="IndexLink"/>
                <w:rtl w:val="true"/>
              </w:rPr>
              <w:tab/>
            </w:r>
            <w:r>
              <w:rPr>
                <w:rStyle w:val="IndexLink"/>
              </w:rPr>
              <w:t>206</w:t>
            </w:r>
          </w:hyperlink>
        </w:p>
        <w:p>
          <w:pPr>
            <w:pStyle w:val="Contents4"/>
            <w:tabs>
              <w:tab w:val="clear" w:pos="8176"/>
              <w:tab w:val="right" w:pos="9026" w:leader="dot"/>
            </w:tabs>
            <w:rPr/>
          </w:pPr>
          <w:hyperlink w:anchor="__RefHeading___Toc96254_3244359995">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96256_3244359995">
            <w:r>
              <w:rPr>
                <w:webHidden/>
                <w:rStyle w:val="IndexLink"/>
                <w:rtl w:val="true"/>
              </w:rPr>
              <w:t>الجهة الاولی فی معنی مادّة الأمر</w:t>
            </w:r>
            <w:r>
              <w:rPr>
                <w:rStyle w:val="IndexLink"/>
                <w:rtl w:val="true"/>
              </w:rPr>
              <w:tab/>
            </w:r>
            <w:r>
              <w:rPr>
                <w:rStyle w:val="IndexLink"/>
              </w:rPr>
              <w:t>206</w:t>
            </w:r>
          </w:hyperlink>
        </w:p>
        <w:p>
          <w:pPr>
            <w:pStyle w:val="Contents5"/>
            <w:tabs>
              <w:tab w:val="clear" w:pos="7892"/>
              <w:tab w:val="right" w:pos="9026" w:leader="dot"/>
            </w:tabs>
            <w:rPr/>
          </w:pPr>
          <w:hyperlink w:anchor="__RefHeading___Toc96258_3244359995">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96260_3244359995">
            <w:r>
              <w:rPr>
                <w:webHidden/>
                <w:rStyle w:val="IndexLink"/>
              </w:rPr>
              <w:t>1</w:t>
            </w:r>
            <w:r>
              <w:rPr>
                <w:rStyle w:val="IndexLink"/>
                <w:rtl w:val="true"/>
              </w:rPr>
              <w:t xml:space="preserve">. </w:t>
            </w:r>
            <w:r>
              <w:rPr>
                <w:rStyle w:val="IndexLink"/>
                <w:rtl w:val="true"/>
              </w:rPr>
              <w:t>هل العلوّ أو الاستعلاء فیه شرط؟</w:t>
            </w:r>
            <w:r>
              <w:rPr>
                <w:rStyle w:val="IndexLink"/>
                <w:rtl w:val="true"/>
              </w:rPr>
              <w:tab/>
            </w:r>
            <w:r>
              <w:rPr>
                <w:rStyle w:val="IndexLink"/>
              </w:rPr>
              <w:t>208</w:t>
            </w:r>
          </w:hyperlink>
        </w:p>
        <w:p>
          <w:pPr>
            <w:pStyle w:val="Contents5"/>
            <w:tabs>
              <w:tab w:val="clear" w:pos="7892"/>
              <w:tab w:val="right" w:pos="9026" w:leader="dot"/>
            </w:tabs>
            <w:rPr/>
          </w:pPr>
          <w:hyperlink w:anchor="__RefHeading___Toc96262_3244359995">
            <w:r>
              <w:rPr>
                <w:webHidden/>
                <w:rStyle w:val="IndexLink"/>
              </w:rPr>
              <w:t>2</w:t>
            </w:r>
            <w:r>
              <w:rPr>
                <w:rStyle w:val="IndexLink"/>
                <w:rtl w:val="true"/>
              </w:rPr>
              <w:t xml:space="preserve">. </w:t>
            </w:r>
            <w:r>
              <w:rPr>
                <w:rStyle w:val="IndexLink"/>
                <w:rtl w:val="true"/>
              </w:rPr>
              <w:t>دلالة مادّة الأمر علی الوجوب</w:t>
            </w:r>
            <w:r>
              <w:rPr>
                <w:rStyle w:val="IndexLink"/>
                <w:rtl w:val="true"/>
              </w:rPr>
              <w:tab/>
            </w:r>
            <w:r>
              <w:rPr>
                <w:rStyle w:val="IndexLink"/>
              </w:rPr>
              <w:t>209</w:t>
            </w:r>
          </w:hyperlink>
        </w:p>
        <w:p>
          <w:pPr>
            <w:pStyle w:val="Contents4"/>
            <w:tabs>
              <w:tab w:val="clear" w:pos="8176"/>
              <w:tab w:val="right" w:pos="9026" w:leader="dot"/>
            </w:tabs>
            <w:rPr/>
          </w:pPr>
          <w:hyperlink w:anchor="__RefHeading___Toc96264_3244359995">
            <w:r>
              <w:rPr>
                <w:webHidden/>
                <w:rStyle w:val="IndexLink"/>
                <w:rtl w:val="true"/>
              </w:rPr>
              <w:t>الجهة الثانیة</w:t>
            </w:r>
            <w:r>
              <w:rPr>
                <w:rStyle w:val="IndexLink"/>
                <w:rtl w:val="true"/>
              </w:rPr>
              <w:t xml:space="preserve">: </w:t>
            </w:r>
            <w:r>
              <w:rPr>
                <w:rStyle w:val="IndexLink"/>
                <w:rtl w:val="true"/>
              </w:rPr>
              <w:t>فی صیغة الأمر</w:t>
            </w:r>
            <w:r>
              <w:rPr>
                <w:rStyle w:val="IndexLink"/>
                <w:rtl w:val="true"/>
              </w:rPr>
              <w:tab/>
            </w:r>
            <w:r>
              <w:rPr>
                <w:rStyle w:val="IndexLink"/>
              </w:rPr>
              <w:t>211</w:t>
            </w:r>
          </w:hyperlink>
        </w:p>
        <w:p>
          <w:pPr>
            <w:pStyle w:val="Contents5"/>
            <w:tabs>
              <w:tab w:val="clear" w:pos="7892"/>
              <w:tab w:val="right" w:pos="9026" w:leader="dot"/>
            </w:tabs>
            <w:rPr/>
          </w:pPr>
          <w:hyperlink w:anchor="__RefHeading___Toc96266_3244359995">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96268_3244359995">
            <w:r>
              <w:rPr>
                <w:webHidden/>
                <w:rStyle w:val="IndexLink"/>
              </w:rPr>
              <w:t>1</w:t>
            </w:r>
            <w:r>
              <w:rPr>
                <w:rStyle w:val="IndexLink"/>
                <w:rtl w:val="true"/>
              </w:rPr>
              <w:t xml:space="preserve">. </w:t>
            </w:r>
            <w:r>
              <w:rPr>
                <w:rStyle w:val="IndexLink"/>
                <w:rtl w:val="true"/>
              </w:rPr>
              <w:t>فی مفادها</w:t>
            </w:r>
            <w:r>
              <w:rPr>
                <w:rStyle w:val="IndexLink"/>
                <w:rtl w:val="true"/>
              </w:rPr>
              <w:tab/>
            </w:r>
            <w:r>
              <w:rPr>
                <w:rStyle w:val="IndexLink"/>
              </w:rPr>
              <w:t>211</w:t>
            </w:r>
          </w:hyperlink>
        </w:p>
        <w:p>
          <w:pPr>
            <w:pStyle w:val="Contents5"/>
            <w:tabs>
              <w:tab w:val="clear" w:pos="7892"/>
              <w:tab w:val="right" w:pos="9026" w:leader="dot"/>
            </w:tabs>
            <w:rPr/>
          </w:pPr>
          <w:hyperlink w:anchor="__RefHeading___Toc96270_3244359995">
            <w:r>
              <w:rPr>
                <w:webHidden/>
                <w:rStyle w:val="IndexLink"/>
              </w:rPr>
              <w:t>2</w:t>
            </w:r>
            <w:r>
              <w:rPr>
                <w:rStyle w:val="IndexLink"/>
                <w:rtl w:val="true"/>
              </w:rPr>
              <w:t xml:space="preserve">. </w:t>
            </w:r>
            <w:r>
              <w:rPr>
                <w:rStyle w:val="IndexLink"/>
                <w:rtl w:val="true"/>
              </w:rPr>
              <w:t>فی دلالتها علی الوجوب</w:t>
            </w:r>
            <w:r>
              <w:rPr>
                <w:rStyle w:val="IndexLink"/>
                <w:rtl w:val="true"/>
              </w:rPr>
              <w:tab/>
            </w:r>
            <w:r>
              <w:rPr>
                <w:rStyle w:val="IndexLink"/>
              </w:rPr>
              <w:t>212</w:t>
            </w:r>
          </w:hyperlink>
        </w:p>
        <w:p>
          <w:pPr>
            <w:pStyle w:val="Contents4"/>
            <w:tabs>
              <w:tab w:val="clear" w:pos="8176"/>
              <w:tab w:val="right" w:pos="9026" w:leader="dot"/>
            </w:tabs>
            <w:rPr/>
          </w:pPr>
          <w:hyperlink w:anchor="__RefHeading___Toc96272_3244359995">
            <w:r>
              <w:rPr>
                <w:webHidden/>
                <w:rStyle w:val="IndexLink"/>
                <w:rtl w:val="true"/>
              </w:rPr>
              <w:t>الجهة الثالثة</w:t>
            </w:r>
            <w:r>
              <w:rPr>
                <w:rStyle w:val="IndexLink"/>
                <w:rtl w:val="true"/>
              </w:rPr>
              <w:t xml:space="preserve">: </w:t>
            </w:r>
            <w:r>
              <w:rPr>
                <w:rStyle w:val="IndexLink"/>
                <w:rtl w:val="true"/>
              </w:rPr>
              <w:t>فی الجمل الخبریّة</w:t>
            </w:r>
            <w:r>
              <w:rPr>
                <w:rStyle w:val="IndexLink"/>
                <w:rtl w:val="true"/>
              </w:rPr>
              <w:tab/>
            </w:r>
            <w:r>
              <w:rPr>
                <w:rStyle w:val="IndexLink"/>
              </w:rPr>
              <w:t>213</w:t>
            </w:r>
          </w:hyperlink>
        </w:p>
        <w:p>
          <w:pPr>
            <w:pStyle w:val="Contents5"/>
            <w:tabs>
              <w:tab w:val="clear" w:pos="7892"/>
              <w:tab w:val="right" w:pos="9026" w:leader="dot"/>
            </w:tabs>
            <w:rPr/>
          </w:pPr>
          <w:hyperlink w:anchor="__RefHeading___Toc96274_3244359995">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96276_3244359995">
            <w:r>
              <w:rPr>
                <w:webHidden/>
                <w:rStyle w:val="IndexLink"/>
              </w:rPr>
              <w:t>1</w:t>
            </w:r>
            <w:r>
              <w:rPr>
                <w:rStyle w:val="IndexLink"/>
                <w:rtl w:val="true"/>
              </w:rPr>
              <w:t xml:space="preserve">. </w:t>
            </w:r>
            <w:r>
              <w:rPr>
                <w:rStyle w:val="IndexLink"/>
                <w:rtl w:val="true"/>
              </w:rPr>
              <w:t>کیفیة استعمالها فی الطلب الإنشائی</w:t>
            </w:r>
            <w:r>
              <w:rPr>
                <w:rStyle w:val="IndexLink"/>
                <w:rtl w:val="true"/>
              </w:rPr>
              <w:tab/>
            </w:r>
            <w:r>
              <w:rPr>
                <w:rStyle w:val="IndexLink"/>
              </w:rPr>
              <w:t>214</w:t>
            </w:r>
          </w:hyperlink>
        </w:p>
        <w:p>
          <w:pPr>
            <w:pStyle w:val="Contents5"/>
            <w:tabs>
              <w:tab w:val="clear" w:pos="7892"/>
              <w:tab w:val="right" w:pos="9026" w:leader="dot"/>
            </w:tabs>
            <w:rPr/>
          </w:pPr>
          <w:hyperlink w:anchor="__RefHeading___Toc96278_3244359995">
            <w:r>
              <w:rPr>
                <w:webHidden/>
                <w:rStyle w:val="IndexLink"/>
              </w:rPr>
              <w:t>2</w:t>
            </w:r>
            <w:r>
              <w:rPr>
                <w:rStyle w:val="IndexLink"/>
                <w:rtl w:val="true"/>
              </w:rPr>
              <w:t xml:space="preserve">. </w:t>
            </w:r>
            <w:r>
              <w:rPr>
                <w:rStyle w:val="IndexLink"/>
                <w:rtl w:val="true"/>
              </w:rPr>
              <w:t>حول دلالتها علی الوجوب</w:t>
            </w:r>
            <w:r>
              <w:rPr>
                <w:rStyle w:val="IndexLink"/>
                <w:rtl w:val="true"/>
              </w:rPr>
              <w:tab/>
            </w:r>
            <w:r>
              <w:rPr>
                <w:rStyle w:val="IndexLink"/>
              </w:rPr>
              <w:t>215</w:t>
            </w:r>
          </w:hyperlink>
        </w:p>
        <w:p>
          <w:pPr>
            <w:pStyle w:val="Contents4"/>
            <w:tabs>
              <w:tab w:val="clear" w:pos="8176"/>
              <w:tab w:val="right" w:pos="9026" w:leader="dot"/>
            </w:tabs>
            <w:rPr/>
          </w:pPr>
          <w:hyperlink w:anchor="__RefHeading___Toc96280_3244359995">
            <w:r>
              <w:rPr>
                <w:webHidden/>
                <w:rStyle w:val="IndexLink"/>
                <w:rtl w:val="true"/>
              </w:rPr>
              <w:t>الجهة الرابعة</w:t>
            </w:r>
            <w:r>
              <w:rPr>
                <w:rStyle w:val="IndexLink"/>
                <w:rtl w:val="true"/>
              </w:rPr>
              <w:t xml:space="preserve">: </w:t>
            </w:r>
            <w:r>
              <w:rPr>
                <w:rStyle w:val="IndexLink"/>
                <w:rtl w:val="true"/>
              </w:rPr>
              <w:t>حول سائر مدالیل الأمر والطلب الإنشائی</w:t>
            </w:r>
            <w:r>
              <w:rPr>
                <w:rStyle w:val="IndexLink"/>
                <w:rtl w:val="true"/>
              </w:rPr>
              <w:tab/>
            </w:r>
            <w:r>
              <w:rPr>
                <w:rStyle w:val="IndexLink"/>
              </w:rPr>
              <w:t>215</w:t>
            </w:r>
          </w:hyperlink>
        </w:p>
        <w:p>
          <w:pPr>
            <w:pStyle w:val="Contents5"/>
            <w:tabs>
              <w:tab w:val="clear" w:pos="7892"/>
              <w:tab w:val="right" w:pos="9026" w:leader="dot"/>
            </w:tabs>
            <w:rPr/>
          </w:pPr>
          <w:hyperlink w:anchor="__RefHeading___Toc96282_3244359995">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96284_3244359995">
            <w:r>
              <w:rPr>
                <w:webHidden/>
                <w:rStyle w:val="IndexLink"/>
              </w:rPr>
              <w:t>1</w:t>
            </w:r>
            <w:r>
              <w:rPr>
                <w:rStyle w:val="IndexLink"/>
                <w:rtl w:val="true"/>
              </w:rPr>
              <w:t xml:space="preserve">. </w:t>
            </w:r>
            <w:r>
              <w:rPr>
                <w:rStyle w:val="IndexLink"/>
                <w:rtl w:val="true"/>
              </w:rPr>
              <w:t>الأمر بالأمر</w:t>
            </w:r>
            <w:r>
              <w:rPr>
                <w:rStyle w:val="IndexLink"/>
                <w:rtl w:val="true"/>
              </w:rPr>
              <w:tab/>
            </w:r>
            <w:r>
              <w:rPr>
                <w:rStyle w:val="IndexLink"/>
              </w:rPr>
              <w:t>215</w:t>
            </w:r>
          </w:hyperlink>
        </w:p>
        <w:p>
          <w:pPr>
            <w:pStyle w:val="Contents5"/>
            <w:tabs>
              <w:tab w:val="clear" w:pos="7892"/>
              <w:tab w:val="right" w:pos="9026" w:leader="dot"/>
            </w:tabs>
            <w:rPr/>
          </w:pPr>
          <w:hyperlink w:anchor="__RefHeading___Toc96286_3244359995">
            <w:r>
              <w:rPr>
                <w:webHidden/>
                <w:rStyle w:val="IndexLink"/>
              </w:rPr>
              <w:t>2</w:t>
            </w:r>
            <w:r>
              <w:rPr>
                <w:rStyle w:val="IndexLink"/>
                <w:rtl w:val="true"/>
              </w:rPr>
              <w:t xml:space="preserve">. </w:t>
            </w:r>
            <w:r>
              <w:rPr>
                <w:rStyle w:val="IndexLink"/>
                <w:rtl w:val="true"/>
              </w:rPr>
              <w:t>الأمر عقیب الحظر</w:t>
            </w:r>
            <w:r>
              <w:rPr>
                <w:rStyle w:val="IndexLink"/>
                <w:rtl w:val="true"/>
              </w:rPr>
              <w:tab/>
            </w:r>
            <w:r>
              <w:rPr>
                <w:rStyle w:val="IndexLink"/>
              </w:rPr>
              <w:t>217</w:t>
            </w:r>
          </w:hyperlink>
        </w:p>
        <w:p>
          <w:pPr>
            <w:pStyle w:val="Contents5"/>
            <w:tabs>
              <w:tab w:val="clear" w:pos="7892"/>
              <w:tab w:val="right" w:pos="9026" w:leader="dot"/>
            </w:tabs>
            <w:rPr/>
          </w:pPr>
          <w:hyperlink w:anchor="__RefHeading___Toc96288_3244359995">
            <w:r>
              <w:rPr>
                <w:webHidden/>
                <w:rStyle w:val="IndexLink"/>
              </w:rPr>
              <w:t>3</w:t>
            </w:r>
            <w:r>
              <w:rPr>
                <w:rStyle w:val="IndexLink"/>
                <w:rtl w:val="true"/>
              </w:rPr>
              <w:t xml:space="preserve">. </w:t>
            </w:r>
            <w:r>
              <w:rPr>
                <w:rStyle w:val="IndexLink"/>
                <w:rtl w:val="true"/>
              </w:rPr>
              <w:t>إذا نسخ الوجوب فهل یبقی الجواز أو لا؟</w:t>
            </w:r>
            <w:r>
              <w:rPr>
                <w:rStyle w:val="IndexLink"/>
                <w:rtl w:val="true"/>
              </w:rPr>
              <w:tab/>
            </w:r>
            <w:r>
              <w:rPr>
                <w:rStyle w:val="IndexLink"/>
              </w:rPr>
              <w:t>218</w:t>
            </w:r>
          </w:hyperlink>
        </w:p>
        <w:p>
          <w:pPr>
            <w:pStyle w:val="Contents5"/>
            <w:tabs>
              <w:tab w:val="clear" w:pos="7892"/>
              <w:tab w:val="right" w:pos="9026" w:leader="dot"/>
            </w:tabs>
            <w:rPr/>
          </w:pPr>
          <w:hyperlink w:anchor="__RefHeading___Toc96290_3244359995">
            <w:r>
              <w:rPr>
                <w:webHidden/>
                <w:rStyle w:val="IndexLink"/>
              </w:rPr>
              <w:t>4</w:t>
            </w:r>
            <w:r>
              <w:rPr>
                <w:rStyle w:val="IndexLink"/>
                <w:rtl w:val="true"/>
              </w:rPr>
              <w:t xml:space="preserve">. </w:t>
            </w:r>
            <w:r>
              <w:rPr>
                <w:rStyle w:val="IndexLink"/>
                <w:rtl w:val="true"/>
              </w:rPr>
              <w:t>هل الأمر متعلّق بالطبائع أو بالأفراد؟</w:t>
            </w:r>
            <w:r>
              <w:rPr>
                <w:rStyle w:val="IndexLink"/>
                <w:rtl w:val="true"/>
              </w:rPr>
              <w:tab/>
            </w:r>
            <w:r>
              <w:rPr>
                <w:rStyle w:val="IndexLink"/>
              </w:rPr>
              <w:t>221</w:t>
            </w:r>
          </w:hyperlink>
        </w:p>
        <w:p>
          <w:pPr>
            <w:pStyle w:val="Contents5"/>
            <w:tabs>
              <w:tab w:val="clear" w:pos="7892"/>
              <w:tab w:val="right" w:pos="9026" w:leader="dot"/>
            </w:tabs>
            <w:rPr/>
          </w:pPr>
          <w:hyperlink w:anchor="__RefHeading___Toc96292_3244359995">
            <w:r>
              <w:rPr>
                <w:webHidden/>
                <w:rStyle w:val="IndexLink"/>
              </w:rPr>
              <w:t>5</w:t>
            </w:r>
            <w:r>
              <w:rPr>
                <w:rStyle w:val="IndexLink"/>
                <w:rtl w:val="true"/>
              </w:rPr>
              <w:t xml:space="preserve">. </w:t>
            </w:r>
            <w:r>
              <w:rPr>
                <w:rStyle w:val="IndexLink"/>
                <w:rtl w:val="true"/>
              </w:rPr>
              <w:t>المرّة والتکرار</w:t>
            </w:r>
            <w:r>
              <w:rPr>
                <w:rStyle w:val="IndexLink"/>
                <w:rtl w:val="true"/>
              </w:rPr>
              <w:tab/>
            </w:r>
            <w:r>
              <w:rPr>
                <w:rStyle w:val="IndexLink"/>
              </w:rPr>
              <w:t>223</w:t>
            </w:r>
          </w:hyperlink>
        </w:p>
        <w:p>
          <w:pPr>
            <w:pStyle w:val="Contents5"/>
            <w:tabs>
              <w:tab w:val="clear" w:pos="7892"/>
              <w:tab w:val="right" w:pos="9026" w:leader="dot"/>
            </w:tabs>
            <w:rPr/>
          </w:pPr>
          <w:hyperlink w:anchor="__RefHeading___Toc96294_3244359995">
            <w:r>
              <w:rPr>
                <w:webHidden/>
                <w:rStyle w:val="IndexLink"/>
              </w:rPr>
              <w:t>6</w:t>
            </w:r>
            <w:r>
              <w:rPr>
                <w:rStyle w:val="IndexLink"/>
                <w:rtl w:val="true"/>
              </w:rPr>
              <w:t xml:space="preserve">. </w:t>
            </w:r>
            <w:r>
              <w:rPr>
                <w:rStyle w:val="IndexLink"/>
                <w:rtl w:val="true"/>
              </w:rPr>
              <w:t>الأمر بعد الأمر</w:t>
            </w:r>
            <w:r>
              <w:rPr>
                <w:rStyle w:val="IndexLink"/>
                <w:rtl w:val="true"/>
              </w:rPr>
              <w:tab/>
            </w:r>
            <w:r>
              <w:rPr>
                <w:rStyle w:val="IndexLink"/>
              </w:rPr>
              <w:t>226</w:t>
            </w:r>
          </w:hyperlink>
        </w:p>
        <w:p>
          <w:pPr>
            <w:pStyle w:val="Contents5"/>
            <w:tabs>
              <w:tab w:val="clear" w:pos="7892"/>
              <w:tab w:val="right" w:pos="9026" w:leader="dot"/>
            </w:tabs>
            <w:rPr/>
          </w:pPr>
          <w:hyperlink w:anchor="__RefHeading___Toc96296_3244359995">
            <w:r>
              <w:rPr>
                <w:webHidden/>
                <w:rStyle w:val="IndexLink"/>
              </w:rPr>
              <w:t>7</w:t>
            </w:r>
            <w:r>
              <w:rPr>
                <w:rStyle w:val="IndexLink"/>
                <w:rtl w:val="true"/>
              </w:rPr>
              <w:t xml:space="preserve">. </w:t>
            </w:r>
            <w:r>
              <w:rPr>
                <w:rStyle w:val="IndexLink"/>
                <w:rtl w:val="true"/>
              </w:rPr>
              <w:t>الفور والتراخی</w:t>
            </w:r>
            <w:r>
              <w:rPr>
                <w:rStyle w:val="IndexLink"/>
                <w:rtl w:val="true"/>
              </w:rPr>
              <w:tab/>
            </w:r>
            <w:r>
              <w:rPr>
                <w:rStyle w:val="IndexLink"/>
              </w:rPr>
              <w:t>227</w:t>
            </w:r>
          </w:hyperlink>
        </w:p>
        <w:p>
          <w:pPr>
            <w:pStyle w:val="Contents4"/>
            <w:tabs>
              <w:tab w:val="clear" w:pos="8176"/>
              <w:tab w:val="right" w:pos="9026" w:leader="dot"/>
            </w:tabs>
            <w:rPr/>
          </w:pPr>
          <w:hyperlink w:anchor="__RefHeading___Toc96298_3244359995">
            <w:r>
              <w:rPr>
                <w:webHidden/>
                <w:rStyle w:val="IndexLink"/>
                <w:rtl w:val="true"/>
              </w:rPr>
              <w:t>الجهة الخامسة</w:t>
            </w:r>
            <w:r>
              <w:rPr>
                <w:rStyle w:val="IndexLink"/>
                <w:rtl w:val="true"/>
              </w:rPr>
              <w:t xml:space="preserve">: </w:t>
            </w:r>
            <w:r>
              <w:rPr>
                <w:rStyle w:val="IndexLink"/>
                <w:rtl w:val="true"/>
              </w:rPr>
              <w:t>فی تقسیمات الواجب</w:t>
            </w:r>
            <w:r>
              <w:rPr>
                <w:rStyle w:val="IndexLink"/>
                <w:rtl w:val="true"/>
              </w:rPr>
              <w:tab/>
            </w:r>
            <w:r>
              <w:rPr>
                <w:rStyle w:val="IndexLink"/>
              </w:rPr>
              <w:t>228</w:t>
            </w:r>
          </w:hyperlink>
        </w:p>
        <w:p>
          <w:pPr>
            <w:pStyle w:val="Contents5"/>
            <w:tabs>
              <w:tab w:val="clear" w:pos="7892"/>
              <w:tab w:val="right" w:pos="9026" w:leader="dot"/>
            </w:tabs>
            <w:rPr/>
          </w:pPr>
          <w:hyperlink w:anchor="__RefHeading___Toc96300_3244359995">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96302_3244359995">
            <w:r>
              <w:rPr>
                <w:webHidden/>
                <w:rStyle w:val="IndexLink"/>
                <w:rtl w:val="true"/>
              </w:rPr>
              <w:t>فأمّا من جهة نفس التکلیف</w:t>
            </w:r>
            <w:r>
              <w:rPr>
                <w:rStyle w:val="IndexLink"/>
                <w:rtl w:val="true"/>
              </w:rPr>
              <w:t>:</w:t>
              <w:tab/>
            </w:r>
            <w:r>
              <w:rPr>
                <w:rStyle w:val="IndexLink"/>
              </w:rPr>
              <w:t>228</w:t>
            </w:r>
          </w:hyperlink>
        </w:p>
        <w:p>
          <w:pPr>
            <w:pStyle w:val="Contents5"/>
            <w:tabs>
              <w:tab w:val="clear" w:pos="7892"/>
              <w:tab w:val="right" w:pos="9026" w:leader="dot"/>
            </w:tabs>
            <w:rPr/>
          </w:pPr>
          <w:hyperlink w:anchor="__RefHeading___Toc96304_3244359995">
            <w:r>
              <w:rPr>
                <w:webHidden/>
                <w:rStyle w:val="IndexLink"/>
                <w:rtl w:val="true"/>
              </w:rPr>
              <w:t>وأمّا من جهة المتعلّق والمکلّف به</w:t>
            </w:r>
            <w:r>
              <w:rPr>
                <w:rStyle w:val="IndexLink"/>
                <w:rtl w:val="true"/>
              </w:rPr>
              <w:t>:</w:t>
              <w:tab/>
            </w:r>
            <w:r>
              <w:rPr>
                <w:rStyle w:val="IndexLink"/>
              </w:rPr>
              <w:t>229</w:t>
            </w:r>
          </w:hyperlink>
        </w:p>
        <w:p>
          <w:pPr>
            <w:pStyle w:val="Contents5"/>
            <w:tabs>
              <w:tab w:val="clear" w:pos="7892"/>
              <w:tab w:val="right" w:pos="9026" w:leader="dot"/>
            </w:tabs>
            <w:rPr/>
          </w:pPr>
          <w:hyperlink w:anchor="__RefHeading___Toc96306_3244359995">
            <w:r>
              <w:rPr>
                <w:webHidden/>
                <w:rStyle w:val="IndexLink"/>
                <w:rtl w:val="true"/>
              </w:rPr>
              <w:t>وأمّا من جهة المکلّف</w:t>
            </w:r>
            <w:r>
              <w:rPr>
                <w:rStyle w:val="IndexLink"/>
                <w:rtl w:val="true"/>
              </w:rPr>
              <w:t>:</w:t>
              <w:tab/>
            </w:r>
            <w:r>
              <w:rPr>
                <w:rStyle w:val="IndexLink"/>
              </w:rPr>
              <w:t>229</w:t>
            </w:r>
          </w:hyperlink>
        </w:p>
        <w:p>
          <w:pPr>
            <w:pStyle w:val="Contents6"/>
            <w:tabs>
              <w:tab w:val="clear" w:pos="7609"/>
              <w:tab w:val="right" w:pos="9026" w:leader="dot"/>
            </w:tabs>
            <w:rPr/>
          </w:pPr>
          <w:hyperlink w:anchor="__RefHeading___Toc96308_3244359995">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96310_3244359995">
            <w:r>
              <w:rPr>
                <w:webHidden/>
                <w:rStyle w:val="IndexLink"/>
              </w:rPr>
              <w:t>1</w:t>
            </w:r>
            <w:r>
              <w:rPr>
                <w:rStyle w:val="IndexLink"/>
                <w:rtl w:val="true"/>
              </w:rPr>
              <w:t xml:space="preserve">. </w:t>
            </w:r>
            <w:r>
              <w:rPr>
                <w:rStyle w:val="IndexLink"/>
                <w:rtl w:val="true"/>
              </w:rPr>
              <w:t>المطلق والمشروط</w:t>
            </w:r>
            <w:r>
              <w:rPr>
                <w:rStyle w:val="IndexLink"/>
                <w:rtl w:val="true"/>
              </w:rPr>
              <w:tab/>
            </w:r>
            <w:r>
              <w:rPr>
                <w:rStyle w:val="IndexLink"/>
              </w:rPr>
              <w:t>229</w:t>
            </w:r>
          </w:hyperlink>
        </w:p>
        <w:p>
          <w:pPr>
            <w:pStyle w:val="Contents6"/>
            <w:tabs>
              <w:tab w:val="clear" w:pos="7609"/>
              <w:tab w:val="right" w:pos="9026" w:leader="dot"/>
            </w:tabs>
            <w:rPr/>
          </w:pPr>
          <w:hyperlink w:anchor="__RefHeading___Toc96312_3244359995">
            <w:r>
              <w:rPr>
                <w:webHidden/>
                <w:rStyle w:val="IndexLink"/>
              </w:rPr>
              <w:t>2</w:t>
            </w:r>
            <w:r>
              <w:rPr>
                <w:rStyle w:val="IndexLink"/>
                <w:rtl w:val="true"/>
              </w:rPr>
              <w:t xml:space="preserve">. </w:t>
            </w:r>
            <w:r>
              <w:rPr>
                <w:rStyle w:val="IndexLink"/>
                <w:rtl w:val="true"/>
              </w:rPr>
              <w:t>المنجّز والمعلّق</w:t>
            </w:r>
            <w:r>
              <w:rPr>
                <w:rStyle w:val="IndexLink"/>
                <w:rtl w:val="true"/>
              </w:rPr>
              <w:tab/>
            </w:r>
            <w:r>
              <w:rPr>
                <w:rStyle w:val="IndexLink"/>
              </w:rPr>
              <w:t>235</w:t>
            </w:r>
          </w:hyperlink>
        </w:p>
        <w:p>
          <w:pPr>
            <w:pStyle w:val="Contents6"/>
            <w:tabs>
              <w:tab w:val="clear" w:pos="7609"/>
              <w:tab w:val="right" w:pos="9026" w:leader="dot"/>
            </w:tabs>
            <w:rPr/>
          </w:pPr>
          <w:hyperlink w:anchor="__RefHeading___Toc96314_3244359995">
            <w:r>
              <w:rPr>
                <w:webHidden/>
                <w:rStyle w:val="IndexLink"/>
                <w:rtl w:val="true"/>
              </w:rPr>
              <w:t>ثمرة المسألة</w:t>
            </w:r>
            <w:r>
              <w:rPr>
                <w:rStyle w:val="IndexLink"/>
                <w:rtl w:val="true"/>
              </w:rPr>
              <w:t>:</w:t>
              <w:tab/>
            </w:r>
            <w:r>
              <w:rPr>
                <w:rStyle w:val="IndexLink"/>
              </w:rPr>
              <w:t>237</w:t>
            </w:r>
          </w:hyperlink>
        </w:p>
        <w:p>
          <w:pPr>
            <w:pStyle w:val="Contents6"/>
            <w:tabs>
              <w:tab w:val="clear" w:pos="7609"/>
              <w:tab w:val="right" w:pos="9026" w:leader="dot"/>
            </w:tabs>
            <w:rPr/>
          </w:pPr>
          <w:hyperlink w:anchor="__RefHeading___Toc96316_3244359995">
            <w:r>
              <w:rPr>
                <w:webHidden/>
                <w:rStyle w:val="IndexLink"/>
                <w:rtl w:val="true"/>
              </w:rPr>
              <w:t>حکم الشکّ فی رجوع القید إلی المادّة أو الهیئة</w:t>
            </w:r>
            <w:r>
              <w:rPr>
                <w:rStyle w:val="IndexLink"/>
                <w:rtl w:val="true"/>
              </w:rPr>
              <w:tab/>
            </w:r>
            <w:r>
              <w:rPr>
                <w:rStyle w:val="IndexLink"/>
              </w:rPr>
              <w:t>238</w:t>
            </w:r>
          </w:hyperlink>
        </w:p>
        <w:p>
          <w:pPr>
            <w:pStyle w:val="Contents6"/>
            <w:tabs>
              <w:tab w:val="clear" w:pos="7609"/>
              <w:tab w:val="right" w:pos="9026" w:leader="dot"/>
            </w:tabs>
            <w:rPr/>
          </w:pPr>
          <w:hyperlink w:anchor="__RefHeading___Toc96318_3244359995">
            <w:r>
              <w:rPr>
                <w:webHidden/>
                <w:rStyle w:val="IndexLink"/>
              </w:rPr>
              <w:t>3</w:t>
            </w:r>
            <w:r>
              <w:rPr>
                <w:rStyle w:val="IndexLink"/>
                <w:rtl w:val="true"/>
              </w:rPr>
              <w:t xml:space="preserve">. </w:t>
            </w:r>
            <w:r>
              <w:rPr>
                <w:rStyle w:val="IndexLink"/>
                <w:rtl w:val="true"/>
              </w:rPr>
              <w:t>النفسی والغیری</w:t>
            </w:r>
            <w:r>
              <w:rPr>
                <w:rStyle w:val="IndexLink"/>
                <w:rtl w:val="true"/>
              </w:rPr>
              <w:tab/>
            </w:r>
            <w:r>
              <w:rPr>
                <w:rStyle w:val="IndexLink"/>
              </w:rPr>
              <w:t>239</w:t>
            </w:r>
          </w:hyperlink>
        </w:p>
        <w:p>
          <w:pPr>
            <w:pStyle w:val="Contents6"/>
            <w:tabs>
              <w:tab w:val="clear" w:pos="7609"/>
              <w:tab w:val="right" w:pos="9026" w:leader="dot"/>
            </w:tabs>
            <w:rPr/>
          </w:pPr>
          <w:hyperlink w:anchor="__RefHeading___Toc96320_3244359995">
            <w:r>
              <w:rPr>
                <w:webHidden/>
                <w:rStyle w:val="IndexLink"/>
                <w:rtl w:val="true"/>
              </w:rPr>
              <w:t>حکم الشکّ فی النفسیّة والغیریّة</w:t>
            </w:r>
            <w:r>
              <w:rPr>
                <w:rStyle w:val="IndexLink"/>
                <w:rtl w:val="true"/>
              </w:rPr>
              <w:tab/>
            </w:r>
            <w:r>
              <w:rPr>
                <w:rStyle w:val="IndexLink"/>
              </w:rPr>
              <w:t>241</w:t>
            </w:r>
          </w:hyperlink>
        </w:p>
        <w:p>
          <w:pPr>
            <w:pStyle w:val="Contents6"/>
            <w:tabs>
              <w:tab w:val="clear" w:pos="7609"/>
              <w:tab w:val="right" w:pos="9026" w:leader="dot"/>
            </w:tabs>
            <w:rPr/>
          </w:pPr>
          <w:hyperlink w:anchor="__RefHeading___Toc96322_3244359995">
            <w:r>
              <w:rPr>
                <w:webHidden/>
                <w:rStyle w:val="IndexLink"/>
                <w:rtl w:val="true"/>
              </w:rPr>
              <w:t>ترتّب الثواب علی الواجب الغیری وعدمه</w:t>
            </w:r>
            <w:r>
              <w:rPr>
                <w:rStyle w:val="IndexLink"/>
                <w:rtl w:val="true"/>
              </w:rPr>
              <w:tab/>
            </w:r>
            <w:r>
              <w:rPr>
                <w:rStyle w:val="IndexLink"/>
              </w:rPr>
              <w:t>243</w:t>
            </w:r>
          </w:hyperlink>
        </w:p>
        <w:p>
          <w:pPr>
            <w:pStyle w:val="Contents6"/>
            <w:tabs>
              <w:tab w:val="clear" w:pos="7609"/>
              <w:tab w:val="right" w:pos="9026" w:leader="dot"/>
            </w:tabs>
            <w:rPr/>
          </w:pPr>
          <w:hyperlink w:anchor="__RefHeading___Toc96324_3244359995">
            <w:r>
              <w:rPr>
                <w:webHidden/>
                <w:rStyle w:val="IndexLink"/>
                <w:rtl w:val="true"/>
              </w:rPr>
              <w:t>کلمة حول الطهارات الثلاث</w:t>
            </w:r>
            <w:r>
              <w:rPr>
                <w:rStyle w:val="IndexLink"/>
                <w:rtl w:val="true"/>
              </w:rPr>
              <w:tab/>
            </w:r>
            <w:r>
              <w:rPr>
                <w:rStyle w:val="IndexLink"/>
              </w:rPr>
              <w:t>246</w:t>
            </w:r>
          </w:hyperlink>
        </w:p>
        <w:p>
          <w:pPr>
            <w:pStyle w:val="Contents6"/>
            <w:tabs>
              <w:tab w:val="clear" w:pos="7609"/>
              <w:tab w:val="right" w:pos="9026" w:leader="dot"/>
            </w:tabs>
            <w:rPr/>
          </w:pPr>
          <w:hyperlink w:anchor="__RefHeading___Toc96326_3244359995">
            <w:r>
              <w:rPr>
                <w:webHidden/>
                <w:rStyle w:val="IndexLink"/>
              </w:rPr>
              <w:t>4</w:t>
            </w:r>
            <w:r>
              <w:rPr>
                <w:rStyle w:val="IndexLink"/>
                <w:rtl w:val="true"/>
              </w:rPr>
              <w:t xml:space="preserve">. </w:t>
            </w:r>
            <w:r>
              <w:rPr>
                <w:rStyle w:val="IndexLink"/>
                <w:rtl w:val="true"/>
              </w:rPr>
              <w:t>الأصلی والتبعی</w:t>
            </w:r>
            <w:r>
              <w:rPr>
                <w:rStyle w:val="IndexLink"/>
                <w:rtl w:val="true"/>
              </w:rPr>
              <w:tab/>
            </w:r>
            <w:r>
              <w:rPr>
                <w:rStyle w:val="IndexLink"/>
              </w:rPr>
              <w:t>247</w:t>
            </w:r>
          </w:hyperlink>
        </w:p>
        <w:p>
          <w:pPr>
            <w:pStyle w:val="Contents6"/>
            <w:tabs>
              <w:tab w:val="clear" w:pos="7609"/>
              <w:tab w:val="right" w:pos="9026" w:leader="dot"/>
            </w:tabs>
            <w:rPr/>
          </w:pPr>
          <w:hyperlink w:anchor="__RefHeading___Toc96328_3244359995">
            <w:r>
              <w:rPr>
                <w:webHidden/>
                <w:rStyle w:val="IndexLink"/>
              </w:rPr>
              <w:t>5</w:t>
            </w:r>
            <w:r>
              <w:rPr>
                <w:rStyle w:val="IndexLink"/>
                <w:rtl w:val="true"/>
              </w:rPr>
              <w:t xml:space="preserve">. </w:t>
            </w:r>
            <w:r>
              <w:rPr>
                <w:rStyle w:val="IndexLink"/>
                <w:rtl w:val="true"/>
              </w:rPr>
              <w:t>التعبّدی والتوصّلی</w:t>
            </w:r>
            <w:r>
              <w:rPr>
                <w:rStyle w:val="IndexLink"/>
                <w:rtl w:val="true"/>
              </w:rPr>
              <w:tab/>
            </w:r>
            <w:r>
              <w:rPr>
                <w:rStyle w:val="IndexLink"/>
              </w:rPr>
              <w:t>248</w:t>
            </w:r>
          </w:hyperlink>
        </w:p>
        <w:p>
          <w:pPr>
            <w:pStyle w:val="Contents6"/>
            <w:tabs>
              <w:tab w:val="clear" w:pos="7609"/>
              <w:tab w:val="right" w:pos="9026" w:leader="dot"/>
            </w:tabs>
            <w:rPr/>
          </w:pPr>
          <w:hyperlink w:anchor="__RefHeading___Toc96330_3244359995">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96332_3244359995">
            <w:r>
              <w:rPr>
                <w:webHidden/>
                <w:rStyle w:val="IndexLink"/>
                <w:rtl w:val="true"/>
              </w:rPr>
              <w:t>الفرق بین التعبّدی والتوصّلی</w:t>
            </w:r>
            <w:r>
              <w:rPr>
                <w:rStyle w:val="IndexLink"/>
                <w:rtl w:val="true"/>
              </w:rPr>
              <w:tab/>
            </w:r>
            <w:r>
              <w:rPr>
                <w:rStyle w:val="IndexLink"/>
              </w:rPr>
              <w:t>249</w:t>
            </w:r>
          </w:hyperlink>
        </w:p>
        <w:p>
          <w:pPr>
            <w:pStyle w:val="Contents6"/>
            <w:tabs>
              <w:tab w:val="clear" w:pos="7609"/>
              <w:tab w:val="right" w:pos="9026" w:leader="dot"/>
            </w:tabs>
            <w:rPr/>
          </w:pPr>
          <w:hyperlink w:anchor="__RefHeading___Toc96334_3244359995">
            <w:r>
              <w:rPr>
                <w:webHidden/>
                <w:rStyle w:val="IndexLink"/>
                <w:rtl w:val="true"/>
              </w:rPr>
              <w:t>إمکان أخذ قصد الأمر فی المأمور به</w:t>
            </w:r>
            <w:r>
              <w:rPr>
                <w:rStyle w:val="IndexLink"/>
                <w:rtl w:val="true"/>
              </w:rPr>
              <w:tab/>
            </w:r>
            <w:r>
              <w:rPr>
                <w:rStyle w:val="IndexLink"/>
              </w:rPr>
              <w:t>250</w:t>
            </w:r>
          </w:hyperlink>
        </w:p>
        <w:p>
          <w:pPr>
            <w:pStyle w:val="Contents6"/>
            <w:tabs>
              <w:tab w:val="clear" w:pos="7609"/>
              <w:tab w:val="right" w:pos="9026" w:leader="dot"/>
            </w:tabs>
            <w:rPr/>
          </w:pPr>
          <w:hyperlink w:anchor="__RefHeading___Toc96336_3244359995">
            <w:r>
              <w:rPr>
                <w:webHidden/>
                <w:rStyle w:val="IndexLink"/>
                <w:rtl w:val="true"/>
              </w:rPr>
              <w:t>هل الأصل فی الأوامر هو التعبّدیّة أو التوصّلیّة؟</w:t>
            </w:r>
            <w:r>
              <w:rPr>
                <w:rStyle w:val="IndexLink"/>
                <w:rtl w:val="true"/>
              </w:rPr>
              <w:tab/>
            </w:r>
            <w:r>
              <w:rPr>
                <w:rStyle w:val="IndexLink"/>
              </w:rPr>
              <w:t>253</w:t>
            </w:r>
          </w:hyperlink>
        </w:p>
        <w:p>
          <w:pPr>
            <w:pStyle w:val="Contents6"/>
            <w:tabs>
              <w:tab w:val="clear" w:pos="7609"/>
              <w:tab w:val="right" w:pos="9026" w:leader="dot"/>
            </w:tabs>
            <w:rPr/>
          </w:pPr>
          <w:hyperlink w:anchor="__RefHeading___Toc96338_3244359995">
            <w:r>
              <w:rPr>
                <w:webHidden/>
                <w:rStyle w:val="IndexLink"/>
                <w:rtl w:val="true"/>
              </w:rPr>
              <w:t>الأصل العملی فی المقام</w:t>
            </w:r>
            <w:r>
              <w:rPr>
                <w:rStyle w:val="IndexLink"/>
                <w:rtl w:val="true"/>
              </w:rPr>
              <w:tab/>
            </w:r>
            <w:r>
              <w:rPr>
                <w:rStyle w:val="IndexLink"/>
              </w:rPr>
              <w:t>254</w:t>
            </w:r>
          </w:hyperlink>
        </w:p>
        <w:p>
          <w:pPr>
            <w:pStyle w:val="Contents6"/>
            <w:tabs>
              <w:tab w:val="clear" w:pos="7609"/>
              <w:tab w:val="right" w:pos="9026" w:leader="dot"/>
            </w:tabs>
            <w:rPr/>
          </w:pPr>
          <w:hyperlink w:anchor="__RefHeading___Toc96340_3244359995">
            <w:r>
              <w:rPr>
                <w:webHidden/>
                <w:rStyle w:val="IndexLink"/>
              </w:rPr>
              <w:t>6</w:t>
            </w:r>
            <w:r>
              <w:rPr>
                <w:rStyle w:val="IndexLink"/>
                <w:rtl w:val="true"/>
              </w:rPr>
              <w:t xml:space="preserve">. </w:t>
            </w:r>
            <w:r>
              <w:rPr>
                <w:rStyle w:val="IndexLink"/>
                <w:rtl w:val="true"/>
              </w:rPr>
              <w:t>الموقّت وغیر الموقّت</w:t>
            </w:r>
            <w:r>
              <w:rPr>
                <w:rStyle w:val="IndexLink"/>
                <w:rtl w:val="true"/>
              </w:rPr>
              <w:tab/>
            </w:r>
            <w:r>
              <w:rPr>
                <w:rStyle w:val="IndexLink"/>
              </w:rPr>
              <w:t>255</w:t>
            </w:r>
          </w:hyperlink>
        </w:p>
        <w:p>
          <w:pPr>
            <w:pStyle w:val="Contents6"/>
            <w:tabs>
              <w:tab w:val="clear" w:pos="7609"/>
              <w:tab w:val="right" w:pos="9026" w:leader="dot"/>
            </w:tabs>
            <w:rPr/>
          </w:pPr>
          <w:hyperlink w:anchor="__RefHeading___Toc96342_3244359995">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96344_3244359995">
            <w:r>
              <w:rPr>
                <w:webHidden/>
                <w:rStyle w:val="IndexLink"/>
                <w:rtl w:val="true"/>
              </w:rPr>
              <w:t>هل القضاء تابع للأداء، أو بأمر جدید؟</w:t>
            </w:r>
            <w:r>
              <w:rPr>
                <w:rStyle w:val="IndexLink"/>
                <w:rtl w:val="true"/>
              </w:rPr>
              <w:tab/>
            </w:r>
            <w:r>
              <w:rPr>
                <w:rStyle w:val="IndexLink"/>
              </w:rPr>
              <w:t>257</w:t>
            </w:r>
          </w:hyperlink>
        </w:p>
        <w:p>
          <w:pPr>
            <w:pStyle w:val="Contents6"/>
            <w:tabs>
              <w:tab w:val="clear" w:pos="7609"/>
              <w:tab w:val="right" w:pos="9026" w:leader="dot"/>
            </w:tabs>
            <w:rPr/>
          </w:pPr>
          <w:hyperlink w:anchor="__RefHeading___Toc96346_3244359995">
            <w:r>
              <w:rPr>
                <w:webHidden/>
                <w:rStyle w:val="IndexLink"/>
              </w:rPr>
              <w:t>7</w:t>
            </w:r>
            <w:r>
              <w:rPr>
                <w:rStyle w:val="IndexLink"/>
                <w:rtl w:val="true"/>
              </w:rPr>
              <w:t xml:space="preserve">. </w:t>
            </w:r>
            <w:r>
              <w:rPr>
                <w:rStyle w:val="IndexLink"/>
                <w:rtl w:val="true"/>
              </w:rPr>
              <w:t>التخییری والتعیینی</w:t>
            </w:r>
            <w:r>
              <w:rPr>
                <w:rStyle w:val="IndexLink"/>
                <w:rtl w:val="true"/>
              </w:rPr>
              <w:tab/>
            </w:r>
            <w:r>
              <w:rPr>
                <w:rStyle w:val="IndexLink"/>
              </w:rPr>
              <w:t>258</w:t>
            </w:r>
          </w:hyperlink>
        </w:p>
        <w:p>
          <w:pPr>
            <w:pStyle w:val="Contents6"/>
            <w:tabs>
              <w:tab w:val="clear" w:pos="7609"/>
              <w:tab w:val="right" w:pos="9026" w:leader="dot"/>
            </w:tabs>
            <w:rPr/>
          </w:pPr>
          <w:hyperlink w:anchor="__RefHeading___Toc96348_3244359995">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96350_3244359995">
            <w:r>
              <w:rPr>
                <w:webHidden/>
                <w:rStyle w:val="IndexLink"/>
                <w:rtl w:val="true"/>
              </w:rPr>
              <w:t>التخییر بین الأقلّ والأکثر</w:t>
            </w:r>
            <w:r>
              <w:rPr>
                <w:rStyle w:val="IndexLink"/>
                <w:rtl w:val="true"/>
              </w:rPr>
              <w:tab/>
            </w:r>
            <w:r>
              <w:rPr>
                <w:rStyle w:val="IndexLink"/>
              </w:rPr>
              <w:t>260</w:t>
            </w:r>
          </w:hyperlink>
        </w:p>
        <w:p>
          <w:pPr>
            <w:pStyle w:val="Contents6"/>
            <w:tabs>
              <w:tab w:val="clear" w:pos="7609"/>
              <w:tab w:val="right" w:pos="9026" w:leader="dot"/>
            </w:tabs>
            <w:rPr/>
          </w:pPr>
          <w:hyperlink w:anchor="__RefHeading___Toc96352_3244359995">
            <w:r>
              <w:rPr>
                <w:webHidden/>
                <w:rStyle w:val="IndexLink"/>
              </w:rPr>
              <w:t>8</w:t>
            </w:r>
            <w:r>
              <w:rPr>
                <w:rStyle w:val="IndexLink"/>
                <w:rtl w:val="true"/>
              </w:rPr>
              <w:t xml:space="preserve">. </w:t>
            </w:r>
            <w:r>
              <w:rPr>
                <w:rStyle w:val="IndexLink"/>
                <w:rtl w:val="true"/>
              </w:rPr>
              <w:t>العینی والکفائی</w:t>
            </w:r>
            <w:r>
              <w:rPr>
                <w:rStyle w:val="IndexLink"/>
                <w:rtl w:val="true"/>
              </w:rPr>
              <w:tab/>
            </w:r>
            <w:r>
              <w:rPr>
                <w:rStyle w:val="IndexLink"/>
              </w:rPr>
              <w:t>260</w:t>
            </w:r>
          </w:hyperlink>
        </w:p>
        <w:p>
          <w:pPr>
            <w:pStyle w:val="Contents6"/>
            <w:tabs>
              <w:tab w:val="clear" w:pos="7609"/>
              <w:tab w:val="right" w:pos="9026" w:leader="dot"/>
            </w:tabs>
            <w:rPr/>
          </w:pPr>
          <w:hyperlink w:anchor="__RefHeading___Toc96354_3244359995">
            <w:r>
              <w:rPr>
                <w:webHidden/>
                <w:rStyle w:val="IndexLink"/>
              </w:rPr>
              <w:t>9</w:t>
            </w:r>
            <w:r>
              <w:rPr>
                <w:rStyle w:val="IndexLink"/>
                <w:rtl w:val="true"/>
              </w:rPr>
              <w:t xml:space="preserve">. </w:t>
            </w:r>
            <w:r>
              <w:rPr>
                <w:rStyle w:val="IndexLink"/>
                <w:rtl w:val="true"/>
              </w:rPr>
              <w:t>المباشری والتسبیبی</w:t>
            </w:r>
            <w:r>
              <w:rPr>
                <w:rStyle w:val="IndexLink"/>
                <w:rtl w:val="true"/>
              </w:rPr>
              <w:tab/>
            </w:r>
            <w:r>
              <w:rPr>
                <w:rStyle w:val="IndexLink"/>
              </w:rPr>
              <w:t>263</w:t>
            </w:r>
          </w:hyperlink>
        </w:p>
        <w:p>
          <w:pPr>
            <w:pStyle w:val="Contents3"/>
            <w:tabs>
              <w:tab w:val="clear" w:pos="8459"/>
              <w:tab w:val="right" w:pos="9026" w:leader="dot"/>
            </w:tabs>
            <w:rPr/>
          </w:pPr>
          <w:hyperlink w:anchor="__RefHeading___Toc96356_3244359995">
            <w:r>
              <w:rPr>
                <w:webHidden/>
                <w:rStyle w:val="IndexLink"/>
                <w:rtl w:val="true"/>
              </w:rPr>
              <w:t>الفصل الرابع</w:t>
            </w:r>
            <w:r>
              <w:rPr>
                <w:rStyle w:val="IndexLink"/>
                <w:rtl w:val="true"/>
              </w:rPr>
              <w:t xml:space="preserve">: </w:t>
            </w:r>
            <w:r>
              <w:rPr>
                <w:rStyle w:val="IndexLink"/>
                <w:rtl w:val="true"/>
              </w:rPr>
              <w:t>النواهی</w:t>
            </w:r>
            <w:r>
              <w:rPr>
                <w:rStyle w:val="IndexLink"/>
                <w:rtl w:val="true"/>
              </w:rPr>
              <w:tab/>
            </w:r>
            <w:r>
              <w:rPr>
                <w:rStyle w:val="IndexLink"/>
              </w:rPr>
              <w:t>265</w:t>
            </w:r>
          </w:hyperlink>
        </w:p>
        <w:p>
          <w:pPr>
            <w:pStyle w:val="Contents4"/>
            <w:tabs>
              <w:tab w:val="clear" w:pos="8176"/>
              <w:tab w:val="right" w:pos="9026" w:leader="dot"/>
            </w:tabs>
            <w:rPr/>
          </w:pPr>
          <w:hyperlink w:anchor="__RefHeading___Toc96358_3244359995">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96360_3244359995">
            <w:r>
              <w:rPr>
                <w:webHidden/>
                <w:rStyle w:val="IndexLink"/>
                <w:rtl w:val="true"/>
              </w:rPr>
              <w:t>الجهة الاولی</w:t>
            </w:r>
            <w:r>
              <w:rPr>
                <w:rStyle w:val="IndexLink"/>
                <w:rtl w:val="true"/>
              </w:rPr>
              <w:t xml:space="preserve">: </w:t>
            </w:r>
            <w:r>
              <w:rPr>
                <w:rStyle w:val="IndexLink"/>
                <w:rtl w:val="true"/>
              </w:rPr>
              <w:t>فی حقیقة النهی ومدلول صیغته</w:t>
            </w:r>
            <w:r>
              <w:rPr>
                <w:rStyle w:val="IndexLink"/>
                <w:rtl w:val="true"/>
              </w:rPr>
              <w:tab/>
            </w:r>
            <w:r>
              <w:rPr>
                <w:rStyle w:val="IndexLink"/>
              </w:rPr>
              <w:t>265</w:t>
            </w:r>
          </w:hyperlink>
        </w:p>
        <w:p>
          <w:pPr>
            <w:pStyle w:val="Contents5"/>
            <w:tabs>
              <w:tab w:val="clear" w:pos="7892"/>
              <w:tab w:val="right" w:pos="9026" w:leader="dot"/>
            </w:tabs>
            <w:rPr/>
          </w:pPr>
          <w:hyperlink w:anchor="__RefHeading___Toc96362_3244359995">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96364_3244359995">
            <w:r>
              <w:rPr>
                <w:webHidden/>
                <w:rStyle w:val="IndexLink"/>
                <w:rtl w:val="true"/>
              </w:rPr>
              <w:t>تنبیه</w:t>
            </w:r>
            <w:r>
              <w:rPr>
                <w:rStyle w:val="IndexLink"/>
                <w:rtl w:val="true"/>
              </w:rPr>
              <w:t xml:space="preserve">: </w:t>
            </w:r>
            <w:r>
              <w:rPr>
                <w:rStyle w:val="IndexLink"/>
                <w:rtl w:val="true"/>
              </w:rPr>
              <w:t>اختلاف الأمر والنهی فی کیفیّة الإمتثال</w:t>
            </w:r>
            <w:r>
              <w:rPr>
                <w:rStyle w:val="IndexLink"/>
                <w:rtl w:val="true"/>
              </w:rPr>
              <w:tab/>
            </w:r>
            <w:r>
              <w:rPr>
                <w:rStyle w:val="IndexLink"/>
              </w:rPr>
              <w:t>267</w:t>
            </w:r>
          </w:hyperlink>
        </w:p>
        <w:p>
          <w:pPr>
            <w:pStyle w:val="Contents4"/>
            <w:tabs>
              <w:tab w:val="clear" w:pos="8176"/>
              <w:tab w:val="right" w:pos="9026" w:leader="dot"/>
            </w:tabs>
            <w:rPr/>
          </w:pPr>
          <w:hyperlink w:anchor="__RefHeading___Toc96366_3244359995">
            <w:r>
              <w:rPr>
                <w:webHidden/>
                <w:rStyle w:val="IndexLink"/>
                <w:rtl w:val="true"/>
              </w:rPr>
              <w:t>الجهة الثانیة</w:t>
            </w:r>
            <w:r>
              <w:rPr>
                <w:rStyle w:val="IndexLink"/>
                <w:rtl w:val="true"/>
              </w:rPr>
              <w:t xml:space="preserve">: </w:t>
            </w:r>
            <w:r>
              <w:rPr>
                <w:rStyle w:val="IndexLink"/>
                <w:rtl w:val="true"/>
              </w:rPr>
              <w:t>دلالة النهی علی التحریم</w:t>
            </w:r>
            <w:r>
              <w:rPr>
                <w:rStyle w:val="IndexLink"/>
                <w:rtl w:val="true"/>
              </w:rPr>
              <w:tab/>
            </w:r>
            <w:r>
              <w:rPr>
                <w:rStyle w:val="IndexLink"/>
              </w:rPr>
              <w:t>269</w:t>
            </w:r>
          </w:hyperlink>
        </w:p>
        <w:p>
          <w:pPr>
            <w:pStyle w:val="Contents4"/>
            <w:tabs>
              <w:tab w:val="clear" w:pos="8176"/>
              <w:tab w:val="right" w:pos="9026" w:leader="dot"/>
            </w:tabs>
            <w:rPr/>
          </w:pPr>
          <w:hyperlink w:anchor="__RefHeading___Toc96368_3244359995">
            <w:r>
              <w:rPr>
                <w:webHidden/>
                <w:rStyle w:val="IndexLink"/>
                <w:rtl w:val="true"/>
              </w:rPr>
              <w:t>الجهة الثالثة</w:t>
            </w:r>
            <w:r>
              <w:rPr>
                <w:rStyle w:val="IndexLink"/>
                <w:rtl w:val="true"/>
              </w:rPr>
              <w:t xml:space="preserve">: </w:t>
            </w:r>
            <w:r>
              <w:rPr>
                <w:rStyle w:val="IndexLink"/>
                <w:rtl w:val="true"/>
              </w:rPr>
              <w:t>دلالة النهی علی التکرار</w:t>
            </w:r>
            <w:r>
              <w:rPr>
                <w:rStyle w:val="IndexLink"/>
                <w:rtl w:val="true"/>
              </w:rPr>
              <w:tab/>
            </w:r>
            <w:r>
              <w:rPr>
                <w:rStyle w:val="IndexLink"/>
              </w:rPr>
              <w:t>269</w:t>
            </w:r>
          </w:hyperlink>
        </w:p>
        <w:p>
          <w:pPr>
            <w:pStyle w:val="Contents3"/>
            <w:tabs>
              <w:tab w:val="clear" w:pos="8459"/>
              <w:tab w:val="right" w:pos="9026" w:leader="dot"/>
            </w:tabs>
            <w:rPr/>
          </w:pPr>
          <w:hyperlink w:anchor="__RefHeading___Toc96370_3244359995">
            <w:r>
              <w:rPr>
                <w:webHidden/>
                <w:rStyle w:val="IndexLink"/>
                <w:rtl w:val="true"/>
              </w:rPr>
              <w:t>الفصل الخامس</w:t>
            </w:r>
            <w:r>
              <w:rPr>
                <w:rStyle w:val="IndexLink"/>
                <w:rtl w:val="true"/>
              </w:rPr>
              <w:t xml:space="preserve">: </w:t>
            </w:r>
            <w:r>
              <w:rPr>
                <w:rStyle w:val="IndexLink"/>
                <w:rtl w:val="true"/>
              </w:rPr>
              <w:t>المشتقّات</w:t>
            </w:r>
            <w:r>
              <w:rPr>
                <w:rStyle w:val="IndexLink"/>
                <w:rtl w:val="true"/>
              </w:rPr>
              <w:tab/>
            </w:r>
            <w:r>
              <w:rPr>
                <w:rStyle w:val="IndexLink"/>
              </w:rPr>
              <w:t>271</w:t>
            </w:r>
          </w:hyperlink>
        </w:p>
        <w:p>
          <w:pPr>
            <w:pStyle w:val="Contents4"/>
            <w:tabs>
              <w:tab w:val="clear" w:pos="8176"/>
              <w:tab w:val="right" w:pos="9026" w:leader="dot"/>
            </w:tabs>
            <w:rPr/>
          </w:pPr>
          <w:hyperlink w:anchor="__RefHeading___Toc96372_3244359995">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96374_3244359995">
            <w:r>
              <w:rPr>
                <w:webHidden/>
                <w:rStyle w:val="IndexLink"/>
              </w:rPr>
              <w:t>1</w:t>
            </w:r>
            <w:r>
              <w:rPr>
                <w:rStyle w:val="IndexLink"/>
                <w:rtl w:val="true"/>
              </w:rPr>
              <w:t xml:space="preserve">. </w:t>
            </w:r>
            <w:r>
              <w:rPr>
                <w:rStyle w:val="IndexLink"/>
                <w:rtl w:val="true"/>
              </w:rPr>
              <w:t>تعیین محلّ النزاع</w:t>
            </w:r>
            <w:r>
              <w:rPr>
                <w:rStyle w:val="IndexLink"/>
                <w:rtl w:val="true"/>
              </w:rPr>
              <w:tab/>
            </w:r>
            <w:r>
              <w:rPr>
                <w:rStyle w:val="IndexLink"/>
              </w:rPr>
              <w:t>271</w:t>
            </w:r>
          </w:hyperlink>
        </w:p>
        <w:p>
          <w:pPr>
            <w:pStyle w:val="Contents5"/>
            <w:tabs>
              <w:tab w:val="clear" w:pos="7892"/>
              <w:tab w:val="right" w:pos="9026" w:leader="dot"/>
            </w:tabs>
            <w:rPr/>
          </w:pPr>
          <w:hyperlink w:anchor="__RefHeading___Toc96376_3244359995">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96378_3244359995">
            <w:r>
              <w:rPr>
                <w:webHidden/>
                <w:rStyle w:val="IndexLink"/>
                <w:rtl w:val="true"/>
              </w:rPr>
              <w:t>خروج اسم الزمان عن محلّ النزاع وعدمه</w:t>
            </w:r>
            <w:r>
              <w:rPr>
                <w:rStyle w:val="IndexLink"/>
                <w:rtl w:val="true"/>
              </w:rPr>
              <w:tab/>
            </w:r>
            <w:r>
              <w:rPr>
                <w:rStyle w:val="IndexLink"/>
              </w:rPr>
              <w:t>272</w:t>
            </w:r>
          </w:hyperlink>
        </w:p>
        <w:p>
          <w:pPr>
            <w:pStyle w:val="Contents5"/>
            <w:tabs>
              <w:tab w:val="clear" w:pos="7892"/>
              <w:tab w:val="right" w:pos="9026" w:leader="dot"/>
            </w:tabs>
            <w:rPr/>
          </w:pPr>
          <w:hyperlink w:anchor="__RefHeading___Toc96380_3244359995">
            <w:r>
              <w:rPr>
                <w:webHidden/>
                <w:rStyle w:val="IndexLink"/>
                <w:rtl w:val="true"/>
              </w:rPr>
              <w:t>خروج اسم المفعول واسم الآلة عن حریم النزاع وعدمه</w:t>
            </w:r>
            <w:r>
              <w:rPr>
                <w:rStyle w:val="IndexLink"/>
                <w:rtl w:val="true"/>
              </w:rPr>
              <w:tab/>
            </w:r>
            <w:r>
              <w:rPr>
                <w:rStyle w:val="IndexLink"/>
              </w:rPr>
              <w:t>273</w:t>
            </w:r>
          </w:hyperlink>
        </w:p>
        <w:p>
          <w:pPr>
            <w:pStyle w:val="Contents4"/>
            <w:tabs>
              <w:tab w:val="clear" w:pos="8176"/>
              <w:tab w:val="right" w:pos="9026" w:leader="dot"/>
            </w:tabs>
            <w:rPr/>
          </w:pPr>
          <w:hyperlink w:anchor="__RefHeading___Toc96382_3244359995">
            <w:r>
              <w:rPr>
                <w:webHidden/>
                <w:rStyle w:val="IndexLink"/>
              </w:rPr>
              <w:t>2</w:t>
            </w:r>
            <w:r>
              <w:rPr>
                <w:rStyle w:val="IndexLink"/>
                <w:rtl w:val="true"/>
              </w:rPr>
              <w:t xml:space="preserve">. </w:t>
            </w:r>
            <w:r>
              <w:rPr>
                <w:rStyle w:val="IndexLink"/>
                <w:rtl w:val="true"/>
              </w:rPr>
              <w:t>اختلاف المبادئ فی المشتقّات</w:t>
            </w:r>
            <w:r>
              <w:rPr>
                <w:rStyle w:val="IndexLink"/>
                <w:rtl w:val="true"/>
              </w:rPr>
              <w:tab/>
            </w:r>
            <w:r>
              <w:rPr>
                <w:rStyle w:val="IndexLink"/>
              </w:rPr>
              <w:t>274</w:t>
            </w:r>
          </w:hyperlink>
        </w:p>
        <w:p>
          <w:pPr>
            <w:pStyle w:val="Contents4"/>
            <w:tabs>
              <w:tab w:val="clear" w:pos="8176"/>
              <w:tab w:val="right" w:pos="9026" w:leader="dot"/>
            </w:tabs>
            <w:rPr/>
          </w:pPr>
          <w:hyperlink w:anchor="__RefHeading___Toc96384_3244359995">
            <w:r>
              <w:rPr>
                <w:webHidden/>
                <w:rStyle w:val="IndexLink"/>
              </w:rPr>
              <w:t>3</w:t>
            </w:r>
            <w:r>
              <w:rPr>
                <w:rStyle w:val="IndexLink"/>
                <w:rtl w:val="true"/>
              </w:rPr>
              <w:t xml:space="preserve">. </w:t>
            </w:r>
            <w:r>
              <w:rPr>
                <w:rStyle w:val="IndexLink"/>
                <w:rtl w:val="true"/>
              </w:rPr>
              <w:t>الأقوال فی المسألة</w:t>
            </w:r>
            <w:r>
              <w:rPr>
                <w:rStyle w:val="IndexLink"/>
                <w:rtl w:val="true"/>
              </w:rPr>
              <w:tab/>
            </w:r>
            <w:r>
              <w:rPr>
                <w:rStyle w:val="IndexLink"/>
              </w:rPr>
              <w:t>275</w:t>
            </w:r>
          </w:hyperlink>
        </w:p>
        <w:p>
          <w:pPr>
            <w:pStyle w:val="Contents5"/>
            <w:tabs>
              <w:tab w:val="clear" w:pos="7892"/>
              <w:tab w:val="right" w:pos="9026" w:leader="dot"/>
            </w:tabs>
            <w:rPr/>
          </w:pPr>
          <w:hyperlink w:anchor="__RefHeading___Toc96386_3244359995">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96388_3244359995">
            <w:r>
              <w:rPr>
                <w:webHidden/>
                <w:rStyle w:val="IndexLink"/>
                <w:rtl w:val="true"/>
              </w:rPr>
              <w:t>أدلّة القول بالأخصّ</w:t>
            </w:r>
            <w:r>
              <w:rPr>
                <w:rStyle w:val="IndexLink"/>
                <w:rtl w:val="true"/>
              </w:rPr>
              <w:t>:</w:t>
              <w:tab/>
            </w:r>
            <w:r>
              <w:rPr>
                <w:rStyle w:val="IndexLink"/>
              </w:rPr>
              <w:t>276</w:t>
            </w:r>
          </w:hyperlink>
        </w:p>
        <w:p>
          <w:pPr>
            <w:pStyle w:val="Contents5"/>
            <w:tabs>
              <w:tab w:val="clear" w:pos="7892"/>
              <w:tab w:val="right" w:pos="9026" w:leader="dot"/>
            </w:tabs>
            <w:rPr/>
          </w:pPr>
          <w:hyperlink w:anchor="__RefHeading___Toc96390_3244359995">
            <w:r>
              <w:rPr>
                <w:webHidden/>
                <w:rStyle w:val="IndexLink"/>
                <w:rtl w:val="true"/>
              </w:rPr>
              <w:t>أدلّة القول بالأعمّ</w:t>
            </w:r>
            <w:r>
              <w:rPr>
                <w:rStyle w:val="IndexLink"/>
                <w:rtl w:val="true"/>
              </w:rPr>
              <w:t>:</w:t>
              <w:tab/>
            </w:r>
            <w:r>
              <w:rPr>
                <w:rStyle w:val="IndexLink"/>
              </w:rPr>
              <w:t>277</w:t>
            </w:r>
          </w:hyperlink>
        </w:p>
        <w:p>
          <w:pPr>
            <w:pStyle w:val="Contents4"/>
            <w:tabs>
              <w:tab w:val="clear" w:pos="8176"/>
              <w:tab w:val="right" w:pos="9026" w:leader="dot"/>
            </w:tabs>
            <w:rPr/>
          </w:pPr>
          <w:hyperlink w:anchor="__RefHeading___Toc96392_3244359995">
            <w:r>
              <w:rPr>
                <w:webHidden/>
                <w:rStyle w:val="IndexLink"/>
              </w:rPr>
              <w:t>4</w:t>
            </w:r>
            <w:r>
              <w:rPr>
                <w:rStyle w:val="IndexLink"/>
                <w:rtl w:val="true"/>
              </w:rPr>
              <w:t xml:space="preserve">. </w:t>
            </w:r>
            <w:r>
              <w:rPr>
                <w:rStyle w:val="IndexLink"/>
                <w:rtl w:val="true"/>
              </w:rPr>
              <w:t>بساطة مفهوم المشتقّ وترکّبه</w:t>
            </w:r>
            <w:r>
              <w:rPr>
                <w:rStyle w:val="IndexLink"/>
                <w:rtl w:val="true"/>
              </w:rPr>
              <w:tab/>
            </w:r>
            <w:r>
              <w:rPr>
                <w:rStyle w:val="IndexLink"/>
              </w:rPr>
              <w:t>279</w:t>
            </w:r>
          </w:hyperlink>
        </w:p>
        <w:p>
          <w:pPr>
            <w:pStyle w:val="Contents4"/>
            <w:tabs>
              <w:tab w:val="clear" w:pos="8176"/>
              <w:tab w:val="right" w:pos="9026" w:leader="dot"/>
            </w:tabs>
            <w:rPr/>
          </w:pPr>
          <w:hyperlink w:anchor="__RefHeading___Toc96394_3244359995">
            <w:r>
              <w:rPr>
                <w:webHidden/>
                <w:rStyle w:val="IndexLink"/>
              </w:rPr>
              <w:t>5</w:t>
            </w:r>
            <w:r>
              <w:rPr>
                <w:rStyle w:val="IndexLink"/>
                <w:rtl w:val="true"/>
              </w:rPr>
              <w:t xml:space="preserve">. </w:t>
            </w:r>
            <w:r>
              <w:rPr>
                <w:rStyle w:val="IndexLink"/>
                <w:rtl w:val="true"/>
              </w:rPr>
              <w:t>صفات الباری تعالی</w:t>
            </w:r>
            <w:r>
              <w:rPr>
                <w:rStyle w:val="IndexLink"/>
                <w:rtl w:val="true"/>
              </w:rPr>
              <w:tab/>
            </w:r>
            <w:r>
              <w:rPr>
                <w:rStyle w:val="IndexLink"/>
              </w:rPr>
              <w:t>281</w:t>
            </w:r>
          </w:hyperlink>
        </w:p>
        <w:p>
          <w:pPr>
            <w:pStyle w:val="Contents4"/>
            <w:tabs>
              <w:tab w:val="clear" w:pos="8176"/>
              <w:tab w:val="right" w:pos="9026" w:leader="dot"/>
            </w:tabs>
            <w:rPr/>
          </w:pPr>
          <w:hyperlink w:anchor="__RefHeading___Toc96396_3244359995">
            <w:r>
              <w:rPr>
                <w:webHidden/>
                <w:rStyle w:val="IndexLink"/>
              </w:rPr>
              <w:t>6</w:t>
            </w:r>
            <w:r>
              <w:rPr>
                <w:rStyle w:val="IndexLink"/>
                <w:rtl w:val="true"/>
              </w:rPr>
              <w:t xml:space="preserve">. </w:t>
            </w:r>
            <w:r>
              <w:rPr>
                <w:rStyle w:val="IndexLink"/>
                <w:rtl w:val="true"/>
              </w:rPr>
              <w:t>قیام المبدأ بالذات</w:t>
            </w:r>
            <w:r>
              <w:rPr>
                <w:rStyle w:val="IndexLink"/>
                <w:rtl w:val="true"/>
              </w:rPr>
              <w:tab/>
            </w:r>
            <w:r>
              <w:rPr>
                <w:rStyle w:val="IndexLink"/>
              </w:rPr>
              <w:t>282</w:t>
            </w:r>
          </w:hyperlink>
        </w:p>
        <w:p>
          <w:pPr>
            <w:pStyle w:val="Contents4"/>
            <w:tabs>
              <w:tab w:val="clear" w:pos="8176"/>
              <w:tab w:val="right" w:pos="9026" w:leader="dot"/>
            </w:tabs>
            <w:rPr/>
          </w:pPr>
          <w:hyperlink w:anchor="__RefHeading___Toc96398_3244359995">
            <w:r>
              <w:rPr>
                <w:webHidden/>
                <w:rStyle w:val="IndexLink"/>
              </w:rPr>
              <w:t>7</w:t>
            </w:r>
            <w:r>
              <w:rPr>
                <w:rStyle w:val="IndexLink"/>
                <w:rtl w:val="true"/>
              </w:rPr>
              <w:t xml:space="preserve">. </w:t>
            </w:r>
            <w:r>
              <w:rPr>
                <w:rStyle w:val="IndexLink"/>
                <w:rtl w:val="true"/>
              </w:rPr>
              <w:t>تعیین مبدأ المشتقّات</w:t>
            </w:r>
            <w:r>
              <w:rPr>
                <w:rStyle w:val="IndexLink"/>
                <w:rtl w:val="true"/>
              </w:rPr>
              <w:tab/>
            </w:r>
            <w:r>
              <w:rPr>
                <w:rStyle w:val="IndexLink"/>
              </w:rPr>
              <w:t>284</w:t>
            </w:r>
          </w:hyperlink>
        </w:p>
        <w:p>
          <w:pPr>
            <w:pStyle w:val="Contents3"/>
            <w:tabs>
              <w:tab w:val="clear" w:pos="8459"/>
              <w:tab w:val="right" w:pos="9026" w:leader="dot"/>
            </w:tabs>
            <w:rPr/>
          </w:pPr>
          <w:hyperlink w:anchor="__RefHeading___Toc96400_3244359995">
            <w:r>
              <w:rPr>
                <w:webHidden/>
                <w:rStyle w:val="IndexLink"/>
                <w:rtl w:val="true"/>
              </w:rPr>
              <w:t>الفصل السادس</w:t>
            </w:r>
            <w:r>
              <w:rPr>
                <w:rStyle w:val="IndexLink"/>
                <w:rtl w:val="true"/>
              </w:rPr>
              <w:t xml:space="preserve">: </w:t>
            </w:r>
            <w:r>
              <w:rPr>
                <w:rStyle w:val="IndexLink"/>
                <w:rtl w:val="true"/>
              </w:rPr>
              <w:t>المفاهیم</w:t>
            </w:r>
            <w:r>
              <w:rPr>
                <w:rStyle w:val="IndexLink"/>
                <w:rtl w:val="true"/>
              </w:rPr>
              <w:tab/>
            </w:r>
            <w:r>
              <w:rPr>
                <w:rStyle w:val="IndexLink"/>
              </w:rPr>
              <w:t>286</w:t>
            </w:r>
          </w:hyperlink>
        </w:p>
        <w:p>
          <w:pPr>
            <w:pStyle w:val="Contents4"/>
            <w:tabs>
              <w:tab w:val="clear" w:pos="8176"/>
              <w:tab w:val="right" w:pos="9026" w:leader="dot"/>
            </w:tabs>
            <w:rPr/>
          </w:pPr>
          <w:hyperlink w:anchor="__RefHeading___Toc96402_3244359995">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96404_3244359995">
            <w:r>
              <w:rPr>
                <w:webHidden/>
                <w:rStyle w:val="IndexLink"/>
                <w:rtl w:val="true"/>
              </w:rPr>
              <w:t>أقسام المفهوم</w:t>
            </w:r>
            <w:r>
              <w:rPr>
                <w:rStyle w:val="IndexLink"/>
                <w:rtl w:val="true"/>
              </w:rPr>
              <w:tab/>
            </w:r>
            <w:r>
              <w:rPr>
                <w:rStyle w:val="IndexLink"/>
              </w:rPr>
              <w:t>287</w:t>
            </w:r>
          </w:hyperlink>
        </w:p>
        <w:p>
          <w:pPr>
            <w:pStyle w:val="Contents4"/>
            <w:tabs>
              <w:tab w:val="clear" w:pos="8176"/>
              <w:tab w:val="right" w:pos="9026" w:leader="dot"/>
            </w:tabs>
            <w:rPr/>
          </w:pPr>
          <w:hyperlink w:anchor="__RefHeading___Toc96406_3244359995">
            <w:r>
              <w:rPr>
                <w:webHidden/>
                <w:rStyle w:val="IndexLink"/>
                <w:rtl w:val="true"/>
              </w:rPr>
              <w:t>مفهوم المخالفة</w:t>
            </w:r>
            <w:r>
              <w:rPr>
                <w:rStyle w:val="IndexLink"/>
                <w:rtl w:val="true"/>
              </w:rPr>
              <w:tab/>
            </w:r>
            <w:r>
              <w:rPr>
                <w:rStyle w:val="IndexLink"/>
              </w:rPr>
              <w:t>289</w:t>
            </w:r>
          </w:hyperlink>
        </w:p>
        <w:p>
          <w:pPr>
            <w:pStyle w:val="Contents5"/>
            <w:tabs>
              <w:tab w:val="clear" w:pos="7892"/>
              <w:tab w:val="right" w:pos="9026" w:leader="dot"/>
            </w:tabs>
            <w:rPr/>
          </w:pPr>
          <w:hyperlink w:anchor="__RefHeading___Toc96408_3244359995">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96410_3244359995">
            <w:r>
              <w:rPr>
                <w:webHidden/>
                <w:rStyle w:val="IndexLink"/>
              </w:rPr>
              <w:t>1</w:t>
            </w:r>
            <w:r>
              <w:rPr>
                <w:rStyle w:val="IndexLink"/>
                <w:rtl w:val="true"/>
              </w:rPr>
              <w:t xml:space="preserve">. </w:t>
            </w:r>
            <w:r>
              <w:rPr>
                <w:rStyle w:val="IndexLink"/>
                <w:rtl w:val="true"/>
              </w:rPr>
              <w:t>مفهوم الشرط</w:t>
            </w:r>
            <w:r>
              <w:rPr>
                <w:rStyle w:val="IndexLink"/>
                <w:rtl w:val="true"/>
              </w:rPr>
              <w:tab/>
            </w:r>
            <w:r>
              <w:rPr>
                <w:rStyle w:val="IndexLink"/>
              </w:rPr>
              <w:t>289</w:t>
            </w:r>
          </w:hyperlink>
        </w:p>
        <w:p>
          <w:pPr>
            <w:pStyle w:val="Contents6"/>
            <w:tabs>
              <w:tab w:val="clear" w:pos="7609"/>
              <w:tab w:val="right" w:pos="9026" w:leader="dot"/>
            </w:tabs>
            <w:rPr/>
          </w:pPr>
          <w:hyperlink w:anchor="__RefHeading___Toc96412_3244359995">
            <w:r>
              <w:rPr>
                <w:webHidden/>
                <w:rStyle w:val="IndexLink"/>
                <w:rtl w:val="true"/>
              </w:rPr>
              <w:t>اشارة</w:t>
            </w:r>
            <w:r>
              <w:rPr>
                <w:rStyle w:val="IndexLink"/>
                <w:rtl w:val="true"/>
              </w:rPr>
              <w:tab/>
            </w:r>
            <w:r>
              <w:rPr>
                <w:rStyle w:val="IndexLink"/>
              </w:rPr>
              <w:t>289</w:t>
            </w:r>
          </w:hyperlink>
        </w:p>
        <w:p>
          <w:pPr>
            <w:pStyle w:val="Contents6"/>
            <w:tabs>
              <w:tab w:val="clear" w:pos="7609"/>
              <w:tab w:val="right" w:pos="9026" w:leader="dot"/>
            </w:tabs>
            <w:rPr/>
          </w:pPr>
          <w:hyperlink w:anchor="__RefHeading___Toc96414_3244359995">
            <w:r>
              <w:rPr>
                <w:webHidden/>
                <w:rStyle w:val="IndexLink"/>
                <w:rtl w:val="true"/>
              </w:rPr>
              <w:t>المختار فی المسألة هو التفصیل</w:t>
            </w:r>
            <w:r>
              <w:rPr>
                <w:rStyle w:val="IndexLink"/>
                <w:rtl w:val="true"/>
              </w:rPr>
              <w:tab/>
            </w:r>
            <w:r>
              <w:rPr>
                <w:rStyle w:val="IndexLink"/>
              </w:rPr>
              <w:t>291</w:t>
            </w:r>
          </w:hyperlink>
        </w:p>
        <w:p>
          <w:pPr>
            <w:pStyle w:val="Contents6"/>
            <w:tabs>
              <w:tab w:val="clear" w:pos="7609"/>
              <w:tab w:val="right" w:pos="9026" w:leader="dot"/>
            </w:tabs>
            <w:rPr/>
          </w:pPr>
          <w:hyperlink w:anchor="__RefHeading___Toc96416_3244359995">
            <w:r>
              <w:rPr>
                <w:webHidden/>
                <w:rStyle w:val="IndexLink"/>
                <w:rtl w:val="true"/>
              </w:rPr>
              <w:t>أدلّة المنکرین</w:t>
            </w:r>
            <w:r>
              <w:rPr>
                <w:rStyle w:val="IndexLink"/>
                <w:rtl w:val="true"/>
              </w:rPr>
              <w:t>:</w:t>
              <w:tab/>
            </w:r>
            <w:r>
              <w:rPr>
                <w:rStyle w:val="IndexLink"/>
              </w:rPr>
              <w:t>292</w:t>
            </w:r>
          </w:hyperlink>
        </w:p>
        <w:p>
          <w:pPr>
            <w:pStyle w:val="Contents6"/>
            <w:tabs>
              <w:tab w:val="clear" w:pos="7609"/>
              <w:tab w:val="right" w:pos="9026" w:leader="dot"/>
            </w:tabs>
            <w:rPr/>
          </w:pPr>
          <w:hyperlink w:anchor="__RefHeading___Toc96418_3244359995">
            <w:r>
              <w:rPr>
                <w:webHidden/>
                <w:rStyle w:val="IndexLink"/>
                <w:rtl w:val="true"/>
              </w:rPr>
              <w:t>بقی هنا أمران</w:t>
            </w:r>
            <w:r>
              <w:rPr>
                <w:rStyle w:val="IndexLink"/>
                <w:rtl w:val="true"/>
              </w:rPr>
              <w:t>:</w:t>
              <w:tab/>
            </w:r>
            <w:r>
              <w:rPr>
                <w:rStyle w:val="IndexLink"/>
              </w:rPr>
              <w:t>294</w:t>
            </w:r>
          </w:hyperlink>
        </w:p>
        <w:p>
          <w:pPr>
            <w:pStyle w:val="Contents6"/>
            <w:tabs>
              <w:tab w:val="clear" w:pos="7609"/>
              <w:tab w:val="right" w:pos="9026" w:leader="dot"/>
            </w:tabs>
            <w:rPr/>
          </w:pPr>
          <w:hyperlink w:anchor="__RefHeading___Toc96420_3244359995">
            <w:r>
              <w:rPr>
                <w:webHidden/>
                <w:rStyle w:val="IndexLink"/>
                <w:rtl w:val="true"/>
              </w:rPr>
              <w:t>الأمر الأوّل</w:t>
            </w:r>
            <w:r>
              <w:rPr>
                <w:rStyle w:val="IndexLink"/>
                <w:rtl w:val="true"/>
              </w:rPr>
              <w:t xml:space="preserve">: </w:t>
            </w:r>
            <w:r>
              <w:rPr>
                <w:rStyle w:val="IndexLink"/>
                <w:rtl w:val="true"/>
              </w:rPr>
              <w:t>حول تعدّد الشرط ووحدة الجزاء</w:t>
            </w:r>
            <w:r>
              <w:rPr>
                <w:rStyle w:val="IndexLink"/>
                <w:rtl w:val="true"/>
              </w:rPr>
              <w:tab/>
            </w:r>
            <w:r>
              <w:rPr>
                <w:rStyle w:val="IndexLink"/>
              </w:rPr>
              <w:t>294</w:t>
            </w:r>
          </w:hyperlink>
        </w:p>
        <w:p>
          <w:pPr>
            <w:pStyle w:val="Contents6"/>
            <w:tabs>
              <w:tab w:val="clear" w:pos="7609"/>
              <w:tab w:val="right" w:pos="9026" w:leader="dot"/>
            </w:tabs>
            <w:rPr/>
          </w:pPr>
          <w:hyperlink w:anchor="__RefHeading___Toc96422_3244359995">
            <w:r>
              <w:rPr>
                <w:webHidden/>
                <w:rStyle w:val="IndexLink"/>
                <w:rtl w:val="true"/>
              </w:rPr>
              <w:t>الأمر الثانی</w:t>
            </w:r>
            <w:r>
              <w:rPr>
                <w:rStyle w:val="IndexLink"/>
                <w:rtl w:val="true"/>
              </w:rPr>
              <w:t xml:space="preserve">: </w:t>
            </w:r>
            <w:r>
              <w:rPr>
                <w:rStyle w:val="IndexLink"/>
                <w:rtl w:val="true"/>
              </w:rPr>
              <w:t>فی تداخل الأسباب والمسبّبات</w:t>
            </w:r>
            <w:r>
              <w:rPr>
                <w:rStyle w:val="IndexLink"/>
                <w:rtl w:val="true"/>
              </w:rPr>
              <w:tab/>
            </w:r>
            <w:r>
              <w:rPr>
                <w:rStyle w:val="IndexLink"/>
              </w:rPr>
              <w:t>296</w:t>
            </w:r>
          </w:hyperlink>
        </w:p>
        <w:p>
          <w:pPr>
            <w:pStyle w:val="Contents6"/>
            <w:tabs>
              <w:tab w:val="clear" w:pos="7609"/>
              <w:tab w:val="right" w:pos="9026" w:leader="dot"/>
            </w:tabs>
            <w:rPr/>
          </w:pPr>
          <w:hyperlink w:anchor="__RefHeading___Toc96424_3244359995">
            <w:r>
              <w:rPr>
                <w:webHidden/>
                <w:rStyle w:val="IndexLink"/>
                <w:rtl w:val="true"/>
              </w:rPr>
              <w:t>المقام الأوّل</w:t>
            </w:r>
            <w:r>
              <w:rPr>
                <w:rStyle w:val="IndexLink"/>
                <w:rtl w:val="true"/>
              </w:rPr>
              <w:t xml:space="preserve">: </w:t>
            </w:r>
            <w:r>
              <w:rPr>
                <w:rStyle w:val="IndexLink"/>
                <w:rtl w:val="true"/>
              </w:rPr>
              <w:t>تداخل الأسباب</w:t>
            </w:r>
            <w:r>
              <w:rPr>
                <w:rStyle w:val="IndexLink"/>
                <w:rtl w:val="true"/>
              </w:rPr>
              <w:tab/>
            </w:r>
            <w:r>
              <w:rPr>
                <w:rStyle w:val="IndexLink"/>
              </w:rPr>
              <w:t>297</w:t>
            </w:r>
          </w:hyperlink>
        </w:p>
        <w:p>
          <w:pPr>
            <w:pStyle w:val="Contents6"/>
            <w:tabs>
              <w:tab w:val="clear" w:pos="7609"/>
              <w:tab w:val="right" w:pos="9026" w:leader="dot"/>
            </w:tabs>
            <w:rPr/>
          </w:pPr>
          <w:hyperlink w:anchor="__RefHeading___Toc96426_3244359995">
            <w:r>
              <w:rPr>
                <w:webHidden/>
                <w:rStyle w:val="IndexLink"/>
                <w:rtl w:val="true"/>
              </w:rPr>
              <w:t>المقام الثانی</w:t>
            </w:r>
            <w:r>
              <w:rPr>
                <w:rStyle w:val="IndexLink"/>
                <w:rtl w:val="true"/>
              </w:rPr>
              <w:t xml:space="preserve">: </w:t>
            </w:r>
            <w:r>
              <w:rPr>
                <w:rStyle w:val="IndexLink"/>
                <w:rtl w:val="true"/>
              </w:rPr>
              <w:t>تداخل المسبّبات</w:t>
            </w:r>
            <w:r>
              <w:rPr>
                <w:rStyle w:val="IndexLink"/>
                <w:rtl w:val="true"/>
              </w:rPr>
              <w:tab/>
            </w:r>
            <w:r>
              <w:rPr>
                <w:rStyle w:val="IndexLink"/>
              </w:rPr>
              <w:t>298</w:t>
            </w:r>
          </w:hyperlink>
        </w:p>
        <w:p>
          <w:pPr>
            <w:pStyle w:val="Contents5"/>
            <w:tabs>
              <w:tab w:val="clear" w:pos="7892"/>
              <w:tab w:val="right" w:pos="9026" w:leader="dot"/>
            </w:tabs>
            <w:rPr/>
          </w:pPr>
          <w:hyperlink w:anchor="__RefHeading___Toc96428_3244359995">
            <w:r>
              <w:rPr>
                <w:webHidden/>
                <w:rStyle w:val="IndexLink"/>
              </w:rPr>
              <w:t>2</w:t>
            </w:r>
            <w:r>
              <w:rPr>
                <w:rStyle w:val="IndexLink"/>
                <w:rtl w:val="true"/>
              </w:rPr>
              <w:t xml:space="preserve">. </w:t>
            </w:r>
            <w:r>
              <w:rPr>
                <w:rStyle w:val="IndexLink"/>
                <w:rtl w:val="true"/>
              </w:rPr>
              <w:t>مفهوم الوصف</w:t>
            </w:r>
            <w:r>
              <w:rPr>
                <w:rStyle w:val="IndexLink"/>
                <w:rtl w:val="true"/>
              </w:rPr>
              <w:tab/>
            </w:r>
            <w:r>
              <w:rPr>
                <w:rStyle w:val="IndexLink"/>
              </w:rPr>
              <w:t>300</w:t>
            </w:r>
          </w:hyperlink>
        </w:p>
        <w:p>
          <w:pPr>
            <w:pStyle w:val="Contents6"/>
            <w:tabs>
              <w:tab w:val="clear" w:pos="7609"/>
              <w:tab w:val="right" w:pos="9026" w:leader="dot"/>
            </w:tabs>
            <w:rPr/>
          </w:pPr>
          <w:hyperlink w:anchor="__RefHeading___Toc96430_3244359995">
            <w:r>
              <w:rPr>
                <w:webHidden/>
                <w:rStyle w:val="IndexLink"/>
                <w:rtl w:val="true"/>
              </w:rPr>
              <w:t>اشارة</w:t>
            </w:r>
            <w:r>
              <w:rPr>
                <w:rStyle w:val="IndexLink"/>
                <w:rtl w:val="true"/>
              </w:rPr>
              <w:tab/>
            </w:r>
            <w:r>
              <w:rPr>
                <w:rStyle w:val="IndexLink"/>
              </w:rPr>
              <w:t>300</w:t>
            </w:r>
          </w:hyperlink>
        </w:p>
        <w:p>
          <w:pPr>
            <w:pStyle w:val="Contents6"/>
            <w:tabs>
              <w:tab w:val="clear" w:pos="7609"/>
              <w:tab w:val="right" w:pos="9026" w:leader="dot"/>
            </w:tabs>
            <w:rPr/>
          </w:pPr>
          <w:hyperlink w:anchor="__RefHeading___Toc96432_3244359995">
            <w:r>
              <w:rPr>
                <w:webHidden/>
                <w:rStyle w:val="IndexLink"/>
                <w:rtl w:val="true"/>
              </w:rPr>
              <w:t>أدلّة المنکرین للمفهوم</w:t>
            </w:r>
            <w:r>
              <w:rPr>
                <w:rStyle w:val="IndexLink"/>
                <w:rtl w:val="true"/>
              </w:rPr>
              <w:tab/>
            </w:r>
            <w:r>
              <w:rPr>
                <w:rStyle w:val="IndexLink"/>
              </w:rPr>
              <w:t>300</w:t>
            </w:r>
          </w:hyperlink>
        </w:p>
        <w:p>
          <w:pPr>
            <w:pStyle w:val="Contents6"/>
            <w:tabs>
              <w:tab w:val="clear" w:pos="7609"/>
              <w:tab w:val="right" w:pos="9026" w:leader="dot"/>
            </w:tabs>
            <w:rPr/>
          </w:pPr>
          <w:hyperlink w:anchor="__RefHeading___Toc96434_3244359995">
            <w:r>
              <w:rPr>
                <w:webHidden/>
                <w:rStyle w:val="IndexLink"/>
                <w:rtl w:val="true"/>
              </w:rPr>
              <w:t>أدلّة المثبتین</w:t>
            </w:r>
            <w:r>
              <w:rPr>
                <w:rStyle w:val="IndexLink"/>
                <w:rtl w:val="true"/>
              </w:rPr>
              <w:t>:</w:t>
              <w:tab/>
            </w:r>
            <w:r>
              <w:rPr>
                <w:rStyle w:val="IndexLink"/>
              </w:rPr>
              <w:t>302</w:t>
            </w:r>
          </w:hyperlink>
        </w:p>
        <w:p>
          <w:pPr>
            <w:pStyle w:val="Contents5"/>
            <w:tabs>
              <w:tab w:val="clear" w:pos="7892"/>
              <w:tab w:val="right" w:pos="9026" w:leader="dot"/>
            </w:tabs>
            <w:rPr/>
          </w:pPr>
          <w:hyperlink w:anchor="__RefHeading___Toc96436_3244359995">
            <w:r>
              <w:rPr>
                <w:webHidden/>
                <w:rStyle w:val="IndexLink"/>
              </w:rPr>
              <w:t>3</w:t>
            </w:r>
            <w:r>
              <w:rPr>
                <w:rStyle w:val="IndexLink"/>
                <w:rtl w:val="true"/>
              </w:rPr>
              <w:t xml:space="preserve">. </w:t>
            </w:r>
            <w:r>
              <w:rPr>
                <w:rStyle w:val="IndexLink"/>
                <w:rtl w:val="true"/>
              </w:rPr>
              <w:t>مفهوم الغایة</w:t>
            </w:r>
            <w:r>
              <w:rPr>
                <w:rStyle w:val="IndexLink"/>
                <w:rtl w:val="true"/>
              </w:rPr>
              <w:tab/>
            </w:r>
            <w:r>
              <w:rPr>
                <w:rStyle w:val="IndexLink"/>
              </w:rPr>
              <w:t>304</w:t>
            </w:r>
          </w:hyperlink>
        </w:p>
        <w:p>
          <w:pPr>
            <w:pStyle w:val="Contents5"/>
            <w:tabs>
              <w:tab w:val="clear" w:pos="7892"/>
              <w:tab w:val="right" w:pos="9026" w:leader="dot"/>
            </w:tabs>
            <w:rPr/>
          </w:pPr>
          <w:hyperlink w:anchor="__RefHeading___Toc96438_3244359995">
            <w:r>
              <w:rPr>
                <w:webHidden/>
                <w:rStyle w:val="IndexLink"/>
              </w:rPr>
              <w:t>4</w:t>
            </w:r>
            <w:r>
              <w:rPr>
                <w:rStyle w:val="IndexLink"/>
                <w:rtl w:val="true"/>
              </w:rPr>
              <w:t xml:space="preserve">. </w:t>
            </w:r>
            <w:r>
              <w:rPr>
                <w:rStyle w:val="IndexLink"/>
                <w:rtl w:val="true"/>
              </w:rPr>
              <w:t>مفهوم الحصر</w:t>
            </w:r>
            <w:r>
              <w:rPr>
                <w:rStyle w:val="IndexLink"/>
                <w:rtl w:val="true"/>
              </w:rPr>
              <w:tab/>
            </w:r>
            <w:r>
              <w:rPr>
                <w:rStyle w:val="IndexLink"/>
              </w:rPr>
              <w:t>307</w:t>
            </w:r>
          </w:hyperlink>
        </w:p>
        <w:p>
          <w:pPr>
            <w:pStyle w:val="Contents6"/>
            <w:tabs>
              <w:tab w:val="clear" w:pos="7609"/>
              <w:tab w:val="right" w:pos="9026" w:leader="dot"/>
            </w:tabs>
            <w:rPr/>
          </w:pPr>
          <w:hyperlink w:anchor="__RefHeading___Toc96440_3244359995">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96442_3244359995">
            <w:r>
              <w:rPr>
                <w:webHidden/>
                <w:rStyle w:val="IndexLink"/>
                <w:rtl w:val="true"/>
              </w:rPr>
              <w:t>تنبیه</w:t>
            </w:r>
            <w:r>
              <w:rPr>
                <w:rStyle w:val="IndexLink"/>
                <w:rtl w:val="true"/>
              </w:rPr>
              <w:t>:</w:t>
              <w:tab/>
            </w:r>
            <w:r>
              <w:rPr>
                <w:rStyle w:val="IndexLink"/>
              </w:rPr>
              <w:t>308</w:t>
            </w:r>
          </w:hyperlink>
        </w:p>
        <w:p>
          <w:pPr>
            <w:pStyle w:val="Contents6"/>
            <w:tabs>
              <w:tab w:val="clear" w:pos="7609"/>
              <w:tab w:val="right" w:pos="9026" w:leader="dot"/>
            </w:tabs>
            <w:rPr/>
          </w:pPr>
          <w:hyperlink w:anchor="__RefHeading___Toc96444_3244359995">
            <w:r>
              <w:rPr>
                <w:webHidden/>
                <w:rStyle w:val="IndexLink"/>
                <w:rtl w:val="true"/>
              </w:rPr>
              <w:t xml:space="preserve">ومن أداة الحصر کلمة </w:t>
            </w:r>
            <w:r>
              <w:rPr>
                <w:rStyle w:val="IndexLink"/>
                <w:rtl w:val="true"/>
              </w:rPr>
              <w:t>«</w:t>
            </w:r>
            <w:r>
              <w:rPr>
                <w:rStyle w:val="IndexLink"/>
                <w:rtl w:val="true"/>
              </w:rPr>
              <w:t>إنّما</w:t>
            </w:r>
            <w:r>
              <w:rPr>
                <w:rStyle w:val="IndexLink"/>
                <w:rtl w:val="true"/>
              </w:rPr>
              <w:t>»</w:t>
              <w:tab/>
            </w:r>
            <w:r>
              <w:rPr>
                <w:rStyle w:val="IndexLink"/>
              </w:rPr>
              <w:t>310</w:t>
            </w:r>
          </w:hyperlink>
        </w:p>
        <w:p>
          <w:pPr>
            <w:pStyle w:val="Contents6"/>
            <w:tabs>
              <w:tab w:val="clear" w:pos="7609"/>
              <w:tab w:val="right" w:pos="9026" w:leader="dot"/>
            </w:tabs>
            <w:rPr/>
          </w:pPr>
          <w:hyperlink w:anchor="__RefHeading___Toc96446_3244359995">
            <w:r>
              <w:rPr>
                <w:webHidden/>
                <w:rStyle w:val="IndexLink"/>
                <w:rtl w:val="true"/>
              </w:rPr>
              <w:t>ومنها تعریف المسند إلیه باللام</w:t>
            </w:r>
            <w:r>
              <w:rPr>
                <w:rStyle w:val="IndexLink"/>
                <w:rtl w:val="true"/>
              </w:rPr>
              <w:tab/>
            </w:r>
            <w:r>
              <w:rPr>
                <w:rStyle w:val="IndexLink"/>
              </w:rPr>
              <w:t>311</w:t>
            </w:r>
          </w:hyperlink>
        </w:p>
        <w:p>
          <w:pPr>
            <w:pStyle w:val="Contents5"/>
            <w:tabs>
              <w:tab w:val="clear" w:pos="7892"/>
              <w:tab w:val="right" w:pos="9026" w:leader="dot"/>
            </w:tabs>
            <w:rPr/>
          </w:pPr>
          <w:hyperlink w:anchor="__RefHeading___Toc96448_3244359995">
            <w:r>
              <w:rPr>
                <w:webHidden/>
                <w:rStyle w:val="IndexLink"/>
              </w:rPr>
              <w:t>5</w:t>
            </w:r>
            <w:r>
              <w:rPr>
                <w:rStyle w:val="IndexLink"/>
                <w:rtl w:val="true"/>
              </w:rPr>
              <w:t xml:space="preserve">. </w:t>
            </w:r>
            <w:r>
              <w:rPr>
                <w:rStyle w:val="IndexLink"/>
                <w:rtl w:val="true"/>
              </w:rPr>
              <w:t>مفهوم اللقب</w:t>
            </w:r>
            <w:r>
              <w:rPr>
                <w:rStyle w:val="IndexLink"/>
                <w:rtl w:val="true"/>
              </w:rPr>
              <w:tab/>
            </w:r>
            <w:r>
              <w:rPr>
                <w:rStyle w:val="IndexLink"/>
              </w:rPr>
              <w:t>311</w:t>
            </w:r>
          </w:hyperlink>
        </w:p>
        <w:p>
          <w:pPr>
            <w:pStyle w:val="Contents5"/>
            <w:tabs>
              <w:tab w:val="clear" w:pos="7892"/>
              <w:tab w:val="right" w:pos="9026" w:leader="dot"/>
            </w:tabs>
            <w:rPr/>
          </w:pPr>
          <w:hyperlink w:anchor="__RefHeading___Toc96450_3244359995">
            <w:r>
              <w:rPr>
                <w:webHidden/>
                <w:rStyle w:val="IndexLink"/>
              </w:rPr>
              <w:t>6</w:t>
            </w:r>
            <w:r>
              <w:rPr>
                <w:rStyle w:val="IndexLink"/>
                <w:rtl w:val="true"/>
              </w:rPr>
              <w:t xml:space="preserve">. </w:t>
            </w:r>
            <w:r>
              <w:rPr>
                <w:rStyle w:val="IndexLink"/>
                <w:rtl w:val="true"/>
              </w:rPr>
              <w:t>مفهوم العدد</w:t>
            </w:r>
            <w:r>
              <w:rPr>
                <w:rStyle w:val="IndexLink"/>
                <w:rtl w:val="true"/>
              </w:rPr>
              <w:tab/>
            </w:r>
            <w:r>
              <w:rPr>
                <w:rStyle w:val="IndexLink"/>
              </w:rPr>
              <w:t>312</w:t>
            </w:r>
          </w:hyperlink>
        </w:p>
        <w:p>
          <w:pPr>
            <w:pStyle w:val="Contents3"/>
            <w:tabs>
              <w:tab w:val="clear" w:pos="8459"/>
              <w:tab w:val="right" w:pos="9026" w:leader="dot"/>
            </w:tabs>
            <w:rPr/>
          </w:pPr>
          <w:hyperlink w:anchor="__RefHeading___Toc96452_3244359995">
            <w:r>
              <w:rPr>
                <w:webHidden/>
                <w:rStyle w:val="IndexLink"/>
                <w:rtl w:val="true"/>
              </w:rPr>
              <w:t>الفصل السابع</w:t>
            </w:r>
            <w:r>
              <w:rPr>
                <w:rStyle w:val="IndexLink"/>
                <w:rtl w:val="true"/>
              </w:rPr>
              <w:t xml:space="preserve">: </w:t>
            </w:r>
            <w:r>
              <w:rPr>
                <w:rStyle w:val="IndexLink"/>
                <w:rtl w:val="true"/>
              </w:rPr>
              <w:t>العامّ والخاصّ</w:t>
            </w:r>
            <w:r>
              <w:rPr>
                <w:rStyle w:val="IndexLink"/>
                <w:rtl w:val="true"/>
              </w:rPr>
              <w:tab/>
            </w:r>
            <w:r>
              <w:rPr>
                <w:rStyle w:val="IndexLink"/>
              </w:rPr>
              <w:t>315</w:t>
            </w:r>
          </w:hyperlink>
        </w:p>
        <w:p>
          <w:pPr>
            <w:pStyle w:val="Contents4"/>
            <w:tabs>
              <w:tab w:val="clear" w:pos="8176"/>
              <w:tab w:val="right" w:pos="9026" w:leader="dot"/>
            </w:tabs>
            <w:rPr/>
          </w:pPr>
          <w:hyperlink w:anchor="__RefHeading___Toc96454_3244359995">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96456_3244359995">
            <w:r>
              <w:rPr>
                <w:webHidden/>
                <w:rStyle w:val="IndexLink"/>
              </w:rPr>
              <w:t>1</w:t>
            </w:r>
            <w:r>
              <w:rPr>
                <w:rStyle w:val="IndexLink"/>
                <w:rtl w:val="true"/>
              </w:rPr>
              <w:t xml:space="preserve">. </w:t>
            </w:r>
            <w:r>
              <w:rPr>
                <w:rStyle w:val="IndexLink"/>
                <w:rtl w:val="true"/>
              </w:rPr>
              <w:t>تعریف العامّ</w:t>
            </w:r>
            <w:r>
              <w:rPr>
                <w:rStyle w:val="IndexLink"/>
                <w:rtl w:val="true"/>
              </w:rPr>
              <w:tab/>
            </w:r>
            <w:r>
              <w:rPr>
                <w:rStyle w:val="IndexLink"/>
              </w:rPr>
              <w:t>315</w:t>
            </w:r>
          </w:hyperlink>
        </w:p>
        <w:p>
          <w:pPr>
            <w:pStyle w:val="Contents4"/>
            <w:tabs>
              <w:tab w:val="clear" w:pos="8176"/>
              <w:tab w:val="right" w:pos="9026" w:leader="dot"/>
            </w:tabs>
            <w:rPr/>
          </w:pPr>
          <w:hyperlink w:anchor="__RefHeading___Toc96458_3244359995">
            <w:r>
              <w:rPr>
                <w:webHidden/>
                <w:rStyle w:val="IndexLink"/>
              </w:rPr>
              <w:t>2</w:t>
            </w:r>
            <w:r>
              <w:rPr>
                <w:rStyle w:val="IndexLink"/>
                <w:rtl w:val="true"/>
              </w:rPr>
              <w:t xml:space="preserve">. </w:t>
            </w:r>
            <w:r>
              <w:rPr>
                <w:rStyle w:val="IndexLink"/>
                <w:rtl w:val="true"/>
              </w:rPr>
              <w:t>أقسام العامّ</w:t>
            </w:r>
            <w:r>
              <w:rPr>
                <w:rStyle w:val="IndexLink"/>
                <w:rtl w:val="true"/>
              </w:rPr>
              <w:tab/>
            </w:r>
            <w:r>
              <w:rPr>
                <w:rStyle w:val="IndexLink"/>
              </w:rPr>
              <w:t>316</w:t>
            </w:r>
          </w:hyperlink>
        </w:p>
        <w:p>
          <w:pPr>
            <w:pStyle w:val="Contents4"/>
            <w:tabs>
              <w:tab w:val="clear" w:pos="8176"/>
              <w:tab w:val="right" w:pos="9026" w:leader="dot"/>
            </w:tabs>
            <w:rPr/>
          </w:pPr>
          <w:hyperlink w:anchor="__RefHeading___Toc96460_3244359995">
            <w:r>
              <w:rPr>
                <w:webHidden/>
                <w:rStyle w:val="IndexLink"/>
              </w:rPr>
              <w:t>3</w:t>
            </w:r>
            <w:r>
              <w:rPr>
                <w:rStyle w:val="IndexLink"/>
                <w:rtl w:val="true"/>
              </w:rPr>
              <w:t xml:space="preserve">. </w:t>
            </w:r>
            <w:r>
              <w:rPr>
                <w:rStyle w:val="IndexLink"/>
                <w:rtl w:val="true"/>
              </w:rPr>
              <w:t>ألفاظ العموم</w:t>
            </w:r>
            <w:r>
              <w:rPr>
                <w:rStyle w:val="IndexLink"/>
                <w:rtl w:val="true"/>
              </w:rPr>
              <w:tab/>
            </w:r>
            <w:r>
              <w:rPr>
                <w:rStyle w:val="IndexLink"/>
              </w:rPr>
              <w:t>316</w:t>
            </w:r>
          </w:hyperlink>
        </w:p>
        <w:p>
          <w:pPr>
            <w:pStyle w:val="Contents5"/>
            <w:tabs>
              <w:tab w:val="clear" w:pos="7892"/>
              <w:tab w:val="right" w:pos="9026" w:leader="dot"/>
            </w:tabs>
            <w:rPr/>
          </w:pPr>
          <w:hyperlink w:anchor="__RefHeading___Toc96462_3244359995">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96464_3244359995">
            <w:r>
              <w:rPr>
                <w:webHidden/>
                <w:rStyle w:val="IndexLink"/>
                <w:rtl w:val="true"/>
              </w:rPr>
              <w:t>الأوّل</w:t>
            </w:r>
            <w:r>
              <w:rPr>
                <w:rStyle w:val="IndexLink"/>
                <w:rtl w:val="true"/>
              </w:rPr>
              <w:t xml:space="preserve">: </w:t>
            </w:r>
            <w:r>
              <w:rPr>
                <w:rStyle w:val="IndexLink"/>
                <w:rtl w:val="true"/>
              </w:rPr>
              <w:t>النکرة فی سیاق النفی أو النهی</w:t>
            </w:r>
            <w:r>
              <w:rPr>
                <w:rStyle w:val="IndexLink"/>
                <w:rtl w:val="true"/>
              </w:rPr>
              <w:tab/>
            </w:r>
            <w:r>
              <w:rPr>
                <w:rStyle w:val="IndexLink"/>
              </w:rPr>
              <w:t>317</w:t>
            </w:r>
          </w:hyperlink>
        </w:p>
        <w:p>
          <w:pPr>
            <w:pStyle w:val="Contents5"/>
            <w:tabs>
              <w:tab w:val="clear" w:pos="7892"/>
              <w:tab w:val="right" w:pos="9026" w:leader="dot"/>
            </w:tabs>
            <w:rPr/>
          </w:pPr>
          <w:hyperlink w:anchor="__RefHeading___Toc96466_3244359995">
            <w:r>
              <w:rPr>
                <w:webHidden/>
                <w:rStyle w:val="IndexLink"/>
                <w:rtl w:val="true"/>
              </w:rPr>
              <w:t>الثانی</w:t>
            </w:r>
            <w:r>
              <w:rPr>
                <w:rStyle w:val="IndexLink"/>
                <w:rtl w:val="true"/>
              </w:rPr>
              <w:t xml:space="preserve">: </w:t>
            </w:r>
            <w:r>
              <w:rPr>
                <w:rStyle w:val="IndexLink"/>
                <w:rtl w:val="true"/>
              </w:rPr>
              <w:t>لفظة کلّ وما شابهها</w:t>
            </w:r>
            <w:r>
              <w:rPr>
                <w:rStyle w:val="IndexLink"/>
                <w:rtl w:val="true"/>
              </w:rPr>
              <w:tab/>
            </w:r>
            <w:r>
              <w:rPr>
                <w:rStyle w:val="IndexLink"/>
              </w:rPr>
              <w:t>318</w:t>
            </w:r>
          </w:hyperlink>
        </w:p>
        <w:p>
          <w:pPr>
            <w:pStyle w:val="Contents5"/>
            <w:tabs>
              <w:tab w:val="clear" w:pos="7892"/>
              <w:tab w:val="right" w:pos="9026" w:leader="dot"/>
            </w:tabs>
            <w:rPr/>
          </w:pPr>
          <w:hyperlink w:anchor="__RefHeading___Toc96468_3244359995">
            <w:r>
              <w:rPr>
                <w:webHidden/>
                <w:rStyle w:val="IndexLink"/>
                <w:rtl w:val="true"/>
              </w:rPr>
              <w:t>الثالث</w:t>
            </w:r>
            <w:r>
              <w:rPr>
                <w:rStyle w:val="IndexLink"/>
                <w:rtl w:val="true"/>
              </w:rPr>
              <w:t xml:space="preserve">: </w:t>
            </w:r>
            <w:r>
              <w:rPr>
                <w:rStyle w:val="IndexLink"/>
                <w:rtl w:val="true"/>
              </w:rPr>
              <w:t>الجمع المحلّی باللام</w:t>
            </w:r>
            <w:r>
              <w:rPr>
                <w:rStyle w:val="IndexLink"/>
                <w:rtl w:val="true"/>
              </w:rPr>
              <w:tab/>
            </w:r>
            <w:r>
              <w:rPr>
                <w:rStyle w:val="IndexLink"/>
              </w:rPr>
              <w:t>319</w:t>
            </w:r>
          </w:hyperlink>
        </w:p>
        <w:p>
          <w:pPr>
            <w:pStyle w:val="Contents5"/>
            <w:tabs>
              <w:tab w:val="clear" w:pos="7892"/>
              <w:tab w:val="right" w:pos="9026" w:leader="dot"/>
            </w:tabs>
            <w:rPr/>
          </w:pPr>
          <w:hyperlink w:anchor="__RefHeading___Toc96470_3244359995">
            <w:r>
              <w:rPr>
                <w:webHidden/>
                <w:rStyle w:val="IndexLink"/>
                <w:rtl w:val="true"/>
              </w:rPr>
              <w:t>الرابع</w:t>
            </w:r>
            <w:r>
              <w:rPr>
                <w:rStyle w:val="IndexLink"/>
                <w:rtl w:val="true"/>
              </w:rPr>
              <w:t xml:space="preserve">: </w:t>
            </w:r>
            <w:r>
              <w:rPr>
                <w:rStyle w:val="IndexLink"/>
                <w:rtl w:val="true"/>
              </w:rPr>
              <w:t>المفرد المحلّی باللام</w:t>
            </w:r>
            <w:r>
              <w:rPr>
                <w:rStyle w:val="IndexLink"/>
                <w:rtl w:val="true"/>
              </w:rPr>
              <w:tab/>
            </w:r>
            <w:r>
              <w:rPr>
                <w:rStyle w:val="IndexLink"/>
              </w:rPr>
              <w:t>319</w:t>
            </w:r>
          </w:hyperlink>
        </w:p>
        <w:p>
          <w:pPr>
            <w:pStyle w:val="Contents4"/>
            <w:tabs>
              <w:tab w:val="clear" w:pos="8176"/>
              <w:tab w:val="right" w:pos="9026" w:leader="dot"/>
            </w:tabs>
            <w:rPr/>
          </w:pPr>
          <w:hyperlink w:anchor="__RefHeading___Toc96472_3244359995">
            <w:r>
              <w:rPr>
                <w:webHidden/>
                <w:rStyle w:val="IndexLink"/>
              </w:rPr>
              <w:t>4</w:t>
            </w:r>
            <w:r>
              <w:rPr>
                <w:rStyle w:val="IndexLink"/>
                <w:rtl w:val="true"/>
              </w:rPr>
              <w:t xml:space="preserve">. </w:t>
            </w:r>
            <w:r>
              <w:rPr>
                <w:rStyle w:val="IndexLink"/>
                <w:rtl w:val="true"/>
              </w:rPr>
              <w:t>حجّیة العامّ المخصّص فی الباقی</w:t>
            </w:r>
            <w:r>
              <w:rPr>
                <w:rStyle w:val="IndexLink"/>
                <w:rtl w:val="true"/>
              </w:rPr>
              <w:tab/>
            </w:r>
            <w:r>
              <w:rPr>
                <w:rStyle w:val="IndexLink"/>
              </w:rPr>
              <w:t>319</w:t>
            </w:r>
          </w:hyperlink>
        </w:p>
        <w:p>
          <w:pPr>
            <w:pStyle w:val="Contents4"/>
            <w:tabs>
              <w:tab w:val="clear" w:pos="8176"/>
              <w:tab w:val="right" w:pos="9026" w:leader="dot"/>
            </w:tabs>
            <w:rPr/>
          </w:pPr>
          <w:hyperlink w:anchor="__RefHeading___Toc96474_3244359995">
            <w:r>
              <w:rPr>
                <w:webHidden/>
                <w:rStyle w:val="IndexLink"/>
              </w:rPr>
              <w:t>5</w:t>
            </w:r>
            <w:r>
              <w:rPr>
                <w:rStyle w:val="IndexLink"/>
                <w:rtl w:val="true"/>
              </w:rPr>
              <w:t xml:space="preserve">. </w:t>
            </w:r>
            <w:r>
              <w:rPr>
                <w:rStyle w:val="IndexLink"/>
                <w:rtl w:val="true"/>
              </w:rPr>
              <w:t>التمسّک بالعامّ فی الشبهات المفهومیّة للمخصّص</w:t>
            </w:r>
            <w:r>
              <w:rPr>
                <w:rStyle w:val="IndexLink"/>
                <w:rtl w:val="true"/>
              </w:rPr>
              <w:tab/>
            </w:r>
            <w:r>
              <w:rPr>
                <w:rStyle w:val="IndexLink"/>
              </w:rPr>
              <w:t>324</w:t>
            </w:r>
          </w:hyperlink>
        </w:p>
        <w:p>
          <w:pPr>
            <w:pStyle w:val="Contents4"/>
            <w:tabs>
              <w:tab w:val="clear" w:pos="8176"/>
              <w:tab w:val="right" w:pos="9026" w:leader="dot"/>
            </w:tabs>
            <w:rPr/>
          </w:pPr>
          <w:hyperlink w:anchor="__RefHeading___Toc96476_3244359995">
            <w:r>
              <w:rPr>
                <w:webHidden/>
                <w:rStyle w:val="IndexLink"/>
              </w:rPr>
              <w:t>6</w:t>
            </w:r>
            <w:r>
              <w:rPr>
                <w:rStyle w:val="IndexLink"/>
                <w:rtl w:val="true"/>
              </w:rPr>
              <w:t xml:space="preserve">. </w:t>
            </w:r>
            <w:r>
              <w:rPr>
                <w:rStyle w:val="IndexLink"/>
                <w:rtl w:val="true"/>
              </w:rPr>
              <w:t>التمسّک بالعامّ فی الشبهات المصداقیّة للمخصّص</w:t>
            </w:r>
            <w:r>
              <w:rPr>
                <w:rStyle w:val="IndexLink"/>
                <w:rtl w:val="true"/>
              </w:rPr>
              <w:tab/>
            </w:r>
            <w:r>
              <w:rPr>
                <w:rStyle w:val="IndexLink"/>
              </w:rPr>
              <w:t>326</w:t>
            </w:r>
          </w:hyperlink>
        </w:p>
        <w:p>
          <w:pPr>
            <w:pStyle w:val="Contents5"/>
            <w:tabs>
              <w:tab w:val="clear" w:pos="7892"/>
              <w:tab w:val="right" w:pos="9026" w:leader="dot"/>
            </w:tabs>
            <w:rPr/>
          </w:pPr>
          <w:hyperlink w:anchor="__RefHeading___Toc96478_3244359995">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96480_3244359995">
            <w:r>
              <w:rPr>
                <w:webHidden/>
                <w:rStyle w:val="IndexLink"/>
                <w:rtl w:val="true"/>
              </w:rPr>
              <w:t>التفصیل بین المخصص اللفظی واللبی</w:t>
            </w:r>
            <w:r>
              <w:rPr>
                <w:rStyle w:val="IndexLink"/>
                <w:rtl w:val="true"/>
              </w:rPr>
              <w:tab/>
            </w:r>
            <w:r>
              <w:rPr>
                <w:rStyle w:val="IndexLink"/>
              </w:rPr>
              <w:t>328</w:t>
            </w:r>
          </w:hyperlink>
        </w:p>
        <w:p>
          <w:pPr>
            <w:pStyle w:val="Contents5"/>
            <w:tabs>
              <w:tab w:val="clear" w:pos="7892"/>
              <w:tab w:val="right" w:pos="9026" w:leader="dot"/>
            </w:tabs>
            <w:rPr/>
          </w:pPr>
          <w:hyperlink w:anchor="__RefHeading___Toc96482_3244359995">
            <w:r>
              <w:rPr>
                <w:webHidden/>
                <w:rStyle w:val="IndexLink"/>
                <w:rtl w:val="true"/>
              </w:rPr>
              <w:t>التمسّک باستصحاب العدم الأزلی فی تعیین حال الفرد المشتبه</w:t>
            </w:r>
            <w:r>
              <w:rPr>
                <w:rStyle w:val="IndexLink"/>
                <w:rtl w:val="true"/>
              </w:rPr>
              <w:tab/>
            </w:r>
            <w:r>
              <w:rPr>
                <w:rStyle w:val="IndexLink"/>
              </w:rPr>
              <w:t>330</w:t>
            </w:r>
          </w:hyperlink>
        </w:p>
        <w:p>
          <w:pPr>
            <w:pStyle w:val="Contents5"/>
            <w:tabs>
              <w:tab w:val="clear" w:pos="7892"/>
              <w:tab w:val="right" w:pos="9026" w:leader="dot"/>
            </w:tabs>
            <w:rPr/>
          </w:pPr>
          <w:hyperlink w:anchor="__RefHeading___Toc96484_3244359995">
            <w:r>
              <w:rPr>
                <w:webHidden/>
                <w:rStyle w:val="IndexLink"/>
                <w:rtl w:val="true"/>
              </w:rPr>
              <w:t>حول دوران الأمر بین التخصیص والتخصّص</w:t>
            </w:r>
            <w:r>
              <w:rPr>
                <w:rStyle w:val="IndexLink"/>
                <w:rtl w:val="true"/>
              </w:rPr>
              <w:tab/>
            </w:r>
            <w:r>
              <w:rPr>
                <w:rStyle w:val="IndexLink"/>
              </w:rPr>
              <w:t>331</w:t>
            </w:r>
          </w:hyperlink>
        </w:p>
        <w:p>
          <w:pPr>
            <w:pStyle w:val="Contents4"/>
            <w:tabs>
              <w:tab w:val="clear" w:pos="8176"/>
              <w:tab w:val="right" w:pos="9026" w:leader="dot"/>
            </w:tabs>
            <w:rPr/>
          </w:pPr>
          <w:hyperlink w:anchor="__RefHeading___Toc96486_3244359995">
            <w:r>
              <w:rPr>
                <w:webHidden/>
                <w:rStyle w:val="IndexLink"/>
              </w:rPr>
              <w:t>7</w:t>
            </w:r>
            <w:r>
              <w:rPr>
                <w:rStyle w:val="IndexLink"/>
                <w:rtl w:val="true"/>
              </w:rPr>
              <w:t xml:space="preserve">. </w:t>
            </w:r>
            <w:r>
              <w:rPr>
                <w:rStyle w:val="IndexLink"/>
                <w:rtl w:val="true"/>
              </w:rPr>
              <w:t>جواز التمسّک بالعامّ قبل الفحص عن المخصّص</w:t>
            </w:r>
            <w:r>
              <w:rPr>
                <w:rStyle w:val="IndexLink"/>
                <w:rtl w:val="true"/>
              </w:rPr>
              <w:tab/>
            </w:r>
            <w:r>
              <w:rPr>
                <w:rStyle w:val="IndexLink"/>
              </w:rPr>
              <w:t>332</w:t>
            </w:r>
          </w:hyperlink>
        </w:p>
        <w:p>
          <w:pPr>
            <w:pStyle w:val="Contents5"/>
            <w:tabs>
              <w:tab w:val="clear" w:pos="7892"/>
              <w:tab w:val="right" w:pos="9026" w:leader="dot"/>
            </w:tabs>
            <w:rPr/>
          </w:pPr>
          <w:hyperlink w:anchor="__RefHeading___Toc96488_3244359995">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96490_3244359995">
            <w:r>
              <w:rPr>
                <w:webHidden/>
                <w:rStyle w:val="IndexLink"/>
                <w:rtl w:val="true"/>
              </w:rPr>
              <w:t>المقام الأوّل</w:t>
            </w:r>
            <w:r>
              <w:rPr>
                <w:rStyle w:val="IndexLink"/>
                <w:rtl w:val="true"/>
              </w:rPr>
              <w:t xml:space="preserve">: </w:t>
            </w:r>
            <w:r>
              <w:rPr>
                <w:rStyle w:val="IndexLink"/>
                <w:rtl w:val="true"/>
              </w:rPr>
              <w:t>فی المخصّص المنفصل</w:t>
            </w:r>
            <w:r>
              <w:rPr>
                <w:rStyle w:val="IndexLink"/>
                <w:rtl w:val="true"/>
              </w:rPr>
              <w:tab/>
            </w:r>
            <w:r>
              <w:rPr>
                <w:rStyle w:val="IndexLink"/>
              </w:rPr>
              <w:t>332</w:t>
            </w:r>
          </w:hyperlink>
        </w:p>
        <w:p>
          <w:pPr>
            <w:pStyle w:val="Contents5"/>
            <w:tabs>
              <w:tab w:val="clear" w:pos="7892"/>
              <w:tab w:val="right" w:pos="9026" w:leader="dot"/>
            </w:tabs>
            <w:rPr/>
          </w:pPr>
          <w:hyperlink w:anchor="__RefHeading___Toc96492_3244359995">
            <w:r>
              <w:rPr>
                <w:webHidden/>
                <w:rStyle w:val="IndexLink"/>
                <w:rtl w:val="true"/>
              </w:rPr>
              <w:t>المقام الثانی</w:t>
            </w:r>
            <w:r>
              <w:rPr>
                <w:rStyle w:val="IndexLink"/>
                <w:rtl w:val="true"/>
              </w:rPr>
              <w:t xml:space="preserve">: </w:t>
            </w:r>
            <w:r>
              <w:rPr>
                <w:rStyle w:val="IndexLink"/>
                <w:rtl w:val="true"/>
              </w:rPr>
              <w:t>فی المخصّص المتّصل</w:t>
            </w:r>
            <w:r>
              <w:rPr>
                <w:rStyle w:val="IndexLink"/>
                <w:rtl w:val="true"/>
              </w:rPr>
              <w:tab/>
            </w:r>
            <w:r>
              <w:rPr>
                <w:rStyle w:val="IndexLink"/>
              </w:rPr>
              <w:t>333</w:t>
            </w:r>
          </w:hyperlink>
        </w:p>
        <w:p>
          <w:pPr>
            <w:pStyle w:val="Contents4"/>
            <w:tabs>
              <w:tab w:val="clear" w:pos="8176"/>
              <w:tab w:val="right" w:pos="9026" w:leader="dot"/>
            </w:tabs>
            <w:rPr/>
          </w:pPr>
          <w:hyperlink w:anchor="__RefHeading___Toc96494_3244359995">
            <w:r>
              <w:rPr>
                <w:webHidden/>
                <w:rStyle w:val="IndexLink"/>
              </w:rPr>
              <w:t>8</w:t>
            </w:r>
            <w:r>
              <w:rPr>
                <w:rStyle w:val="IndexLink"/>
                <w:rtl w:val="true"/>
              </w:rPr>
              <w:t xml:space="preserve">. </w:t>
            </w:r>
            <w:r>
              <w:rPr>
                <w:rStyle w:val="IndexLink"/>
                <w:rtl w:val="true"/>
              </w:rPr>
              <w:t>الکلام فی الخطابات الشفاهیّة</w:t>
            </w:r>
            <w:r>
              <w:rPr>
                <w:rStyle w:val="IndexLink"/>
                <w:rtl w:val="true"/>
              </w:rPr>
              <w:tab/>
            </w:r>
            <w:r>
              <w:rPr>
                <w:rStyle w:val="IndexLink"/>
              </w:rPr>
              <w:t>334</w:t>
            </w:r>
          </w:hyperlink>
        </w:p>
        <w:p>
          <w:pPr>
            <w:pStyle w:val="Contents4"/>
            <w:tabs>
              <w:tab w:val="clear" w:pos="8176"/>
              <w:tab w:val="right" w:pos="9026" w:leader="dot"/>
            </w:tabs>
            <w:rPr/>
          </w:pPr>
          <w:hyperlink w:anchor="__RefHeading___Toc96496_3244359995">
            <w:r>
              <w:rPr>
                <w:webHidden/>
                <w:rStyle w:val="IndexLink"/>
              </w:rPr>
              <w:t>9</w:t>
            </w:r>
            <w:r>
              <w:rPr>
                <w:rStyle w:val="IndexLink"/>
                <w:rtl w:val="true"/>
              </w:rPr>
              <w:t xml:space="preserve">. </w:t>
            </w:r>
            <w:r>
              <w:rPr>
                <w:rStyle w:val="IndexLink"/>
                <w:rtl w:val="true"/>
              </w:rPr>
              <w:t>إذا تعقّب العامّ ضمیر یرجع إلی البعض</w:t>
            </w:r>
            <w:r>
              <w:rPr>
                <w:rStyle w:val="IndexLink"/>
                <w:rtl w:val="true"/>
              </w:rPr>
              <w:tab/>
            </w:r>
            <w:r>
              <w:rPr>
                <w:rStyle w:val="IndexLink"/>
              </w:rPr>
              <w:t>336</w:t>
            </w:r>
          </w:hyperlink>
        </w:p>
        <w:p>
          <w:pPr>
            <w:pStyle w:val="Contents4"/>
            <w:tabs>
              <w:tab w:val="clear" w:pos="8176"/>
              <w:tab w:val="right" w:pos="9026" w:leader="dot"/>
            </w:tabs>
            <w:rPr/>
          </w:pPr>
          <w:hyperlink w:anchor="__RefHeading___Toc96498_3244359995">
            <w:r>
              <w:rPr>
                <w:webHidden/>
                <w:rStyle w:val="IndexLink"/>
              </w:rPr>
              <w:t>10</w:t>
            </w:r>
            <w:r>
              <w:rPr>
                <w:rStyle w:val="IndexLink"/>
                <w:rtl w:val="true"/>
              </w:rPr>
              <w:t xml:space="preserve">. </w:t>
            </w:r>
            <w:r>
              <w:rPr>
                <w:rStyle w:val="IndexLink"/>
                <w:rtl w:val="true"/>
              </w:rPr>
              <w:t>تخصیص العامّ بالمفهوم</w:t>
            </w:r>
            <w:r>
              <w:rPr>
                <w:rStyle w:val="IndexLink"/>
                <w:rtl w:val="true"/>
              </w:rPr>
              <w:tab/>
            </w:r>
            <w:r>
              <w:rPr>
                <w:rStyle w:val="IndexLink"/>
              </w:rPr>
              <w:t>337</w:t>
            </w:r>
          </w:hyperlink>
        </w:p>
        <w:p>
          <w:pPr>
            <w:pStyle w:val="Contents4"/>
            <w:tabs>
              <w:tab w:val="clear" w:pos="8176"/>
              <w:tab w:val="right" w:pos="9026" w:leader="dot"/>
            </w:tabs>
            <w:rPr/>
          </w:pPr>
          <w:hyperlink w:anchor="__RefHeading___Toc96500_3244359995">
            <w:r>
              <w:rPr>
                <w:webHidden/>
                <w:rStyle w:val="IndexLink"/>
              </w:rPr>
              <w:t>11</w:t>
            </w:r>
            <w:r>
              <w:rPr>
                <w:rStyle w:val="IndexLink"/>
                <w:rtl w:val="true"/>
              </w:rPr>
              <w:t xml:space="preserve">. </w:t>
            </w:r>
            <w:r>
              <w:rPr>
                <w:rStyle w:val="IndexLink"/>
                <w:rtl w:val="true"/>
              </w:rPr>
              <w:t>الاستثناء المتعقّب للجمل المتعدّدة</w:t>
            </w:r>
            <w:r>
              <w:rPr>
                <w:rStyle w:val="IndexLink"/>
                <w:rtl w:val="true"/>
              </w:rPr>
              <w:tab/>
            </w:r>
            <w:r>
              <w:rPr>
                <w:rStyle w:val="IndexLink"/>
              </w:rPr>
              <w:t>338</w:t>
            </w:r>
          </w:hyperlink>
        </w:p>
        <w:p>
          <w:pPr>
            <w:pStyle w:val="Contents4"/>
            <w:tabs>
              <w:tab w:val="clear" w:pos="8176"/>
              <w:tab w:val="right" w:pos="9026" w:leader="dot"/>
            </w:tabs>
            <w:rPr/>
          </w:pPr>
          <w:hyperlink w:anchor="__RefHeading___Toc96502_3244359995">
            <w:r>
              <w:rPr>
                <w:webHidden/>
                <w:rStyle w:val="IndexLink"/>
              </w:rPr>
              <w:t>12</w:t>
            </w:r>
            <w:r>
              <w:rPr>
                <w:rStyle w:val="IndexLink"/>
                <w:rtl w:val="true"/>
              </w:rPr>
              <w:t xml:space="preserve">. </w:t>
            </w:r>
            <w:r>
              <w:rPr>
                <w:rStyle w:val="IndexLink"/>
                <w:rtl w:val="true"/>
              </w:rPr>
              <w:t>تخصیص عمومات الکتاب بخبر الواحد</w:t>
            </w:r>
            <w:r>
              <w:rPr>
                <w:rStyle w:val="IndexLink"/>
                <w:rtl w:val="true"/>
              </w:rPr>
              <w:tab/>
            </w:r>
            <w:r>
              <w:rPr>
                <w:rStyle w:val="IndexLink"/>
              </w:rPr>
              <w:t>340</w:t>
            </w:r>
          </w:hyperlink>
        </w:p>
        <w:p>
          <w:pPr>
            <w:pStyle w:val="Contents4"/>
            <w:tabs>
              <w:tab w:val="clear" w:pos="8176"/>
              <w:tab w:val="right" w:pos="9026" w:leader="dot"/>
            </w:tabs>
            <w:rPr/>
          </w:pPr>
          <w:hyperlink w:anchor="__RefHeading___Toc96504_3244359995">
            <w:r>
              <w:rPr>
                <w:webHidden/>
                <w:rStyle w:val="IndexLink"/>
              </w:rPr>
              <w:t>13</w:t>
            </w:r>
            <w:r>
              <w:rPr>
                <w:rStyle w:val="IndexLink"/>
                <w:rtl w:val="true"/>
              </w:rPr>
              <w:t xml:space="preserve">. </w:t>
            </w:r>
            <w:r>
              <w:rPr>
                <w:rStyle w:val="IndexLink"/>
                <w:rtl w:val="true"/>
              </w:rPr>
              <w:t>دوران العامّ والخاصّ بین النسخ والتخصیص</w:t>
            </w:r>
            <w:r>
              <w:rPr>
                <w:rStyle w:val="IndexLink"/>
                <w:rtl w:val="true"/>
              </w:rPr>
              <w:tab/>
            </w:r>
            <w:r>
              <w:rPr>
                <w:rStyle w:val="IndexLink"/>
              </w:rPr>
              <w:t>343</w:t>
            </w:r>
          </w:hyperlink>
        </w:p>
        <w:p>
          <w:pPr>
            <w:pStyle w:val="Contents4"/>
            <w:tabs>
              <w:tab w:val="clear" w:pos="8176"/>
              <w:tab w:val="right" w:pos="9026" w:leader="dot"/>
            </w:tabs>
            <w:rPr/>
          </w:pPr>
          <w:hyperlink w:anchor="__RefHeading___Toc96506_3244359995">
            <w:r>
              <w:rPr>
                <w:webHidden/>
                <w:rStyle w:val="IndexLink"/>
              </w:rPr>
              <w:t>14</w:t>
            </w:r>
            <w:r>
              <w:rPr>
                <w:rStyle w:val="IndexLink"/>
                <w:rtl w:val="true"/>
              </w:rPr>
              <w:t xml:space="preserve">. </w:t>
            </w:r>
            <w:r>
              <w:rPr>
                <w:rStyle w:val="IndexLink"/>
                <w:rtl w:val="true"/>
              </w:rPr>
              <w:t>الکلام فی النسخ</w:t>
            </w:r>
            <w:r>
              <w:rPr>
                <w:rStyle w:val="IndexLink"/>
                <w:rtl w:val="true"/>
              </w:rPr>
              <w:tab/>
            </w:r>
            <w:r>
              <w:rPr>
                <w:rStyle w:val="IndexLink"/>
              </w:rPr>
              <w:t>345</w:t>
            </w:r>
          </w:hyperlink>
        </w:p>
        <w:p>
          <w:pPr>
            <w:pStyle w:val="Contents5"/>
            <w:tabs>
              <w:tab w:val="clear" w:pos="7892"/>
              <w:tab w:val="right" w:pos="9026" w:leader="dot"/>
            </w:tabs>
            <w:rPr/>
          </w:pPr>
          <w:hyperlink w:anchor="__RefHeading___Toc96508_3244359995">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96510_3244359995">
            <w:r>
              <w:rPr>
                <w:webHidden/>
                <w:rStyle w:val="IndexLink"/>
                <w:rtl w:val="true"/>
              </w:rPr>
              <w:t>هل یجوز النسخ فی حکم اللَّه تعالی أو لا؟</w:t>
            </w:r>
            <w:r>
              <w:rPr>
                <w:rStyle w:val="IndexLink"/>
                <w:rtl w:val="true"/>
              </w:rPr>
              <w:tab/>
            </w:r>
            <w:r>
              <w:rPr>
                <w:rStyle w:val="IndexLink"/>
              </w:rPr>
              <w:t>346</w:t>
            </w:r>
          </w:hyperlink>
        </w:p>
        <w:p>
          <w:pPr>
            <w:pStyle w:val="Contents3"/>
            <w:tabs>
              <w:tab w:val="clear" w:pos="8459"/>
              <w:tab w:val="right" w:pos="9026" w:leader="dot"/>
            </w:tabs>
            <w:rPr/>
          </w:pPr>
          <w:hyperlink w:anchor="__RefHeading___Toc96512_3244359995">
            <w:r>
              <w:rPr>
                <w:webHidden/>
                <w:rStyle w:val="IndexLink"/>
                <w:rtl w:val="true"/>
              </w:rPr>
              <w:t>الفصل الثامن</w:t>
            </w:r>
            <w:r>
              <w:rPr>
                <w:rStyle w:val="IndexLink"/>
                <w:rtl w:val="true"/>
              </w:rPr>
              <w:t xml:space="preserve">: </w:t>
            </w:r>
            <w:r>
              <w:rPr>
                <w:rStyle w:val="IndexLink"/>
                <w:rtl w:val="true"/>
              </w:rPr>
              <w:t>المطلق والمقیّد</w:t>
            </w:r>
            <w:r>
              <w:rPr>
                <w:rStyle w:val="IndexLink"/>
                <w:rtl w:val="true"/>
              </w:rPr>
              <w:tab/>
            </w:r>
            <w:r>
              <w:rPr>
                <w:rStyle w:val="IndexLink"/>
              </w:rPr>
              <w:t>348</w:t>
            </w:r>
          </w:hyperlink>
        </w:p>
        <w:p>
          <w:pPr>
            <w:pStyle w:val="Contents4"/>
            <w:tabs>
              <w:tab w:val="clear" w:pos="8176"/>
              <w:tab w:val="right" w:pos="9026" w:leader="dot"/>
            </w:tabs>
            <w:rPr/>
          </w:pPr>
          <w:hyperlink w:anchor="__RefHeading___Toc96514_3244359995">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96516_3244359995">
            <w:r>
              <w:rPr>
                <w:webHidden/>
                <w:rStyle w:val="IndexLink"/>
              </w:rPr>
              <w:t>1</w:t>
            </w:r>
            <w:r>
              <w:rPr>
                <w:rStyle w:val="IndexLink"/>
                <w:rtl w:val="true"/>
              </w:rPr>
              <w:t xml:space="preserve">. </w:t>
            </w:r>
            <w:r>
              <w:rPr>
                <w:rStyle w:val="IndexLink"/>
                <w:rtl w:val="true"/>
              </w:rPr>
              <w:t>أنحاء الإطلاق</w:t>
            </w:r>
            <w:r>
              <w:rPr>
                <w:rStyle w:val="IndexLink"/>
                <w:rtl w:val="true"/>
              </w:rPr>
              <w:tab/>
            </w:r>
            <w:r>
              <w:rPr>
                <w:rStyle w:val="IndexLink"/>
              </w:rPr>
              <w:t>349</w:t>
            </w:r>
          </w:hyperlink>
        </w:p>
        <w:p>
          <w:pPr>
            <w:pStyle w:val="Contents4"/>
            <w:tabs>
              <w:tab w:val="clear" w:pos="8176"/>
              <w:tab w:val="right" w:pos="9026" w:leader="dot"/>
            </w:tabs>
            <w:rPr/>
          </w:pPr>
          <w:hyperlink w:anchor="__RefHeading___Toc96518_3244359995">
            <w:r>
              <w:rPr>
                <w:webHidden/>
                <w:rStyle w:val="IndexLink"/>
              </w:rPr>
              <w:t>2</w:t>
            </w:r>
            <w:r>
              <w:rPr>
                <w:rStyle w:val="IndexLink"/>
                <w:rtl w:val="true"/>
              </w:rPr>
              <w:t xml:space="preserve">. </w:t>
            </w:r>
            <w:r>
              <w:rPr>
                <w:rStyle w:val="IndexLink"/>
                <w:rtl w:val="true"/>
              </w:rPr>
              <w:t>الألفاظ الّتی یراد منها الإطلاق</w:t>
            </w:r>
            <w:r>
              <w:rPr>
                <w:rStyle w:val="IndexLink"/>
                <w:rtl w:val="true"/>
              </w:rPr>
              <w:tab/>
            </w:r>
            <w:r>
              <w:rPr>
                <w:rStyle w:val="IndexLink"/>
              </w:rPr>
              <w:t>350</w:t>
            </w:r>
          </w:hyperlink>
        </w:p>
        <w:p>
          <w:pPr>
            <w:pStyle w:val="Contents5"/>
            <w:tabs>
              <w:tab w:val="clear" w:pos="7892"/>
              <w:tab w:val="right" w:pos="9026" w:leader="dot"/>
            </w:tabs>
            <w:rPr/>
          </w:pPr>
          <w:hyperlink w:anchor="__RefHeading___Toc96520_3244359995">
            <w:r>
              <w:rPr>
                <w:webHidden/>
                <w:rStyle w:val="IndexLink"/>
                <w:rtl w:val="true"/>
              </w:rPr>
              <w:t>أوّلها</w:t>
            </w:r>
            <w:r>
              <w:rPr>
                <w:rStyle w:val="IndexLink"/>
                <w:rtl w:val="true"/>
              </w:rPr>
              <w:t xml:space="preserve">: </w:t>
            </w:r>
            <w:r>
              <w:rPr>
                <w:rStyle w:val="IndexLink"/>
                <w:rtl w:val="true"/>
              </w:rPr>
              <w:t>اسم الجنس</w:t>
            </w:r>
            <w:r>
              <w:rPr>
                <w:rStyle w:val="IndexLink"/>
                <w:rtl w:val="true"/>
              </w:rPr>
              <w:tab/>
            </w:r>
            <w:r>
              <w:rPr>
                <w:rStyle w:val="IndexLink"/>
              </w:rPr>
              <w:t>350</w:t>
            </w:r>
          </w:hyperlink>
        </w:p>
        <w:p>
          <w:pPr>
            <w:pStyle w:val="Contents5"/>
            <w:tabs>
              <w:tab w:val="clear" w:pos="7892"/>
              <w:tab w:val="right" w:pos="9026" w:leader="dot"/>
            </w:tabs>
            <w:rPr/>
          </w:pPr>
          <w:hyperlink w:anchor="__RefHeading___Toc96522_3244359995">
            <w:r>
              <w:rPr>
                <w:webHidden/>
                <w:rStyle w:val="IndexLink"/>
                <w:rtl w:val="true"/>
              </w:rPr>
              <w:t>ثانیها</w:t>
            </w:r>
            <w:r>
              <w:rPr>
                <w:rStyle w:val="IndexLink"/>
                <w:rtl w:val="true"/>
              </w:rPr>
              <w:t xml:space="preserve">: </w:t>
            </w:r>
            <w:r>
              <w:rPr>
                <w:rStyle w:val="IndexLink"/>
                <w:rtl w:val="true"/>
              </w:rPr>
              <w:t>عَلَم الجنس</w:t>
            </w:r>
            <w:r>
              <w:rPr>
                <w:rStyle w:val="IndexLink"/>
                <w:rtl w:val="true"/>
              </w:rPr>
              <w:tab/>
            </w:r>
            <w:r>
              <w:rPr>
                <w:rStyle w:val="IndexLink"/>
              </w:rPr>
              <w:t>351</w:t>
            </w:r>
          </w:hyperlink>
        </w:p>
        <w:p>
          <w:pPr>
            <w:pStyle w:val="Contents5"/>
            <w:tabs>
              <w:tab w:val="clear" w:pos="7892"/>
              <w:tab w:val="right" w:pos="9026" w:leader="dot"/>
            </w:tabs>
            <w:rPr/>
          </w:pPr>
          <w:hyperlink w:anchor="__RefHeading___Toc96524_3244359995">
            <w:r>
              <w:rPr>
                <w:webHidden/>
                <w:rStyle w:val="IndexLink"/>
                <w:rtl w:val="true"/>
              </w:rPr>
              <w:t>ثالثها</w:t>
            </w:r>
            <w:r>
              <w:rPr>
                <w:rStyle w:val="IndexLink"/>
                <w:rtl w:val="true"/>
              </w:rPr>
              <w:t xml:space="preserve">: </w:t>
            </w:r>
            <w:r>
              <w:rPr>
                <w:rStyle w:val="IndexLink"/>
                <w:rtl w:val="true"/>
              </w:rPr>
              <w:t>المفرد المحلّی باللام</w:t>
            </w:r>
            <w:r>
              <w:rPr>
                <w:rStyle w:val="IndexLink"/>
                <w:rtl w:val="true"/>
              </w:rPr>
              <w:tab/>
            </w:r>
            <w:r>
              <w:rPr>
                <w:rStyle w:val="IndexLink"/>
              </w:rPr>
              <w:t>352</w:t>
            </w:r>
          </w:hyperlink>
        </w:p>
        <w:p>
          <w:pPr>
            <w:pStyle w:val="Contents5"/>
            <w:tabs>
              <w:tab w:val="clear" w:pos="7892"/>
              <w:tab w:val="right" w:pos="9026" w:leader="dot"/>
            </w:tabs>
            <w:rPr/>
          </w:pPr>
          <w:hyperlink w:anchor="__RefHeading___Toc96526_3244359995">
            <w:r>
              <w:rPr>
                <w:webHidden/>
                <w:rStyle w:val="IndexLink"/>
                <w:rtl w:val="true"/>
              </w:rPr>
              <w:t>رابعها</w:t>
            </w:r>
            <w:r>
              <w:rPr>
                <w:rStyle w:val="IndexLink"/>
                <w:rtl w:val="true"/>
              </w:rPr>
              <w:t xml:space="preserve">: </w:t>
            </w:r>
            <w:r>
              <w:rPr>
                <w:rStyle w:val="IndexLink"/>
                <w:rtl w:val="true"/>
              </w:rPr>
              <w:t>النکرة</w:t>
            </w:r>
            <w:r>
              <w:rPr>
                <w:rStyle w:val="IndexLink"/>
                <w:rtl w:val="true"/>
              </w:rPr>
              <w:tab/>
            </w:r>
            <w:r>
              <w:rPr>
                <w:rStyle w:val="IndexLink"/>
              </w:rPr>
              <w:t>352</w:t>
            </w:r>
          </w:hyperlink>
        </w:p>
        <w:p>
          <w:pPr>
            <w:pStyle w:val="Contents4"/>
            <w:tabs>
              <w:tab w:val="clear" w:pos="8176"/>
              <w:tab w:val="right" w:pos="9026" w:leader="dot"/>
            </w:tabs>
            <w:rPr/>
          </w:pPr>
          <w:hyperlink w:anchor="__RefHeading___Toc96528_3244359995">
            <w:r>
              <w:rPr>
                <w:webHidden/>
                <w:rStyle w:val="IndexLink"/>
              </w:rPr>
              <w:t>3</w:t>
            </w:r>
            <w:r>
              <w:rPr>
                <w:rStyle w:val="IndexLink"/>
                <w:rtl w:val="true"/>
              </w:rPr>
              <w:t xml:space="preserve">. </w:t>
            </w:r>
            <w:r>
              <w:rPr>
                <w:rStyle w:val="IndexLink"/>
                <w:rtl w:val="true"/>
              </w:rPr>
              <w:t>استعمال المطلق فی المقیّد حقیقة أو مجاز؟</w:t>
            </w:r>
            <w:r>
              <w:rPr>
                <w:rStyle w:val="IndexLink"/>
                <w:rtl w:val="true"/>
              </w:rPr>
              <w:tab/>
            </w:r>
            <w:r>
              <w:rPr>
                <w:rStyle w:val="IndexLink"/>
              </w:rPr>
              <w:t>353</w:t>
            </w:r>
          </w:hyperlink>
        </w:p>
        <w:p>
          <w:pPr>
            <w:pStyle w:val="Contents4"/>
            <w:tabs>
              <w:tab w:val="clear" w:pos="8176"/>
              <w:tab w:val="right" w:pos="9026" w:leader="dot"/>
            </w:tabs>
            <w:rPr/>
          </w:pPr>
          <w:hyperlink w:anchor="__RefHeading___Toc96530_3244359995">
            <w:r>
              <w:rPr>
                <w:webHidden/>
                <w:rStyle w:val="IndexLink"/>
              </w:rPr>
              <w:t>4</w:t>
            </w:r>
            <w:r>
              <w:rPr>
                <w:rStyle w:val="IndexLink"/>
                <w:rtl w:val="true"/>
              </w:rPr>
              <w:t xml:space="preserve">. </w:t>
            </w:r>
            <w:r>
              <w:rPr>
                <w:rStyle w:val="IndexLink"/>
                <w:rtl w:val="true"/>
              </w:rPr>
              <w:t>کیفیة دلالة المطلق علی الشمول والسریان</w:t>
            </w:r>
            <w:r>
              <w:rPr>
                <w:rStyle w:val="IndexLink"/>
                <w:rtl w:val="true"/>
              </w:rPr>
              <w:tab/>
            </w:r>
            <w:r>
              <w:rPr>
                <w:rStyle w:val="IndexLink"/>
              </w:rPr>
              <w:t>354</w:t>
            </w:r>
          </w:hyperlink>
        </w:p>
        <w:p>
          <w:pPr>
            <w:pStyle w:val="Contents5"/>
            <w:tabs>
              <w:tab w:val="clear" w:pos="7892"/>
              <w:tab w:val="right" w:pos="9026" w:leader="dot"/>
            </w:tabs>
            <w:rPr/>
          </w:pPr>
          <w:hyperlink w:anchor="__RefHeading___Toc96532_3244359995">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96534_3244359995">
            <w:r>
              <w:rPr>
                <w:webHidden/>
                <w:rStyle w:val="IndexLink"/>
                <w:rtl w:val="true"/>
              </w:rPr>
              <w:t>مقدّمات الحکمة ما هی؟</w:t>
            </w:r>
            <w:r>
              <w:rPr>
                <w:rStyle w:val="IndexLink"/>
                <w:rtl w:val="true"/>
              </w:rPr>
              <w:tab/>
            </w:r>
            <w:r>
              <w:rPr>
                <w:rStyle w:val="IndexLink"/>
              </w:rPr>
              <w:t>355</w:t>
            </w:r>
          </w:hyperlink>
        </w:p>
        <w:p>
          <w:pPr>
            <w:pStyle w:val="Contents5"/>
            <w:tabs>
              <w:tab w:val="clear" w:pos="7892"/>
              <w:tab w:val="right" w:pos="9026" w:leader="dot"/>
            </w:tabs>
            <w:rPr/>
          </w:pPr>
          <w:hyperlink w:anchor="__RefHeading___Toc96536_3244359995">
            <w:r>
              <w:rPr>
                <w:webHidden/>
                <w:rStyle w:val="IndexLink"/>
                <w:rtl w:val="true"/>
              </w:rPr>
              <w:t>تنبیه</w:t>
            </w:r>
            <w:r>
              <w:rPr>
                <w:rStyle w:val="IndexLink"/>
                <w:rtl w:val="true"/>
              </w:rPr>
              <w:t>:</w:t>
              <w:tab/>
            </w:r>
            <w:r>
              <w:rPr>
                <w:rStyle w:val="IndexLink"/>
              </w:rPr>
              <w:t>356</w:t>
            </w:r>
          </w:hyperlink>
        </w:p>
        <w:p>
          <w:pPr>
            <w:pStyle w:val="Contents4"/>
            <w:tabs>
              <w:tab w:val="clear" w:pos="8176"/>
              <w:tab w:val="right" w:pos="9026" w:leader="dot"/>
            </w:tabs>
            <w:rPr/>
          </w:pPr>
          <w:hyperlink w:anchor="__RefHeading___Toc96538_3244359995">
            <w:r>
              <w:rPr>
                <w:webHidden/>
                <w:rStyle w:val="IndexLink"/>
              </w:rPr>
              <w:t>5</w:t>
            </w:r>
            <w:r>
              <w:rPr>
                <w:rStyle w:val="IndexLink"/>
                <w:rtl w:val="true"/>
              </w:rPr>
              <w:t xml:space="preserve">. </w:t>
            </w:r>
            <w:r>
              <w:rPr>
                <w:rStyle w:val="IndexLink"/>
                <w:rtl w:val="true"/>
              </w:rPr>
              <w:t>فیما إذا ورد مطلق ومقیّد</w:t>
            </w:r>
            <w:r>
              <w:rPr>
                <w:rStyle w:val="IndexLink"/>
                <w:rtl w:val="true"/>
              </w:rPr>
              <w:tab/>
            </w:r>
            <w:r>
              <w:rPr>
                <w:rStyle w:val="IndexLink"/>
              </w:rPr>
              <w:t>357</w:t>
            </w:r>
          </w:hyperlink>
        </w:p>
        <w:p>
          <w:pPr>
            <w:pStyle w:val="Contents5"/>
            <w:tabs>
              <w:tab w:val="clear" w:pos="7892"/>
              <w:tab w:val="right" w:pos="9026" w:leader="dot"/>
            </w:tabs>
            <w:rPr/>
          </w:pPr>
          <w:hyperlink w:anchor="__RefHeading___Toc96540_3244359995">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96542_3244359995">
            <w:r>
              <w:rPr>
                <w:webHidden/>
                <w:rStyle w:val="IndexLink"/>
                <w:rtl w:val="true"/>
              </w:rPr>
              <w:t>کیفیّة الجمع بین المطلق والمقیّد فی المستحبّات</w:t>
            </w:r>
            <w:r>
              <w:rPr>
                <w:rStyle w:val="IndexLink"/>
                <w:rtl w:val="true"/>
              </w:rPr>
              <w:tab/>
            </w:r>
            <w:r>
              <w:rPr>
                <w:rStyle w:val="IndexLink"/>
              </w:rPr>
              <w:t>358</w:t>
            </w:r>
          </w:hyperlink>
        </w:p>
        <w:p>
          <w:pPr>
            <w:pStyle w:val="Contents5"/>
            <w:tabs>
              <w:tab w:val="clear" w:pos="7892"/>
              <w:tab w:val="right" w:pos="9026" w:leader="dot"/>
            </w:tabs>
            <w:rPr/>
          </w:pPr>
          <w:hyperlink w:anchor="__RefHeading___Toc96544_3244359995">
            <w:r>
              <w:rPr>
                <w:webHidden/>
                <w:rStyle w:val="IndexLink"/>
                <w:rtl w:val="true"/>
              </w:rPr>
              <w:t>کیفیّة الجمع بین المطلق والمقیّد فی الأحکام الوضعیة</w:t>
            </w:r>
            <w:r>
              <w:rPr>
                <w:rStyle w:val="IndexLink"/>
                <w:rtl w:val="true"/>
              </w:rPr>
              <w:tab/>
            </w:r>
            <w:r>
              <w:rPr>
                <w:rStyle w:val="IndexLink"/>
              </w:rPr>
              <w:t>359</w:t>
            </w:r>
          </w:hyperlink>
        </w:p>
        <w:p>
          <w:pPr>
            <w:pStyle w:val="Contents3"/>
            <w:tabs>
              <w:tab w:val="clear" w:pos="8459"/>
              <w:tab w:val="right" w:pos="9026" w:leader="dot"/>
            </w:tabs>
            <w:rPr/>
          </w:pPr>
          <w:hyperlink w:anchor="__RefHeading___Toc96546_3244359995">
            <w:r>
              <w:rPr>
                <w:webHidden/>
                <w:rStyle w:val="IndexLink"/>
                <w:rtl w:val="true"/>
              </w:rPr>
              <w:t>الفصل التاسع</w:t>
            </w:r>
            <w:r>
              <w:rPr>
                <w:rStyle w:val="IndexLink"/>
                <w:rtl w:val="true"/>
              </w:rPr>
              <w:t xml:space="preserve">: </w:t>
            </w:r>
            <w:r>
              <w:rPr>
                <w:rStyle w:val="IndexLink"/>
                <w:rtl w:val="true"/>
              </w:rPr>
              <w:t>المجمل والمبیّن</w:t>
            </w:r>
            <w:r>
              <w:rPr>
                <w:rStyle w:val="IndexLink"/>
                <w:rtl w:val="true"/>
              </w:rPr>
              <w:tab/>
            </w:r>
            <w:r>
              <w:rPr>
                <w:rStyle w:val="IndexLink"/>
              </w:rPr>
              <w:t>360</w:t>
            </w:r>
          </w:hyperlink>
        </w:p>
        <w:p>
          <w:pPr>
            <w:pStyle w:val="Contents4"/>
            <w:tabs>
              <w:tab w:val="clear" w:pos="8176"/>
              <w:tab w:val="right" w:pos="9026" w:leader="dot"/>
            </w:tabs>
            <w:rPr/>
          </w:pPr>
          <w:hyperlink w:anchor="__RefHeading___Toc96548_3244359995">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96550_3244359995">
            <w:r>
              <w:rPr>
                <w:webHidden/>
                <w:rStyle w:val="IndexLink"/>
                <w:rtl w:val="true"/>
              </w:rPr>
              <w:t>تنبیه حول الأصول اللفظیّة الجاریّة عند الشکّ فی الإجمال</w:t>
            </w:r>
            <w:r>
              <w:rPr>
                <w:rStyle w:val="IndexLink"/>
                <w:rtl w:val="true"/>
              </w:rPr>
              <w:tab/>
            </w:r>
            <w:r>
              <w:rPr>
                <w:rStyle w:val="IndexLink"/>
              </w:rPr>
              <w:t>363</w:t>
            </w:r>
          </w:hyperlink>
        </w:p>
        <w:p>
          <w:pPr>
            <w:pStyle w:val="Contents4"/>
            <w:tabs>
              <w:tab w:val="clear" w:pos="8176"/>
              <w:tab w:val="right" w:pos="9026" w:leader="dot"/>
            </w:tabs>
            <w:rPr/>
          </w:pPr>
          <w:hyperlink w:anchor="__RefHeading___Toc96552_3244359995">
            <w:r>
              <w:rPr>
                <w:webHidden/>
                <w:rStyle w:val="IndexLink"/>
                <w:rtl w:val="true"/>
              </w:rPr>
              <w:t>فهرس الموضوعات</w:t>
            </w:r>
            <w:r>
              <w:rPr>
                <w:rStyle w:val="IndexLink"/>
                <w:rtl w:val="true"/>
              </w:rPr>
              <w:tab/>
            </w:r>
            <w:r>
              <w:rPr>
                <w:rStyle w:val="IndexLink"/>
              </w:rPr>
              <w:t>364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18_187234"/>
      <w:bookmarkStart w:id="1" w:name="pg16918_187234"/>
      <w:bookmarkEnd w:id="1"/>
    </w:p>
    <w:p>
      <w:pPr>
        <w:pStyle w:val="Heading2"/>
        <w:numPr>
          <w:ilvl w:val="1"/>
          <w:numId w:val="1"/>
        </w:numPr>
        <w:rPr/>
      </w:pPr>
      <w:bookmarkStart w:id="2" w:name="pg16918_187234"/>
      <w:bookmarkStart w:id="3" w:name="__RefHeading___Toc95922_3244359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طریق‌الوصول الی مهمات علم‌الاصول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اصول‌الفقه باسلوب حدیث و آراء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مکارم‌الشیرازی؛ الاعداد والتحقیق محمد‌حسین ساعی‌فرد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دارالنشرالامام‌علی‌بن‌ابی‌طالب علیه‌السلام،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ساعی‌فرد، محمدحسین،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۲۲۹۷۹۶۰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924_3244359995"/>
      <w:bookmarkStart w:id="6" w:name="_Toc2"/>
      <w:bookmarkEnd w:id="5"/>
      <w:r>
        <w:rPr>
          <w:rtl w:val="true"/>
        </w:rPr>
        <w:t>اشارة</w:t>
      </w:r>
      <w:bookmarkStart w:id="7" w:name="pg16918_187238"/>
      <w:bookmarkEnd w:id="6"/>
    </w:p>
    <w:p>
      <w:pPr>
        <w:pStyle w:val="Heading2"/>
        <w:numPr>
          <w:ilvl w:val="1"/>
          <w:numId w:val="1"/>
        </w:numPr>
        <w:rPr/>
      </w:pPr>
      <w:bookmarkStart w:id="8" w:name="__RefHeading___Toc95926_3244359995"/>
      <w:bookmarkStart w:id="9" w:name="_Toc3"/>
      <w:bookmarkEnd w:id="7"/>
      <w:bookmarkEnd w:id="8"/>
      <w:r>
        <w:rPr>
          <w:rtl w:val="true"/>
        </w:rPr>
        <w:t>کلام جوهری حول نظم الکتاب ومقاصده</w:t>
      </w:r>
      <w:bookmarkEnd w:id="9"/>
    </w:p>
    <w:p>
      <w:pPr>
        <w:pStyle w:val="BookText"/>
        <w:rPr/>
      </w:pPr>
      <w:r>
        <w:rPr>
          <w:rFonts w:ascii="IRNazanin" w:hAnsi="IRNazanin" w:eastAsia="IRNazanin"/>
          <w:color w:val="111111"/>
          <w:sz w:val="28"/>
          <w:sz w:val="28"/>
          <w:szCs w:val="28"/>
          <w:rtl w:val="true"/>
          <w:lang w:bidi="fa-IR"/>
        </w:rPr>
        <w:t>لا شکّ فی أنّ علم اصول الفقه من أهمّ العلوم الإسلامیّة؛ لأنّ استنباط الأحکام الشرعیّة الفقهیّة علی کثرتها ووسعتها مبنیة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وتاریخ هذا العلم یدلّ علی أنّه فی بدایة الأمر وفی العصر الأوّل کان یشتمل علی قواعد طفیفة ساذجة، ولکن علی مرور الزمان اضیفت إلیها قواعد مهمّة اخری من ناحیة علماء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درجاتهم وأجزل لهم الأجر والجزاء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صارت بهذه المرتبة الّتی نراها الیوم من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الأسف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نری فی ذکر هذه القواعد والمسائل نظماً منطقیاً صالحاً لها، مع أنّ الحاجة إلیه ممّا لا یمکن إنکاره وإلیک بعض ما فیه من المشاکل المهمّة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أساس هذا العلم علی بیان ما هو الحجّة فی الفقه وعمدتها الأدلّة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والسنّة والإجماع ودلیل العقل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والحال أنّا لا نری فیه بحثاً مستقلّاً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إلّافی مسائل متفرّقة، کما أنّ البحث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تبدّلت بالبحث عن حجّیة خبر الواحد فقط و عمدة البحث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البحث عن الإجماع المنقول بخبر الواحد، وهکذا البحث عن 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القطعی والظنّی علی</w:t>
      </w:r>
    </w:p>
    <w:p>
      <w:pPr>
        <w:pStyle w:val="BookText"/>
        <w:rPr/>
      </w:pPr>
      <w:r>
        <w:rPr>
          <w:rFonts w:ascii="IRNazanin" w:hAnsi="IRNazanin" w:eastAsia="IRNazanin"/>
          <w:color w:val="111111"/>
          <w:sz w:val="28"/>
          <w:sz w:val="28"/>
          <w:szCs w:val="28"/>
          <w:rtl w:val="true"/>
          <w:lang w:bidi="fa-IR"/>
        </w:rPr>
        <w:t>کثرة مسائله وأهمّیته صار مغفولًا عنه، فتبدّل بالبحث عن حجّیة القطع ومسائل العلم الإجمالی، مع أنّ الفرق بینهما ممّا لا یخفی علی الخبیر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نری خلطاً عجیباً بین کثیرٍ من المسائل العقلیّة التّی نسمّیها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الاستلزامات الحکمیّة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وجوب مقدّمة الواجب، وحرمة مقدّمة الحرام، وبحث الضدّ واجتماع الأمر والنهی، ومسألة النهی عن العبادة أو المعاملة، وبین مباحث الألفاظ، مع أنّها لا تدور مدار الألفاظ أبداً ولیس للألفاظ تأثیرٌ فیها بل هی أبحاث عقلیّة فی الأحکام الشرعیّة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وأخیراً توسّع بعض المسائل غیر اللازمة مع عدم فائدة لها فی الاستنباط وتحصیل الحجّة علی الحکم الشرعی، کالبحث عن اتّحاد الطلب والإرادة ومبحث الانسداد وأمثالهما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خروج عدّة من الأبحاث عن طور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الاصولی الشرعی العقلائی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الدقّی العقلی الفلسفی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صلة له مع العلوم الاعتباریة التشریعیّة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عدّة من المسائل المبحوث عنها فی کتب السابقین مع شدّة الحاجة إلیها فی هذه الأعصار، کالبحث عن دلیل عدم حجّیة القیاس والاستحسان وغیر ذلک من الأدلّة غیر المعتبرة عندنا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وأخیراً اضیفت عدّة من القواعد الفقهیّة إلی علم الاصول مثل قاعدة لا ضرر وقاعدة الید وقاعدتی الفراغ والتجاوز، مع أنّها أجنبیة عن علم الاصول ولابدّ أن یکون البحث عنها فی علم آخر وهو القواعد الفقهیّة وقد جمعناها فی کتابنا الموسوم بنفس هذا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ألقینا جمیع المباحث الاصولیة الدارجة فی الحوزة العلمیّة بقم المقدّسة أربع مرّات وکان حاصل الدورة الأخیرة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فی ثلاثة أجراء وإهتم بجمعها وتقریرها العالم الفاضل المحقّق حجّة الإسلام والمسلمین</w:t>
      </w:r>
    </w:p>
    <w:p>
      <w:pPr>
        <w:pStyle w:val="BookText"/>
        <w:rPr/>
      </w:pPr>
      <w:r>
        <w:rPr>
          <w:rFonts w:ascii="IRNazanin" w:hAnsi="IRNazanin" w:eastAsia="IRNazanin"/>
          <w:color w:val="111111"/>
          <w:sz w:val="28"/>
          <w:sz w:val="28"/>
          <w:szCs w:val="28"/>
          <w:rtl w:val="true"/>
          <w:lang w:bidi="fa-IR"/>
        </w:rPr>
        <w:t>الشیخ أحمد القدسی أدام اللَّه توفیقه وزاد فی تأییده وکان کلّ ذلک تحت إشرافی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ذلک وعدنا فیه تنظیم هذه المسائل بنظم صحیح واسلوب جدید موافق لما هو الألیق والأنسب بهذا العلم، ولذلک کلّه شمّرنا الذیل متوکّلًا علی اللَّه وطالباً منه التوفیق والهدایة للقیام باختیار نظم منطقی صالح لجمیع المسائل الاصولیة وذکر کلّ مسألة فی محلّها اللائق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وذکرنا فی کلّ مسألة الآراء الجدیدة لأکابر هذا العلم، ثم بیان ما هو المختار عندنا مع دلیله، وراعینا ترک الإطناب المملّ والإیجاز المخلّ فی جمیع هذه المباحث، فلیس فی الکتاب نظم جدید بدیع لمسائل اصول الفقه فحسب، بل فیه آراء جدیدة ینحلّ بها کثیرٌ من مشاکل هذا العلم، فصار بحمد اللَّه تعالی ومنّه علی ما یراه القارئ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وختاماً أشکر الفاضل المحقّق الشیخ</w:t>
      </w:r>
    </w:p>
    <w:p>
      <w:pPr>
        <w:pStyle w:val="BookText"/>
        <w:rPr/>
      </w:pPr>
      <w:r>
        <w:rPr>
          <w:rFonts w:ascii="IRNazanin" w:hAnsi="IRNazanin" w:eastAsia="IRNazanin"/>
          <w:color w:val="111111"/>
          <w:sz w:val="28"/>
          <w:sz w:val="28"/>
          <w:szCs w:val="28"/>
          <w:rtl w:val="true"/>
          <w:lang w:bidi="fa-IR"/>
        </w:rPr>
        <w:t>محمّد حسین ساعی فرد</w:t>
      </w:r>
    </w:p>
    <w:p>
      <w:pPr>
        <w:pStyle w:val="BookText"/>
        <w:rPr/>
      </w:pPr>
      <w:r>
        <w:rPr>
          <w:rFonts w:ascii="IRNazanin" w:hAnsi="IRNazanin" w:eastAsia="IRNazanin"/>
          <w:color w:val="111111"/>
          <w:sz w:val="28"/>
          <w:sz w:val="28"/>
          <w:szCs w:val="28"/>
          <w:rtl w:val="true"/>
          <w:lang w:bidi="fa-IR"/>
        </w:rPr>
        <w:t>حیث ساعدنی فی هذه المهمّة وبذل غایة الجهد مدّة مدیدة تقرب ثلاث سنین لإعداد هذا الکتاب وتحقیقه، فشکّر اللَّه سعیه وأجزل أجره ووفّقه لما یحبّ ویرضی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ونسأل اللَّه تعالی أن یجعله لنا ذخراً ولطلاب هذا العلم ذریعةً للوصول إلی مقاصدهم من هذا العلم، وسمّیناه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الوصول إلی مهمّات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هذا طرح جدید لعلم الاصول لعلّه لا یخلو عن بعض الإشکالات فلهذا نرجو من العلماء الأفذاذ أن لا یحرموننا من آرائهم القیّمة فی هذا السبیل لیکون ذخراً لنا ولهم یوم القیامة إن شاء اللَّه والحمد للَّه‌ربّ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IRNazanin" w:hAnsi="IRNazanin" w:eastAsia="IRNazanin"/>
          <w:color w:val="111111"/>
          <w:sz w:val="28"/>
          <w:sz w:val="28"/>
          <w:szCs w:val="28"/>
          <w:rtl w:val="true"/>
          <w:lang w:bidi="fa-IR"/>
        </w:rPr>
        <w:t>ناصر مکارم الشیرازی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محرم‌الحرام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bookmarkStart w:id="10" w:name="pg16918_187242"/>
    </w:p>
    <w:p>
      <w:pPr>
        <w:pStyle w:val="Heading2"/>
        <w:numPr>
          <w:ilvl w:val="1"/>
          <w:numId w:val="1"/>
        </w:numPr>
        <w:rPr/>
      </w:pPr>
      <w:bookmarkStart w:id="11" w:name="__RefHeading___Toc95928_3244359995"/>
      <w:bookmarkStart w:id="12" w:name="_Toc4"/>
      <w:bookmarkEnd w:id="10"/>
      <w:bookmarkEnd w:id="11"/>
      <w:r>
        <w:rPr>
          <w:rtl w:val="true"/>
        </w:rPr>
        <w:t>تقسیم المباحث الاصولیة و ترتیبها علی ما ینبغی</w:t>
      </w:r>
      <w:bookmarkEnd w:id="12"/>
    </w:p>
    <w:p>
      <w:pPr>
        <w:pStyle w:val="BookText"/>
        <w:rPr/>
      </w:pPr>
      <w:r>
        <w:rPr>
          <w:rFonts w:ascii="IRNazanin" w:hAnsi="IRNazanin" w:eastAsia="IRNazanin"/>
          <w:color w:val="111111"/>
          <w:sz w:val="28"/>
          <w:sz w:val="28"/>
          <w:szCs w:val="28"/>
          <w:rtl w:val="true"/>
          <w:lang w:bidi="fa-IR"/>
        </w:rPr>
        <w:t>قد عرفت أنّ علم الاصول وإن کان من أهمّ العلوم الإسلامیّة وله مکانة رفیعة عند علماء المذاهب الإسلامیّة لا سیّما شیعة أهل البیت علیهم السلام وفیها قواعد کثیرة نافعة لاستنباط الأحکام الشرعیّة لا ینال ذلک إلّابمعونتها، إلّاأنّه لیس لها نظام مطلوب وکأنّها عقد درر قد انفصمت خیطاً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کان من الواجب القیام باختیار نظم وترتیب صالح لها، وقد بذلنا جهدنا فی هذا الطریق مستعیناً باللَّه تعالی وهو الهادی إلی سواء السبیل ورتّبناها علی الترتیب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ویبحث فیه عن تعریف علم الاصول وبیان موضوعه وفائدته ومعنی الحجّة وأقسامها وأحکامها وفیه عدّة 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یبحث فیه عن حجّیة کتاب اللَّه سنداً ودلالة وعدم التحریف فیه وحجّیة الظواهر عموماً وحجّیة ظواهره بالخصوص</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یبحث فیه عن السنّة والأخبار الواردة عن الرسول الأعظم صلی الله علیه و آله والأئمّة المعصومین من أهل بیته علیهم السلام وما یکون فیها من الأقسام والعوارض والأحکام، وفی ذیله بحوث هامّة حول الألفاظ الواردة فی الکتاب والسنّة، مثل الأوامر والنواهی، والمشتقّ، ومفهوم الشرط والوصف وغیرهما، والعامّ والخاصّ</w:t>
      </w:r>
    </w:p>
    <w:p>
      <w:pPr>
        <w:pStyle w:val="BookText"/>
        <w:rPr/>
      </w:pPr>
      <w:r>
        <w:rPr>
          <w:rFonts w:ascii="IRNazanin" w:hAnsi="IRNazanin" w:eastAsia="IRNazanin"/>
          <w:color w:val="111111"/>
          <w:sz w:val="28"/>
          <w:sz w:val="28"/>
          <w:szCs w:val="28"/>
          <w:rtl w:val="true"/>
          <w:lang w:bidi="fa-IR"/>
        </w:rPr>
        <w:t>والمطلق والمقیّد، والمجمل والمبیّن؛ لعدم البحث عنها فی کتب اللغة وأمثالها علی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یبحث فیه عن حجّیة الإجماع وما فیه من الأقسام وأدلّة حجّیته بین الشیعة وأهل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یبحث فیه عن دلیل العقل والملازمة بین حکمه وحکم الشرع، والاستلزامات الحکمیّة العقلیّة، مثل الإجزاء ووجوب مقدّمة الواجب وحرمة مقدّمة الحرام، ومسألة الضدّ والترتّب، واجتماع الأمر والنهی، ودلالة النهی فی العبادات علی الفساد وعدمها فی المعاملات، کما یبحث فیه عن الأدلّة العقلیّة الظنّیة، کالقیاس والاستحسان والمصالح المرسلة وما إلی ذلک وبیان ما هو الحقّ فیها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متکفّل للبحث عن الاصول العملیّة الأربعة، وهی البراءة والاشتغال و التخییر والاستصحاب</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الکلام فی مباحث الاجتهاد والتقلید، فإنّها مسألة اصولیّة من بعض الجهات لوقوعها فی طریق کشف الأحکام الشرعیّة للمقلِّدین، وإن کان یعتمد علی دلیل واحد وهو حجّیة قول المجتهد لهم</w:t>
      </w:r>
      <w:r>
        <w:rPr>
          <w:rFonts w:eastAsia="IRNazanin" w:cs="IRNazanin"/>
          <w:color w:val="111111"/>
          <w:sz w:val="28"/>
          <w:szCs w:val="28"/>
          <w:rtl w:val="true"/>
          <w:lang w:bidi="fa-IR"/>
        </w:rPr>
        <w:t>.</w:t>
      </w:r>
      <w:bookmarkStart w:id="13" w:name="pg16918_187244"/>
    </w:p>
    <w:p>
      <w:pPr>
        <w:pStyle w:val="Heading2"/>
        <w:numPr>
          <w:ilvl w:val="1"/>
          <w:numId w:val="1"/>
        </w:numPr>
        <w:rPr/>
      </w:pPr>
      <w:bookmarkStart w:id="14" w:name="__RefHeading___Toc95930_3244359995"/>
      <w:bookmarkStart w:id="15" w:name="_Toc5"/>
      <w:bookmarkEnd w:id="13"/>
      <w:bookmarkEnd w:id="14"/>
      <w:r>
        <w:rPr>
          <w:rtl w:val="true"/>
        </w:rPr>
        <w:t>المدخل</w:t>
      </w:r>
      <w:bookmarkEnd w:id="15"/>
    </w:p>
    <w:p>
      <w:pPr>
        <w:pStyle w:val="Heading3"/>
        <w:numPr>
          <w:ilvl w:val="2"/>
          <w:numId w:val="1"/>
        </w:numPr>
        <w:rPr/>
      </w:pPr>
      <w:bookmarkStart w:id="16" w:name="__RefHeading___Toc95932_3244359995"/>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وهو یشتمل علی امور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علم الاصول وبیان موضوعه وفائدته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الحجّة وأقسامها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حجّیة القطع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حجّیة القطع الحاصل من المقدّمات العقلیّة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أقسام القطع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القطع الطریقی والموضوعی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 حجّیة العلم الإجمالی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أصالة عدم حجّیة الظنّ إلّا ما خرج بالدلیل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کیفیة الجمع بین الحکم الواقعی والظاهری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دعوی حجّیة مطلق الظنّ بدلیل الانسداد</w:t>
      </w:r>
      <w:bookmarkStart w:id="18" w:name="pg16918_187246"/>
    </w:p>
    <w:p>
      <w:pPr>
        <w:pStyle w:val="BookText"/>
        <w:rPr/>
      </w:pPr>
      <w:bookmarkEnd w:id="18"/>
      <w:r>
        <w:rPr>
          <w:rFonts w:ascii="IRNazanin" w:hAnsi="IRNazanin" w:eastAsia="IRNazanin"/>
          <w:color w:val="111111"/>
          <w:sz w:val="28"/>
          <w:sz w:val="28"/>
          <w:szCs w:val="28"/>
          <w:rtl w:val="true"/>
          <w:lang w:bidi="fa-IR"/>
        </w:rPr>
        <w:t>المدخل</w:t>
      </w:r>
    </w:p>
    <w:p>
      <w:pPr>
        <w:pStyle w:val="BookText"/>
        <w:rPr/>
      </w:pPr>
      <w:r>
        <w:rPr>
          <w:rFonts w:ascii="IRNazanin" w:hAnsi="IRNazanin" w:eastAsia="IRNazanin"/>
          <w:color w:val="111111"/>
          <w:sz w:val="28"/>
          <w:sz w:val="28"/>
          <w:szCs w:val="28"/>
          <w:rtl w:val="true"/>
          <w:lang w:bidi="fa-IR"/>
        </w:rPr>
        <w:t>وهو یشتمل علی امور</w:t>
      </w:r>
      <w:r>
        <w:rPr>
          <w:rFonts w:eastAsia="IRNazanin" w:cs="IRNazanin"/>
          <w:color w:val="111111"/>
          <w:sz w:val="28"/>
          <w:szCs w:val="28"/>
          <w:rtl w:val="true"/>
          <w:lang w:bidi="fa-IR"/>
        </w:rPr>
        <w:t>:</w:t>
      </w:r>
    </w:p>
    <w:p>
      <w:pPr>
        <w:pStyle w:val="Heading3"/>
        <w:numPr>
          <w:ilvl w:val="2"/>
          <w:numId w:val="1"/>
        </w:numPr>
        <w:rPr/>
      </w:pPr>
      <w:bookmarkStart w:id="19" w:name="__RefHeading___Toc95934_3244359995"/>
      <w:bookmarkStart w:id="20" w:name="_Toc7"/>
      <w:bookmarkEnd w:id="19"/>
      <w:r>
        <w:rPr/>
        <w:t>1</w:t>
      </w:r>
      <w:r>
        <w:rPr>
          <w:rtl w:val="true"/>
        </w:rPr>
        <w:t xml:space="preserve">. </w:t>
      </w:r>
      <w:r>
        <w:rPr>
          <w:rtl w:val="true"/>
        </w:rPr>
        <w:t>تعریف علم الاصول وبیان موضوعه وفائدته</w:t>
      </w:r>
      <w:bookmarkEnd w:id="20"/>
    </w:p>
    <w:p>
      <w:pPr>
        <w:pStyle w:val="BookText"/>
        <w:rPr/>
      </w:pPr>
      <w:r>
        <w:rPr>
          <w:rFonts w:ascii="IRNazanin" w:hAnsi="IRNazanin" w:eastAsia="IRNazanin"/>
          <w:color w:val="111111"/>
          <w:sz w:val="28"/>
          <w:sz w:val="28"/>
          <w:szCs w:val="28"/>
          <w:rtl w:val="true"/>
          <w:lang w:bidi="fa-IR"/>
        </w:rPr>
        <w:t>قد عرفت أنّه کلّما اتّسع نطاق الفقه من العصر الأوّل ترعرعت فی حجره قواعد کلّیة واصول عامّة یحتاج إلیها الفقیه فی استنباط الأحکام الشرعیّة لتکون دلیلًا وحجّةً له یستند إلیها فی شتّی المجالات الفقهیّة، وهذه الاصول والقواعد وإن لم تکن فی الأهمّیة والشمول علی صعید واحد، إلّاأنّها یجمعها سریانها فی مسائل متعدّدة من أبواب الفقه، فهی کاسس تشیّد أرکانه وتشعّب أغصانه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القواعد وإن کانت بأجمعها تقع فی طریق استنباط الأحکام الشرعیّة، فتمتاز بذلک عن المسائل الفقهیّة الّتی تعطی نتیجتها بأیدی المقلِّدین، إلّاأنّها باعتبار آخر تنقسم إلی قسمین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یشتمل علی حکم کلّی شرعی، تکلیفی أو وضعی، وجودی أو عدمی، وهذا القسم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البحث عنه فی علم یخصّه، علی ما بینّا تفصیله فی محلّه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bookmarkStart w:id="21" w:name="pg16918_187247"/>
    </w:p>
    <w:p>
      <w:pPr>
        <w:pStyle w:val="BookText"/>
        <w:rPr/>
      </w:pPr>
      <w:bookmarkEnd w:id="21"/>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یشتمل علی حکم شرعی، بل یکون ذریعة وحجّة لاستنتاج الأحکام الشرعیّة وتبحث عن هذه القواعد العامّة فی علمنا المبحوث عنه وهو علم اصول الفقه، والقسم الأوّل من القواعد بما أنّها أحکام شرعیّة، لیست بغنیّة عن هذه القواعد الاصولیّة بخلاف العکس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فتبیّن ممّا ذکرناه أنّ علم الاصول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الباحث عن القواعد الّتی تقع فی طریق استنتاج الحکم الکلّی الفرعی الإلهی من دون أن تشتمل بنفسها علی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وموضوعه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خصوص الأدلّة الأربعة، ووحدة الموضوع نتیجة وحدة الغرض عادة؛ فإنّ الغرض المترقّب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القدرة علی استنباط الحکم الشرعی</w:t>
      </w:r>
      <w:r>
        <w:rPr>
          <w:rFonts w:eastAsia="IRNazanin" w:cs="IRNazanin"/>
          <w:color w:val="111111"/>
          <w:sz w:val="28"/>
          <w:szCs w:val="28"/>
          <w:rtl w:val="true"/>
          <w:lang w:bidi="fa-IR"/>
        </w:rPr>
        <w:t>».</w:t>
      </w:r>
    </w:p>
    <w:p>
      <w:pPr>
        <w:pStyle w:val="Heading3"/>
        <w:numPr>
          <w:ilvl w:val="2"/>
          <w:numId w:val="1"/>
        </w:numPr>
        <w:rPr/>
      </w:pPr>
      <w:bookmarkStart w:id="22" w:name="__RefHeading___Toc95936_3244359995"/>
      <w:bookmarkStart w:id="23" w:name="_Toc8"/>
      <w:bookmarkEnd w:id="22"/>
      <w:r>
        <w:rPr/>
        <w:t>2</w:t>
      </w:r>
      <w:r>
        <w:rPr>
          <w:rtl w:val="true"/>
        </w:rPr>
        <w:t xml:space="preserve">. </w:t>
      </w:r>
      <w:r>
        <w:rPr>
          <w:rtl w:val="true"/>
        </w:rPr>
        <w:t>معنی الحجّة وأقسامها</w:t>
      </w:r>
      <w:bookmarkEnd w:id="23"/>
    </w:p>
    <w:p>
      <w:pPr>
        <w:pStyle w:val="BookText"/>
        <w:rPr/>
      </w:pPr>
      <w:r>
        <w:rPr>
          <w:rFonts w:ascii="IRNazanin" w:hAnsi="IRNazanin" w:eastAsia="IRNazanin"/>
          <w:color w:val="111111"/>
          <w:sz w:val="28"/>
          <w:sz w:val="28"/>
          <w:szCs w:val="28"/>
          <w:rtl w:val="true"/>
          <w:lang w:bidi="fa-IR"/>
        </w:rPr>
        <w:t xml:space="preserve">حیث قد عرفت أنّ موضوع علم الاصول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معرفة معنی الحجّة وأقسامها عند الاصولیین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والحجّة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یظفر به علی الخصم، أو ما یقصد به الحقّ المطلوب، وهی اسم من الاحتجاج وترادف الدلیل والبرهان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اصطلاح أهل المنطق تطلق علی الوسط الذی یستدلّ به علی ثبوت الأکبر للأصغر، وقد تطلق علی مجموع القضیّة بنتیجتها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الاصولیون، فعرّفوها بما یکون منجّزاً للواقع وقاطعاً لعذر المکلّف عند الشارع فی صورة الإصابة فی جمیع الحجج الذاتیة کالقطع، والعرضیة کخبر الواحد</w:t>
      </w:r>
    </w:p>
    <w:p>
      <w:pPr>
        <w:pStyle w:val="BookText"/>
        <w:rPr/>
      </w:pPr>
      <w:r>
        <w:rPr>
          <w:rFonts w:ascii="IRNazanin" w:hAnsi="IRNazanin" w:eastAsia="IRNazanin"/>
          <w:color w:val="111111"/>
          <w:sz w:val="28"/>
          <w:sz w:val="28"/>
          <w:szCs w:val="28"/>
          <w:rtl w:val="true"/>
          <w:lang w:bidi="fa-IR"/>
        </w:rPr>
        <w:t>ویکون عذراً له فی صورة الخطأ، فعند الإصابة تکون عین الواقع وعند الخطأ تکون عذراً للمکلّف عند اللَّه تعالی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تنقسم إلی أقسام 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یکون له کشف تامّ عن الواقع، وهو حجّة بذاته فلا تنالها ید الجعل نفیاً وإثباتاً وهو منحصر فی القطع والیقین؛ لأنّه یکون بنفسه طریقاً إلی الواقع وکاشفاً عنه بالکشف التامّ بنحو لا یمکن تخلّفه عن الواقع عند القاطع، ومبادؤه هی البدیهیات والفطریات والمتواترات وما شابهها من النظریات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ومنشأ حجّیته هو الطریقیّة التامّة إلی الواقع والکاشفیّة عنه من غیر احتمال الخطأ فی نظر القاطع، بل لا یری القاطع إلّاالواقع ولا یری قطعه فی البین، فهو کالناظر إلی المرآة الذی یری فیها نفسه، وأمّا المرآة فهی مغفول عنها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لوازمها الذاتیة، المنجّزیة، فهی تنجّز الواقع بجمیع خصوصیّاته فیکون قاطعاً للعذر وقد یعبّر عنها بوجوب المتابعة ولزوم الجری علی وفقها، فإنّ ما تنکشف به لیس إلّانفس الواقع، ومن لوازمها أیضاً صحّة الإخبار به جزماً لأنّه فی وعائه لیس إلّانفس الواقع بجمیع ما له من الحقّانیة، وبذلک یظهر أنّ حجّیة کلّ حجّة عرضیة مجعولة لابدّ وأن تنتهی إلی العلم والقطع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یکون له کاشفیّة ناقصة مقبولة شرعاً، وهو حجّة بالعرض وجعل الشارع المقدّس أو العقلاء، فیکون منجّزاً للواقع أیضاً باعتبار طریقیته الناقصة إلیه والکاشفیّة عنه فی صورة الإصابة، إلّاأنّه لإمکان تخلّفه عن الواقع یحتاج إلی جعل المعذّریة له أو إستدراک تفویت مصلحة الواقع وجعل حکم مماثل لمؤدّاه من قبل الشارع</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ومنشأ حجّیة هذا القسم نفس الطریقیّة والکاشفیّة بضمیمة جعل الشارع، وعلیه فلازمه القهری فی صورة الإصابة هو تنجّز الواقع للمکلّف وفی صورة الخطأ یکون</w:t>
      </w:r>
    </w:p>
    <w:p>
      <w:pPr>
        <w:pStyle w:val="BookText"/>
        <w:rPr/>
      </w:pPr>
      <w:r>
        <w:rPr>
          <w:rFonts w:ascii="IRNazanin" w:hAnsi="IRNazanin" w:eastAsia="IRNazanin"/>
          <w:color w:val="111111"/>
          <w:sz w:val="28"/>
          <w:sz w:val="28"/>
          <w:szCs w:val="28"/>
          <w:rtl w:val="true"/>
          <w:lang w:bidi="fa-IR"/>
        </w:rPr>
        <w:t>عذراً له أو یتدارک به مصلحة الواقع بسلوک هذا الطریق المجعول من قبل الشارع تسهیلًا علی المکلّفین أو لمصلحة اخری، فإنّه لا یمکن تفویت الواقع بلا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وجمیع الأمارات الظنیة بشرط العلم باعتبارها من قبل الشارع تأسیساً أو إمضاءً تکون من هذا القسم وبذلک یجوز التعبّد بها ویصحّ إسناد مؤدّاها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یکون ناظراً إلی رفع التحیّر فی مقام العمل ولیس له لسان الکشف عن الواقع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ولذلک إنّ المقنّن یری أنّ تحدید الإلزامیات فی الأهمّ من أغراضه أولی لتحصیلها من الإلزامات الکثیرة الخارجة عن وسع الناس، وعلیه تحمیل الإلزامات المحتملة والمشکوکة بما لها من السعة والکثرة علی عاتق المکلّف أمر مرغوب عنه عند الشارع المقنّن ویکون موجباً لمفسدة تفویت أغراضه الأصلیة الّتی لا یرتضیها نفسه، والحکم بالبراءة عن هذه التکالیف بعد الفحص یکون أقرب إلی الواقع وأهدافه من الحکم بوجوب کثیر من الأحکام غیر الإلزامیّة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الحکم ببقاء المتیقّن السابق مع الشکّ فی زواله یکون أقرب إلی الواقع من الحکم بالزوال وعدم 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فی صورة إحراز التکلیف واشتغال الذمّة یکون الحکم بلزوم الاحتیاط بإتیان ما یمکن معه الجزم بفراغ الذمّة یکون أقرب إلی الواقع من ترک التکلیف ولو بالمخالفة الاحتمالیة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بالنسبة إلی التخییر فانّ التخییر بین ما یحتمل واقعیة أحد طرفیه والإتیان بأحدهما علی وجه التخییر أقرب إلی الواقع من ترکهما رأساً وإتیان ما یعلم معه بالمخالفة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لا مناص من الإذعان بهذا الحدّ من الواقعیّة فیها فإنّ الاصول إن لم تکن فیها هذا المقدار من الطریقیّة إلی الواقع فاللازم علی العقلاء والشارع ترک العمل بها، والرجوع إلی التخییر وأمثاله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طریقیّة الأمارات تفارق الاصول من جهة أنّ الأمارات طریق إلی نفس الحکم، والاصول طریق إلی روح الحکم وحفظ أغراض المولی فیما لم یقم طریق إلیه بالخصوص، فإنّ الاستصحاب مثلًا یصیب الواقع فی سبعین فی المائة من الأحکام وکذا البراءة، والاحتیاط یصیبه فی تسعین فی المائة والتخییر فی خمسین فی المائة</w:t>
      </w:r>
    </w:p>
    <w:p>
      <w:pPr>
        <w:pStyle w:val="BookText"/>
        <w:rPr/>
      </w:pPr>
      <w:r>
        <w:rPr>
          <w:rFonts w:ascii="IRNazanin" w:hAnsi="IRNazanin" w:eastAsia="IRNazanin"/>
          <w:color w:val="111111"/>
          <w:sz w:val="28"/>
          <w:sz w:val="28"/>
          <w:szCs w:val="28"/>
          <w:rtl w:val="true"/>
          <w:lang w:bidi="fa-IR"/>
        </w:rPr>
        <w:t>وحجّیة هذا القسم کسابقه عرضیّة وهو حجّة مجعولة لمن لم یقم عنده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الأصل فی التکالیف الّتی یرید الموالی والحکّام إمتثالها من العبید والرعایا أن یبیّنوها لهم ومع عدم وصول الدلیل إلیهم بعد الفحص عنه فالبراءة عن التکلیف تکون أقرب إلی الواقع من إثبات التکلیف غیر الواصل؛ لأنّ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فقل کلّ مقنّن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أحکام إلزامیّة وغرضه یحصل بتحقّق هذه الإلزامیات، وأمّا ما عداها من الأحکام فلیس له فیها إلزام لمحدودیة قدرة العبید والمکلّفین فی تحمّل التکالیف</w:t>
      </w:r>
      <w:r>
        <w:rPr>
          <w:rFonts w:eastAsia="IRNazanin" w:cs="IRNazanin"/>
          <w:color w:val="111111"/>
          <w:sz w:val="28"/>
          <w:szCs w:val="28"/>
          <w:rtl w:val="true"/>
          <w:lang w:bidi="fa-IR"/>
        </w:rPr>
        <w:t>.</w:t>
      </w:r>
      <w:bookmarkStart w:id="24" w:name="pg16918_187250"/>
    </w:p>
    <w:p>
      <w:pPr>
        <w:pStyle w:val="BookText"/>
        <w:rPr/>
      </w:pPr>
      <w:bookmarkEnd w:id="24"/>
      <w:r>
        <w:rPr>
          <w:rFonts w:ascii="IRNazanin" w:hAnsi="IRNazanin" w:eastAsia="IRNazanin"/>
          <w:color w:val="111111"/>
          <w:sz w:val="28"/>
          <w:sz w:val="28"/>
          <w:szCs w:val="28"/>
          <w:rtl w:val="true"/>
          <w:lang w:bidi="fa-IR"/>
        </w:rPr>
        <w:t>طریق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أیضاً منجّز للواقع عند الإصابة ومعذّر عند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ویعبّر عن هذا القسم من الحجج بالأدلّة الفقاهتیّة والاصول العملیّة وهی محصورة بالحصر العقلی فی البراءة والاشتغال والتخییر والاستصحاب، کما سیأتی بیان ذلک إن شاء اللَّه تعالی</w:t>
      </w:r>
      <w:r>
        <w:rPr>
          <w:rFonts w:eastAsia="IRNazanin" w:cs="IRNazanin"/>
          <w:color w:val="111111"/>
          <w:sz w:val="28"/>
          <w:szCs w:val="28"/>
          <w:rtl w:val="true"/>
          <w:lang w:bidi="fa-IR"/>
        </w:rPr>
        <w:t>.</w:t>
      </w:r>
    </w:p>
    <w:p>
      <w:pPr>
        <w:pStyle w:val="Heading3"/>
        <w:numPr>
          <w:ilvl w:val="2"/>
          <w:numId w:val="1"/>
        </w:numPr>
        <w:rPr/>
      </w:pPr>
      <w:bookmarkStart w:id="25" w:name="__RefHeading___Toc95938_3244359995"/>
      <w:bookmarkStart w:id="26" w:name="_Toc9"/>
      <w:bookmarkEnd w:id="25"/>
      <w:r>
        <w:rPr/>
        <w:t>3</w:t>
      </w:r>
      <w:r>
        <w:rPr>
          <w:rtl w:val="true"/>
        </w:rPr>
        <w:t xml:space="preserve">. </w:t>
      </w:r>
      <w:r>
        <w:rPr>
          <w:rtl w:val="true"/>
        </w:rPr>
        <w:t>حجّیة القطع</w:t>
      </w:r>
      <w:bookmarkEnd w:id="26"/>
    </w:p>
    <w:p>
      <w:pPr>
        <w:pStyle w:val="BookText"/>
        <w:rPr/>
      </w:pPr>
      <w:r>
        <w:rPr>
          <w:rFonts w:ascii="IRNazanin" w:hAnsi="IRNazanin" w:eastAsia="IRNazanin"/>
          <w:color w:val="111111"/>
          <w:sz w:val="28"/>
          <w:sz w:val="28"/>
          <w:szCs w:val="28"/>
          <w:rtl w:val="true"/>
          <w:lang w:bidi="fa-IR"/>
        </w:rPr>
        <w:t>قد اشتهر فی ألسنة الاصولیین أنّ القطع حجّة ذاتیّة، وهو کذلک إن ارید منه العلم والقطع العقلی علی ما مرّ، وإن ارید منه القطع العرفی المعبّر عنه بالإطمئنان والظنّ القوی المتاخم للعلم الذی لا ینافی وجود احتمال الخلاف، الموجود فی أکثر الآراء والنظریات الّتی لا تنتهی إلی البدیهیات و شبهها فحجّیته تحتاج إلی جعل الجاعل ولیست حجّیته ذاتیّة، وأکثر ما نسمّیه قطعاً من هذا القبیل؛ لأنّ کلّ إنسان یحتمل خطأه فی بعض ما یقطع به إجمالًا من آرائه، وکیف یجتمع العلم التفصیلی فی کلّ واحد من هذه الآراء مع احتمال الخطأ فی بعضها إجمالًا، وهل تجتمع الموجبة الکلّیة مع السالبة الجزئیّة؟</w:t>
      </w:r>
    </w:p>
    <w:p>
      <w:pPr>
        <w:pStyle w:val="BookText"/>
        <w:rPr/>
      </w:pPr>
      <w:r>
        <w:rPr>
          <w:rFonts w:ascii="IRNazanin" w:hAnsi="IRNazanin" w:eastAsia="IRNazanin"/>
          <w:color w:val="111111"/>
          <w:sz w:val="28"/>
          <w:sz w:val="28"/>
          <w:szCs w:val="28"/>
          <w:rtl w:val="true"/>
          <w:lang w:bidi="fa-IR"/>
        </w:rPr>
        <w:t>وهذا دلیل علی أنّ ما نسمّیه قطعاً فی کثیر من المسائل فهو فی الحقیقة من قبیل الإطمئنان لا القطع الحقیقی الذی ینتهی عند التحلیل العقلی إلی الضروریات والبدیهیات ولا یجتمع مع احتمال الخطأ أبداً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مثل هذا النوع من القطع العرفی تکون الحجّیة دائرة مدار جعل الشارع أو</w:t>
      </w:r>
      <w:bookmarkStart w:id="27" w:name="pg16918_187251"/>
    </w:p>
    <w:p>
      <w:pPr>
        <w:pStyle w:val="BookText"/>
        <w:rPr/>
      </w:pPr>
      <w:bookmarkEnd w:id="27"/>
      <w:r>
        <w:rPr>
          <w:rFonts w:ascii="IRNazanin" w:hAnsi="IRNazanin" w:eastAsia="IRNazanin"/>
          <w:color w:val="111111"/>
          <w:sz w:val="28"/>
          <w:sz w:val="28"/>
          <w:szCs w:val="28"/>
          <w:rtl w:val="true"/>
          <w:lang w:bidi="fa-IR"/>
        </w:rPr>
        <w:t>استقرار بناء العقلاء وعدم الردع من الشارع، وهو کذلک، والحاصل أنّه فرق بین القطع الیقینی والقطع العرفی الإطمئنانی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حیث لا یری القاطع قطعه، بل یعمل بقطعه ویرتّب علیه آثاره من باب وصوله إلی الواقع، ولا یمکن ردعه حین قطعه عمّا قطع به ولو کان مخالفاً للواقع، إلّاأنّه یمکن سلب الحجّیة عنه بالنسبة إلی ما بعد زوال القطع، لأنّ قطعه فی الحقیقة لم یکن إلّاجهلًا مرکّباً، فلو نشأ قطعه من غیر الطرق المعتبرة العقلائیّة والشرعیّة، فیمکن سلب المعذّریة عنه والحکم بعدم إجزائه عن التکلیف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حجّیة للقطع الحاصل من طریق القیاس أو الرمل والاسطرلاب، فهذا القطع لیس عذراً للقاطع بعد ظهور الخطأ فیصحّ مؤاخذته علی تفویت مصلحة الواقع بسوء اختیاره فی مقدّمات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یظهر أنّ قطع الوسواسی </w:t>
      </w:r>
      <w:r>
        <w:rPr>
          <w:rStyle w:val="FootnoteAnchor"/>
          <w:rtl w:val="true"/>
        </w:rPr>
        <w:footnoteReference w:id="5"/>
      </w:r>
      <w:r>
        <w:rPr>
          <w:rFonts w:ascii="IRNazanin" w:hAnsi="IRNazanin" w:eastAsia="IRNazanin"/>
          <w:color w:val="111111"/>
          <w:sz w:val="28"/>
          <w:sz w:val="28"/>
          <w:szCs w:val="28"/>
          <w:rtl w:val="true"/>
          <w:lang w:bidi="fa-IR"/>
        </w:rPr>
        <w:t>والقطّاع فی القطع العرفی المسمّی بالإطمئنان الذی قد مرّ أنّه الغالب فی العلوم والآراء العلمیّة یمکن النهی عنه وسلب الحجّیة عنه، فالقطّاع وإن کان فی حالة قطعه لا یمکن نهیه وسلب الحجّیة عن قطعه، إلّاأنّه بالنسبة إلی ما بعد زوال القطع فلا إشکال فی إمکان نهیه عن ترتیب الآثار علی قطعه وأمره بقضاء ما لم یأت به، لقطعه بعدم وجوبه أو عدم حصول شرائط الوجوب مثلًا، کما أنّه یمکن نهیه عن التصدّی للمقدّمات الّتی یحصل له منها القطع</w:t>
      </w:r>
      <w:r>
        <w:rPr>
          <w:rFonts w:eastAsia="IRNazanin" w:cs="IRNazanin"/>
          <w:color w:val="111111"/>
          <w:sz w:val="28"/>
          <w:szCs w:val="28"/>
          <w:rtl w:val="true"/>
          <w:lang w:bidi="fa-IR"/>
        </w:rPr>
        <w:t>.</w:t>
      </w:r>
    </w:p>
    <w:p>
      <w:pPr>
        <w:pStyle w:val="Heading3"/>
        <w:numPr>
          <w:ilvl w:val="2"/>
          <w:numId w:val="1"/>
        </w:numPr>
        <w:rPr/>
      </w:pPr>
      <w:bookmarkStart w:id="28" w:name="__RefHeading___Toc95940_3244359995"/>
      <w:bookmarkStart w:id="29" w:name="_Toc10"/>
      <w:bookmarkEnd w:id="28"/>
      <w:r>
        <w:rPr/>
        <w:t>4</w:t>
      </w:r>
      <w:r>
        <w:rPr>
          <w:rtl w:val="true"/>
        </w:rPr>
        <w:t xml:space="preserve">. </w:t>
      </w:r>
      <w:r>
        <w:rPr>
          <w:rtl w:val="true"/>
        </w:rPr>
        <w:t>حجّیة القطع الحاصل من المقدّمات العقلیّة</w:t>
      </w:r>
      <w:bookmarkEnd w:id="29"/>
    </w:p>
    <w:p>
      <w:pPr>
        <w:pStyle w:val="Heading4"/>
        <w:numPr>
          <w:ilvl w:val="3"/>
          <w:numId w:val="1"/>
        </w:numPr>
        <w:rPr/>
      </w:pPr>
      <w:bookmarkStart w:id="30" w:name="__RefHeading___Toc95942_3244359995"/>
      <w:bookmarkStart w:id="31" w:name="_Toc11"/>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قد تبیّن ممّا تقدّم أنّ حجّیة العلم والقطع ذاتیة، ولکن ذهب الأخباریون إلی إنکار حجّیة القطع الحاصل من المقدّمات العقلیّة والذی یظهر من کلماتهم یتلخّص فی عدّة جهات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 عدم حصول القطع من المقدّمات العقلیّة</w:t>
      </w:r>
      <w:r>
        <w:rPr>
          <w:rFonts w:eastAsia="IRNazanin" w:cs="IRNazanin"/>
          <w:color w:val="111111"/>
          <w:sz w:val="28"/>
          <w:szCs w:val="28"/>
          <w:rtl w:val="true"/>
          <w:lang w:bidi="fa-IR"/>
        </w:rPr>
        <w:t>.</w:t>
      </w:r>
      <w:bookmarkStart w:id="32" w:name="pg16918_187252"/>
    </w:p>
    <w:p>
      <w:pPr>
        <w:pStyle w:val="BookText"/>
        <w:rPr/>
      </w:pPr>
      <w:bookmarkEnd w:id="32"/>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الشارع عن الرجوع إلیها وإن حصل منها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الملازمة بین حکم العقل والشرع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الأخیرة؛ من عدم الملازمة بین حکم العقل والشرع فالبحث عنها موکول إلی البحث عن دلیل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البحث هنا حول الجهتین الاولیین</w:t>
      </w:r>
      <w:r>
        <w:rPr>
          <w:rFonts w:eastAsia="IRNazanin" w:cs="IRNazanin"/>
          <w:color w:val="111111"/>
          <w:sz w:val="28"/>
          <w:szCs w:val="28"/>
          <w:rtl w:val="true"/>
          <w:lang w:bidi="fa-IR"/>
        </w:rPr>
        <w:t>:</w:t>
      </w:r>
    </w:p>
    <w:p>
      <w:pPr>
        <w:pStyle w:val="Heading4"/>
        <w:numPr>
          <w:ilvl w:val="3"/>
          <w:numId w:val="1"/>
        </w:numPr>
        <w:rPr/>
      </w:pPr>
      <w:bookmarkStart w:id="33" w:name="__RefHeading___Toc95944_3244359995"/>
      <w:bookmarkStart w:id="34" w:name="_Toc12"/>
      <w:bookmarkEnd w:id="33"/>
      <w:r>
        <w:rPr>
          <w:rtl w:val="true"/>
        </w:rPr>
        <w:t>الجهة الاولی</w:t>
      </w:r>
      <w:r>
        <w:rPr>
          <w:rtl w:val="true"/>
        </w:rPr>
        <w:t xml:space="preserve">: </w:t>
      </w:r>
      <w:r>
        <w:rPr>
          <w:rtl w:val="true"/>
        </w:rPr>
        <w:t>دعوی عدم حصول القطع من المقدّمات العقلیّة</w:t>
      </w:r>
      <w:bookmarkEnd w:id="34"/>
    </w:p>
    <w:p>
      <w:pPr>
        <w:pStyle w:val="BookText"/>
        <w:rPr/>
      </w:pPr>
      <w:r>
        <w:rPr>
          <w:rFonts w:ascii="IRNazanin" w:hAnsi="IRNazanin" w:eastAsia="IRNazanin"/>
          <w:color w:val="111111"/>
          <w:sz w:val="28"/>
          <w:sz w:val="28"/>
          <w:szCs w:val="28"/>
          <w:rtl w:val="true"/>
          <w:lang w:bidi="fa-IR"/>
        </w:rPr>
        <w:t>إستدلّ المحدّث الإسترآبادی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الفرقة الأخباریة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حصول القطع من المقدّمات العقلیّة بأنّ العلوم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ینتهی إلی الحسّ کالعلوم التجریبیة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ینتهی إلی مادّة قریبة من الإحساس، کعلم الهندسة والحساب وأکثر أبواب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ینتهی إلی مادّة بعیدة عن الإحساس، ومن هذا القسم الحکمة الإلهیّة والطبیعیة وعلم الکلام وعلم اصول الفقه والمسائل النظریة الفقهیّة وبعض القواعد المذکورة فی کتب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المعلوم عدم وقوع الخلاف بین العلماء أو الخطأ فی نتائج الأفکار فی القسمین الأوّلین، بخلاف القسم الثالث حیث وقعت الاختلافات والمشاجرات الکثیرة بین الفلاسفة فی الحکمة الإلهیّة والطبیعیة وبین علماء الإسلام فی اصول الفقه ومسائل الفقه وعلم الکلام وغیر ذلک، والسبب فی ذلک بُعد هذه العلوم عن الإحساس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کلامه تنتهی إلی أنّ العلم الإجمالی بوقوع الخطأ فی هذا القسم مانع عن حصول القطع فی مسائله، لأنّ الموجبة الکلّیة لا تجتمع مع السالبة الجزئیّة، وهذا</w:t>
      </w:r>
      <w:bookmarkStart w:id="35" w:name="pg16918_187253"/>
    </w:p>
    <w:p>
      <w:pPr>
        <w:pStyle w:val="BookText"/>
        <w:rPr/>
      </w:pPr>
      <w:bookmarkEnd w:id="35"/>
      <w:r>
        <w:rPr>
          <w:rFonts w:ascii="IRNazanin" w:hAnsi="IRNazanin" w:eastAsia="IRNazanin"/>
          <w:color w:val="111111"/>
          <w:sz w:val="28"/>
          <w:sz w:val="28"/>
          <w:szCs w:val="28"/>
          <w:rtl w:val="true"/>
          <w:lang w:bidi="fa-IR"/>
        </w:rPr>
        <w:t>یقتضی أن یتبدّل علمنا التفصیلی بکلّ واحد من تلک المسائل إلی الظنّ ویرجع هذا إلی عدم حجّیة إدراکات العقل فی غیر المحسوسات وما تکون مبادؤه قریبة من الإحساس، فلا یمکن الاستدلال فی هذه العلوم إلّابالأدلّة 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ذهب إلیه من عدم وقوع الخطأ فی الحسیّات وما ینتهی إلی مادّة قریبة من الإحساس ممنوع بالوجدان لوقوع الخطأ الکثیر فی المحسوسات أیضاً، وهکذا فی الریاضیات، فقد یقع فیها الخطأ فینکشف الخلاف مثلًا فی المحاسبات وإن لم یظهر الخطأ فی قواعده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کلامه یوجب بطلان نفسه، لأنّ استدلاله لیس من الحسّیات ولا من الریاضیات بل داخل فی القسم الثالث الذی لا یحصل القطع فیه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ینتقض بوقوع الاختلاف الکثیر بین الذین لا یعتمدون إلّاعلی الأدلّة النقلیّة، فإنّ الأخباریین مثلًا کثیراً ما یختلفون فی فهم المراد من نفس الأدلّة 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عزل العقل عن الإدراک والحجّیة بالمرّة فی غیر المحسوسات والریاضیات یوجب سدّ باب إثبات الصانع وسائر الاصول الاعتقادیة، وإثباتها بالأدلّة النقلیّة دور محال</w:t>
      </w:r>
      <w:r>
        <w:rPr>
          <w:rFonts w:eastAsia="IRNazanin" w:cs="IRNazanin"/>
          <w:color w:val="111111"/>
          <w:sz w:val="28"/>
          <w:szCs w:val="28"/>
          <w:rtl w:val="true"/>
          <w:lang w:bidi="fa-IR"/>
        </w:rPr>
        <w:t>.</w:t>
      </w:r>
    </w:p>
    <w:p>
      <w:pPr>
        <w:pStyle w:val="Heading4"/>
        <w:numPr>
          <w:ilvl w:val="3"/>
          <w:numId w:val="1"/>
        </w:numPr>
        <w:rPr/>
      </w:pPr>
      <w:bookmarkStart w:id="36" w:name="__RefHeading___Toc95946_3244359995"/>
      <w:bookmarkStart w:id="37" w:name="_Toc13"/>
      <w:bookmarkEnd w:id="36"/>
      <w:r>
        <w:rPr>
          <w:rtl w:val="true"/>
        </w:rPr>
        <w:t>الجهة الثانیة</w:t>
      </w:r>
      <w:r>
        <w:rPr>
          <w:rtl w:val="true"/>
        </w:rPr>
        <w:t xml:space="preserve">: </w:t>
      </w:r>
      <w:r>
        <w:rPr>
          <w:rtl w:val="true"/>
        </w:rPr>
        <w:t>عدم حجّیة القطع الحاصل من المقدّمات العقلیّة</w:t>
      </w:r>
      <w:bookmarkEnd w:id="37"/>
    </w:p>
    <w:p>
      <w:pPr>
        <w:pStyle w:val="BookText"/>
        <w:rPr/>
      </w:pPr>
      <w:r>
        <w:rPr>
          <w:rFonts w:ascii="IRNazanin" w:hAnsi="IRNazanin" w:eastAsia="IRNazanin"/>
          <w:color w:val="111111"/>
          <w:sz w:val="28"/>
          <w:sz w:val="28"/>
          <w:szCs w:val="28"/>
          <w:rtl w:val="true"/>
          <w:lang w:bidi="fa-IR"/>
        </w:rPr>
        <w:t>وقد یستدّل علی عدم حجّیة حکم العقل والقطع الحاصل منه بطوائف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تنهی عن العمل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روی عن أبی جعفر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أفتی الناس برأیه فقد دان اللَّه بما لا یعلم، ومَن دان اللَّه بما لا یعلم فقد ضادّ اللَّه حیث أحلّ وحرّم فیما لا یعلم</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وما رواه غیاث بن إبراهیم، عن الصادق عن آبائه</w:t>
      </w:r>
    </w:p>
    <w:p>
      <w:pPr>
        <w:pStyle w:val="BookText"/>
        <w:rPr/>
      </w:pPr>
      <w:r>
        <w:rPr>
          <w:rFonts w:ascii="IRNazanin" w:hAnsi="IRNazanin" w:eastAsia="IRNazanin"/>
          <w:color w:val="111111"/>
          <w:sz w:val="28"/>
          <w:sz w:val="28"/>
          <w:szCs w:val="28"/>
          <w:rtl w:val="true"/>
          <w:lang w:bidi="fa-IR"/>
        </w:rPr>
        <w:t>عن أمیرالمؤمنین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المؤمن أخذ دینه عن ربّه ولم یأخذه عن رأیه</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وما رواه أبو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علینا أشیاء لا نجدها فی الکتاب والسنّة فنقول فیها برأینا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إنّک إن أصبت لم تؤجر وإن أخطأت کذبت علی اللَّه</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خروجها عن محلّ النزاع أی القطع الحاصل من المقدّمات العقلیّة؛ لأنّها ناظرة إمّا إلی مقابلتهم الأئمّة علیهم السلام والاستغناء عن مسألتهم، ویشهد له مثل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تکوننّ مبتدعاً، من نظر برأیه هلک، ومَن ترک أهل بیت نبیّه ضلّ، ومَن ترک کتاب اللَّه وقول نبیّه کفر</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وإمّا إلی الآراء والقیاسات الظنّیة کما تشهد علیه ما مرّ عن أبی جعفر علیه السلام حیث ورد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دان اللَّه بما لا یعلم فقد ضادّ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ففسّر الرأی فیها بما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لاحظ تاریخ فقه العامّة یری أنّهم کانوا یعتقدون فی الفقه بوجود فراغ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لما ذهب إلیه علماؤنا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فیتوهّمون أنّ هناک مسائل لم یبیّن حکمها فی الکتاب والسنّة ولم یرد فیها نصّ، ویعبّرون عنها بما لا نصّ فیه فیتمسّکون فیها أوّلًا بذیل القیاس إن وجدوا لها شبیهاً ونظیراً فی الفقه، وإلّا یلتجئون إلی الاستحسان والاجتهاد بمعنی جعل القوانین وفقاً لآرائهم الظنّیة، وهذا هو المقصود من الرأی الوارد فی هذه الطائفة من الروایات فهی ناظرة إلی هذا المعنی بحسب الحقیقة، وفی ضوء هذه النکتة التاریخیّة یتّضح المراد من هذه الأخبار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ویشهد له أیضاً ترادف الآراء بالمقاییس فی لسان الروایات، فمن المسلّم أنّ المقصود من القیاس لیس هو قیاس الأولویّة الذی یکون قطعیاً، بل المراد منه</w:t>
      </w:r>
    </w:p>
    <w:p>
      <w:pPr>
        <w:pStyle w:val="BookText"/>
        <w:rPr/>
      </w:pPr>
      <w:r>
        <w:rPr>
          <w:rFonts w:ascii="IRNazanin" w:hAnsi="IRNazanin" w:eastAsia="IRNazanin"/>
          <w:color w:val="111111"/>
          <w:sz w:val="28"/>
          <w:sz w:val="28"/>
          <w:szCs w:val="28"/>
          <w:rtl w:val="true"/>
          <w:lang w:bidi="fa-IR"/>
        </w:rPr>
        <w:t>القیاس الظنّی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غایة بعد العقول عن دین اللَّه کقول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أبعد مِن عقول الرجال عن القرآن</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وما روی عن أبی جعفر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أبعد من عقول الرجال من تفسیر القرآن، أنّ الآیة ینزل أوّلها فی شی‌ء، وأوسطها فی شی‌ء، وآخرها فی شی‌ء</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 هو الجواب عن الطائفة الاولی من أنّها ناظرة إلی الآراء الظنّیة أو ناظرة إلی ترک أهل بیت النّبی صلی الله علیه و آله، کما یشهد له ما رواه إسماعیل بن جابر، عن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هلک الناس فی المتشابه لأنّهم لم یقفوا علی معناه ولم یعرفوا حقیقته، فوضعوا له تأویلًا من عند أنفسهم بآرائهم، واستغنوا بذلک عن مسألة الأوصیاء، ونبذوا قول رسول اللَّه صلی الله علیه و آله وراء ظهورهم</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انحصار الحجّة الشرعیّة بالنقل مثل ما روی عن أمیرالمؤمنین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دینه مِن أفواه الرجال أزالته الرجال، ومَن أخذ دینه مِن الکتاب والسنّة زالت الجبال ولم یزل</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روی عن حریز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أبا حنیفة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لا تقول شیئاً إلّابروایة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فهو یدلّ علی أنّ مثل حریز الذی کان من کبار أصحاب الصادق علیه السلام وخواصّهم لا یقول شیئاً إلّابروایة ولا حجّة عنده إلّاالروایة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عنها أیضاً، هو الجواب عن الطائفتین السابقتین، فلابدّ من ملاحظة خصوصیّات تلک الأعصار حتّی یثبت لنا أنّ مراد أبی حنیفة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لا تقول شیئاً إلّابروایة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اعتناء حریز بالقیاس والاستحسان، حیث إنّه لا ریب فی أنّ</w:t>
      </w:r>
      <w:bookmarkStart w:id="38" w:name="pg16918_187256"/>
    </w:p>
    <w:p>
      <w:pPr>
        <w:pStyle w:val="BookText"/>
        <w:rPr/>
      </w:pPr>
      <w:bookmarkEnd w:id="38"/>
      <w:r>
        <w:rPr>
          <w:rFonts w:ascii="IRNazanin" w:hAnsi="IRNazanin" w:eastAsia="IRNazanin"/>
          <w:color w:val="111111"/>
          <w:sz w:val="28"/>
          <w:sz w:val="28"/>
          <w:szCs w:val="28"/>
          <w:rtl w:val="true"/>
          <w:lang w:bidi="fa-IR"/>
        </w:rPr>
        <w:t>حریز أیضاً کان یعمل بحکم العقل فی تقدیم الأهمّ علی المهمّ مثلًا، کما أنّ المراد من أخذ الدین من أفواه الرجال أیضاً لیس إلّاأخذه من القیاسات الظنّیة والاستحسانات غیر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کلّه، ورود روایات کثیرة تدلّ علی حجّیة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هشام بن الحکم، عن أبی عبداللَّه علیه السلام فی حدیث 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یاهشام أنّ للَّه علی الناس حجّتین حجّة ظاهرة وحجّة باطنة، فأمّا الظاهرة فالرسل والأنبیاء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الباطنة فالعقول</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مسلم، عن أبی جعفر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العقل استنطقه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 أدبر فأدبر،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وعزّتی وجلالی ما خلقت خلقاً هو أحبّ إلیّ منک ولا أکملتک إلّافیمن أُحبّ، اما أنّی إیّاک آمر وإیّاک أنهی وإیّاک اعاقب وإیّاک اثیب</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أضف إلی ذلک أیضاً لحن خطابات القرآن، حیث إنّها متوجّهة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آیات القرآن الکریم ما یقرب من سبعین آیة کلّها تدلّ علی اعتناء القرآن بشأن العقل والإدراکات العقلیّة، وهی من أقوی الأدلّة علی إثبات حجّیة العقل وإدراکاته الیقینیّة</w:t>
      </w:r>
      <w:r>
        <w:rPr>
          <w:rFonts w:eastAsia="IRNazanin" w:cs="IRNazanin"/>
          <w:color w:val="111111"/>
          <w:sz w:val="28"/>
          <w:szCs w:val="28"/>
          <w:rtl w:val="true"/>
          <w:lang w:bidi="fa-IR"/>
        </w:rPr>
        <w:t>.</w:t>
      </w:r>
    </w:p>
    <w:p>
      <w:pPr>
        <w:pStyle w:val="Heading3"/>
        <w:numPr>
          <w:ilvl w:val="2"/>
          <w:numId w:val="1"/>
        </w:numPr>
        <w:rPr/>
      </w:pPr>
      <w:bookmarkStart w:id="39" w:name="__RefHeading___Toc95948_3244359995"/>
      <w:bookmarkStart w:id="40" w:name="_Toc14"/>
      <w:bookmarkEnd w:id="39"/>
      <w:r>
        <w:rPr/>
        <w:t>5</w:t>
      </w:r>
      <w:r>
        <w:rPr>
          <w:rtl w:val="true"/>
        </w:rPr>
        <w:t xml:space="preserve">. </w:t>
      </w:r>
      <w:r>
        <w:rPr>
          <w:rtl w:val="true"/>
        </w:rPr>
        <w:t>أقسام القطع</w:t>
      </w:r>
      <w:bookmarkEnd w:id="4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البحث إلی هنا عن القطع الطریقی، وهاهنا قسم من القطع یسمّی بالقطع الموضوعی الذی یؤخذ فی موضوع الحکم بحیث لا یتحقّق الموضوع بدونه،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قطعت بنجاسة ثوبک فلا تصحّ 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لبطلان الصلاة فی هذا المثال لیس النجاسة الواقعیة، بل الموضوع هو القطع بنجاسة الثوب مع کون الثوب</w:t>
      </w:r>
    </w:p>
    <w:p>
      <w:pPr>
        <w:pStyle w:val="BookText"/>
        <w:rPr/>
      </w:pPr>
      <w:r>
        <w:rPr>
          <w:rFonts w:ascii="IRNazanin" w:hAnsi="IRNazanin" w:eastAsia="IRNazanin"/>
          <w:color w:val="111111"/>
          <w:sz w:val="28"/>
          <w:sz w:val="28"/>
          <w:szCs w:val="28"/>
          <w:rtl w:val="true"/>
          <w:lang w:bidi="fa-IR"/>
        </w:rPr>
        <w:t>نجساً فی الواقع، حیث إنّ القطع حینئذٍ جزء للموضوع، کما هو المشهور فی محلّه وقد أفتی المشهور بعدم مانعیة النجاسة الخبثیة الواقعیّة عن صحّة الصلاة إلّامع العلم، خلافاً للنجاسة الحدثیة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القطع الموضوعی علی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تمام الموضوع لحکم کما قیل به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من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تمام الموضوع لبعض الأحکام الشرعیّة فیترتّب علیه تلک الأحکام وإن لم یکن ضرر فی الواقع، کما أنّه کذلک فی الامور التکوینیّة أحیاناً فیوجب علم الإنسان بضرر خاصّ تغیّر اللون أو ارتعاش البدن أو الضغط فی القلب مثلًا، سواء کان الضرر موجوداً واقعاً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جزء الموضوع، والجزء الآخر هو الواقع الذی تعلّق به القطع کما فی القطع بنجاسة الثوب الذی أخذ جزءً فی موضوع بطلان الصلاة، فإذا قطعت بنجاسة الثوب وکان نجساً فی الواقع تبطل الصلاة، وأمّا إذا قطعت بها وصلّیت مع حصول قصد القربة وانکشف الخلاف وعدم نجاسة الثوب فالحقّ صحّة الصلاة حینئذٍ، کما أنّه کذلک فیما إذا کان الثوب نجساً فی الواقع ولکن لم یکن قاطعاً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کلًاّ من القطع المأخوذ تمام الموضوع والمأخوذ جزء الموضوع</w:t>
      </w:r>
    </w:p>
    <w:p>
      <w:pPr>
        <w:pStyle w:val="BookText"/>
        <w:rPr/>
      </w:pPr>
      <w:r>
        <w:rPr>
          <w:rFonts w:ascii="Amiri" w:hAnsi="Amiri" w:eastAsia="Amiri" w:cs="Amiri"/>
          <w:color w:val="111111"/>
          <w:sz w:val="28"/>
          <w:sz w:val="28"/>
          <w:szCs w:val="28"/>
          <w:rtl w:val="true"/>
          <w:lang w:bidi="ar-SA"/>
        </w:rPr>
        <w:t>تارةً</w:t>
      </w:r>
    </w:p>
    <w:p>
      <w:pPr>
        <w:pStyle w:val="BookText"/>
        <w:rPr/>
      </w:pPr>
      <w:r>
        <w:rPr>
          <w:rFonts w:ascii="IRNazanin" w:hAnsi="IRNazanin" w:eastAsia="IRNazanin"/>
          <w:color w:val="111111"/>
          <w:sz w:val="28"/>
          <w:sz w:val="28"/>
          <w:szCs w:val="28"/>
          <w:rtl w:val="true"/>
          <w:lang w:bidi="fa-IR"/>
        </w:rPr>
        <w:t>یکون مأخوذاً بما هو</w:t>
      </w:r>
    </w:p>
    <w:p>
      <w:pPr>
        <w:pStyle w:val="BookText"/>
        <w:rPr/>
      </w:pPr>
      <w:r>
        <w:rPr>
          <w:rFonts w:ascii="IRNazanin" w:hAnsi="IRNazanin" w:eastAsia="IRNazanin"/>
          <w:color w:val="111111"/>
          <w:sz w:val="28"/>
          <w:sz w:val="28"/>
          <w:szCs w:val="28"/>
          <w:rtl w:val="true"/>
          <w:lang w:bidi="fa-IR"/>
        </w:rPr>
        <w:t>طریق وکاشف</w:t>
      </w:r>
    </w:p>
    <w:p>
      <w:pPr>
        <w:pStyle w:val="BookText"/>
        <w:rPr/>
      </w:pPr>
      <w:r>
        <w:rPr>
          <w:rFonts w:ascii="IRNazanin" w:hAnsi="IRNazanin" w:eastAsia="IRNazanin"/>
          <w:color w:val="111111"/>
          <w:sz w:val="28"/>
          <w:sz w:val="28"/>
          <w:szCs w:val="28"/>
          <w:rtl w:val="true"/>
          <w:lang w:bidi="fa-IR"/>
        </w:rPr>
        <w:t>عن الواقع،</w:t>
      </w:r>
    </w:p>
    <w:p>
      <w:pPr>
        <w:pStyle w:val="BookText"/>
        <w:rPr/>
      </w:pPr>
      <w:r>
        <w:rPr>
          <w:rFonts w:ascii="IRNazanin" w:hAnsi="IRNazanin" w:eastAsia="IRNazanin"/>
          <w:color w:val="111111"/>
          <w:sz w:val="28"/>
          <w:sz w:val="28"/>
          <w:szCs w:val="28"/>
          <w:rtl w:val="true"/>
          <w:lang w:bidi="fa-IR"/>
        </w:rPr>
        <w:t>واخری</w:t>
      </w:r>
    </w:p>
    <w:p>
      <w:pPr>
        <w:pStyle w:val="BookText"/>
        <w:rPr/>
      </w:pPr>
      <w:r>
        <w:rPr>
          <w:rFonts w:ascii="IRNazanin" w:hAnsi="IRNazanin" w:eastAsia="IRNazanin"/>
          <w:color w:val="111111"/>
          <w:sz w:val="28"/>
          <w:sz w:val="28"/>
          <w:szCs w:val="28"/>
          <w:rtl w:val="true"/>
          <w:lang w:bidi="fa-IR"/>
        </w:rPr>
        <w:t>بما هو</w:t>
      </w:r>
    </w:p>
    <w:p>
      <w:pPr>
        <w:pStyle w:val="BookText"/>
        <w:rPr/>
      </w:pPr>
      <w:r>
        <w:rPr>
          <w:rFonts w:ascii="Amiri" w:hAnsi="Amiri" w:eastAsia="Amiri" w:cs="Amiri"/>
          <w:color w:val="111111"/>
          <w:sz w:val="28"/>
          <w:sz w:val="28"/>
          <w:szCs w:val="28"/>
          <w:rtl w:val="true"/>
          <w:lang w:bidi="ar-SA"/>
        </w:rPr>
        <w:t>صفة خاصّة</w:t>
      </w:r>
    </w:p>
    <w:p>
      <w:pPr>
        <w:pStyle w:val="BookText"/>
        <w:rPr/>
      </w:pPr>
      <w:r>
        <w:rPr>
          <w:rFonts w:ascii="Amiri" w:hAnsi="Amiri" w:eastAsia="Amiri" w:cs="Amiri"/>
          <w:color w:val="111111"/>
          <w:sz w:val="28"/>
          <w:sz w:val="28"/>
          <w:szCs w:val="28"/>
          <w:rtl w:val="true"/>
          <w:lang w:bidi="ar-SA"/>
        </w:rPr>
        <w:t>وحالة مخصوصة للقاطع أو المقطوع به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والفرق بینهما أنّ القطع من الصفات ذات الإضافة الّتی تحتاج إلی طرف آخر کالقدرة المحتاجة إلی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قبال الصفات الحقیقیة الّتی لا تحتاج إلی ذلک کالحیاة ونحو ذلک من الصفات القائمة بالنفس من دون حاجة إلی طرف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القطع فی ذاته نور لنفسه ویکون کمالًا للنفس، ومن جهة اخری نور لغیره وکاشف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الأمر المقطوع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کما یمکن أن یلاحظ بما هو صفة قائمة بالنفس، یمکن لحاظه بما أنّه طریق وکاشف عن الغیر، وبهذا تصیر أقسام القطع</w:t>
      </w:r>
      <w:bookmarkStart w:id="41" w:name="pg16918_187258"/>
    </w:p>
    <w:p>
      <w:pPr>
        <w:pStyle w:val="BookText"/>
        <w:rPr/>
      </w:pPr>
      <w:bookmarkEnd w:id="41"/>
      <w:r>
        <w:rPr>
          <w:rFonts w:ascii="IRNazanin" w:hAnsi="IRNazanin" w:eastAsia="IRNazanin"/>
          <w:color w:val="111111"/>
          <w:sz w:val="28"/>
          <w:sz w:val="28"/>
          <w:szCs w:val="28"/>
          <w:rtl w:val="true"/>
          <w:lang w:bidi="fa-IR"/>
        </w:rPr>
        <w:t>الموضوعی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یکون المراد من القطع المأخوذ علی نحو الصفتیّة الدرجة العالیة من العلم أی حالة المائة بالمائة، کما ورد فی باب الشهادات عن علی بن غیاث، عن أبی عبداللَّه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تشهدنّ بشهادة حتّی تعرفها کما تعرف کفّک</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ورد عن رسول اللَّه صلی الله علیه و آله وقد سئل عن الشهادة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تری الشمس؟ علی مثلها فاشهد أو دع</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یکون المراد منه أعمّ منه ومن العلم العرفی، مثل ما ورد فی بعض الروایات من استحباب تعظیم العالم </w:t>
      </w:r>
      <w:r>
        <w:rPr>
          <w:rStyle w:val="FootnoteAnchor"/>
          <w:rtl w:val="true"/>
        </w:rPr>
        <w:footnoteReference w:id="20"/>
      </w:r>
      <w:r>
        <w:rPr>
          <w:rFonts w:ascii="IRNazanin" w:hAnsi="IRNazanin" w:eastAsia="IRNazanin"/>
          <w:color w:val="111111"/>
          <w:sz w:val="28"/>
          <w:sz w:val="28"/>
          <w:szCs w:val="28"/>
          <w:rtl w:val="true"/>
          <w:lang w:bidi="fa-IR"/>
        </w:rPr>
        <w:t xml:space="preserve">أو استحباب النظر إلی وجه العالم </w:t>
      </w:r>
      <w:r>
        <w:rPr>
          <w:rStyle w:val="FootnoteAnchor"/>
          <w:rtl w:val="true"/>
        </w:rPr>
        <w:footnoteReference w:id="21"/>
      </w:r>
      <w:r>
        <w:rPr>
          <w:rFonts w:ascii="IRNazanin" w:hAnsi="IRNazanin" w:eastAsia="IRNazanin"/>
          <w:color w:val="111111"/>
          <w:sz w:val="28"/>
          <w:sz w:val="28"/>
          <w:szCs w:val="28"/>
          <w:rtl w:val="true"/>
          <w:lang w:bidi="fa-IR"/>
        </w:rPr>
        <w:t>حیث إنّ العلم المأخوذ فیه بعنوان الصفة الکمالیّة أعمّ من الیقینی القطعی وغیره</w:t>
      </w:r>
      <w:r>
        <w:rPr>
          <w:rFonts w:eastAsia="IRNazanin" w:cs="IRNazanin"/>
          <w:color w:val="111111"/>
          <w:sz w:val="28"/>
          <w:szCs w:val="28"/>
          <w:rtl w:val="true"/>
          <w:lang w:bidi="fa-IR"/>
        </w:rPr>
        <w:t>.</w:t>
      </w:r>
    </w:p>
    <w:p>
      <w:pPr>
        <w:pStyle w:val="Heading3"/>
        <w:numPr>
          <w:ilvl w:val="2"/>
          <w:numId w:val="1"/>
        </w:numPr>
        <w:rPr/>
      </w:pPr>
      <w:bookmarkStart w:id="42" w:name="__RefHeading___Toc95950_3244359995"/>
      <w:bookmarkStart w:id="43" w:name="_Toc15"/>
      <w:bookmarkEnd w:id="42"/>
      <w:r>
        <w:rPr/>
        <w:t>6</w:t>
      </w:r>
      <w:r>
        <w:rPr>
          <w:rtl w:val="true"/>
        </w:rPr>
        <w:t xml:space="preserve">. </w:t>
      </w:r>
      <w:r>
        <w:rPr>
          <w:rtl w:val="true"/>
        </w:rPr>
        <w:t>أحکام القطع الطریقی والموضوعی</w:t>
      </w:r>
      <w:bookmarkEnd w:id="43"/>
    </w:p>
    <w:p>
      <w:pPr>
        <w:pStyle w:val="BookText"/>
        <w:rPr/>
      </w:pPr>
      <w:r>
        <w:rPr>
          <w:rFonts w:ascii="IRNazanin" w:hAnsi="IRNazanin" w:eastAsia="IRNazanin"/>
          <w:color w:val="111111"/>
          <w:sz w:val="28"/>
          <w:sz w:val="28"/>
          <w:szCs w:val="28"/>
          <w:rtl w:val="true"/>
          <w:lang w:bidi="fa-IR"/>
        </w:rPr>
        <w:t>لا إشکال فی قیام الأمارات بنفس دلیل حجّیتها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کآیة النبأ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القطع الطریقی المحض، کما لا ریب فی عدم قیامها مقام القطع الموضوعی علی وجه الصفتیّة، فإنّه لا شکّ فی أنّه إذا أشار المولی إلی الشمس مثلًا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بمثل هذا فاشهد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قلنا بأنّه أخذ القطع بما أنّه درجة خاصّة من العلم والکشف التامّ فی موضوع الشهادة، فلا تجوز الشهادة علی مالکیة زید مثلًا بمجرّد قیام البیّنة علی أنّ هذا ملک له، أو فیما إذا ثبتت مالکیته بالقرعة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قیام الأمارات مقام القطع الموضوعی علی نحو الکاشفیّة، یتوقّف علی أنّ ما اخذ فی الموضوع هو الجامع؛ أی جنس الکاشف الذی یکون القطع مصداقاً من</w:t>
      </w:r>
      <w:bookmarkStart w:id="44" w:name="pg16918_187259"/>
    </w:p>
    <w:p>
      <w:pPr>
        <w:pStyle w:val="BookText"/>
        <w:rPr/>
      </w:pPr>
      <w:bookmarkEnd w:id="44"/>
      <w:r>
        <w:rPr>
          <w:rFonts w:ascii="IRNazanin" w:hAnsi="IRNazanin" w:eastAsia="IRNazanin"/>
          <w:color w:val="111111"/>
          <w:sz w:val="28"/>
          <w:sz w:val="28"/>
          <w:szCs w:val="28"/>
          <w:rtl w:val="true"/>
          <w:lang w:bidi="fa-IR"/>
        </w:rPr>
        <w:t>مصادیقه، فلا ریب حینئذٍ فی أنّ سائر مصادیق الکاشف یقوم مقام هذا القطع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لو کان المأخوذ علی نحو الکاشفیة التامّة بأخذ تلک الحالة، أی حالة المائة بالمائة، فلا إشکال فی عدم قیام الأمارات مقام هذه الدرجة من العلم لأنّ کشف الأمارة کشف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ذکرنا ظهر أنّ الاصول العملیّة لا تقوم مقام القطع الموضوعی مطلقاً حتّی إذا کان القطع الموضوعی مأخوذاً علی نحو أخذ جامع الکاشف؛ لأنّ لسان الاصول لیس لسان الکشف وإن کان لها نظر إلی الواقع فی الجملة، ولا منافاة بینهما لأنّها تنجّز التکلیف الواقعی فی صورة الإصابة وإن لم یکن لسانها لسان التنزیل منزلة الواقع</w:t>
      </w:r>
      <w:r>
        <w:rPr>
          <w:rFonts w:eastAsia="IRNazanin" w:cs="IRNazanin"/>
          <w:color w:val="111111"/>
          <w:sz w:val="28"/>
          <w:szCs w:val="28"/>
          <w:rtl w:val="true"/>
          <w:lang w:bidi="fa-IR"/>
        </w:rPr>
        <w:t>.</w:t>
      </w:r>
    </w:p>
    <w:p>
      <w:pPr>
        <w:pStyle w:val="Heading3"/>
        <w:numPr>
          <w:ilvl w:val="2"/>
          <w:numId w:val="1"/>
        </w:numPr>
        <w:rPr/>
      </w:pPr>
      <w:bookmarkStart w:id="45" w:name="__RefHeading___Toc95952_3244359995"/>
      <w:bookmarkStart w:id="46" w:name="_Toc16"/>
      <w:bookmarkEnd w:id="45"/>
      <w:r>
        <w:rPr/>
        <w:t>7</w:t>
      </w:r>
      <w:r>
        <w:rPr>
          <w:rtl w:val="true"/>
        </w:rPr>
        <w:t xml:space="preserve">. </w:t>
      </w:r>
      <w:r>
        <w:rPr>
          <w:rtl w:val="true"/>
        </w:rPr>
        <w:t>مدی حجّیة العلم الإجمالی</w:t>
      </w:r>
      <w:bookmarkEnd w:id="46"/>
    </w:p>
    <w:p>
      <w:pPr>
        <w:pStyle w:val="BookText"/>
        <w:rPr/>
      </w:pPr>
      <w:r>
        <w:rPr>
          <w:rFonts w:ascii="IRNazanin" w:hAnsi="IRNazanin" w:eastAsia="IRNazanin"/>
          <w:color w:val="111111"/>
          <w:sz w:val="28"/>
          <w:sz w:val="28"/>
          <w:szCs w:val="28"/>
          <w:rtl w:val="true"/>
          <w:lang w:bidi="fa-IR"/>
        </w:rPr>
        <w:t>إذا کان العلم مشوباً بنوعٍ من الإجمال والشکّ، فما هی قیمة ذلک العلم، وهل هو حجّة فی التنجّز کالعلم التفصیلی الذی فرغنا عن حجّیته، حتّی تجب موافقته القطعیّة وتحرم مخالفته کذلک، أو لا یکون حجّة لمکان الشکّ والتحیّر فیجوز التمسّک بالحکم الظاهری الذی یکون موضوعه الشکّ؟</w:t>
      </w:r>
    </w:p>
    <w:p>
      <w:pPr>
        <w:pStyle w:val="BookText"/>
        <w:rPr/>
      </w:pPr>
      <w:r>
        <w:rPr>
          <w:rFonts w:ascii="IRNazanin" w:hAnsi="IRNazanin" w:eastAsia="IRNazanin"/>
          <w:color w:val="111111"/>
          <w:sz w:val="28"/>
          <w:sz w:val="28"/>
          <w:szCs w:val="28"/>
          <w:rtl w:val="true"/>
          <w:lang w:bidi="fa-IR"/>
        </w:rPr>
        <w:t>لا ینبغی الریب فی أنّ العلم الإجمالی علّة تامّة بالنسبة إلی حرمة المخالفة القطعیّة ولکن یکون مقتضیاً بالنسبة إلی وجوب الموافقة القطعیّة، وذلک لأنّ الحکم الظاهری وإن کان موضوعه الشکّ، ولهذا لا منافاة بینه وبین الحکم الواقعی لکن متعلّق الشکّ فی العلم الإجمالی إنّما هو خصوص أحد الطرفین لا کلاهما، فإنّ مثل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لک حلال حتّی تعلم أنّه حرام</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یشمل کلًاّ من الطرفین</w:t>
      </w:r>
      <w:bookmarkStart w:id="47" w:name="pg16918_187260"/>
    </w:p>
    <w:p>
      <w:pPr>
        <w:pStyle w:val="BookText"/>
        <w:rPr/>
      </w:pPr>
      <w:bookmarkEnd w:id="47"/>
      <w:r>
        <w:rPr>
          <w:rFonts w:ascii="IRNazanin" w:hAnsi="IRNazanin" w:eastAsia="IRNazanin"/>
          <w:color w:val="111111"/>
          <w:sz w:val="28"/>
          <w:sz w:val="28"/>
          <w:szCs w:val="28"/>
          <w:rtl w:val="true"/>
          <w:lang w:bidi="fa-IR"/>
        </w:rPr>
        <w:t>لکن مجموع الطرفین من حیث المجموع داخل فی الغایة، أی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تعلم أنّه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العلم فیه عامّ،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الذیل مانع عن انعقاد الإطلاق فی صدره وشموله لموارد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یظهر أنّه لا یجوز الترخیص فی المخالفة القطعیّة ویکون العلم الإجمالی علّة تامّة لحرمة المخالفة القطعیّة وإن فرضنا أنّه لم تکن الموافقة القطعیّة واجبة وجازت المخالفة الاحتمالیة لبعض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یستثنی منها موردان یجوز للشارع الترخیص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القطع الإجمالی من قبیل القطع الموضوعی، فیمکن للشارع أن یقیّد القطع الذی یأخذه فی موضوع الحکم بقید التفصیلی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صادف الحکم أحد موانع الفعلیّة کالعسر والحرج، ویؤدّی الاحتیاط وتنجیز العلم الإجمالی للتحفّظ علی الحکم الواقعی إلی العسر والحرج فتجوز مخالفته، لکنّه لا یختصّ بموارد العلم الإجمالی بل هو جارٍ فی موارد العلم التفصیلی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کونه مقتضیاً لحرمة المخالفة الاحتمالیة ووجوب الموافقة القطعیّة، فهل یوجد مانع عنه من قبیل عموم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لک حلال حتّی تعلم أنّه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دلیل خاصّ آخر أو لا؟ فسیأتی البحث عنه فی باب الاشتغال، وأنّ الحقّ وجوب الموافقة القطعیّة لعدم المانع عنها، کما أنّه نبحث هناک إن شاء اللَّه تعالی عن جواز الاکتفاء بالعلم الإجمالی فی مقام الإمتثال بدلًا عن العلم التفصیلی کالصلاة إلی الجهات الأربع بدلًا عن تحصیل العلم بالقبلة بنحو التفصیل</w:t>
      </w:r>
      <w:r>
        <w:rPr>
          <w:rFonts w:eastAsia="IRNazanin" w:cs="IRNazanin"/>
          <w:color w:val="111111"/>
          <w:sz w:val="28"/>
          <w:szCs w:val="28"/>
          <w:rtl w:val="true"/>
          <w:lang w:bidi="fa-IR"/>
        </w:rPr>
        <w:t>.</w:t>
      </w:r>
    </w:p>
    <w:p>
      <w:pPr>
        <w:pStyle w:val="Heading3"/>
        <w:numPr>
          <w:ilvl w:val="2"/>
          <w:numId w:val="1"/>
        </w:numPr>
        <w:rPr/>
      </w:pPr>
      <w:bookmarkStart w:id="48" w:name="__RefHeading___Toc95954_3244359995"/>
      <w:bookmarkStart w:id="49" w:name="_Toc17"/>
      <w:bookmarkEnd w:id="48"/>
      <w:r>
        <w:rPr/>
        <w:t>8</w:t>
      </w:r>
      <w:r>
        <w:rPr>
          <w:rtl w:val="true"/>
        </w:rPr>
        <w:t xml:space="preserve">. </w:t>
      </w:r>
      <w:r>
        <w:rPr>
          <w:rtl w:val="true"/>
        </w:rPr>
        <w:t>أصالة عدم حجّیة الظنّ إلّاما خرج بالدلیل</w:t>
      </w:r>
      <w:bookmarkEnd w:id="4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فی أنّ حجّیة الظنّ لیست ذاتیّة، لنقصان کشفه واحتمال عدم إصابته</w:t>
      </w:r>
      <w:bookmarkStart w:id="50" w:name="pg16918_187261"/>
    </w:p>
    <w:p>
      <w:pPr>
        <w:pStyle w:val="BookText"/>
        <w:rPr/>
      </w:pPr>
      <w:bookmarkEnd w:id="50"/>
      <w:r>
        <w:rPr>
          <w:rFonts w:ascii="IRNazanin" w:hAnsi="IRNazanin" w:eastAsia="IRNazanin"/>
          <w:color w:val="111111"/>
          <w:sz w:val="28"/>
          <w:sz w:val="28"/>
          <w:szCs w:val="28"/>
          <w:rtl w:val="true"/>
          <w:lang w:bidi="fa-IR"/>
        </w:rPr>
        <w:t>الواقع، وإنّما وقع النزاع فی إمکان جعل الحجّیة له وجبران نقص کاشفیته لعدّة محاذیر عقلیّة، یأتی الکلام عنها مع دفعها فی کیفیة الجمع بین الحکم الظاهری والواقعی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الکلام هنا فی أنّه بعد إثبات إمکان جعل الحجّیة له، إذا شکّ فی ثبوت حجّیة بعض الظنون کالشهرة الفتوائیّة أو الإجماع المنقول بخبر الواحد مثلًا، ففی هذه الصورة هل الأصل حجّیتها إلّاما خرج بالدلیل أو العکس؟</w:t>
      </w:r>
    </w:p>
    <w:p>
      <w:pPr>
        <w:pStyle w:val="BookText"/>
        <w:rPr/>
      </w:pPr>
      <w:r>
        <w:rPr>
          <w:rFonts w:ascii="IRNazanin" w:hAnsi="IRNazanin" w:eastAsia="IRNazanin"/>
          <w:color w:val="111111"/>
          <w:sz w:val="28"/>
          <w:sz w:val="28"/>
          <w:szCs w:val="28"/>
          <w:rtl w:val="true"/>
          <w:lang w:bidi="fa-IR"/>
        </w:rPr>
        <w:t>لا خلاف فی أنّ الأصل هو الثانی، وذلک لأنّ أصالة حجّیة الظنّ معناها جواز الاستناد إلی الظنّ والالتزام بکون مؤدّاه حکم اللَّه، مع أنّ هذا الاستناد عند الشکّ فیه باطل بضرورة العقل وبداهة الوجدان الحاکم علی عدم ترتّب آثار الحجّیة علی أمارة لم تثبت حجّیتها وتقبیح العقلاء من یتکلّف من قبل مولاه بما لا یعلم بوروده منه؛ وإن ظنّ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ویدلّ علیه أیضاً من کتاب اللَّه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أرَأیْتُم مَا أنْزَلَ اللّهُ لَکُمْ مِنْ رِزْقٍ فَجَعَلْتُمْ مِنْهُ حَرَامَاً وَحَلالًا قُلْ أَاللَّه أَذِنَ لَکُمْ أَمْ عَلَی اللَّه تَفْتَرُونَ</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الدالّ علی أنّ ما لیس بإذن من اللَّه فی إسناد الحکم إلی الشارع فهو افتراء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السنّة ما استفاض من قولهم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وخصلتین ففیهما هلک من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 أن تفتی الناس برأیک أو تدین بما لا تعلم</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95956_3244359995"/>
      <w:bookmarkStart w:id="52" w:name="_Toc18"/>
      <w:bookmarkEnd w:id="51"/>
      <w:r>
        <w:rPr/>
        <w:t>9</w:t>
      </w:r>
      <w:r>
        <w:rPr>
          <w:rtl w:val="true"/>
        </w:rPr>
        <w:t xml:space="preserve">. </w:t>
      </w:r>
      <w:r>
        <w:rPr>
          <w:rtl w:val="true"/>
        </w:rPr>
        <w:t>کیفیة الجمع بین الحکم الواقعی والظاهری</w:t>
      </w:r>
      <w:bookmarkEnd w:id="5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ثبت عند الإمامیّة أنّ للَّه‌تبارک وتعالی فی کلّ واقعة حکماً یشترک فیه العالم والجاهل، علی ما سیأتی تفصیله فی مباحث الاجتهاد والتقلید، ومن الواضح أنّ الأمارات الظنّیة قد تصیب هذا الحکم وقد تخطئ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الأمر یثیر مشکلة التوفیق بین الحکم الواقعی المشترک بین المخطئ والمصیب، والحکم الظاهری الذی هو مفاد الأمارة، لمحاذیر عقلیّة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النقیضین فی صورة عدم إصابة الظنّ للواقع، واجتماع المثلین فی صورة الإصابة، وهذا بالنسبة إلی نفس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الضدّین فی نفس المولی فی صورة الخطأ وهو اجتماع الإرادة والکراهة؛ لأنّ الأمر ینشأ من الإرادة والنهی ینشأ من الکراهة وهذا یکون بالنسبة إلی مبادئ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الضدّین من المصلحة والمفسدة فی صورة الخطأ، وهذا یکون بالنسبة إلی متعلّق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بما لا یطاق، لأنّ الحکم الواقعی یکلّف الإنسان بالفعل فی مفروض الکلام، والظاهری یکلّفه بالترک مثلًا، والأمر بهما یستحیل علی الحکیم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الإلقاء فی المفسدة وتفویت المصلحة فی صورة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والشبهة المعروفة لابن قبة من أنّ جواز التعبّد بالظنّ موجب لتحلیل الحرام وتحریم الحلال </w:t>
      </w:r>
      <w:r>
        <w:rPr>
          <w:rStyle w:val="FootnoteAnchor"/>
          <w:rtl w:val="true"/>
        </w:rPr>
        <w:footnoteReference w:id="25"/>
      </w:r>
      <w:r>
        <w:rPr>
          <w:rFonts w:ascii="IRNazanin" w:hAnsi="IRNazanin" w:eastAsia="IRNazanin"/>
          <w:color w:val="111111"/>
          <w:sz w:val="28"/>
          <w:sz w:val="28"/>
          <w:szCs w:val="28"/>
          <w:rtl w:val="true"/>
          <w:lang w:bidi="fa-IR"/>
        </w:rPr>
        <w:t>لعلّها ترجع إلی بعض المحاذیر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المحاذیر مبنیة علی بقاء الحکم الواقعی المشترک بین الکلّ فی مورد الأمارة، کما هو الصحیح لأنّ إرتفاع الحکم الواقعی یستلزم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الباطل عندنا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حاول جماعة من الأصحاب لرفع هذه المحاذیر، وکلّ سلک فی حلّها طریقاً، والمختار فی حلّها ما أفاده الشیخ الأعظم الأنصاری رحمه الله </w:t>
      </w:r>
      <w:r>
        <w:rPr>
          <w:rStyle w:val="FootnoteAnchor"/>
          <w:rtl w:val="true"/>
        </w:rPr>
        <w:footnoteReference w:id="26"/>
      </w:r>
      <w:r>
        <w:rPr>
          <w:rFonts w:ascii="IRNazanin" w:hAnsi="IRNazanin" w:eastAsia="IRNazanin"/>
          <w:color w:val="111111"/>
          <w:sz w:val="28"/>
          <w:sz w:val="28"/>
          <w:szCs w:val="28"/>
          <w:rtl w:val="true"/>
          <w:lang w:bidi="fa-IR"/>
        </w:rPr>
        <w:t>، ویرجع إلیه کلام کثیر من الأعلام،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بالأمارة والتعبّد بها یتصوّر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من باب مجرّد الکشف عن الواقع غالباً، فلا یلاحظ فی التعبّد بها إلّاالإیصال إلی الواقع فی الغالب، فلا مصلحة فی سلوک هذا الطریق وراء مصلحة الواقع، والأمر بالعمل فی هذا القسم لیس إلّاللإرشاد، ولکن هذا الوجه غیر صحیح مع علم الشارع العالم بالغیب بعدم دوام موافقة هذه الأمارة للواقع ومخالفتها له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لمدخلیّة سلوک الأمارة فی مصلحة العمل بها وإن خالف الواقع، فإنّ العمل علی طبق تلک الأمارة یشتمل علی مصلحة فأوجبه الشارع، وتلک المصلحة لابدّ أن تکون ممّا یتدارک بها ما یفوت من مصلحة الواقع وإلّا کان تفویتاً لمصلحة الواقع وهو قبیح، والمراد بالحکم الواقعی الذی یلزم بقاؤه هو الحکم المتعیّن المتعلّق بالعباد الذی یحکی عنه الأمارة ویتعلّق به العلم، أو الظنّ وإن لم یلزم إمتثاله فعلًا فی حقّ من قامت عنده أمارة علی خلافه، ویکفی فی کونه الحکم الواقعی أنّه لا یعذر فیه إذا کان عالماً به أو جاهلًا مقصّراً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من الحکم الواقعی هی مدلولات الخطابات الواقعیّة غیر المقیّدة بعلم المکلّف ولا بعدم قیام الأمارة علی خلافها، ولها آثار عقلیّة وشرعیّة یترتّب علیها عند العلم بها أو قیام أمارة علیها حکم الشارع بوجوب البناء علی کون مؤدّاها هو الواقع، نعم هذه لیست أحکاماً فعلیّة بمجرّد وجودها الواقعی، بل هی أحکام شأنیّة إنشائیّة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وملخّص ما أفاده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الواقعی الفعلی ینقلب إنشائیاً إذا قامت أمارة معتبرة علی خلافه مادام لم ینکشف خلافها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وفائدة هذا الحکم الواقعی الإنشائی هی فائدة المقتضی فی جمیع المقامات، فإذا اجتمعت فیه شرائط الفعلیّة وانتفت الموانع صار فعلیاً، ولذلک لا یکون الجاهل</w:t>
      </w:r>
    </w:p>
    <w:p>
      <w:pPr>
        <w:pStyle w:val="BookText"/>
        <w:rPr/>
      </w:pPr>
      <w:r>
        <w:rPr>
          <w:rFonts w:ascii="IRNazanin" w:hAnsi="IRNazanin" w:eastAsia="IRNazanin"/>
          <w:color w:val="111111"/>
          <w:sz w:val="28"/>
          <w:sz w:val="28"/>
          <w:szCs w:val="28"/>
          <w:rtl w:val="true"/>
          <w:lang w:bidi="fa-IR"/>
        </w:rPr>
        <w:t>المقصّر فی الفحص اجتهاداً أو تقلیداً معذوراً، ومن هنا أیضاً یجب علی المکلّف الإعادة بعد کشف الخلاف مع عدم قیام دلیل خاصّ علی إجزائه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مصلحة فی سلوک الأمارة یتدارک بها فوات مصلحة الواقع فی صورة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المصلحة لعلّها هی مصلحة التسهیل وعدم لزوم الحرج الشدید واختلال النظام من اشتراط حصول القطع دائماً، وعدم رغبة الناس عن الدین الحنیف، وإن شئت فاختبر ذلک بالعمل بالقطع یوماً ولیلة واحدة، لا تأکل إلّاالحلال القطعی ولا تلبس ولا تسکن إلّاذلک، ولا تصلّی إلّافی الحلال والطاهر الواقعیین، ولا تعتمد علی سوق مسلم ولا علی یده ولا غیر ذلک من الأمارات الظنّیة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وترتفع بهاتین النکتتین جمیع المحاذیر المتوهّمة حول الأحکام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المحذور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اجتماع النقیضین أو المثلین، فلأنّه لا منافاة بین الحکم الفعلی والإنشائی، والمراد من الإنشائی ما یکون فیه مصلحة أو مفسدة لکن یمنع عن فعلیته وعن صدور البعث أو الزجر مانع أو مصلحة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المحذور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اجتماع الإرادة والکراهة، فلأنّ المتعلّق للإرادة والکراهة متعدد، فإنّ إحدیهما متعلّقة بنفس العمل والاخری متعلّقة بنفس السلوک لا بمتعلّق الأمارة، ولو قلنا إنّ المتعلّق فیهما واحد ولکن تکون إحداهما أقوی من الاخری، فتسقط عن الفعلیّة وترجع إلی مرحلة الإنشاء؛ لأنّ المفروض أنّ الحکم الموافق للأمارة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المحذور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اجتماع المصلحة والمفسدة فی متعلّق واحد، فلأنّه لا مصلحة فی متعلّق الأمارة حتّی یلزم اجتماع المصلحة والمفسدة فی محلّ واحد، بل المصلحة فی سلوک الأمارة من التسهیل وشبهه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المحذور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التکلیف بما لا یطاق، فلأنّه إنّما یلزم فیما إذا کان الحکم الواقعی أیضاً فعلیاً مع أنّ المفروض کونه إنشائیاً</w:t>
      </w:r>
      <w:r>
        <w:rPr>
          <w:rFonts w:eastAsia="IRNazanin" w:cs="IRNazanin"/>
          <w:color w:val="111111"/>
          <w:sz w:val="28"/>
          <w:szCs w:val="28"/>
          <w:rtl w:val="true"/>
          <w:lang w:bidi="fa-IR"/>
        </w:rPr>
        <w:t>.</w:t>
      </w:r>
      <w:bookmarkStart w:id="53" w:name="pg16918_187265"/>
    </w:p>
    <w:p>
      <w:pPr>
        <w:pStyle w:val="BookText"/>
        <w:rPr/>
      </w:pPr>
      <w:bookmarkEnd w:id="53"/>
      <w:r>
        <w:rPr>
          <w:rFonts w:ascii="IRNazanin" w:hAnsi="IRNazanin" w:eastAsia="IRNazanin"/>
          <w:color w:val="111111"/>
          <w:sz w:val="28"/>
          <w:sz w:val="28"/>
          <w:szCs w:val="28"/>
          <w:rtl w:val="true"/>
          <w:lang w:bidi="fa-IR"/>
        </w:rPr>
        <w:t>وأمّا المحذور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تفویت المصلحة والإلقاء فی المفسدة، فلأنّ مصلحة السلوک أهمّ فتجبر بها ما فاتت من مصلحة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الإشکال حول المصلحة السلوکیّة بأنّ حجّیة الأمارات فی الشرع غالباً لیست إلّاإمضاء ما کان فی أیدی العقلاء فی معاشهم، من غیر أن یزید علیه شیئاً أو ینقص منه شیئاً، ومن المعلوم أنّ اعتبار الأمارات عندهم لأجل کونها طریقاً إلی الواقع فقط من دون أن یترتّب علی العمل بها مصلحة وراء إیصالها إلی الواقع، فلیس قیام الأمارة عند العقلاء سبباً للمصلحة لا فی المؤدّی ولا فی العمل بها وسلوکها، فی غیر محلّه؛ لأنّ للعقلاء أیضاً فی تشریعاتهم وتقنیناتهم مصلحة تتعلّق بسلوک الأمارات بلا إشکال؛ لأنّ عدم حجّیة الأمارات الظنّیة عندهم یوجب الحرج الشدید واختلال نظامهم ومعاشهم أیضاً ولا نعنی بالمصلحة السلوکیة إلّا هذا، فالإنسان إذا لم یعتمد علی قاعدة الید کالدلیل علی الملکیّة وظواهر الألفاظ وخبر الثقة وغیر ذلک من الأمارات العقلائیة لا یقدر علی أن یعیش ولو شهراً إلّافی حرج شدید وضیق 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فرق بین الأمارات والاصول فی إمکان الجمع بین الحکم الظاهری والواقعی ورفع المحاذیر المتوهّمة، فنقول فی موارد الاصول العملیّة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الواقعی إنشائی والحکم الظاهری الذی أفاده الأصل، فعلی مع وجود المصلحة فی سلوکه، طابق النعل بالنعل</w:t>
      </w:r>
      <w:r>
        <w:rPr>
          <w:rFonts w:eastAsia="IRNazanin" w:cs="IRNazanin"/>
          <w:color w:val="111111"/>
          <w:sz w:val="28"/>
          <w:szCs w:val="28"/>
          <w:rtl w:val="true"/>
          <w:lang w:bidi="fa-IR"/>
        </w:rPr>
        <w:t>.</w:t>
      </w:r>
    </w:p>
    <w:p>
      <w:pPr>
        <w:pStyle w:val="Heading3"/>
        <w:numPr>
          <w:ilvl w:val="2"/>
          <w:numId w:val="1"/>
        </w:numPr>
        <w:rPr/>
      </w:pPr>
      <w:bookmarkStart w:id="54" w:name="__RefHeading___Toc95958_3244359995"/>
      <w:bookmarkStart w:id="55" w:name="_Toc19"/>
      <w:bookmarkEnd w:id="54"/>
      <w:r>
        <w:rPr/>
        <w:t>10</w:t>
      </w:r>
      <w:r>
        <w:rPr>
          <w:rtl w:val="true"/>
        </w:rPr>
        <w:t xml:space="preserve">. </w:t>
      </w:r>
      <w:r>
        <w:rPr>
          <w:rtl w:val="true"/>
        </w:rPr>
        <w:t>دعوی حجّیة مطلق الظنّ بدلیل الانسداد</w:t>
      </w:r>
      <w:bookmarkEnd w:id="55"/>
    </w:p>
    <w:p>
      <w:pPr>
        <w:pStyle w:val="Heading4"/>
        <w:numPr>
          <w:ilvl w:val="3"/>
          <w:numId w:val="1"/>
        </w:numPr>
        <w:rPr/>
      </w:pPr>
      <w:bookmarkStart w:id="56" w:name="__RefHeading___Toc95960_3244359995"/>
      <w:bookmarkStart w:id="57" w:name="_Toc20"/>
      <w:bookmarkEnd w:id="56"/>
      <w:r>
        <w:rPr>
          <w:rtl w:val="true"/>
        </w:rPr>
        <w:t>اشارة</w:t>
      </w:r>
      <w:bookmarkEnd w:id="5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ذکرنا سابقاً عدم حجّیة الأمارات الظنّیة الّتی لم یقم علی حجّیتها بالخصوص دلیل قطعی، لکن قد یدّعی حجّیة مطلق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ویستدلّ له بوجوه عمدتها ما 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مقدّمات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بوجود تکالیف کثیرة فعلیّة فی الشریعة فی دائرة التکالیف الإلزامیّة المشتبهة والمحتملة موجود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العلم والأمارات المعتبرة إلی معظم الأحکام بحیث لا یبقی منه شی‌ء مسدود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إهمال التکالیف المعلومة بالإجمال والرجوع إلی أصالة البراءة؛ لحکم العقل بتنجّز العلم الإجمالی ووجوب الاحتیاط فی مورده، وإلّا لزم الخروج عن الدین بسبب إهمال معظم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الرجوع إلی الاحتیاط فی جمیع الوقائع المشتبهة؛ لانتهائه إلی العسر والحرج المنفی فی الشریعة، کما لا یجوز الرجوع إلی الوظائف المقرّرة للجاهل، وهی الرجوع فی کلّ مسألة إلی الأصل الجاری فیها من البراءة والاستصحاب والتخییر والاحتیاط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ترجیح المرجوح علی الراجح، بأخذ المشکوکات والموهومات وترک المظنونات قبیح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وجب العمل علی مطلق الظنّ بالحکم الإلزامی وترک العمل بالمشکوک والموهوم،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تمّت جمیع هذه المقدّمات فلا مناص من القول بحجّیة مطلق الظنّ، إلّاأنّ أکثرها مضیّفة مردودة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اولیتها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العلم الإجمالی بوجود تکالیف کثیرة وإن کان بدیهیاً، إلّاأنّه ینحلّ إلی دائرة صغیرة وهی الأخبار الموجودة فی الکتب المعتبرة؛ لأنّ المقدار المعلوم فی العلم الإجمالی الکبیر موجود فیها، ومعه لا موجب للاحتیاط إلّافی نفس الروایات الموجودة فیها، لا مطلق الظنّ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انسداد باب العلم وإن کان لا یمکن إنکاره إلّاأنّ انسداد باب العلمی إلی معظم الأحکام غیر ثابت لنهوض الأدلّة علی حجّیة خبر الواحد الذی</w:t>
      </w:r>
      <w:bookmarkStart w:id="58" w:name="pg16918_187267"/>
    </w:p>
    <w:p>
      <w:pPr>
        <w:pStyle w:val="BookText"/>
        <w:rPr/>
      </w:pPr>
      <w:bookmarkEnd w:id="58"/>
      <w:r>
        <w:rPr>
          <w:rFonts w:ascii="IRNazanin" w:hAnsi="IRNazanin" w:eastAsia="IRNazanin"/>
          <w:color w:val="111111"/>
          <w:sz w:val="28"/>
          <w:sz w:val="28"/>
          <w:szCs w:val="28"/>
          <w:rtl w:val="true"/>
          <w:lang w:bidi="fa-IR"/>
        </w:rPr>
        <w:t>یوثق بصدوره ولو لم یکن الراوی عدلًا بل ثقة، ومثل هذا الخبر کثیر وافٍ بمعظم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رابعتها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الدلیل علی نفی وجوب الاحتیاط هو قاعدة نفی الحرج ولکنّها لا تقتضی ترک الاحتیاط إلّافی الجملة، فإنّ الضرورات تقدّر بقدرها، ولا یلزم العسر والحرج من العمل بالاحتیاط فی مجموع الروایات الواردة فی الکتب المعتبرة؛ سواء الموثوق بها وغیره، ویرجع فی غیرها إلی الاصول العملیّة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فالتامّ من هذه المقدّمات إنّما هو المقدّمة الثالثة والخامسة فقط، وأنّی لهما بإثبات حجّیة الظنّ بقول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ینبغی التنبیه هنا علی أمرین</w:t>
      </w:r>
      <w:r>
        <w:rPr>
          <w:rFonts w:eastAsia="IRNazanin" w:cs="IRNazanin"/>
          <w:color w:val="111111"/>
          <w:sz w:val="28"/>
          <w:szCs w:val="28"/>
          <w:rtl w:val="true"/>
          <w:lang w:bidi="fa-IR"/>
        </w:rPr>
        <w:t>:</w:t>
      </w:r>
    </w:p>
    <w:p>
      <w:pPr>
        <w:pStyle w:val="Heading4"/>
        <w:numPr>
          <w:ilvl w:val="3"/>
          <w:numId w:val="1"/>
        </w:numPr>
        <w:rPr/>
      </w:pPr>
      <w:bookmarkStart w:id="59" w:name="__RefHeading___Toc95962_3244359995"/>
      <w:bookmarkStart w:id="60" w:name="_Toc21"/>
      <w:bookmarkEnd w:id="59"/>
      <w:r>
        <w:rPr>
          <w:rtl w:val="true"/>
        </w:rPr>
        <w:t>الأوّل</w:t>
      </w:r>
      <w:r>
        <w:rPr>
          <w:rtl w:val="true"/>
        </w:rPr>
        <w:t xml:space="preserve">: </w:t>
      </w:r>
      <w:r>
        <w:rPr>
          <w:rtl w:val="true"/>
        </w:rPr>
        <w:t>حجّیة مطلق الظنّ علی فرض الانسداد</w:t>
      </w:r>
      <w:bookmarkEnd w:id="60"/>
    </w:p>
    <w:p>
      <w:pPr>
        <w:pStyle w:val="BookText"/>
        <w:rPr/>
      </w:pPr>
      <w:r>
        <w:rPr>
          <w:rFonts w:ascii="IRNazanin" w:hAnsi="IRNazanin" w:eastAsia="IRNazanin"/>
          <w:color w:val="111111"/>
          <w:sz w:val="28"/>
          <w:sz w:val="28"/>
          <w:szCs w:val="28"/>
          <w:rtl w:val="true"/>
          <w:lang w:bidi="fa-IR"/>
        </w:rPr>
        <w:t>لو قلنا بحجّیة مطلق الظنّ علی فرض الانسداد، هل هی علی نحو الکشف أو الحکومة؟ والمراد من الکشف أن نستکشف من مقدّمات الانسداد علی تقدیر القول بسلامة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جعل الظنّ حجّة فی هذا الحال، فیمکن حینئذٍ إسناد الحکم المکشوف إلی الشارع وتترتّب علیه سائر الآثار المترتّبة علی شرعیة الحکم من إمکان قصد الورود وتخصیص العمومات وتقیید المطلقات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الحکومة هو أنّه وإن لم نکشف من هذه المقدّمات حکم الشارع فلا تترتّب الآثار المذکورة علیه، لکن لا إشکال فی أنّ العقل یحکم عند حصول تلک المقدّمات بکفایة العمل بالظنّ بحیث یکون مأموناً معه من العقاب من دون أن یثبت بها حکم شرعی، فأثرها نفی العقاب فقط لا إثبات حکم شرعی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من دأب الشارع ودیدنه القول بالکشف؛ لأنّه لا یترک الناس بلا تکلیف</w:t>
      </w:r>
      <w:bookmarkStart w:id="61" w:name="pg16918_187268"/>
    </w:p>
    <w:p>
      <w:pPr>
        <w:pStyle w:val="BookText"/>
        <w:rPr/>
      </w:pPr>
      <w:bookmarkEnd w:id="61"/>
      <w:r>
        <w:rPr>
          <w:rFonts w:ascii="IRNazanin" w:hAnsi="IRNazanin" w:eastAsia="IRNazanin"/>
          <w:color w:val="111111"/>
          <w:sz w:val="28"/>
          <w:sz w:val="28"/>
          <w:szCs w:val="28"/>
          <w:rtl w:val="true"/>
          <w:lang w:bidi="fa-IR"/>
        </w:rPr>
        <w:t xml:space="preserve">ولا یسرحهم بلا إراءة طریق فی کلّ ما یحتاجون إلیه حتّی یستلزم منه خلأ قانونی فی عالم التشریع کما تدلّ علیه روایات کثیرة وردت فی هذا المجال </w:t>
      </w:r>
      <w:r>
        <w:rPr>
          <w:rStyle w:val="FootnoteAnchor"/>
          <w:rtl w:val="true"/>
        </w:rPr>
        <w:footnoteReference w:id="28"/>
      </w:r>
      <w:r>
        <w:rPr>
          <w:rFonts w:ascii="IRNazanin" w:hAnsi="IRNazanin" w:eastAsia="IRNazanin"/>
          <w:color w:val="111111"/>
          <w:sz w:val="28"/>
          <w:sz w:val="28"/>
          <w:szCs w:val="28"/>
          <w:rtl w:val="true"/>
          <w:lang w:bidi="fa-IR"/>
        </w:rPr>
        <w:t>، فهل یعقل من حکمة الباری الحکیم إهمال الامّة وعدم تعیین طریق لهم للوصول إلی أحکام الشریعة والقوانین المجعولة من ناحیته المقدّسة مع علمه تعالی بقصر مدّة الحضور وطول عصر الغیبة وانسداد باب العلم علی فرض القول به؟</w:t>
      </w:r>
    </w:p>
    <w:p>
      <w:pPr>
        <w:pStyle w:val="Heading4"/>
        <w:numPr>
          <w:ilvl w:val="3"/>
          <w:numId w:val="1"/>
        </w:numPr>
        <w:rPr/>
      </w:pPr>
      <w:bookmarkStart w:id="62" w:name="__RefHeading___Toc95964_3244359995"/>
      <w:bookmarkStart w:id="63" w:name="_Toc22"/>
      <w:bookmarkEnd w:id="62"/>
      <w:r>
        <w:rPr>
          <w:rtl w:val="true"/>
        </w:rPr>
        <w:t>الثانی</w:t>
      </w:r>
      <w:r>
        <w:rPr>
          <w:rtl w:val="true"/>
        </w:rPr>
        <w:t xml:space="preserve">: </w:t>
      </w:r>
      <w:r>
        <w:rPr>
          <w:rtl w:val="true"/>
        </w:rPr>
        <w:t>عدم حجّیة مطلق الظنّ فی مقام الإمتثال</w:t>
      </w:r>
      <w:bookmarkEnd w:id="63"/>
    </w:p>
    <w:p>
      <w:pPr>
        <w:pStyle w:val="BookText"/>
        <w:rPr/>
      </w:pPr>
      <w:r>
        <w:rPr>
          <w:rFonts w:ascii="IRNazanin" w:hAnsi="IRNazanin" w:eastAsia="IRNazanin"/>
          <w:color w:val="111111"/>
          <w:sz w:val="28"/>
          <w:sz w:val="28"/>
          <w:szCs w:val="28"/>
          <w:rtl w:val="true"/>
          <w:lang w:bidi="fa-IR"/>
        </w:rPr>
        <w:t>إنّ الثابت بمقدّمات الانسداد علی فرض القول به، إنّما هو حجّیة الظنّ فی معرفة الأحکام الشرعیّة وتعیینها، لاختصاص انسداد باب العلم والعلمی به، فلا تثبت بها حجّیة مطلق الظنّ فی مقام الإمتثال وتطبیق المأتی به علی المأمور به؛ لإمکان تحصیل القطع بتطبیق الحکم المظنون علیه، فلا تجری فیه تلک المقدّمات، فإذا شککنا فی وجوب صلاة الجمعة أو الظهر جاز لنا تعیین الواجب الواقعی بالظنّ علی فرض الانسداد، وأمّا إمتثال هذا الحکم خارجاً، فلابدّ أن یکون بالعلم أو الطریق المعتبر ولا یکفی فیه الظنّ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یجری الانسداد الصغیر فی مقام التطبیق والإمتثال بالنسبة إلی بعض الموضوعات فیکون الظنّ حجّة فی مقام الإمتثال فیها أیضاً، وهذا کما فی موضوع الضرر الذی انیط به أحکام کثیرة من جواز الإفطار والتیمّم وجواز ترک الحجّ وغیرها،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باب العلم بالضرر فی المستقبل مسدود غالباً، إذ لا یعلم به فی الأغلب إلّابعد تحقّقه ووقوعه فیستلزم من اعتبار العلم به الوقوع فی المخالفة الکثیرة، فاللازم العمل فیها بمطلق الظنّ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إجراء أصل العدم فی تلک الموارد یوجب المحذور، وهو الوقوع فی الضرر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کثیراً مع العلم بعدم رضا الشارع بذلک، ومن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بترک کلّ ما احتمل کونه ضرریاً یوجب العسر والحرج بل فی بعض الموارد غیر ممکن عقلًا، کما إذا دار الأمر بین الوجوب والحرمة کصوم رمضان فإنّه إن کان ضرریاً فقد حرم، وإن لم یکن ضرریاً فقد وجب، إذن فلا محیص من حجّیة الظنّ ولزوم اتباعه فی تعیین موارد الضرر، فکلّ شی‌ء ظنّ کونه ضرریاً وجب ترکه، وکلّ ما شکّ کونه ضرریاً جاز فعله، وهذا هو الذی یقال إنّ المدار فی هذه الموارد علی خوف الضرر</w:t>
      </w:r>
      <w:r>
        <w:rPr>
          <w:rFonts w:eastAsia="IRNazanin" w:cs="IRNazanin"/>
          <w:color w:val="111111"/>
          <w:sz w:val="28"/>
          <w:szCs w:val="28"/>
          <w:rtl w:val="true"/>
          <w:lang w:bidi="fa-IR"/>
        </w:rPr>
        <w:t>.</w:t>
      </w:r>
      <w:bookmarkStart w:id="64" w:name="pg16918_187270"/>
    </w:p>
    <w:p>
      <w:pPr>
        <w:pStyle w:val="Heading2"/>
        <w:numPr>
          <w:ilvl w:val="1"/>
          <w:numId w:val="1"/>
        </w:numPr>
        <w:rPr/>
      </w:pPr>
      <w:bookmarkStart w:id="65" w:name="__RefHeading___Toc95966_3244359995"/>
      <w:bookmarkStart w:id="66" w:name="_Toc23"/>
      <w:bookmarkEnd w:id="64"/>
      <w:bookmarkEnd w:id="65"/>
      <w:r>
        <w:rPr>
          <w:rtl w:val="true"/>
        </w:rPr>
        <w:t>المقصد الأول</w:t>
      </w:r>
      <w:r>
        <w:rPr>
          <w:rtl w:val="true"/>
        </w:rPr>
        <w:t xml:space="preserve">: </w:t>
      </w:r>
      <w:r>
        <w:rPr>
          <w:rtl w:val="true"/>
        </w:rPr>
        <w:t>الکتاب العزیز</w:t>
      </w:r>
      <w:bookmarkEnd w:id="66"/>
    </w:p>
    <w:p>
      <w:pPr>
        <w:pStyle w:val="Heading3"/>
        <w:numPr>
          <w:ilvl w:val="2"/>
          <w:numId w:val="1"/>
        </w:numPr>
        <w:rPr/>
      </w:pPr>
      <w:bookmarkStart w:id="67" w:name="__RefHeading___Toc95968_3244359995"/>
      <w:bookmarkStart w:id="68" w:name="_Toc24"/>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وهو یشتمل علی امور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حجّیة کتاب اللَّه سنداً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حجّیة ظواهر الألفاظ عموماً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حجّیة ظواهر الکتاب بالخصوص</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عدم تحریف الکتاب العزیز</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العزیز</w:t>
      </w:r>
    </w:p>
    <w:p>
      <w:pPr>
        <w:pStyle w:val="BookText"/>
        <w:rPr/>
      </w:pPr>
      <w:r>
        <w:rPr>
          <w:rFonts w:ascii="IRNazanin" w:hAnsi="IRNazanin" w:eastAsia="IRNazanin"/>
          <w:color w:val="111111"/>
          <w:sz w:val="28"/>
          <w:sz w:val="28"/>
          <w:szCs w:val="28"/>
          <w:rtl w:val="true"/>
          <w:lang w:bidi="fa-IR"/>
        </w:rPr>
        <w:t xml:space="preserve">القرآن الکریم من أهمّ منابع الفقه الإسلامی، ویعتمد الفقهاء فی مختلف أبواب الفقه علیه، وآیات الأحکام فی القرآن تکون أکثر من خمسمائة آیة، وقد کتب جماعة منهم کتباً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وبیّنوا الأحکام المستنبطة منها</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العرفان فی فقه القرآن للفاضل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البیان فی أحکام القرآن للمحقّق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الأحکام لمیرزا محمّد الإسترابادی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مسالک الإفهام إلی آیات الأحکام للفاضل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جمعوا أکثر من خمسین مؤلَّف حول آیات الأحکام من فقهاء العامّة والخاصّة،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إلی تصانیف الشیعة،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مقدّمة مسالک الإفهام إلی آیات الأحکام،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 کثیراً من هذه الآیات یکون بنحو العموم أو الإطلاق، فیمکن الاستناد إلیها عند إعواز النصوص الخاصّة،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أَمْوَالَکُمْ بَیْنَکُمْ بِالْبَاطِلِ إِلَّا أَنْ تَکُونَ تِجَارَةً عَنْ تَرَاضٍ</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bookmarkStart w:id="69" w:name="pg16918_187273"/>
    </w:p>
    <w:p>
      <w:pPr>
        <w:pStyle w:val="BookText"/>
        <w:rPr/>
      </w:pPr>
      <w:bookmarkEnd w:id="69"/>
      <w:r>
        <w:rPr>
          <w:rFonts w:ascii="Amiri" w:hAnsi="Amiri" w:eastAsia="Amiri" w:cs="Amiri"/>
          <w:color w:val="111111"/>
          <w:sz w:val="28"/>
          <w:sz w:val="28"/>
          <w:szCs w:val="28"/>
          <w:rtl w:val="true"/>
          <w:lang w:bidi="ar-SA"/>
        </w:rPr>
        <w:t>جَعَلَ عَلَیْکُمْ فِی الدِّینِ مِنْ حَرَجٍ</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 لَکُم مَا وَرَاءِ ذَلِکُم</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 الأرحَامِ بَعضُهُم أولَی بِبَعضٍ فِی کِتَابِ اللَّه</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 شُورَی بَینَهُم</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 xml:space="preserve">والآیات المستفادة منها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وغیر ذلک من أشباهها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وأهمّ من ذلک أنّ کثیراً من هذه العمومات والإطلاقات تکون من طرق حلّ المسائل المستحدثة الّتی نبتلی بها کثیراً فی زماننا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أنّه المعیار لمعرفة الروایات الصحیحة من الباطلة، کما ورد فی عرض الروایات علی القرآن وردّ ما خالفه </w:t>
      </w:r>
      <w:r>
        <w:rPr>
          <w:rStyle w:val="FootnoteAnchor"/>
          <w:rtl w:val="true"/>
        </w:rPr>
        <w:footnoteReference w:id="38"/>
      </w:r>
      <w:r>
        <w:rPr>
          <w:rFonts w:ascii="IRNazanin" w:hAnsi="IRNazanin" w:eastAsia="IRNazanin"/>
          <w:color w:val="111111"/>
          <w:sz w:val="28"/>
          <w:sz w:val="28"/>
          <w:szCs w:val="28"/>
          <w:rtl w:val="true"/>
          <w:lang w:bidi="fa-IR"/>
        </w:rPr>
        <w:t>وأنّ من أهمّ المرجّحات فی باب تعارض الأخبار هو موافقة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کلّه لابدّ للفقیه الإهتمام بشأن تلک الآیات غایة الإهتمام والبحث عن قطعیة سند القرآن وحجّیة ظواهره فی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والبحث فیها یشتمل علی أمور</w:t>
      </w:r>
      <w:r>
        <w:rPr>
          <w:rFonts w:eastAsia="IRNazanin" w:cs="IRNazanin"/>
          <w:color w:val="111111"/>
          <w:sz w:val="28"/>
          <w:szCs w:val="28"/>
          <w:rtl w:val="true"/>
          <w:lang w:bidi="fa-IR"/>
        </w:rPr>
        <w:t>:</w:t>
      </w:r>
    </w:p>
    <w:p>
      <w:pPr>
        <w:pStyle w:val="Heading3"/>
        <w:numPr>
          <w:ilvl w:val="2"/>
          <w:numId w:val="1"/>
        </w:numPr>
        <w:rPr/>
      </w:pPr>
      <w:bookmarkStart w:id="70" w:name="__RefHeading___Toc95970_3244359995"/>
      <w:bookmarkStart w:id="71" w:name="_Toc25"/>
      <w:bookmarkEnd w:id="70"/>
      <w:r>
        <w:rPr/>
        <w:t>1</w:t>
      </w:r>
      <w:r>
        <w:rPr>
          <w:rtl w:val="true"/>
        </w:rPr>
        <w:t xml:space="preserve">. </w:t>
      </w:r>
      <w:r>
        <w:rPr>
          <w:rtl w:val="true"/>
        </w:rPr>
        <w:t>حجّیة کتاب اللَّه سنداً</w:t>
      </w:r>
      <w:bookmarkEnd w:id="7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اتفقت الامّة الإسلامیّة علی حجّیة کتاب اللَّه سنداً ولا یشکّ فیها أحد؛ لأنّه وحی إلهی ولیس من کلام البشر، وهو المعجزة الخالدة للنبیّ الأکرم صلی الله علیه و آله، وقد ثبت ذلک</w:t>
      </w:r>
      <w:bookmarkStart w:id="72" w:name="pg16918_187274"/>
    </w:p>
    <w:p>
      <w:pPr>
        <w:pStyle w:val="BookText"/>
        <w:rPr/>
      </w:pPr>
      <w:bookmarkEnd w:id="72"/>
      <w:r>
        <w:rPr>
          <w:rFonts w:ascii="IRNazanin" w:hAnsi="IRNazanin" w:eastAsia="IRNazanin"/>
          <w:color w:val="111111"/>
          <w:sz w:val="28"/>
          <w:sz w:val="28"/>
          <w:szCs w:val="28"/>
          <w:rtl w:val="true"/>
          <w:lang w:bidi="fa-IR"/>
        </w:rPr>
        <w:t>بالأدلّة القاطعة فی علم الکلام، کما أنّه نقلت هذه الآیات الباهرات متواترة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 الواضح أنّه إنّما ثبت نبوّة نبیّنا صلی الله علیه و آله بهذا الکتاب؛ لأنّه أکبر معجزاته وأتمّ دلائله، فهو المعیار فی بیان اصول الإسلام وفروعه وأوامر اللَّه ونواهیه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غیر خفیّ، أنّ مدالیل هذا الکتاب القیّم ومحکماته، بین نصٍّ وظاهر ولا ریب فی حجّیة نصوصه لأحدٍ ممّن أقرّ بالإسلام وصدق دعوة الرسول الصادق المصدّق صلی الله علیه و آله واعترف بأنّ القرآن العظیم 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احْکِمَتْ آیاتُه ثُمَّ فُصِّلَتْ مِنْ لَدُنْ حَکیمٍ خَبیِرٍ</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عَلَیْکَ الْکِتَابَ تِبْیَاناً لِکُلِّ شَیْ‌ءٍ وَهُدیً وَرَحْمَةً وَبُشْرَی لِلْمُسْلِمِینَ</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بِهِ اللَّهُ مَنِ اتَّبَعَ رِضْوانَهُ سُبُلَ السَّلامِ وَیُخْرِجَهُم مِنَ الظُّلمَاتِ إلَی النّورِ بإذْنِهِ وَیَهْدیهِم إلِی صِراطٍ مُستَقیمٍ</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وقع الکلام فی حجّیة ظواهر الألفاظ عموماً وفی حجّیة ظواهر الکتاب بالخصوص</w:t>
      </w:r>
      <w:r>
        <w:rPr>
          <w:rFonts w:eastAsia="IRNazanin" w:cs="IRNazanin"/>
          <w:color w:val="111111"/>
          <w:sz w:val="28"/>
          <w:szCs w:val="28"/>
          <w:rtl w:val="true"/>
          <w:lang w:bidi="fa-IR"/>
        </w:rPr>
        <w:t>.</w:t>
      </w:r>
    </w:p>
    <w:p>
      <w:pPr>
        <w:pStyle w:val="Heading3"/>
        <w:numPr>
          <w:ilvl w:val="2"/>
          <w:numId w:val="1"/>
        </w:numPr>
        <w:rPr/>
      </w:pPr>
      <w:bookmarkStart w:id="73" w:name="__RefHeading___Toc95972_3244359995"/>
      <w:bookmarkStart w:id="74" w:name="_Toc26"/>
      <w:bookmarkEnd w:id="73"/>
      <w:r>
        <w:rPr/>
        <w:t>2</w:t>
      </w:r>
      <w:r>
        <w:rPr>
          <w:rtl w:val="true"/>
        </w:rPr>
        <w:t xml:space="preserve">. </w:t>
      </w:r>
      <w:r>
        <w:rPr>
          <w:rtl w:val="true"/>
        </w:rPr>
        <w:t>حجّیة ظواهر الألفاظ عموماً</w:t>
      </w:r>
      <w:bookmarkEnd w:id="74"/>
    </w:p>
    <w:p>
      <w:pPr>
        <w:pStyle w:val="Heading4"/>
        <w:numPr>
          <w:ilvl w:val="3"/>
          <w:numId w:val="1"/>
        </w:numPr>
        <w:rPr/>
      </w:pPr>
      <w:bookmarkStart w:id="75" w:name="__RefHeading___Toc95974_3244359995"/>
      <w:bookmarkStart w:id="76" w:name="_Toc27"/>
      <w:bookmarkEnd w:id="75"/>
      <w:r>
        <w:rPr>
          <w:rtl w:val="true"/>
        </w:rPr>
        <w:t>اشارة</w:t>
      </w:r>
      <w:bookmarkEnd w:id="76"/>
    </w:p>
    <w:p>
      <w:pPr>
        <w:pStyle w:val="BookText"/>
        <w:rPr/>
      </w:pPr>
      <w:r>
        <w:rPr>
          <w:rFonts w:ascii="IRNazanin" w:hAnsi="IRNazanin" w:eastAsia="IRNazanin"/>
          <w:color w:val="111111"/>
          <w:sz w:val="28"/>
          <w:sz w:val="28"/>
          <w:szCs w:val="28"/>
          <w:rtl w:val="true"/>
          <w:lang w:bidi="fa-IR"/>
        </w:rPr>
        <w:t>لا إشکال فی حجّیة ظواهر الألفاظ إجمالًا من دون اختصاصها بالألفاظ الواردة فی الکتاب والسنّة، بل یشمل جمیع العقود والإیقاعات والدعاوی والشهادات والأقاریر، والدلیل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 فإنّهم لا یزالون یستندون فی أنحاء محاوراتهم ورسائلهم فی العقود والعهود وأسناد المعاملات والوصایا إلی ظواهر الألفاظ، ولم یردع الشارع عن طریقتهم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نقض الغرض من وضع الألفاظ لو لم نقل بحجّیة ظواهرها، لأنّ الغرض من وضعها التفهیم والتفهّم، والاقتصار علی الألفاظ الصریحة والنصوص القطعیّة الّتی ضاقت دائرتها بکثرة المجازات والاستعارات وأنواع التأویلات، تفویت للغرض الأصلی من وضعها</w:t>
      </w:r>
      <w:r>
        <w:rPr>
          <w:rFonts w:eastAsia="IRNazanin" w:cs="IRNazanin"/>
          <w:color w:val="111111"/>
          <w:sz w:val="28"/>
          <w:szCs w:val="28"/>
          <w:rtl w:val="true"/>
          <w:lang w:bidi="fa-IR"/>
        </w:rPr>
        <w:t>.</w:t>
      </w:r>
      <w:bookmarkStart w:id="77" w:name="pg16918_187275"/>
    </w:p>
    <w:p>
      <w:pPr>
        <w:pStyle w:val="Heading4"/>
        <w:numPr>
          <w:ilvl w:val="3"/>
          <w:numId w:val="1"/>
        </w:numPr>
        <w:rPr/>
      </w:pPr>
      <w:bookmarkStart w:id="78" w:name="__RefHeading___Toc95976_3244359995"/>
      <w:bookmarkStart w:id="79" w:name="_Toc28"/>
      <w:bookmarkEnd w:id="77"/>
      <w:bookmarkEnd w:id="78"/>
      <w:r>
        <w:rPr>
          <w:rtl w:val="true"/>
        </w:rPr>
        <w:t>تحدید حجّیة الظواهر عند بعض</w:t>
      </w:r>
      <w:bookmarkEnd w:id="79"/>
    </w:p>
    <w:p>
      <w:pPr>
        <w:pStyle w:val="BookText"/>
        <w:rPr/>
      </w:pPr>
      <w:r>
        <w:rPr>
          <w:rFonts w:ascii="IRNazanin" w:hAnsi="IRNazanin" w:eastAsia="IRNazanin"/>
          <w:color w:val="111111"/>
          <w:sz w:val="28"/>
          <w:sz w:val="28"/>
          <w:szCs w:val="28"/>
          <w:rtl w:val="true"/>
          <w:lang w:bidi="fa-IR"/>
        </w:rPr>
        <w:t>قد ظهر ممّا مرّ أنّ أصل حجّیة الظواهر ممّا لا یمکن النقاش فیه، نعم قیّد بعضهم حجّیتها عموماً أو فی خصوص ظواهر الکتاب بقیود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حجّیة الظواهر بحصول الظنّ الشخصی بالوفاق أو بعدم حصول الظنّ بالخلاف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بناء العقلاء الدالّ علی الأخذ بالظواهر واتّباعها إلی أن یعلم بالخلاف، ویؤیّد هذا الإطلاق عدم صحّة الاعتذار عن مخالفتها بعدم إفادتها الظنّ بالوفاق ولا بوجود الظنّ بالخلاف، وأنّ العقلاء یحتجّون علی مخالفیهم بهذه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الإقتصار فی حجّیتها علی خصوص من قصد إفهامه، مستدلّاً بأنّ دلیل حجّیة الظواهر إنّما هو عدم تحقّق نقض الغرض وهو خاصّ بالمقصودین بالإفهام فقط؛ لأنّه یکفی نصب القرائن الحالیة أو المقالیة لمن قصد إفهامه فحسب، وإختفاؤها لمن لم یقصد إفهامه لا یوجب نقض غرض المتکلّم، وبعده لا یبقی دلیل لحجّیة ظاهر کلامه بالنسبة إلی غیرهم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ویناقش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انحصار دلیل حجّیة الظواهر فی لزوم نقض الغرض، بل العمدة فیها إنّما هو بناء العقلاء، ولا فرق عندهم بین الصورتین فإنّ القضاة یستندون إلی المکاتبات السرّیة الّتی یکون غیر المخاطب فیها مقصوداً بالإخفاء فضلًا عن عدم کونه مقصوداً بالإفهام ویعتمدون علی مثل سجلّات الأوقاف والوصایا مع أنّ المخاطب فیها شخص المتولّی أو الوصیّ، هذا أوّلًا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اختصاص حجّیة الظواهر بمن قصد إفهامه إلّاأنّه لا تترتّب علیه ثمرة بالنسبة إلی خطابات القرآن؛ لأنّه لا إشکال فی أنّ المقصود بالإفهام من</w:t>
      </w:r>
      <w:bookmarkStart w:id="80" w:name="pg16918_187276"/>
    </w:p>
    <w:p>
      <w:pPr>
        <w:pStyle w:val="BookText"/>
        <w:rPr/>
      </w:pPr>
      <w:bookmarkEnd w:id="80"/>
      <w:r>
        <w:rPr>
          <w:rFonts w:ascii="IRNazanin" w:hAnsi="IRNazanin" w:eastAsia="IRNazanin"/>
          <w:color w:val="111111"/>
          <w:sz w:val="28"/>
          <w:sz w:val="28"/>
          <w:szCs w:val="28"/>
          <w:rtl w:val="true"/>
          <w:lang w:bidi="fa-IR"/>
        </w:rPr>
        <w:t xml:space="preserve">خطاباته جمیع الناس إلی الأبد، ولذلک ورد الأمر بالترتیل عند قرائتها وإجابة خطاباتها بقول القاری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ربّنا</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بالنسبة إلی الروایات، لأنّ قسماً منها یکون من قبیل الکتب الّتی لیس المقصود بالإفهام فیها شخصاً خاصّاً أو أشخاصاً معینین، وقسماً منها لا یکون کذلک إلّاأنّ وثاقة الراوی وأمانته فی النقل تقتضی نقل القرائن الّتی لها دخل فی فهم المراد؛ بحیث یعدّ عدم نقله إیّاها من الخیانة فی النقل</w:t>
      </w:r>
      <w:r>
        <w:rPr>
          <w:rFonts w:eastAsia="IRNazanin" w:cs="IRNazanin"/>
          <w:color w:val="111111"/>
          <w:sz w:val="28"/>
          <w:szCs w:val="28"/>
          <w:rtl w:val="true"/>
          <w:lang w:bidi="fa-IR"/>
        </w:rPr>
        <w:t>.</w:t>
      </w:r>
    </w:p>
    <w:p>
      <w:pPr>
        <w:pStyle w:val="Heading3"/>
        <w:numPr>
          <w:ilvl w:val="2"/>
          <w:numId w:val="1"/>
        </w:numPr>
        <w:rPr/>
      </w:pPr>
      <w:bookmarkStart w:id="81" w:name="__RefHeading___Toc95978_3244359995"/>
      <w:bookmarkStart w:id="82" w:name="_Toc29"/>
      <w:bookmarkEnd w:id="81"/>
      <w:r>
        <w:rPr/>
        <w:t>3</w:t>
      </w:r>
      <w:r>
        <w:rPr>
          <w:rtl w:val="true"/>
        </w:rPr>
        <w:t xml:space="preserve">. </w:t>
      </w:r>
      <w:r>
        <w:rPr>
          <w:rtl w:val="true"/>
        </w:rPr>
        <w:t>حجّیة ظواهر الکتاب بالخصوص</w:t>
      </w:r>
      <w:bookmarkEnd w:id="82"/>
    </w:p>
    <w:p>
      <w:pPr>
        <w:pStyle w:val="Heading4"/>
        <w:numPr>
          <w:ilvl w:val="3"/>
          <w:numId w:val="1"/>
        </w:numPr>
        <w:rPr/>
      </w:pPr>
      <w:bookmarkStart w:id="83" w:name="__RefHeading___Toc95980_3244359995"/>
      <w:bookmarkStart w:id="84" w:name="_Toc30"/>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المشهور بین أصحابنا الإمامیّة حجّیة ظواهر الکتاب مستقلًاّ وأنکرها جماعة من الأخباریین، وقالوا بعدم حجّیتها قبل ورود تفسیر من الأئمّة المعصومین علیهم السلام لعدّة من الروایات الموهمة بظاهرها تخصیص عموم القاعدة الأوّلیّة العقلائیّة الدالّة علی حجّیة الظواهر، وتقیید إطلاق آیات عدیدة من الکتاب العزیز الدالّة علی حجّیة ظواهره،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جَاءَکُمْ مِنْ اللَّه نُورٌ وَکِتَابٌ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بِهِ اللَّه مَنْ اتَّبَعَ رِضْوَانَهُ سُبُلَ السَّلَامِ وَیُخْرِجُهُمْ مِنْ الظُّلُمَاتِ إِلَی النُّورِ بِإِذْنِهِ وَیَهْدِیهِمْ إِلَی صِرَاطٍ مُسْتَقِیمٍ</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لَتَنْزِیلُ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 لِتَکُونَ مِنْ الْمُنذِرِینَ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عَرَبِیٍّ مُبِینٍ</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یَتَدَبَّروُنَ الْقُرآنَ أَم علی قُلوُبٍ أَقْفالُها</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بخصوص الأئمّة المعصومین علیهم السلام وأنّهم مخاطبون بها</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دلالة لهذه الروایات علی مختارهم، خصوصاً بعد ملاحظة کثیر من</w:t>
      </w:r>
    </w:p>
    <w:p>
      <w:pPr>
        <w:pStyle w:val="BookText"/>
        <w:rPr/>
      </w:pPr>
      <w:r>
        <w:rPr>
          <w:rFonts w:ascii="IRNazanin" w:hAnsi="IRNazanin" w:eastAsia="IRNazanin"/>
          <w:color w:val="111111"/>
          <w:sz w:val="28"/>
          <w:sz w:val="28"/>
          <w:szCs w:val="28"/>
          <w:rtl w:val="true"/>
          <w:lang w:bidi="fa-IR"/>
        </w:rPr>
        <w:t>الأخبار المعارضة لها الدالّة علی حجّیة ظواهره مطلقاً، وهی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الثقلین، بطرقه المتواترة؛</w:t>
      </w:r>
      <w:r>
        <w:rPr>
          <w:rStyle w:val="FootnoteAnchor"/>
          <w:rtl w:val="true"/>
        </w:rPr>
        <w:footnoteReference w:id="49"/>
      </w:r>
      <w:r>
        <w:rPr>
          <w:rFonts w:ascii="IRNazanin" w:hAnsi="IRNazanin" w:eastAsia="IRNazanin"/>
          <w:color w:val="111111"/>
          <w:sz w:val="28"/>
          <w:sz w:val="28"/>
          <w:szCs w:val="28"/>
          <w:rtl w:val="true"/>
          <w:lang w:bidi="fa-IR"/>
        </w:rPr>
        <w:t>فإنّه ظاهر فی أنّ کلًاّ من الکتاب والعترة حجّة مستقلّة، وأنّ الکتاب وهو کلام اللَّه هو الثقل الأکبر، والعترة الطاهرة علیهم السلام هو الثقل الأصغر، وأنّ کلّ واحد منهما یؤیّد الآخر ویوافقه، نظیر حکم العقل وحکم الشرع فی قاعدة الملازمة، فلیست حجّیة حکم العقل مقیّدة بدلالة الشرع وبالعکس، وإن کان یؤیّد أحدهما بالآخر، فکذلک ما نحن فیه، وإلّا لو کانت حجّیة دلالة الکتاب مقیّدة بدلالة الروایات لکانت دلالة الروایات أیضاً مقیّدة بدلالة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 القرآن هو الملجأ فی الحوادث، والمرجع عند التباس الامور لجمیع الناس، نظیر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التبست علیکم الفتن کقطع اللیل المظلم فعلیکم بالقرآن، فإنّه شافع مشفّع وماحل مصدّق، ومَن جعله أمامه قاده إلی الجنّة، ومَن جعله خلفه ساقه إلی النار، وهو الدلیل یدلّ علی خیر سبیل</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أقوی الأدلّة علی ما ذکرنا، ما یدلّ علی وجوب عرض الروایات علی کتاب اللَّه والأخذ بما وافقه وترک ما خالفه، مثل ما روی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 کلّ حقّ حقیقة، وعلی کلّ صواب نوراً، فما وافق کتاب اللَّه فخذوه، وما خالف کتاب اللَّه فدعوه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فلولا حجّیة ظواهره لما صحّ العرض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عند تعارض الخبرین الآمرة بأخذ ما وافق کتاب اللَّه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أنّه یجب الوفاء بکلّ شرط إلّاما خالف کتاب اللَّه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الروایات من إرجاع الناس فی فهم أحکام اللَّه إلی القرآن، نظیر ما ورد فی باب الوضوء عن عبدالأعلی مولی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عثرت فانقطع ظفری فجعلت علی إصبعی مرارة فکیف أصنع بالوضوء؟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 هذا وأشباهه من کتاب اللَّه عزّوجلّ، قال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امسح علیه</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لزوم إرجاع المتشابهات من القرآن إلی محکماته، نظیر ما رواه أبو حیون مولی الرضا، عن الرضا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ردّ متشابه القرآن إلی محکمه فقد هدی إلی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أخبارنا محکماً کمحکم القرآن ومتشابهاً کمتشابه القرآن، فردّوا متشابهها إلی محکمها ولا تتّبعوا متشابهها دون محکمها فتضلّوا</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من المحکم هو خصوص النصوص من الکتاب والروایات دون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المحکم ما یقابل المتشابه، والمتشابه بمعنی المبهم والمجمل فکلّ ما لا یکون مبهماً محکم، فیعمّ المحکم النصّ والظاهر معاً لأنّ الظاهر أیضاً لا یعدّ عند العرف والعقلاء من المبهم، ویشهد لذلک ذیل الخبر لأنّه یدلّ علی أنّ الأخبار أیضاً تنقسم إلی المحکم والمتشابه، ولم یقل أحد حتّی من الأخباریین بأنّ ظواهر الأخبار داخلة فی المتشابه ولا یمکن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یعبّر من الروایات بقوله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سمعت قول اللَّه </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w:t>
      </w:r>
      <w:bookmarkStart w:id="85" w:name="pg16918_187279"/>
    </w:p>
    <w:p>
      <w:pPr>
        <w:pStyle w:val="BookText"/>
        <w:rPr/>
      </w:pPr>
      <w:bookmarkEnd w:id="85"/>
      <w:r>
        <w:rPr>
          <w:rFonts w:ascii="IRNazanin" w:hAnsi="IRNazanin" w:eastAsia="IRNazanin"/>
          <w:color w:val="111111"/>
          <w:sz w:val="28"/>
          <w:sz w:val="28"/>
          <w:szCs w:val="28"/>
          <w:rtl w:val="true"/>
          <w:lang w:bidi="fa-IR"/>
        </w:rPr>
        <w:t>ظاهرها أیضاً أنّ ظاهر الکتاب حجّة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لا یخاطب الخلق بما لا یعلمون</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فإنّه ظاهر فی أنّ خلق اللَّه تعالی یدرکون ما أنزله ویکون ظاهره حجّة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واحدة من هذه الروایات تدلّ علی المقصود مستقلًاّ، ولو سلّمنا عدم دلالة بعضها، فلا أقلّ من أنّ فی مجموعها غنیً وکفایة</w:t>
      </w:r>
      <w:r>
        <w:rPr>
          <w:rFonts w:eastAsia="IRNazanin" w:cs="IRNazanin"/>
          <w:color w:val="111111"/>
          <w:sz w:val="28"/>
          <w:szCs w:val="28"/>
          <w:rtl w:val="true"/>
          <w:lang w:bidi="fa-IR"/>
        </w:rPr>
        <w:t>.</w:t>
      </w:r>
    </w:p>
    <w:p>
      <w:pPr>
        <w:pStyle w:val="Heading4"/>
        <w:numPr>
          <w:ilvl w:val="3"/>
          <w:numId w:val="1"/>
        </w:numPr>
        <w:rPr/>
      </w:pPr>
      <w:bookmarkStart w:id="86" w:name="__RefHeading___Toc95982_3244359995"/>
      <w:bookmarkStart w:id="87" w:name="_Toc31"/>
      <w:bookmarkEnd w:id="86"/>
      <w:r>
        <w:rPr>
          <w:rtl w:val="true"/>
        </w:rPr>
        <w:t>أدلّة الأخباریین حول تقیید حجّیة ظواهر الکتاب ونقدها</w:t>
      </w:r>
      <w:bookmarkEnd w:id="87"/>
    </w:p>
    <w:p>
      <w:pPr>
        <w:pStyle w:val="BookText"/>
        <w:rPr/>
      </w:pPr>
      <w:r>
        <w:rPr>
          <w:rFonts w:ascii="IRNazanin" w:hAnsi="IRNazanin" w:eastAsia="IRNazanin"/>
          <w:color w:val="111111"/>
          <w:sz w:val="28"/>
          <w:sz w:val="28"/>
          <w:szCs w:val="28"/>
          <w:rtl w:val="true"/>
          <w:lang w:bidi="fa-IR"/>
        </w:rPr>
        <w:t>استدلّ الأخباریون لعدم حجّیة الظواهر قبل ورود تفسیرها من قبل العترة الطاهرة علیهم السلام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الناهیّة عن التفسیر بالرأی، نظیر ما روی عن الرضا علیه السلام عن آبائه علیهم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آمن بی من فسّر برأیه کلامی</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بتقریب أنّ الأخذ بالظاهر من مصادیق التفسیر بالرأی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التفسیر هنا بشهادة اللغویین هو کشف المراد عن اللفظ المشکل، فبناءً علی هذا ینحصر تفسیر القرآن ببطونه وبمتشابهاته، ولا یشمل الأخذ بظواهر الآیات نظیر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 کما أنّ الظاهر من الرأی هو الآراء الباطلة الّتی لا أساس لها، کما یشهد به ما رواه عمّار بن موسی،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الحکومة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حکم برأیه بین اثنین فقد کفر، ومن فسّر آیة من کتاب اللَّه فقد کفر</w:t>
      </w:r>
      <w:r>
        <w:rPr>
          <w:rFonts w:eastAsia="IRNazanin" w:cs="IRNazanin"/>
          <w:color w:val="111111"/>
          <w:sz w:val="28"/>
          <w:szCs w:val="28"/>
          <w:rtl w:val="true"/>
          <w:lang w:bidi="fa-IR"/>
        </w:rPr>
        <w:t>»</w:t>
      </w:r>
      <w:r>
        <w:rPr>
          <w:rStyle w:val="FootnoteAnchor"/>
          <w:rtl w:val="true"/>
        </w:rPr>
        <w:footnoteReference w:id="6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وعلیه فالمراد من الرأی لیس إلّاالقیاس وما شابهه من الآراء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الناهیّة عن العمل بالمتشابهات، کروایة إسماعیل بن جابر، عن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هلک الناس فی المتشابه؛ لأنّه لم یقفوا علی معناه ولم یعرفوا حقیقته، فوضعوا له تأویلًا من عند أنفسهم بآرائهم، واستغنوا بذلک عن مسألة الأوصیاء ونبذوا قول رسول اللَّه صلی الله علیه و آله وراء ظهورهم</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 واضح؛ لأنّ المتشابه هو ما یتشابه بعضه بعضاً، أی ما یشابه فیه أحد احتمالین احتمالًا آخر، ویوجب الحیرة فیصیر مجملًا ومبهماً، وإلّا ما لم یکن فیه تشابه بین الاحتمالین بل کان أحدهما ظاهراً والآخر مخالفاً للظاهر لا یکون متشابهاً حتّی یکون مصداقاً لهذه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علی ذلک ما ورد فی نفس هذه الروایة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لم یقفوا علی معناه ولم یعرفوا حقیقته فوضعوا له تأویلًا من عند أنفسهم بآرائهم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یکون صادقاً فی العمل بالظواهر والمطلقات والعمومات؛ لأنّ المعنی فیها مفهوم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ذیل آیة المحکم والمتشابه من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فِی قُلُوبِهِمْ زَیْغٌ فَیَتَّبِعُونَ مَا تَشَابَهَ مِنْهُ ابْتِغَاءَ الْفِتْنَةِ</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حیث لا یخفی أنّ العمل بالظواهر لا یکون فیه ابتغاء الفتنة، بل الفتنة تنشأ من ناحیة اتّباع الذین فی قلوبهم‌المرض بعض الاحتمالات من دون دلیل علیه، وهذا صادق فی ما لیس له ظهور أو ما یخالف ظاهر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ظواهر الکتاب وإن لم تکن بذاتها داخلًا فی المتشابه، لکنّه مندرج فیه بالعرض، فلایجوز العمل بها، وذلک لأجل العلم الإجمالی بطروّ التخصیص والتقیید والتجوّز فی الکتاب، ومع هذا العلم الإجمالی کیف یمکن الأخذ بظواهره؟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ویناقش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الإجمالی یمنع عن التمسّک بالظواهر قبل الفحص لا بعده،</w:t>
      </w:r>
    </w:p>
    <w:p>
      <w:pPr>
        <w:pStyle w:val="BookText"/>
        <w:rPr/>
      </w:pPr>
      <w:r>
        <w:rPr>
          <w:rFonts w:ascii="IRNazanin" w:hAnsi="IRNazanin" w:eastAsia="IRNazanin"/>
          <w:color w:val="111111"/>
          <w:sz w:val="28"/>
          <w:sz w:val="28"/>
          <w:szCs w:val="28"/>
          <w:rtl w:val="true"/>
          <w:lang w:bidi="fa-IR"/>
        </w:rPr>
        <w:t>فبعد الفحص إذا لم نظفر بما یخالف ظاهر الکتاب من تخصیص أو تقیید أو قرینة مجاز یکون ذلک الظاهر ممّا علم خروجه تفصیلًا عن أطراف الشبهة، فلا مانع حینئذٍ من إجراء أصالة الظهور فیه، و إلّافیجب القول بعدم حجّیة ظواهر الأخبار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تدلّ علی أنّ للقرآن مفاهیم عالیة لا تصل إلیها أفهام عامّة الناس القاصرة، وأنّ مخاطب القرآن إنّما هو الرسول صلی الله علیه و آله والأئمّة الهادین علیهم السلام، کروایة سدیر، عن أبی عبداللَّه علیه السلام فی حدیث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عندنا علم الکتاب کلّه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وما رواه زید الشحّام، عن أبی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یعرف القرآن من خوطب به</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من هذه الروایات أنّ معارف القرآن بجمیع شؤونه من المحکم والمتشابه والظاهر والباطن لا یفهمها غیر رسول اللَّه صلی الله علیه و آله والأئمّة المعصومین علیهم السلام، وإلّا فقد عرفت أنّ الأخبار الدالّة علی إرجاع آحاد الناس إلی الکتاب العزیز متواترة، وقد ورد فی الکتاب نفسه مخاطبة الناس بل الکفّار والمشرکین منهم بمثل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یبتنی علی مزعمة تحریف القرآن، وهو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نعلم إجمالًا بوقوع التحریف فی الکتاب، وکلّ ما وقع فیه التحریف یسقط ظهوره عن الحجّیة، فظواهر کلام اللَّه تسقط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تحریف القرآن مزعمة سخیفة باطلة، کما سیأتی بیانه إن‌شاءاللَّه تعالی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وقوع التحریف فی الکتاب لکنّه لا یوجب المنع عن حجّیة ظواهره، وذلک لأنّ الأخبار الدالّة علی لزوم الأخذ بظواهر کتاب اللَّه الّتی مرّت سابقاً لا تدعونا إلّاإلی العمل بهذا القرآن الموجود فی أیدی المسلمین، وتلاوة آیات هذا القرآن الذی وصل إلینا من عهد الصادقین علیهما السلام سواء فرضنا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تحریفه بعد رسول اللَّه صلی الله علیه و آله وقبل جمعه فی عهد عثمان أو لم نقل به کما هو الحقّ</w:t>
      </w:r>
      <w:bookmarkStart w:id="88" w:name="pg16918_187282"/>
    </w:p>
    <w:p>
      <w:pPr>
        <w:pStyle w:val="BookText"/>
        <w:rPr/>
      </w:pPr>
      <w:bookmarkEnd w:id="88"/>
      <w:r>
        <w:rPr>
          <w:rFonts w:ascii="IRNazanin" w:hAnsi="IRNazanin" w:eastAsia="IRNazanin"/>
          <w:color w:val="111111"/>
          <w:sz w:val="28"/>
          <w:sz w:val="28"/>
          <w:szCs w:val="28"/>
          <w:rtl w:val="true"/>
          <w:lang w:bidi="fa-IR"/>
        </w:rPr>
        <w:t>الحقیق بالتصدیق، فظواهره حجّة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سیأتی من الأدلّة الوافیة الکافیة فی إثبات عدم وقوع التحریف فی الکتاب العزیز</w:t>
      </w:r>
      <w:r>
        <w:rPr>
          <w:rFonts w:eastAsia="IRNazanin" w:cs="IRNazanin"/>
          <w:color w:val="111111"/>
          <w:sz w:val="28"/>
          <w:szCs w:val="28"/>
          <w:rtl w:val="true"/>
          <w:lang w:bidi="fa-IR"/>
        </w:rPr>
        <w:t>.</w:t>
      </w:r>
    </w:p>
    <w:p>
      <w:pPr>
        <w:pStyle w:val="Heading3"/>
        <w:numPr>
          <w:ilvl w:val="2"/>
          <w:numId w:val="1"/>
        </w:numPr>
        <w:rPr/>
      </w:pPr>
      <w:bookmarkStart w:id="89" w:name="__RefHeading___Toc95984_3244359995"/>
      <w:bookmarkStart w:id="90" w:name="_Toc32"/>
      <w:bookmarkEnd w:id="89"/>
      <w:r>
        <w:rPr/>
        <w:t>4</w:t>
      </w:r>
      <w:r>
        <w:rPr>
          <w:rtl w:val="true"/>
        </w:rPr>
        <w:t xml:space="preserve">. </w:t>
      </w:r>
      <w:r>
        <w:rPr>
          <w:rtl w:val="true"/>
        </w:rPr>
        <w:t>الکلام فی عدم تحریف الکتاب العزیز</w:t>
      </w:r>
      <w:bookmarkEnd w:id="90"/>
    </w:p>
    <w:p>
      <w:pPr>
        <w:pStyle w:val="Heading4"/>
        <w:numPr>
          <w:ilvl w:val="3"/>
          <w:numId w:val="1"/>
        </w:numPr>
        <w:rPr/>
      </w:pPr>
      <w:bookmarkStart w:id="91" w:name="__RefHeading___Toc95986_3244359995"/>
      <w:bookmarkStart w:id="92" w:name="_Toc33"/>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والبحث عن عدم تمامیّة دعوی وقوع التحریف فی القرآن یحتاج إلی بسط القول فی امور</w:t>
      </w:r>
      <w:r>
        <w:rPr>
          <w:rFonts w:eastAsia="IRNazanin" w:cs="IRNazanin"/>
          <w:color w:val="111111"/>
          <w:sz w:val="28"/>
          <w:szCs w:val="28"/>
          <w:rtl w:val="true"/>
          <w:lang w:bidi="fa-IR"/>
        </w:rPr>
        <w:t>:</w:t>
      </w:r>
    </w:p>
    <w:p>
      <w:pPr>
        <w:pStyle w:val="Heading4"/>
        <w:numPr>
          <w:ilvl w:val="3"/>
          <w:numId w:val="1"/>
        </w:numPr>
        <w:rPr/>
      </w:pPr>
      <w:bookmarkStart w:id="93" w:name="__RefHeading___Toc95988_3244359995"/>
      <w:bookmarkStart w:id="94" w:name="_Toc34"/>
      <w:bookmarkEnd w:id="93"/>
      <w:r>
        <w:rPr>
          <w:rtl w:val="true"/>
        </w:rPr>
        <w:t>الأوّل</w:t>
      </w:r>
      <w:r>
        <w:rPr>
          <w:rtl w:val="true"/>
        </w:rPr>
        <w:t xml:space="preserve">: </w:t>
      </w:r>
      <w:r>
        <w:rPr>
          <w:rtl w:val="true"/>
        </w:rPr>
        <w:t>تعیین موضع النزاع</w:t>
      </w:r>
      <w:bookmarkEnd w:id="94"/>
    </w:p>
    <w:p>
      <w:pPr>
        <w:pStyle w:val="BookText"/>
        <w:rPr/>
      </w:pPr>
      <w:r>
        <w:rPr>
          <w:rFonts w:ascii="Amiri" w:hAnsi="Amiri" w:eastAsia="Amiri" w:cs="Amiri"/>
          <w:color w:val="111111"/>
          <w:sz w:val="28"/>
          <w:sz w:val="28"/>
          <w:szCs w:val="28"/>
          <w:rtl w:val="true"/>
          <w:lang w:bidi="ar-SA"/>
        </w:rPr>
        <w:t>إنّ التحریف علی قسمین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لفظی ومعنوی، والمعنوی منه تارةً یکون بتغییر المعنی کما إذا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وَرَسُولُهُ والمؤمنون </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بمعنی الصدیق والحبیب لا بمعنی المولی الحاکم والولیّ فی التصرّف، واخری بتطبیقه علی غیر مورده نظیر ما یحکی عن معاویة فی قصّة سمرة بن جندب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 مَرْضَاةِ اللَّه وَاللَّه رَؤُوفٌ بِالْعِبَادِ</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فطلب منه أن یعلن أنّ هذه الآیة نزلت فی عبدالرحمن بن ملجم أشقی الآخرین وقاتل علی علیه السلام بالسیف وأنّ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یُعْجِبُکَ قَولُهُ فِی الحَیوةَ الدُنْیَا</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 علیه السلام وقد فعله سمرة بعد أن أخذ منه مائة ألف من الدراهم من بیت مال المسلمین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إشکال فی وقوع هذا النوع من التحریف بکلا قسمیه فی مرّ التاریخ بأیدی</w:t>
      </w:r>
    </w:p>
    <w:p>
      <w:pPr>
        <w:pStyle w:val="BookText"/>
        <w:rPr/>
      </w:pPr>
      <w:r>
        <w:rPr>
          <w:rFonts w:ascii="IRNazanin" w:hAnsi="IRNazanin" w:eastAsia="IRNazanin"/>
          <w:color w:val="111111"/>
          <w:sz w:val="28"/>
          <w:sz w:val="28"/>
          <w:szCs w:val="28"/>
          <w:rtl w:val="true"/>
          <w:lang w:bidi="fa-IR"/>
        </w:rPr>
        <w:t>الطواغیت والفِرق الضالّة المضلّة، ولکنّه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التحریف اللفظی فیتصوّر إمّا بالزیادة أو بالنقیصة أو بالتغییر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وقوع التحریف بالزیادة مجمع علی بطلانه ولم یقل به أحد، والظاهر أنّ سببه کون القرآن فی حدّ من الإعجاز بحیث لو اضیف إلیه شی‌ء یعرف عادةً، فینحصر موضع النزاع فی التحریف اللفظی بالنقیصة أو التغییر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والمشهور بین المسلمین عدم وقوع التحریف فی القرآن بهذه الصورة أیضاً، وادّعی شرذمة قلیلة ممّن لا یعتنی بشأنهم من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اعتقادنا أنّ القرآن الذی أنزل اللَّه علی نبیّه هو ما بین الدفّتین ولیس بأکثر من ذلک، ومن نسب إلینا بأنّا نقول أنّه أکثر من ذلک فهو کاذب</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المرتضی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 ینقص من القرآن، وأنّ من خالف فی ذلک من الإمامیّة والحشویة لا یعتدّ بخلافهم، فإنّ الخلاف فی ذلک مضاف إلی قوم من أصحاب الحدیث نقلوا أخباراً ضعیفة ظنّوا صحّتها لا یرجع بمثلها عن المعلوم المقطوع علی صحّته</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شیخ الطائفة الشیخ الطوسی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الکلام فی زیادته ونقصانه فممّا لا یلیق به أیضاً لأنّ الزیادة فیه مجمع علی بطلانها، والنقصان منه فالظاهر أیضاً من مذهب المسلمین خلافه</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کاشف الغطاء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ریب أنّه محفوظ من النقصان بحفظ الملک الدیّان، کما دلّ علیه صریح القرآن وإجماع العلماء فی کلّ زمان ولا عبرة بنادر</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أکابر الشیعة قدیماً و حدیثاً</w:t>
      </w:r>
      <w:r>
        <w:rPr>
          <w:rFonts w:eastAsia="IRNazanin" w:cs="IRNazanin"/>
          <w:color w:val="111111"/>
          <w:sz w:val="28"/>
          <w:szCs w:val="28"/>
          <w:rtl w:val="true"/>
          <w:lang w:bidi="fa-IR"/>
        </w:rPr>
        <w:t>.</w:t>
      </w:r>
      <w:bookmarkStart w:id="95" w:name="pg16918_187284"/>
    </w:p>
    <w:p>
      <w:pPr>
        <w:pStyle w:val="BookText"/>
        <w:rPr/>
      </w:pPr>
      <w:bookmarkEnd w:id="95"/>
      <w:r>
        <w:rPr>
          <w:rFonts w:ascii="IRNazanin" w:hAnsi="IRNazanin" w:eastAsia="IRNazanin"/>
          <w:color w:val="111111"/>
          <w:sz w:val="28"/>
          <w:sz w:val="28"/>
          <w:szCs w:val="28"/>
          <w:rtl w:val="true"/>
          <w:lang w:bidi="fa-IR"/>
        </w:rPr>
        <w:t>وقد ذکر القرطبی من أهل السنّة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بین الامّة ولا بین أئمّة أهل السنّة، أنّ القرآن اسم لکلام اللَّه تعالی الذی جاء به محمّد صلی الله علیه و آله معجزة له، وأنّه محفوظ فی الصدور، مقروء بالألسنة، مکتوب فی المصاحف، مبرّأة من الزیادة علیه أو النقصان</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الرافعی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جماعة من أهل الکلام ممّن لا صناعة لهم إلّاالظنّ والتأویل واستخراج الأسالیب الجدلیّة من کلّ حکم وکلّ قول إلی جواز أن یکون قد سقط من القرآن شی‌ء</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جمهور العلماء من الفریقین علی بطلان دعوی التحریف، ولا یقول به إلّاالشاذّ الذی لا یعتنی بشأنه من کلتا الطائفتین</w:t>
      </w:r>
      <w:r>
        <w:rPr>
          <w:rFonts w:eastAsia="IRNazanin" w:cs="IRNazanin"/>
          <w:color w:val="111111"/>
          <w:sz w:val="28"/>
          <w:szCs w:val="28"/>
          <w:rtl w:val="true"/>
          <w:lang w:bidi="fa-IR"/>
        </w:rPr>
        <w:t>.</w:t>
      </w:r>
    </w:p>
    <w:p>
      <w:pPr>
        <w:pStyle w:val="Heading4"/>
        <w:numPr>
          <w:ilvl w:val="3"/>
          <w:numId w:val="1"/>
        </w:numPr>
        <w:rPr/>
      </w:pPr>
      <w:bookmarkStart w:id="96" w:name="__RefHeading___Toc95990_3244359995"/>
      <w:bookmarkStart w:id="97" w:name="_Toc35"/>
      <w:bookmarkEnd w:id="96"/>
      <w:r>
        <w:rPr>
          <w:rtl w:val="true"/>
        </w:rPr>
        <w:t>الثانی</w:t>
      </w:r>
      <w:r>
        <w:rPr>
          <w:rtl w:val="true"/>
        </w:rPr>
        <w:t xml:space="preserve">: </w:t>
      </w:r>
      <w:r>
        <w:rPr>
          <w:rtl w:val="true"/>
        </w:rPr>
        <w:t>أدلّة القائلین بعدم التحریف</w:t>
      </w:r>
      <w:bookmarkEnd w:id="97"/>
    </w:p>
    <w:p>
      <w:pPr>
        <w:pStyle w:val="BookText"/>
        <w:rPr/>
      </w:pPr>
      <w:r>
        <w:rPr>
          <w:rFonts w:ascii="IRNazanin" w:hAnsi="IRNazanin" w:eastAsia="IRNazanin"/>
          <w:color w:val="111111"/>
          <w:sz w:val="28"/>
          <w:sz w:val="28"/>
          <w:szCs w:val="28"/>
          <w:rtl w:val="true"/>
          <w:lang w:bidi="fa-IR"/>
        </w:rPr>
        <w:t>إستدلّ القائلون بعدم تحریف القرآن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اهتمام النّبی الأکرم صلی الله علیه و آله بحفظ القرآن وقراءته وجمعه، وإهتمام المسلمین بذلک ویوجد علیها قرائن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کتّاب الوحی وإهتمام النّبی صلی الله علیه و آله بکتابة القرآن، وقد نقل أنّه کان عنده لهذه المهمّة کتّاب کثیرون، والروایات فی عددهم مختلفة من أربعة عشر کاتباً إلی ثلاثة وأربعین </w:t>
      </w:r>
      <w:r>
        <w:rPr>
          <w:rStyle w:val="FootnoteAnchor"/>
          <w:rtl w:val="true"/>
        </w:rPr>
        <w:footnoteReference w:id="77"/>
      </w:r>
      <w:r>
        <w:rPr>
          <w:rFonts w:ascii="IRNazanin" w:hAnsi="IRNazanin" w:eastAsia="IRNazanin"/>
          <w:color w:val="111111"/>
          <w:sz w:val="28"/>
          <w:sz w:val="28"/>
          <w:szCs w:val="28"/>
          <w:rtl w:val="true"/>
          <w:lang w:bidi="fa-IR"/>
        </w:rPr>
        <w:t>، وهذا یوجب عادةً أن یکون القرآن مجموعاً علی عهده صلی الله علیه و آله، مصوناً عن الزیادة و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صرّح فیها بأنّ القرآن قد جمع علی عهد رسول اللَّه صلی الله علیه و آله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ونسبة الجمع إلی أبی بکر وعمر فلعلّها نشأ من حرص بعض الناس علی تکثیر مناقب الشیخین، وإلّا فلا دلیل یعتدّ 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السیّد المرتضی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کان یدرس ویحفظ جمیعه فی ذلک الزمان حتّی عیّن علی جماعة من الصحابة فی حفظهم له وإنّه کان یعرض علی النّبی صلی الله علیه و آله ویتلی علیه، وإنّ جماعة من الصحابة مثل عبداللَّه بن مسعود وابیّ بن کعب وغیرهما ختموا القرآن علی النّبی صلی الله علیه و آله عدّة ختمات وکلّ ذلک یدلّ بأدنی تأمّل علی أنّه کان مجموعاً مرتّباً غیر مبتور ولا مبثوث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فی الروایات من أنّ علیّاً علیه السلام لزم بیته بعد وفاة رسول اللَّه صلی الله علیه و آله ولم یخرج من بیته حتّی جمع القرآن مع تنزیله وتأویله والناسخ منه والمنسوخ، فهو بحسب الواقع جمع لتفسیر القرآن الکریم، ویشهد لذلک عدّة من الروایات، لا أنّه کان فیه زیادة علی هذه الآیات الموجودة أو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ولزیادة التوضیح راجع کتابنا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w:t>
      </w:r>
    </w:p>
    <w:p>
      <w:pPr>
        <w:pStyle w:val="BookText"/>
        <w:rPr/>
      </w:pPr>
      <w:r>
        <w:rPr>
          <w:rFonts w:ascii="IRNazanin" w:hAnsi="IRNazanin" w:eastAsia="IRNazanin"/>
          <w:color w:val="111111"/>
          <w:sz w:val="28"/>
          <w:sz w:val="28"/>
          <w:szCs w:val="28"/>
          <w:rtl w:val="true"/>
          <w:lang w:bidi="fa-IR"/>
        </w:rPr>
        <w:t>جملتها ما رواه البخاری فی صحیحه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القرآن علی عهد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کلّهم من الأنصار، ابی بن کعب، ومعاذ بن جبل، وزید بن ثابت، وأبو زید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هذه الروایات ما رواه النسائی بسنده عن عبداللَّه بن عمرو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جمعت القرآن فقرأت به فی کلّ لیلة، فبلغ ذلک النّبی صلی الله علیه و آله فقال اقرء به فی کلّ شهر</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الأسامی المشهورة لسورة الحمد هو فاتحة الکتاب، والروایات الّتی لعلّها بالغة إلی حدّ التواتر تدلّ علی أنّ الرسول صلی الله علیه و آله نفسه سمّاها بهذا الاسم </w:t>
      </w:r>
      <w:r>
        <w:rPr>
          <w:rStyle w:val="FootnoteAnchor"/>
          <w:rtl w:val="true"/>
        </w:rPr>
        <w:footnoteReference w:id="81"/>
      </w:r>
      <w:r>
        <w:rPr>
          <w:rFonts w:ascii="IRNazanin" w:hAnsi="IRNazanin" w:eastAsia="IRNazanin"/>
          <w:color w:val="111111"/>
          <w:sz w:val="28"/>
          <w:sz w:val="28"/>
          <w:szCs w:val="28"/>
          <w:rtl w:val="true"/>
          <w:lang w:bidi="fa-IR"/>
        </w:rPr>
        <w:t>، مع أنّ سورة الحمد لم تکن أوّل سورة نزلت من القرآن، بل 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السور المدنیّة لا المکّیة، فلو لم یکن القرآن قد جمع فی عهد رسول اللَّه صلی الله علیه و آله لم</w:t>
      </w:r>
    </w:p>
    <w:p>
      <w:pPr>
        <w:pStyle w:val="BookText"/>
        <w:rPr/>
      </w:pPr>
      <w:r>
        <w:rPr>
          <w:rFonts w:ascii="IRNazanin" w:hAnsi="IRNazanin" w:eastAsia="IRNazanin"/>
          <w:color w:val="111111"/>
          <w:sz w:val="28"/>
          <w:sz w:val="28"/>
          <w:szCs w:val="28"/>
          <w:rtl w:val="true"/>
          <w:lang w:bidi="fa-IR"/>
        </w:rPr>
        <w:t>یکن وجه لتسمیتها بفاتحة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یَعْلَمُ أَنَّکَ تَقُومُ أَدْنَی مِنْ ثُلُثَی اللَّیْلِ وَنِصْفَهُ وَثُلُثَهُ وَطَائِفَةٌ مِنْ الَّذِینَ مَعَکَ وَاللَّه یُقَدِّرُ اللَّیْلَ وَالنَّهَارَ عَلِمَ أَنْ لَنْ تُحْصُوهُ فَتَابَ عَلَیْکُمْ فَاقْرَءُوا مَا تَیَسَّرَ مِنْ الْقُرْآنِ</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فهذه تدلّ علی شدّة إهتمام النّبی صلی الله علیه و آله والمسلمین بقراءة القرآن من الصدر الأوّل، حتّی إنّهم کانوا یقومون کثیراً من اللیل لم یکن لهم همّ إلّاتلاوة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الأخبار ما یدلّ علی إهتمام المسلمین بتلاوته فإذا مرّ علیهم أحد یسمع لهم دویّاً کدویّ النحل، واهتمامهم بحفظه وتعلیمه حتّی صاروا یجعلون تعلیمه مهراً لأزواجهم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ملاحظة هذه القرائن نقطع بعدم إمکان أن تمتد ید التحریف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من نفس الکتاب العزیز تدلّ صریحاً علی عدم التحریف، ولا یخفی أنّ الاستدلال بها لیس دوریاً؛ لأنّ المدّعی یدّعی التحریف بالنقیصة لا الزیادة فإنّ الزیادة مجمع علی بطلانها والقرآن الموجود فی یومنا هذا بما فیه من الآیات مقبول عند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یَا أَیُّهَا الَّذِی نُزِّلَ عَلَیْهِ الذِّکْرُ إِنَّکَ لَمجْنُونٌ لَوْ مَا تَأْتِینَا بِالْمَلَائِکَةِ إِنْ کُنْتَ 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نُنَزِّلُ الْمَلَائِکَةَ إِلَّا بِالْحَقِّ وَمَا کَانُوا إِذاً مُنْظَرِینَ إِنَّا نَحْنُ نَزَّلْنَا الذِّکْرَ وَإِنَّا لَهُ لَحَافِظُونَ</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معنی کلمة الذکر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القرآن،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یَا أَیُّهَا الَّذِی نُزِّلَ عَلَیْهِ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قطعی علی ذلک، بل هذه الآیة تدلّ علی شهرة هذا الاسم للقرآن بحیث یستعمله الکفّار المنکرون للوحی أیضاً، وحفظه بإطلاقه یشمل الحفظ من جمیع الجهات من الزیادة والنقصان والتغییر والغلبة علیه وغیرها، ولا دلیل علی التحدید والتقیید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لَکِتَابٌ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لَایَأْتِیهِ الْبَاطِلُ مِنْ بَیْنِ یَدَیْهِ وَلَا مِنْ خَلْفِهِ تَنزِیلٌ مِنْ حَکِیمٍ حَمِیدٍ</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من الباطل فی هذه الآیة هو مطلق البطلان، فیکون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یأتیه أیّ باطل من أیّ جهة من الجهات کما ورد فی 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تناقض فی ألفاظه ولا کذب فی أخباره ولا یعارض ولا یزاد فیه ولا یغیّر</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وجه للتقیید ما دام لم توجد قرینة علیه، وقوله تعالی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مِنْ حَکِیمٍ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التعلیل للصدر؛ أی کما أنّ المنزل منه یکون عالماً حکیماً ومنعماً حمیداً إلی الأبد، لابدّ أن یکون المنزل الذی هو حکمة من جانب ونعمة من جانب آخر باقیاً بین الناس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من عدم إتیان الباطل عدمه علی نهج القضیّة الکلّیة فهو قطعی البطلان؛ لأنّ کثیراً من الأعداء أرادوا بطلانه أو فسّروه علی غیر وجهه، وإن کان المراد عدم الإتیان علی نهج القضیّة الجزئیّة، فهو یصدق بالنسبة إلی المصحف الموجود عند الإمام الحجّة علیه السلام، فلا یثبت عدم إتیانه الباطل بالإضافة إلی غیره من المصاحف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فی‌الآیةالسابقة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إتیان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مفهوم عرفی والقرآن کتاب للهدایة فلا یصدق هذا العنوان إذا لم یکن القرآن محفوظاً بین الناس لهدایتهم وإن کان محفوظاً عند الإمام المهدی علیه السلام، فلیس عنده إلّاهذا القرآن الذی بأیدینا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عدم 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الثقلین المتواتر من طرق العامّة والخاصّة</w:t>
      </w:r>
      <w:r>
        <w:rPr>
          <w:rStyle w:val="FootnoteAnchor"/>
          <w:rtl w:val="true"/>
        </w:rPr>
        <w:footnoteReference w:id="86"/>
      </w:r>
      <w:r>
        <w:rPr>
          <w:rFonts w:ascii="IRNazanin" w:hAnsi="IRNazanin" w:eastAsia="IRNazanin"/>
          <w:color w:val="111111"/>
          <w:sz w:val="28"/>
          <w:sz w:val="28"/>
          <w:szCs w:val="28"/>
          <w:rtl w:val="true"/>
          <w:lang w:bidi="fa-IR"/>
        </w:rPr>
        <w:t>الواردة فی ذیلها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w:t>
      </w:r>
    </w:p>
    <w:p>
      <w:pPr>
        <w:pStyle w:val="BookText"/>
        <w:rPr/>
      </w:pPr>
      <w:r>
        <w:rPr>
          <w:rFonts w:ascii="Amiri" w:hAnsi="Amiri" w:eastAsia="Amiri" w:cs="Amiri"/>
          <w:color w:val="111111"/>
          <w:sz w:val="28"/>
          <w:sz w:val="28"/>
          <w:szCs w:val="28"/>
          <w:rtl w:val="true"/>
          <w:lang w:bidi="ar-SA"/>
        </w:rPr>
        <w:t>تمسّکتم بهما لن تضلّوا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بعض الطرق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تضلّوا أبداً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مقتضی الذیل</w:t>
      </w:r>
    </w:p>
    <w:p>
      <w:pPr>
        <w:pStyle w:val="BookText"/>
        <w:rPr/>
      </w:pPr>
      <w:r>
        <w:rPr>
          <w:rFonts w:ascii="IRNazanin" w:hAnsi="IRNazanin" w:eastAsia="IRNazanin"/>
          <w:color w:val="111111"/>
          <w:sz w:val="28"/>
          <w:sz w:val="28"/>
          <w:szCs w:val="28"/>
          <w:rtl w:val="true"/>
          <w:lang w:bidi="fa-IR"/>
        </w:rPr>
        <w:t>بقاء ما یمکن أن یتمسّک به بعد رسول اللَّه صلی الله علیه و آله إلی الأبد، مع أن التحریف بحذف بعض الآیات یوجب سلب الاعتماد عن سائر الآیات؛ لأنّ القرآن یفسّر بعضه بعضاً، فتسقط بقیّة الآیات عن الحجّیة، فالأمر بالتمسّک به وعدم الضلالة لو تمسّکوا به إلی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کلمة 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حفظ القرآن الموجود فی عصره صلی الله علیه و آله إلی الأبد،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مقتضاه عدم ضلالة الامّة إذا تمسّکوا بهذا الکتاب العزیز، والقول بالتحریف بالنقیصة من شأنه عدم الهدایة بالقرآن، فلا یأمن من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ظاهرها أنّ القرآن معیار لمعرفة الحقّ والباطل فی الروایات مطلقاً، وتأمرنا بعرض الروایات جمیعها علیه </w:t>
      </w:r>
      <w:r>
        <w:rPr>
          <w:rStyle w:val="FootnoteAnchor"/>
          <w:rtl w:val="true"/>
        </w:rPr>
        <w:footnoteReference w:id="87"/>
      </w:r>
      <w:r>
        <w:rPr>
          <w:rFonts w:ascii="IRNazanin" w:hAnsi="IRNazanin" w:eastAsia="IRNazanin"/>
          <w:color w:val="111111"/>
          <w:sz w:val="28"/>
          <w:sz w:val="28"/>
          <w:szCs w:val="28"/>
          <w:rtl w:val="true"/>
          <w:lang w:bidi="fa-IR"/>
        </w:rPr>
        <w:t>، وهی تنافی تحریف القرآن؛ لأنّ تحریفه یلازم حذف ما کان معیاراً للعدید من الروایات، ولازمه کون القرآن معیاراً نسبیاً لا مطلقاً بحیث یعمّ جمیع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تأمرنا وتشوّقنا باتّباع القرآن والاهتداء به، وهی ظاهرة فی أنّه سبب تامّ للهدایة، مثل ما ورد فی نهج البلاغة فی ذمّ الأخذ بالأقیسة والاستحسانات والآراء الظنّیة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أَنْزَلَ اللَّهُ سُبْحَانَهُ دِیناً ناقِصاً فَاسْتَعَانَ بِهِمْ عَلَی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کانُوا شُرَکاءَ لَهُ، فَلَهُمْ أَنْ یَقُولُوا وَعَلَیْهِ أَنْ یَرْضَی؟ أمْ أنْزَلَ اللَّهُ سُبْحَانَهُ دِیناً تَامًّا فَقَصَّرَ الرَّسُولُ صلی الله علیه و آله عَنْ تَبْلِیغِهِ وَأَدَائِهِ، وَاللَّهُ سُبْحَانَهُ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تِبْیَانٌ لِکُلّ شَیْ‌ءٍ</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 فیه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وَکِتَابُ اللَّهِ بَیْنَ أَظْهُرِکُمْ نَاطِقٌ لَایَعْیَا لِسَانُهُ، وَبَیْتٌ لَاتُهْدَمُ أَرْکَانُهُ، وَعِزٌّ لَاتُهْزَمُ أَعْوَانُهُ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عَلَیْهِ الْکِتَابَ نُوراً لَا تُطْفَأُ مَصَابِیحُهُ، وَسِرَاجاً لَا یَخْبُو</w:t>
      </w:r>
      <w:bookmarkStart w:id="98" w:name="pg16918_187289"/>
    </w:p>
    <w:p>
      <w:pPr>
        <w:pStyle w:val="BookText"/>
        <w:rPr/>
      </w:pPr>
      <w:bookmarkEnd w:id="98"/>
      <w:r>
        <w:rPr>
          <w:rFonts w:ascii="Amiri" w:hAnsi="Amiri" w:eastAsia="Amiri" w:cs="Amiri"/>
          <w:color w:val="111111"/>
          <w:sz w:val="28"/>
          <w:sz w:val="28"/>
          <w:szCs w:val="28"/>
          <w:rtl w:val="true"/>
          <w:lang w:bidi="ar-SA"/>
        </w:rPr>
        <w:t>تَوَقُّدُهُ، وَبَحْراً لَا یُدْرَکُ قَعْرُهُ، وَمِنْهَاجاً لَا یُضِلُّ نَهْجُهُ، وَ شُعَاعاً لَا یُظْلِمُ ضَوْءُهُ، وَفُرْقَاناً لَا یَخْمَدُ بُرْهَانُهُ، وَتِبْیَاناً لَا تُهْدَمُ أَرْکَانُهُ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 المستفاد من جمیع ذلک أنّ کتاب اللَّه تعالی بجمیع ما أُنزل علی رسول اللَّه صلی الله علیه و آله کان موجوداً بین الناس یستضاء بنور هدایته ویهتدی بهداه، ولو کان الکتاب محرّفاً أو ناقصاً فی شی‌ء من آیاته لما کان له هذه المنزلة وتلک الآثار، خصوصاً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وَکِتَابُ اللَّهِ بَیْنَ أَظْهُرِکُمْ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شاهد لوجود جمیع الکتاب بین أظهر الناس، واحتمال وقوع التحریف فیه بعد زمانه علیه السلام منفی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الأدلّة متضافرة علی بطلان مزعمة التحریف وأنّ کتاب اللَّه محفوظ بین الامّة کما نزل علی رسول اللَّه صلی الله علیه و آله، مضافاً إلی الشهرة القطعیّة بین علماء الفریقین ومحقّقیهم</w:t>
      </w:r>
      <w:r>
        <w:rPr>
          <w:rFonts w:eastAsia="IRNazanin" w:cs="IRNazanin"/>
          <w:color w:val="111111"/>
          <w:sz w:val="28"/>
          <w:szCs w:val="28"/>
          <w:rtl w:val="true"/>
          <w:lang w:bidi="fa-IR"/>
        </w:rPr>
        <w:t>.</w:t>
      </w:r>
    </w:p>
    <w:p>
      <w:pPr>
        <w:pStyle w:val="Heading4"/>
        <w:numPr>
          <w:ilvl w:val="3"/>
          <w:numId w:val="1"/>
        </w:numPr>
        <w:rPr/>
      </w:pPr>
      <w:bookmarkStart w:id="99" w:name="__RefHeading___Toc95992_3244359995"/>
      <w:bookmarkStart w:id="100" w:name="_Toc36"/>
      <w:bookmarkEnd w:id="99"/>
      <w:r>
        <w:rPr>
          <w:rtl w:val="true"/>
        </w:rPr>
        <w:t>الثالث</w:t>
      </w:r>
      <w:r>
        <w:rPr>
          <w:rtl w:val="true"/>
        </w:rPr>
        <w:t xml:space="preserve">: </w:t>
      </w:r>
      <w:r>
        <w:rPr>
          <w:rtl w:val="true"/>
        </w:rPr>
        <w:t>أدلّة القائلین بالتحریف ونقدها</w:t>
      </w:r>
      <w:r>
        <w:rPr>
          <w:rtl w:val="true"/>
        </w:rPr>
        <w:t>:</w:t>
      </w:r>
      <w:bookmarkEnd w:id="100"/>
    </w:p>
    <w:p>
      <w:pPr>
        <w:pStyle w:val="BookText"/>
        <w:rPr/>
      </w:pPr>
      <w:r>
        <w:rPr>
          <w:rFonts w:ascii="IRNazanin" w:hAnsi="IRNazanin" w:eastAsia="IRNazanin"/>
          <w:color w:val="111111"/>
          <w:sz w:val="28"/>
          <w:sz w:val="28"/>
          <w:szCs w:val="28"/>
          <w:rtl w:val="true"/>
          <w:lang w:bidi="fa-IR"/>
        </w:rPr>
        <w:t>وأدلّتهم لیست إلّاروایات أکثرها ضعیفة سنداً أو دلالة، مشوّهة مضیّفة، تشبّث بها قلیل من العامّة وکذا قلیل من الأخباریین من الإمامیّة نذکرها فی ضمن طوائف مع الجواب عنها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لا شکّ فی کونها مجعولة مثل ما دلّ علی حذف ثلث آیات الکتاب العزیز أو أکثر من ذلک وکذا ما یدلّ علی إسقاط آیات کثیرة من سورة واحدة، نظیر ما روی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الذی جاء به جبرئیل إلی محمّد صلی الله علیه و آله سبعة عشر ألف آیة</w:t>
      </w:r>
      <w:r>
        <w:rPr>
          <w:rFonts w:eastAsia="IRNazanin" w:cs="IRNazanin"/>
          <w:color w:val="111111"/>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 وما رواه العامّة عن 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ابیّ بن کعب یا 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کأیّنْ </w:t>
      </w:r>
      <w:r>
        <w:rPr>
          <w:rStyle w:val="FootnoteAnchor"/>
          <w:rtl w:val="true"/>
        </w:rPr>
        <w:footnoteReference w:id="92"/>
      </w:r>
      <w:r>
        <w:rPr>
          <w:rFonts w:ascii="IRNazanin" w:hAnsi="IRNazanin" w:eastAsia="IRNazanin"/>
          <w:color w:val="111111"/>
          <w:sz w:val="28"/>
          <w:sz w:val="28"/>
          <w:szCs w:val="28"/>
          <w:rtl w:val="true"/>
          <w:lang w:bidi="fa-IR"/>
        </w:rPr>
        <w:t>تقرأ سورة الأحزاب؟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وسبعین آیة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w:t>
      </w:r>
    </w:p>
    <w:p>
      <w:pPr>
        <w:pStyle w:val="BookText"/>
        <w:rPr/>
      </w:pPr>
      <w:r>
        <w:rPr>
          <w:rFonts w:ascii="IRNazanin" w:hAnsi="IRNazanin" w:eastAsia="IRNazanin"/>
          <w:color w:val="111111"/>
          <w:sz w:val="28"/>
          <w:sz w:val="28"/>
          <w:szCs w:val="28"/>
          <w:rtl w:val="true"/>
          <w:lang w:bidi="fa-IR"/>
        </w:rPr>
        <w:t>لتضاهی سورة البقرة أو هی أطول من سورة البقرة</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الطائفة من الروایات وما شابهها لا یحتاج إلی الجواب؛ لأنّه کیف یمکن أن یحذف من القرآن الآلاف من آیاته أو حذف ثلاثة أرباع سورة منه والقرآن بین یدی رسول اللَّه صلی الله علیه و آله وأصحابه وکان یقرأ لیلًا ونهاراً وکان له أربعة عشر أو أکثر من أربعین کاتباً ومئات من القرّاء والحفّاظ، وهذا أمر مستحیل عادةً ولا یلتزم به عاقل ولا شکّ فی کونها مجعولة مدسوسة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القدسیة</w:t>
      </w:r>
      <w:r>
        <w:rPr>
          <w:rStyle w:val="FootnoteAnchor"/>
          <w:rtl w:val="true"/>
        </w:rPr>
        <w:footnoteReference w:id="95"/>
      </w:r>
      <w:r>
        <w:rPr>
          <w:rFonts w:ascii="IRNazanin" w:hAnsi="IRNazanin" w:eastAsia="IRNazanin"/>
          <w:color w:val="111111"/>
          <w:sz w:val="28"/>
          <w:sz w:val="28"/>
          <w:szCs w:val="28"/>
          <w:rtl w:val="true"/>
          <w:lang w:bidi="fa-IR"/>
        </w:rPr>
        <w:t>أو النبویة الّتی زعم بعض الصحابة أنّها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العامّة عن أبی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نقرأ سورة کنّا نشبّهها فی الطول والشدّة ببراءة فأنسیتها غیر أنّی قد حفظت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لابن آدم وادیان من مال لابتغی وادیاً ثالثاً ولا یملأ جوف ابن آدم إلّاالتراب</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عبید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قنت بعد الرکوع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اللهمّ إنّا نستعینک ونستغفرک ونثنی علیک ولا نکفّرک ونخلع ونترک من یفجرک، بسم اللَّه الرحمن الرحیم اللهمّ إیّاک نعبد ولک نصلّی ونسجد وإلیک نسعی ونحفد نرجو رحمتک ونخشی نقمتک إنّ عذابک بالکافرین ملحق، قال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البسملة إنّهما سورتان فی مصحف بعض الصحابة</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والروایتان لو صحّت إسنادهما فلا شکّ فی أنّ الأوّل منهما من الأحادیث القدسیّة أو النبویّة کما رواه أحمد بطریقه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أدری أشی‌ء انزل أو کان یقوله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لابن آدم وادیین </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رواه مسلم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لابن آدم</w:t>
      </w:r>
    </w:p>
    <w:p>
      <w:pPr>
        <w:pStyle w:val="BookText"/>
        <w:rPr/>
      </w:pPr>
      <w:r>
        <w:rPr>
          <w:rFonts w:ascii="IRNazanin" w:hAnsi="IRNazanin" w:eastAsia="IRNazanin"/>
          <w:color w:val="111111"/>
          <w:sz w:val="28"/>
          <w:sz w:val="28"/>
          <w:szCs w:val="28"/>
          <w:rtl w:val="true"/>
          <w:lang w:bidi="fa-IR"/>
        </w:rPr>
        <w:t xml:space="preserve">وادیان </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الثانیة رواها البیهقی بإسناده عن خالد بن أبی عمران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بینا رسول اللَّه صلی الله علیه و آله یدعو علی مضر إذ جاءه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علّمه هذا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نستعینک </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وهذا النقل صریح فی أنّها کانت من الأدعیة المأثورة، خصوصاً مع عدم ذکر البسملة فی الروایة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تفسیر الآیات وموارد نزولها فوقع الخلط بینها ونفس الآیات فی بعض المصاحف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مسلم فی صحیحه عن أبی یونس مولی عائشة أنّه قال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أمرتنی عائشة أن أکتب لها مصحفاً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هذه الآیة فآذنّی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عَلَی الصَّلَوَاتِ وَالصَّلَاةِ الْوُسْطَی</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بلغتها آذنتها فأملت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حافظوا علی الصلوات والصلاة الوسطی وصلاة العصر وقوموا للَّه‌قانتین،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سمعتها من</w:t>
      </w:r>
    </w:p>
    <w:p>
      <w:pPr>
        <w:pStyle w:val="BookText"/>
        <w:rPr/>
      </w:pPr>
      <w:r>
        <w:rPr>
          <w:rFonts w:ascii="IRNazanin" w:hAnsi="IRNazanin" w:eastAsia="IRNazanin"/>
          <w:color w:val="111111"/>
          <w:sz w:val="28"/>
          <w:sz w:val="28"/>
          <w:szCs w:val="28"/>
          <w:rtl w:val="true"/>
          <w:lang w:bidi="fa-IR"/>
        </w:rPr>
        <w:t xml:space="preserve">رسول اللَّه صلی الله علیه و آله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نقرأ علی عهد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یاأیّها الرسول بلّغ ما انزل إلیک من ربّک أنّ علیّاً مولی المؤمنین وإن لم تفعل فما بلّغت رسالته واللَّه یعصمک من الناس </w:t>
      </w:r>
      <w:r>
        <w:rPr>
          <w:rStyle w:val="FootnoteAnchor"/>
          <w:rtl w:val="true"/>
        </w:rPr>
        <w:footnoteReference w:id="103"/>
      </w:r>
      <w:r>
        <w:rPr>
          <w:rFonts w:ascii="IRNazanin" w:hAnsi="IRNazanin" w:eastAsia="IRNazanin"/>
          <w:color w:val="111111"/>
          <w:sz w:val="28"/>
          <w:sz w:val="28"/>
          <w:szCs w:val="28"/>
          <w:rtl w:val="true"/>
          <w:lang w:bidi="fa-IR"/>
        </w:rPr>
        <w:t>، ولا شکّ فی أنّه علیه السلام مولی المؤمنین، ولکن هذه الزیادة من تفسیر الآیة لا متنها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عکاظ ومجنّة وذو المجاز أسواق الجاهلیة فتأثّموا أن یتّجروا فی المواسم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علیکم جناح أن تبتغوا فضلًا من ربّکم فی مواسم الحجّ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الدرّ المنثور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أبی حاتم وابن مردویه وابن عساکر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یقرأ هذا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وکفی اللَّه المؤمنین القتال بعلیّ بن أبی طالب</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ممّا یعلم فیه وقوع الخلط بین متون الآیات والتفاسیر الواردة حولها عن النّبی صلی الله علیه و آله أو الأئمّة الهادین علیهم السلام أو غیرهم، فلا یصحّ الاستدلال بشی‌ء منها علی وقوع التحریف حتّی مع فرض صحّة إسنادها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التحریف المعنوی، ولکن حملها بعض الغافلین القائلین بالتحریف علی التحریف اللفظی، نظیر ما رواه الصدوق بإسناده عن جابر عن النّبی صلی الله علیه و آله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یوم القیامة ثلاثة یشکون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المصحف والمسجد والعترة، یقول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حرّفونی ومزّقونی، ویقول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عطّلونی وضیّعونی، وتقول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قتلونا وشرّدونا</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مزّقونی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أنّ المراد من التحریف هو التحریف المعنوی؛ لأنّ تمزیق أوراق الکتاب لا یکون إلّامن مثل الولید بن یزید فی قصّته المعروفة، فیکون التمزیق حینئذٍ کنایة عن التحریف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علی بن إبراهیم القمّی بإسناده عن أبی‌ذرّ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تَبْیَضُّ وُجُوهٌ وَتَسْوَدُّ وُجُوهٌ </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 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علیّ امّتی یوم القیامه</w:t>
      </w:r>
    </w:p>
    <w:p>
      <w:pPr>
        <w:pStyle w:val="BookText"/>
        <w:rPr/>
      </w:pPr>
      <w:r>
        <w:rPr>
          <w:rFonts w:ascii="IRNazanin" w:hAnsi="IRNazanin" w:eastAsia="IRNazanin"/>
          <w:color w:val="111111"/>
          <w:sz w:val="28"/>
          <w:sz w:val="28"/>
          <w:szCs w:val="28"/>
          <w:rtl w:val="true"/>
          <w:lang w:bidi="fa-IR"/>
        </w:rPr>
        <w:t>علی خمس 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فعلتم بالثقلین من بعدی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الأکبر فحرّفنا ونبذناه وراء ظهورنا، وأمّا الأصغر فعادیناه وأبغضناه </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ونبذناه وراء ظهورنا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قرینة علی أنّ المراد هو التحریف المعنوی لأنّ نبذ القرآن وراء الظهور کنایة عن عدم العمل به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روایات کثیرة حول التحریف، رواها المحدّث النوری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فی تحریف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أحمد بن محمّد السیاری الذی ضعفه من المسلّمات عند الرجالیین وقیل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الحدیث، فاسد المذهب، مجفوّ الروایة، کثیر المراسیل </w:t>
      </w:r>
      <w:r>
        <w:rPr>
          <w:rStyle w:val="FootnoteAnchor"/>
          <w:rtl w:val="true"/>
        </w:rPr>
        <w:footnoteReference w:id="109"/>
      </w:r>
      <w:r>
        <w:rPr>
          <w:rFonts w:ascii="IRNazanin" w:hAnsi="IRNazanin" w:eastAsia="IRNazanin"/>
          <w:color w:val="111111"/>
          <w:sz w:val="28"/>
          <w:sz w:val="28"/>
          <w:szCs w:val="28"/>
          <w:rtl w:val="true"/>
          <w:lang w:bidi="fa-IR"/>
        </w:rPr>
        <w:t xml:space="preserve">، مع روایات اخر ظاهرة فی التفسیر أو التحریف المعنوی إعتمد علیها المحدّث النوری وأتی بکتابه الذی أوجد ضجّة فی النجف الأشرف ولاموه علی هذا الأثر الضعیف الباطل، حتّی قام تلمیذه الشیخ آقا بزرگ الطهرانی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بتوجیه کلامه وکتابه واعتذر عنه بأنّ شیخنا النوری کان یقول حسبما شافهناه به وسمعناه من لسانه فی أواخر 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أخطأت فی تسمیة الکتاب وکان الأجدر أن یسمّی بفصل الخطاب فی عدم تحریف الکتاب، وذلک لأنّی أثبتّ فیه أنّ</w:t>
      </w:r>
    </w:p>
    <w:p>
      <w:pPr>
        <w:pStyle w:val="BookText"/>
        <w:rPr/>
      </w:pPr>
      <w:r>
        <w:rPr>
          <w:rFonts w:ascii="IRNazanin" w:hAnsi="IRNazanin" w:eastAsia="IRNazanin"/>
          <w:color w:val="111111"/>
          <w:sz w:val="28"/>
          <w:sz w:val="28"/>
          <w:szCs w:val="28"/>
          <w:rtl w:val="true"/>
          <w:lang w:bidi="fa-IR"/>
        </w:rPr>
        <w:t>کتاب الإسلام الموجود بین الدفّتین المنتشر فی أقطار العالم وحی إلهی بجمیع سوره وآیاته وجمله، لم یطرأ علیه تغییر أو تبدیل، ولا زیادة ولا نقصان من لدن جمعه حتّی الیوم، وقد وصل إلینا المجموع الاولی بالتواتر القطعی، ولا شکّ لأحد من الإمامیّة فیه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سمعناه من قول شیخنا نفسه وأمّا عمله فقد رأیناه وهو لا یقیم لما ورد فی مضامین هذه الأخبار وزناً، بل یراها أخبار آحاد لا تثبت بها القرآن بل یضرب بخصوصیّاتها عرض الجدار سیرة السلف الصالح من أکابر الإمامیّة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bookmarkStart w:id="101" w:name="pg16918_187296"/>
    </w:p>
    <w:p>
      <w:pPr>
        <w:pStyle w:val="Heading2"/>
        <w:numPr>
          <w:ilvl w:val="1"/>
          <w:numId w:val="1"/>
        </w:numPr>
        <w:rPr/>
      </w:pPr>
      <w:bookmarkStart w:id="102" w:name="__RefHeading___Toc95994_3244359995"/>
      <w:bookmarkStart w:id="103" w:name="_Toc37"/>
      <w:bookmarkEnd w:id="101"/>
      <w:bookmarkEnd w:id="102"/>
      <w:r>
        <w:rPr>
          <w:rtl w:val="true"/>
        </w:rPr>
        <w:t>المقصد الثانی</w:t>
      </w:r>
      <w:r>
        <w:rPr>
          <w:rtl w:val="true"/>
        </w:rPr>
        <w:t xml:space="preserve">: </w:t>
      </w:r>
      <w:r>
        <w:rPr>
          <w:rtl w:val="true"/>
        </w:rPr>
        <w:t>السنة</w:t>
      </w:r>
      <w:bookmarkEnd w:id="103"/>
    </w:p>
    <w:p>
      <w:pPr>
        <w:pStyle w:val="Heading3"/>
        <w:numPr>
          <w:ilvl w:val="2"/>
          <w:numId w:val="1"/>
        </w:numPr>
        <w:rPr/>
      </w:pPr>
      <w:bookmarkStart w:id="104" w:name="__RefHeading___Toc95996_3244359995"/>
      <w:bookmarkStart w:id="105" w:name="_Toc38"/>
      <w:bookmarkEnd w:id="104"/>
      <w:r>
        <w:rPr>
          <w:rtl w:val="true"/>
        </w:rPr>
        <w:t>اشارة</w:t>
      </w:r>
      <w:bookmarkEnd w:id="105"/>
    </w:p>
    <w:p>
      <w:pPr>
        <w:pStyle w:val="BookText"/>
        <w:rPr/>
      </w:pPr>
      <w:r>
        <w:rPr>
          <w:rFonts w:ascii="IRNazanin" w:hAnsi="IRNazanin" w:eastAsia="IRNazanin"/>
          <w:color w:val="111111"/>
          <w:sz w:val="28"/>
          <w:sz w:val="28"/>
          <w:szCs w:val="28"/>
          <w:rtl w:val="true"/>
          <w:lang w:bidi="fa-IR"/>
        </w:rPr>
        <w:t>وهو یشتمل علی فصول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 المتواتر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الواحد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الروایات</w:t>
      </w:r>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w:t>
      </w:r>
    </w:p>
    <w:p>
      <w:pPr>
        <w:pStyle w:val="BookText"/>
        <w:rPr/>
      </w:pPr>
      <w:r>
        <w:rPr>
          <w:rFonts w:ascii="Amiri" w:hAnsi="Amiri" w:eastAsia="Amiri" w:cs="Amiri"/>
          <w:color w:val="111111"/>
          <w:sz w:val="28"/>
          <w:sz w:val="28"/>
          <w:szCs w:val="28"/>
          <w:rtl w:val="true"/>
          <w:lang w:bidi="ar-SA"/>
        </w:rPr>
        <w:t>وهی عبارة عن کلّ ما صدر من الرسول الأعظم صلی الله علیه و آله ما سوی القرآن؛ ممّا یرتبط بالأحکام الشرعیّة فعلًا کان أو قولًا أو تقریراً، وهی حجّة عند جمیع المسلمین بمقتضی رسالته صلی الله علیه و آله و یدلّ علیه آیات من الذکر الحکیم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مَایَنْطِقُ عَنِ‌الْهَوی إنْ هُوَ إلّاوَحْیٌ یُوحی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وتلحق بسنّته صلی الله علیه و آله سنّة الأئمّة المعصومین من أهل بیته و عترته علیهم السلام علی ما فصّله علماء الإمامیّة وبرهنوا علیه فی محلّه من علم الکلام و یدلّ علیه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وَأطِیعُوا الرَّسُولَ وَاولِی الأمْرِ مِنْکُم</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وأوضح منه قوله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w:t>
      </w:r>
    </w:p>
    <w:p>
      <w:pPr>
        <w:pStyle w:val="BookText"/>
        <w:rPr/>
      </w:pPr>
      <w:r>
        <w:rPr>
          <w:rFonts w:ascii="IRNazanin" w:hAnsi="IRNazanin" w:eastAsia="IRNazanin"/>
          <w:color w:val="111111"/>
          <w:sz w:val="28"/>
          <w:sz w:val="28"/>
          <w:szCs w:val="28"/>
          <w:rtl w:val="true"/>
          <w:lang w:bidi="fa-IR"/>
        </w:rPr>
        <w:t>فیکم الثقلین کتاب اللَّه وعترتی أهل بیتی فتمسّکوابهما لن تضلّوا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تمسّکتم بهما لن تضلّوا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فیکم کسفینة نوح من رکبها نجا ومن تخلّف عنها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ذلک من الروایات الکثیرة المتواترة أو المستفیضة الّتی رواها الفریقان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هشام بن سالم وحمّاد بن عثمان وغیره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حدیث أبی علیه السلام وحدیث أبی حدیث جدی علیه السلام وحدیث جدی حدیث الحسین علیه السلام وحدیث الحسین حدیث الحسن علیه السلام وحدیث الحسن حدیث أمیر المؤمنین علیه السلام وحدیث أمیر المؤمنین حدیث رسول اللَّه صلی الله علیه و آله وحدیث رسول اللَّه قول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یونس عن قتیبة قال سأل رجل أبا عبد اللَّه علیه السلام عن مسألة، فأجابه فیها،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کان کذا وکذا ما یکون القول فیها،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ما أجبتک فیه من شی‌ء فهو عن رسول اللَّه صلی الله علیه و آله، لسنا من أرأیت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داود ابن أبی یزید الأحول عن أبی عبد اللَّه علیه السلام 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کنّا نفتی الناس برأینا وهوانا لکنّا من الهالکین، ولکنّها آثار من رسول اللَّه صلی الله علیه و آله أصل علم نتوارثها کابر عن کابر، نکنزها کما یکنز الناس ذهبهم وفضّتهم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16918_187299"/>
    </w:p>
    <w:p>
      <w:pPr>
        <w:pStyle w:val="BookText"/>
        <w:rPr/>
      </w:pPr>
      <w:bookmarkEnd w:id="106"/>
      <w:r>
        <w:rPr>
          <w:rFonts w:ascii="IRNazanin" w:hAnsi="IRNazanin" w:eastAsia="IRNazanin"/>
          <w:color w:val="111111"/>
          <w:sz w:val="28"/>
          <w:sz w:val="28"/>
          <w:szCs w:val="28"/>
          <w:rtl w:val="true"/>
          <w:lang w:bidi="fa-IR"/>
        </w:rPr>
        <w:t>والکلام فی هذا المقصد یقع فیما یثبت به السنّة وکذا فی تعارض الأدلة، فإنّ البحث عن تعارضها وإن کان لا یخصّ الأخبار فقط، ولکن حیث إنّ المهمّ فی باب التعارض هو البحث عن الخبرین المتعارضین وکیفیّة علاجهما یکون ذکره هنا أنسب من جعله خاتمة المباحث الاصولیّة ویشتمل علی فصول</w:t>
      </w:r>
      <w:r>
        <w:rPr>
          <w:rFonts w:eastAsia="IRNazanin" w:cs="IRNazanin"/>
          <w:color w:val="111111"/>
          <w:sz w:val="28"/>
          <w:szCs w:val="28"/>
          <w:rtl w:val="true"/>
          <w:lang w:bidi="fa-IR"/>
        </w:rPr>
        <w:t>:</w:t>
      </w:r>
    </w:p>
    <w:p>
      <w:pPr>
        <w:pStyle w:val="Heading3"/>
        <w:numPr>
          <w:ilvl w:val="2"/>
          <w:numId w:val="1"/>
        </w:numPr>
        <w:rPr/>
      </w:pPr>
      <w:bookmarkStart w:id="107" w:name="__RefHeading___Toc95998_3244359995"/>
      <w:bookmarkStart w:id="108" w:name="_Toc39"/>
      <w:bookmarkEnd w:id="107"/>
      <w:r>
        <w:rPr/>
        <w:t>1</w:t>
      </w:r>
      <w:r>
        <w:rPr>
          <w:rtl w:val="true"/>
        </w:rPr>
        <w:t xml:space="preserve">. </w:t>
      </w:r>
      <w:r>
        <w:rPr>
          <w:rtl w:val="true"/>
        </w:rPr>
        <w:t>الخبر المتواتر</w:t>
      </w:r>
      <w:bookmarkEnd w:id="108"/>
    </w:p>
    <w:p>
      <w:pPr>
        <w:pStyle w:val="Heading4"/>
        <w:numPr>
          <w:ilvl w:val="3"/>
          <w:numId w:val="1"/>
        </w:numPr>
        <w:rPr/>
      </w:pPr>
      <w:bookmarkStart w:id="109" w:name="__RefHeading___Toc96000_3244359995"/>
      <w:bookmarkStart w:id="110" w:name="_Toc40"/>
      <w:bookmarkEnd w:id="109"/>
      <w:r>
        <w:rPr>
          <w:rtl w:val="true"/>
        </w:rPr>
        <w:t>اشارة</w:t>
      </w:r>
      <w:bookmarkEnd w:id="110"/>
    </w:p>
    <w:p>
      <w:pPr>
        <w:pStyle w:val="BookText"/>
        <w:rPr/>
      </w:pPr>
      <w:r>
        <w:rPr>
          <w:rFonts w:ascii="IRNazanin" w:hAnsi="IRNazanin" w:eastAsia="IRNazanin"/>
          <w:color w:val="111111"/>
          <w:sz w:val="28"/>
          <w:sz w:val="28"/>
          <w:szCs w:val="28"/>
          <w:rtl w:val="true"/>
          <w:lang w:bidi="fa-IR"/>
        </w:rPr>
        <w:t>وقد ذکر له تعریفان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خبر جماعة یفید بنفسه العلم</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واستشکل علیه بأنّه لا یوجد خبر یفید بنفسه العلم، بل یدخل فی حصول العلم امور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المخبرین، حال المخبر له وکیفیة الإخبار، مثل کون الخبر مکتوباً فی کتاب معتبر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ولذلک فسّر بعض من ذهب إلی هذا التعریف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یشمل القرائن الداخلیّة الملازمة للخبر وأراد بها هذه الامور الأربعة، فیکون المراد من القرائن الخارجیّة حینئذٍ شیئاً غیرها، کاعتضاد مضمون الخبر بخبر ظنّی آخر أو دلیل عقلی کذلک</w:t>
      </w:r>
      <w:r>
        <w:rPr>
          <w:rFonts w:eastAsia="IRNazanin" w:cs="IRNazanin"/>
          <w:color w:val="111111"/>
          <w:sz w:val="28"/>
          <w:szCs w:val="28"/>
          <w:rtl w:val="true"/>
          <w:lang w:bidi="fa-IR"/>
        </w:rPr>
        <w:t>.</w:t>
      </w:r>
      <w:bookmarkStart w:id="111" w:name="pg16918_187300"/>
    </w:p>
    <w:p>
      <w:pPr>
        <w:pStyle w:val="BookText"/>
        <w:rPr/>
      </w:pPr>
      <w:bookmarkEnd w:id="111"/>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خبر جماعة یمتنع تواطؤهم علی الکذب عادةً</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وقد اورد علی هذا التعریف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ینفی احتمال الخطأ، فلابدّ من تقیید ذیله بهذا القید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ویحصل من قولهم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فائدة فی أخذ قید التواطؤ، لإمکان کذب کلّ واحد من المخبرین مستقلًاّ بدواع شتّی من غیر تواطؤ، أو کذبهم بداعٍ واحدٍ علی نشر اکذوبة خاصّة من غیر التواطؤ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التعریف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خبر جماعة کثیرة یمتنع اجتماعهم علی الکذب والخطأ فی النقل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والتقیید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لأنّه لو حصل القطع مثلًا من اجتماع ثلاثة أفراد علی خبر لا یقال إنّه متواتر فی مصطلحهم، بل إنّه خبر مستفیض قطعی، وإذا کان هذا هو معنی التواتر فإنّه یختلف بحسب الأشخاص، فیمکن أن یکون خبر متواتراً عند شخص وغیر متواتر عند شخص آخر، ویمکن أن یکون متواتراً عند الکلّ</w:t>
      </w:r>
      <w:r>
        <w:rPr>
          <w:rFonts w:eastAsia="IRNazanin" w:cs="IRNazanin"/>
          <w:color w:val="111111"/>
          <w:sz w:val="28"/>
          <w:szCs w:val="28"/>
          <w:rtl w:val="true"/>
          <w:lang w:bidi="fa-IR"/>
        </w:rPr>
        <w:t>.</w:t>
      </w:r>
    </w:p>
    <w:p>
      <w:pPr>
        <w:pStyle w:val="Heading4"/>
        <w:numPr>
          <w:ilvl w:val="3"/>
          <w:numId w:val="1"/>
        </w:numPr>
        <w:rPr/>
      </w:pPr>
      <w:bookmarkStart w:id="112" w:name="__RefHeading___Toc96002_3244359995"/>
      <w:bookmarkStart w:id="113" w:name="_Toc41"/>
      <w:bookmarkEnd w:id="112"/>
      <w:r>
        <w:rPr>
          <w:rtl w:val="true"/>
        </w:rPr>
        <w:t>أقسام التواتر</w:t>
      </w:r>
      <w:r>
        <w:rPr>
          <w:rtl w:val="true"/>
        </w:rPr>
        <w:t>:</w:t>
      </w:r>
      <w:bookmarkEnd w:id="11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إخبار جماعة بلفظ واحد عن واقعة واحدة یوجب حصول العلم سواء کان ذلک اللفظ تمام الخبر مثل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ادّعی تواتره، أو بعضه کلفظ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وحدیث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القسم من التواتر حیث لا یوجد اختلاف فی خصوصیّات الأخبار المنقولة، یمکن التمسّک بها بجمیع ما لها من الخصوصیّات المتواترة؛ للقطع بصدوره کذلک عن المعصوم علیه السلام فعلًا کان المنقول أو قولًا أو تقریراً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إخبار جماعة بألفاظ مختلفة مع اشتمال کلّ منها</w:t>
      </w:r>
      <w:bookmarkStart w:id="114" w:name="pg16918_187301"/>
    </w:p>
    <w:p>
      <w:pPr>
        <w:pStyle w:val="BookText"/>
        <w:rPr/>
      </w:pPr>
      <w:bookmarkEnd w:id="114"/>
      <w:r>
        <w:rPr>
          <w:rFonts w:ascii="IRNazanin" w:hAnsi="IRNazanin" w:eastAsia="IRNazanin"/>
          <w:color w:val="111111"/>
          <w:sz w:val="28"/>
          <w:sz w:val="28"/>
          <w:szCs w:val="28"/>
          <w:rtl w:val="true"/>
          <w:lang w:bidi="fa-IR"/>
        </w:rPr>
        <w:t>علی معنی مشترک بینها سواء کان ذلک المعنی المشترک مدلولًا مطابقیاً</w:t>
      </w:r>
      <w:r>
        <w:rPr>
          <w:rStyle w:val="FootnoteAnchor"/>
          <w:rtl w:val="true"/>
        </w:rPr>
        <w:footnoteReference w:id="117"/>
      </w:r>
      <w:r>
        <w:rPr>
          <w:rFonts w:ascii="IRNazanin" w:hAnsi="IRNazanin" w:eastAsia="IRNazanin"/>
          <w:color w:val="111111"/>
          <w:sz w:val="28"/>
          <w:sz w:val="28"/>
          <w:szCs w:val="28"/>
          <w:rtl w:val="true"/>
          <w:lang w:bidi="fa-IR"/>
        </w:rPr>
        <w:t>أو تضمّنیاً أو التزامیاً، کالأخبار الواردة فی غزوات مولانا أمیر المؤمنین علیه السلام وحروبه فإنّ کلّ واحدة من تلک الحکایات خبر واحد، لکن اللازم المترتّب علی مجموعها وهو شجاعته علیه السلام متواتر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القسم تکون حجّیة التواتر ثابتة بالنسبة إلی القدر المشترک، دون ما یختصّ به کلّ فردٍ فردٍ من الأخبار؛ لأنّ المتواتر لیس إلّاما یشترک الکلّ فیه، دون ما یختصّ به البعض، نعم لو ثبت حجّیة واحد منها من غیر جهة التواتر یکون حجّة لهذه الجهة لا للتواتر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یصل إلینا أخبار کثیرة مختلفة بحسب اللفظ والمعنی یعلم بصدور بعضها إجمالًا بحیث یستحیل عادةً أن تکون کلّها کاذبة، کالعلم بصدور بعض ما ورد فی جواز أخذ معالم الدین عن العلماء، مع ورود هذه الأخبار فی موارد متشتّتة وأبواب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القسم من التواتر لیس بحجّة إلّافی القدر المتیقّن منها الذی یدلّ علیه أخصّ هذه الأخبار المتواترة وأضیقها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حجّیة الخبر المتواتر بما لها من الأقسام، فهی من قبیل القضایا الّتی قیاساتها معها، فإنّ المفروض حصول العلم و الیقین بمضمونها أو بالقدر المتیقّن منها، وحجّیة العلم و الیقین ممّا لا ریب فیه</w:t>
      </w:r>
      <w:r>
        <w:rPr>
          <w:rFonts w:eastAsia="IRNazanin" w:cs="IRNazanin"/>
          <w:color w:val="111111"/>
          <w:sz w:val="28"/>
          <w:szCs w:val="28"/>
          <w:rtl w:val="true"/>
          <w:lang w:bidi="fa-IR"/>
        </w:rPr>
        <w:t>.</w:t>
      </w:r>
    </w:p>
    <w:p>
      <w:pPr>
        <w:pStyle w:val="Heading3"/>
        <w:numPr>
          <w:ilvl w:val="2"/>
          <w:numId w:val="1"/>
        </w:numPr>
        <w:rPr/>
      </w:pPr>
      <w:bookmarkStart w:id="115" w:name="__RefHeading___Toc96004_3244359995"/>
      <w:bookmarkStart w:id="116" w:name="_Toc42"/>
      <w:bookmarkEnd w:id="115"/>
      <w:r>
        <w:rPr/>
        <w:t>2</w:t>
      </w:r>
      <w:r>
        <w:rPr>
          <w:rtl w:val="true"/>
        </w:rPr>
        <w:t xml:space="preserve">. </w:t>
      </w:r>
      <w:r>
        <w:rPr>
          <w:rtl w:val="true"/>
        </w:rPr>
        <w:t>خبر الواحد</w:t>
      </w:r>
      <w:bookmarkEnd w:id="116"/>
    </w:p>
    <w:p>
      <w:pPr>
        <w:pStyle w:val="Heading4"/>
        <w:numPr>
          <w:ilvl w:val="3"/>
          <w:numId w:val="1"/>
        </w:numPr>
        <w:rPr/>
      </w:pPr>
      <w:bookmarkStart w:id="117" w:name="__RefHeading___Toc96006_3244359995"/>
      <w:bookmarkStart w:id="118" w:name="_Toc43"/>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لا یخفی أنّ الخبر غیر المتواتر ینقسم إلی قسمین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المستفیض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کانت رواته جماعة، مع عدم بلوغهم حدّ التواتر</w:t>
      </w:r>
      <w:bookmarkStart w:id="119" w:name="pg16918_187302"/>
    </w:p>
    <w:p>
      <w:pPr>
        <w:pStyle w:val="BookText"/>
        <w:rPr/>
      </w:pPr>
      <w:bookmarkEnd w:id="119"/>
      <w:r>
        <w:rPr>
          <w:rFonts w:ascii="IRNazanin" w:hAnsi="IRNazanin" w:eastAsia="IRNazanin"/>
          <w:color w:val="111111"/>
          <w:sz w:val="28"/>
          <w:sz w:val="28"/>
          <w:szCs w:val="28"/>
          <w:rtl w:val="true"/>
          <w:lang w:bidi="fa-IR"/>
        </w:rPr>
        <w:t>ویلحق هذا الخبر فی أحکامه بخبر الواحد فی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یظهر من اسمه یطلق علی الخبر الذی رواه واحد ویلحق به ما رواه أکثر من الواحد ما لم یصل حدّ الاستفاضة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والبحث عنه من أهمّ المسائل الاصولیّة لاستناد أکثر المسائل الفقهیّة إلی خبر الواحد بحیث لولاها ولولا مسألة التعادل والتراجیح الّتی تعدّ تکملة لها لتعطّل استنباط الأحکام عن أدلّتها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والمسألة ذات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المشهور بین المتأخّرین، وهو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حجّیة خبر الواحد وهو المشهور بین جمع من القدماء، منهم السیّد المرتضی والشیخ المفید وابن زهرة وابن برّاج وابن إدریس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لیس بین الطائفتین فرق فی العمل غالباً؛ لأنّ ما یکون حجّة عند المشهور من أخبار الآحاد یعدّ عند القدماء محفوفاً بالقرائن القطعیّة</w:t>
      </w:r>
      <w:r>
        <w:rPr>
          <w:rFonts w:eastAsia="IRNazanin" w:cs="IRNazanin"/>
          <w:color w:val="111111"/>
          <w:sz w:val="28"/>
          <w:szCs w:val="28"/>
          <w:rtl w:val="true"/>
          <w:lang w:bidi="fa-IR"/>
        </w:rPr>
        <w:t>.</w:t>
      </w:r>
    </w:p>
    <w:p>
      <w:pPr>
        <w:pStyle w:val="Heading4"/>
        <w:numPr>
          <w:ilvl w:val="3"/>
          <w:numId w:val="1"/>
        </w:numPr>
        <w:rPr/>
      </w:pPr>
      <w:bookmarkStart w:id="120" w:name="__RefHeading___Toc96008_3244359995"/>
      <w:bookmarkStart w:id="121" w:name="_Toc44"/>
      <w:bookmarkEnd w:id="120"/>
      <w:r>
        <w:rPr>
          <w:rtl w:val="true"/>
        </w:rPr>
        <w:t>أدلّة القائلین بعدم الحجّیة</w:t>
      </w:r>
      <w:r>
        <w:rPr>
          <w:rtl w:val="true"/>
        </w:rPr>
        <w:t>:</w:t>
      </w:r>
      <w:bookmarkEnd w:id="121"/>
    </w:p>
    <w:p>
      <w:pPr>
        <w:pStyle w:val="Heading5"/>
        <w:numPr>
          <w:ilvl w:val="4"/>
          <w:numId w:val="1"/>
        </w:numPr>
        <w:rPr/>
      </w:pPr>
      <w:bookmarkStart w:id="122" w:name="__RefHeading___Toc96010_3244359995"/>
      <w:bookmarkStart w:id="123" w:name="_Toc45"/>
      <w:bookmarkEnd w:id="122"/>
      <w:r>
        <w:rPr>
          <w:rtl w:val="true"/>
        </w:rPr>
        <w:t>اشارة</w:t>
      </w:r>
      <w:bookmarkEnd w:id="123"/>
    </w:p>
    <w:p>
      <w:pPr>
        <w:pStyle w:val="BookText"/>
        <w:rPr/>
      </w:pPr>
      <w:r>
        <w:rPr>
          <w:rFonts w:ascii="IRNazanin" w:hAnsi="IRNazanin" w:eastAsia="IRNazanin"/>
          <w:color w:val="111111"/>
          <w:sz w:val="28"/>
          <w:sz w:val="28"/>
          <w:szCs w:val="28"/>
          <w:rtl w:val="true"/>
          <w:lang w:bidi="fa-IR"/>
        </w:rPr>
        <w:t>استدلّ لعدم حجّیة خبر الواحد بالأدلّة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والسنّة والإجماع والعقل</w:t>
      </w:r>
      <w:r>
        <w:rPr>
          <w:rFonts w:eastAsia="IRNazanin" w:cs="IRNazanin"/>
          <w:color w:val="111111"/>
          <w:sz w:val="28"/>
          <w:szCs w:val="28"/>
          <w:rtl w:val="true"/>
          <w:lang w:bidi="fa-IR"/>
        </w:rPr>
        <w:t>.</w:t>
      </w:r>
    </w:p>
    <w:p>
      <w:pPr>
        <w:pStyle w:val="Heading5"/>
        <w:numPr>
          <w:ilvl w:val="4"/>
          <w:numId w:val="1"/>
        </w:numPr>
        <w:rPr/>
      </w:pPr>
      <w:bookmarkStart w:id="124" w:name="__RefHeading___Toc96012_3244359995"/>
      <w:bookmarkStart w:id="125" w:name="_Toc46"/>
      <w:bookmarkEnd w:id="124"/>
      <w:r>
        <w:rPr>
          <w:rtl w:val="true"/>
        </w:rPr>
        <w:t>الدلیل الأوّل</w:t>
      </w:r>
      <w:r>
        <w:rPr>
          <w:rtl w:val="true"/>
        </w:rPr>
        <w:t xml:space="preserve">: </w:t>
      </w:r>
      <w:r>
        <w:rPr>
          <w:rtl w:val="true"/>
        </w:rPr>
        <w:t>الکتاب</w:t>
      </w:r>
      <w:bookmarkEnd w:id="125"/>
    </w:p>
    <w:p>
      <w:pPr>
        <w:pStyle w:val="BookText"/>
        <w:rPr/>
      </w:pPr>
      <w:r>
        <w:rPr>
          <w:rFonts w:ascii="Amiri" w:hAnsi="Amiri" w:eastAsia="Amiri" w:cs="Amiri"/>
          <w:color w:val="111111"/>
          <w:sz w:val="28"/>
          <w:sz w:val="28"/>
          <w:szCs w:val="28"/>
          <w:rtl w:val="true"/>
          <w:lang w:bidi="ar-SA"/>
        </w:rPr>
        <w:t>واستدلّ منه بالآیات الناهیّة عن العمل بالظنّ، 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لَایُغْنِی مِنَ الْحَقِّ شَیْئاً</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الظَّنَّ لَایُغْنِی مِنَ الْحَقِّ شَیْئاً</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 وقوله تعالی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لَیْسَ لَکَ بِهِ عِلْمٌ</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التأمّل فی الآیات السابقة علی هذه الآیات واللاحقة لها نری أنّها تدلّ علی أنّ المراد بالظنّ فی هذه الآیات لیس معناه المصطلح عند الفقهاء والاصولیین، وهو الاعتقاد الراجح، بل المراد منه معناه اللغوی الذی یعمّ الوهم والاحتمال الضعیف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مقاییس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 یدلّ علی معنیین مختلفین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یقین وشکّ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لمعنی الیقین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یَظُنُّونَ أَنَّهُمْ مُلَاقُو رَبِّهِمْ</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 xml:space="preserve">حیث إنّ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بالنسبة إلی معنی الشکّ ما إلیک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والأصل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یقال ظننت الشی‌ء إذا لم تتیقّنه</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المفردات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الظنّ اسم لما یحصل عن أمارة ومتی قویت أدّت إلی العلم ومتی ضعفت جدّاً لم یتجاوز حدّ التوهّم</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أنّ الظنّ الوارد فی هذه الآیات إنّما هو بمعنی الأوهام الّتی لا أساس لها ولا اعتبار بها عند العقلاء</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الآیة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الوارد قبلها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لا یُؤمِنُونَ بِالآخِرَةِ یُسَمُّونَ المَلائِکِةَ تَسْمِیَةَ الانْثَی</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فالتعبیر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تسمیة الانثی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ما جاء فی بعض الآیات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هِیَ إِلَّا أَسْمَاءٌ سَمَّیْتُمُوهَا أَنْتُمْ وَآبَاؤُکُمْ مَا أَنزَلَ اللَّه بِهَا مِنْ سُلْطَانٍ إِنْ یَتَّبِعُونَ إِلَّا الظَّنَّ وَمَا تَهْوَی الْأَنْفُسُ وَلَقَدْ جَاءَهُمْ مِنْ رَبِّهِمْ الْهُدَی</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من أنّ هذه الأسماء</w:t>
      </w:r>
      <w:bookmarkStart w:id="126" w:name="pg16918_187304"/>
    </w:p>
    <w:p>
      <w:pPr>
        <w:pStyle w:val="BookText"/>
        <w:rPr/>
      </w:pPr>
      <w:bookmarkEnd w:id="126"/>
      <w:r>
        <w:rPr>
          <w:rFonts w:ascii="IRNazanin" w:hAnsi="IRNazanin" w:eastAsia="IRNazanin"/>
          <w:color w:val="111111"/>
          <w:sz w:val="28"/>
          <w:sz w:val="28"/>
          <w:szCs w:val="28"/>
          <w:rtl w:val="true"/>
          <w:lang w:bidi="fa-IR"/>
        </w:rPr>
        <w:t>أسماء لا مسمّی لها، ولا تتعدّی عن حدّ التسمیة ولا واقعیّة لها وهی ممّا لا یتفوّه بها من له علم وعقل، بل هو أمر ناشٍ عن الوهم والخرافة وما تهوی الأنفس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بالظنّ فی الآیة هو هذا المعنی الذی لیس له مبنی ولا أساس کسائر الخرافات الموجودة بین الجهّال، وحینئذٍ تکون أجنبیة عمّا نحن فیه وهو الظنّ الذی یکون أمراً معقولًا وموجّهاً ومطابقاً للواقع غالباً والذی یکون مبنی حرکة العقلاء فی أعمالهم الیومیّة کباب شهادة الشهود فی باب القضاء وباب أهل الخبرة وباب ظواهر الألفاظ ونحوها ممّا یوجب إسقاط العمل به من حیاة الإنسان ولزوم العمل بالیقین القطعی فقط اختلال النظام والهرج والمرج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الآیة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فالآیات السابقة 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مِنْ شُرَکَائِکُمْ مَنْ یَهْدِی إِلَی الْحَقِّ </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تشهد بأنّ الظنّ الوارد فیها إشارة إلی الذین یعدّونهم بأوهامهم شرکاء للّه تعالی، کما یشهد بهذا قوله تعالی فی نفس السو 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للّه مَنْ فِی السَّمَوَاتِ وَمَنْ فِی الْأَرْضِ وَمَا یَتَّبِعُ الَّذِینَ یَدْعُونَ مِنْ دُونِ اللَّه شُرَکَاءَ إِنْ یَتَّبِعُونَ إِلَّا الظَّنَّ وَإِنْ هُمْ إِلَّا یَخْرُصُونَ</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 فقد جعل الظنّ فی هذه الآیة فی عداد الخرص فی أمر الشرکاء، فالممنوع الظنّ الذی یعادل ما تهوی الأنفس والخرص؛ أی التخمین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بالإضافة إلی ما استعمل فیه کلمة 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لَیْسَ لَکَ بِهِ عِلْمٌ</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 xml:space="preserve">، الذی نهی فیه عن اتّباع غیر العلم، فإنّه وإن کان لا یجری فیه ما ذکرناه فی الآیتین السابقتین، لکن یمکن القول فیه بالتخصیص فإنّها لیست آبیة عنه بخلاف الآیتین السابقتین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 w:name="__RefHeading___Toc96014_3244359995"/>
      <w:bookmarkStart w:id="128" w:name="_Toc47"/>
      <w:bookmarkEnd w:id="127"/>
      <w:r>
        <w:rPr>
          <w:rtl w:val="true"/>
        </w:rPr>
        <w:t>الدلیل الثانی</w:t>
      </w:r>
      <w:r>
        <w:rPr>
          <w:rtl w:val="true"/>
        </w:rPr>
        <w:t xml:space="preserve">: </w:t>
      </w:r>
      <w:r>
        <w:rPr>
          <w:rtl w:val="true"/>
        </w:rPr>
        <w:t>السنّة</w:t>
      </w:r>
      <w:bookmarkEnd w:id="12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یمکن الاستدلال بالسنّة غیر المتواترة فی المقام؛ لأنّ الاستدلال بها یکون</w:t>
      </w:r>
    </w:p>
    <w:p>
      <w:pPr>
        <w:pStyle w:val="BookText"/>
        <w:rPr/>
      </w:pPr>
      <w:r>
        <w:rPr>
          <w:rFonts w:ascii="IRNazanin" w:hAnsi="IRNazanin" w:eastAsia="IRNazanin"/>
          <w:color w:val="111111"/>
          <w:sz w:val="28"/>
          <w:sz w:val="28"/>
          <w:szCs w:val="28"/>
          <w:rtl w:val="true"/>
          <w:lang w:bidi="fa-IR"/>
        </w:rPr>
        <w:t>دوریاً، ولابدّ أیضاً من کون موردها فی غیر باب التعارض، لأنّ البحث لیس فی الخبرین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والأخبار الواردة فی هذا المجال علی طوائف خمسة لکلّ واحدة منها لسان یختلف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حجّیة ما علم أنّه قولهم علیهم السلام وهی ما رواه نضر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إنّا لا نقول إلّاحقّاً فلیکتف بما یعلم منّا، فإن سمع منّا خلاف ما یعلم فلیعلم إنّ ذلک دفاع منّا عنه</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حجّیة ما وافق الکتاب وهی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اختلاف الحدیث یرویه من نثق به، ومنهم من لا نثق به،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أورد علیکم حدیث فوجدتم له شاهداً من کتاب اللَّه أو من قول رسول اللَّه صلی الله علیه و آله، وإلّا فالذی جاءکم به أولی به</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فإنّها وإن وقع السؤال فیها عن اختلاف الخبرین إلّاأنّ الجواب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عبداللَّه بن بکیر، عن رجل، عن أبی جعفر علیه السلام فی حدیث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جاءکم عنّا حدیث فوجدتم علیه شاهداً أو شاهدین من کتاب اللَّه فخذوا به وإلّا فقفوا عنده ثمّ ردّوه إلینا حتّی یستبین لکم</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العیاشی فی تفسیره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وأبو عبداللَّه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تصدّق علینا إلّاما وافق کتاب اللَّه وسنّة نبیّنا صلی الله علیه و آله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عدم حجّیة ما لا یوافق کتاب اللَّه وهی ما رواه أیّوب بن راشد عن أبی عبداللَّه علیه السلام قال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یوافق من الحدیث القرآن فهو زخرف</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أیّوب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مردود إلی الکتاب والسنّة، وکلّ حدیث لا یوافق کتاب اللَّه فهو زخرف</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إدغام هذه الطائفة فی الطائفة الثانیة لأنّها بمفهومها موافقة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عدم حجّیة ما خالف کتاب اللَّه، وهی ما رواه ابن أبی عمیر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خالف کتاب اللَّه وسنّة محمّد صلی الله علیه و آله فقد کفر</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 فیها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ما خالف الکتاب وأخذ ما وافقه، وهی ما رواه السکونی عن أبی عبداللَّه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کلّ حقّ حقیقة، وعلی کلّ صواب نوراً فما وافق کتاب اللَّه فخذوه، وما خالف کتاب اللَّه فدعوه</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هشام بن الحکم وغیره،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النّبی صلی الله علیه و آله بمنی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ما جاءکم عنّی یوافق کتاب اللَّه فأنا قلته، وما جاءکم یخالف کتاب اللَّه فلم أقله</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الجواب عن هذه الروایات بوجوه، والمهمّ منها وجهان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أنّه لابدّ فی دلالتها علی المدّعی من کونها متواترة، لأنّها لو کانت أخبار آحاد یکون الاستدلال بها دوریاً کما مرّ؛ وحیث لا تکون متواترة لفظاً ولا معنی بل إنّها متواترة إجمالًا یقتضی حصول العلم الإجمالی بصدور واحد من الأخبار علی الأقلّ، فلابدّ من الأخذ بالقدر المتیقّن منها، وهو أخصّها مضموناً، ومن</w:t>
      </w:r>
      <w:bookmarkStart w:id="129" w:name="pg16918_187307"/>
    </w:p>
    <w:p>
      <w:pPr>
        <w:pStyle w:val="BookText"/>
        <w:rPr/>
      </w:pPr>
      <w:bookmarkEnd w:id="129"/>
      <w:r>
        <w:rPr>
          <w:rFonts w:ascii="IRNazanin" w:hAnsi="IRNazanin" w:eastAsia="IRNazanin"/>
          <w:color w:val="111111"/>
          <w:sz w:val="28"/>
          <w:sz w:val="28"/>
          <w:szCs w:val="28"/>
          <w:rtl w:val="true"/>
          <w:lang w:bidi="fa-IR"/>
        </w:rPr>
        <w:t>المعلوم أنّ أخصّها مضموناً هو المخالف للکتاب والسنّة النبویّة معاً فیختصّ عدم الحجّیة بذلک بنحو قضیّة السالبة الجزئیّة، وهذا لا یضرّ بمدّعی المثبتین، أی اعتبار خبر الواحد فی الجملة؛ لأنّ السالبة الجزئیّة لا تنافی الموجبة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المخالفة هل هی المخالفة علی نحو التباین، أو العموم من وجه؟</w:t>
      </w:r>
    </w:p>
    <w:p>
      <w:pPr>
        <w:pStyle w:val="BookText"/>
        <w:rPr/>
      </w:pPr>
      <w:r>
        <w:rPr>
          <w:rFonts w:ascii="IRNazanin" w:hAnsi="IRNazanin" w:eastAsia="IRNazanin"/>
          <w:color w:val="111111"/>
          <w:sz w:val="28"/>
          <w:sz w:val="28"/>
          <w:szCs w:val="28"/>
          <w:rtl w:val="true"/>
          <w:lang w:bidi="fa-IR"/>
        </w:rPr>
        <w:t>الصحیح هو الأوّل، لأنّه لا إشکال فی صدور مخصّصات خصّصت بها عمومات الکتاب ویستلزم من طرحها رفع الید عن کثیر من الأحکام الشرعیّة، نظیر ما ورد فی قبال عموم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ویدلّ علی شرطیّة عدم الجهل فی المبیع وغیر ذلک من الشرائط الشرعیّة المجعولة فی العقود، وهی کثیرة جدّاً، ونظیر ما ورد فی قبال إطلاق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بِهَا</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ممّا یدلّ علی النصاب والمقدار والحول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المخالفة علی نحو التباین الکلّی لا یوجد لها مصداق فی جوامع الحدیث الّتی بأیدینا الیوم، وهذا لا یناسب کثرة الروایات الدالّة علی طرح الخبر المخالف للکتاب وشدّة إهتمام الأئمّة علیهم السلام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الجوامع الروائیّة قد هذّبها مؤلّفوها کالشیخ الطوسی والصدوق والکلینی رحمهم الله ولکن لاریب فی وجود روایات متباینة قبل تألیف هذه الجوامع المهذّبة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 شمول هذه الروایات لخبر الواحد فإنّها معارضة لما هو أکثر وأظهر وسیأتی ذکرها عند ذکر أدلّة المثبتین</w:t>
      </w:r>
      <w:r>
        <w:rPr>
          <w:rFonts w:eastAsia="IRNazanin" w:cs="IRNazanin"/>
          <w:color w:val="111111"/>
          <w:sz w:val="28"/>
          <w:szCs w:val="28"/>
          <w:rtl w:val="true"/>
          <w:lang w:bidi="fa-IR"/>
        </w:rPr>
        <w:t>.</w:t>
      </w:r>
    </w:p>
    <w:p>
      <w:pPr>
        <w:pStyle w:val="Heading5"/>
        <w:numPr>
          <w:ilvl w:val="4"/>
          <w:numId w:val="1"/>
        </w:numPr>
        <w:rPr/>
      </w:pPr>
      <w:bookmarkStart w:id="130" w:name="__RefHeading___Toc96016_3244359995"/>
      <w:bookmarkStart w:id="131" w:name="_Toc48"/>
      <w:bookmarkEnd w:id="130"/>
      <w:r>
        <w:rPr>
          <w:rtl w:val="true"/>
        </w:rPr>
        <w:t>الدلیل الثالث</w:t>
      </w:r>
      <w:r>
        <w:rPr>
          <w:rtl w:val="true"/>
        </w:rPr>
        <w:t xml:space="preserve">: </w:t>
      </w:r>
      <w:r>
        <w:rPr>
          <w:rtl w:val="true"/>
        </w:rPr>
        <w:t>الإجماع</w:t>
      </w:r>
      <w:bookmarkEnd w:id="13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وادّعاه السیّد المرتضی رحمه الله </w:t>
      </w:r>
      <w:r>
        <w:rPr>
          <w:rStyle w:val="FootnoteAnchor"/>
          <w:rtl w:val="true"/>
        </w:rPr>
        <w:footnoteReference w:id="142"/>
      </w:r>
      <w:r>
        <w:rPr>
          <w:rFonts w:ascii="IRNazanin" w:hAnsi="IRNazanin" w:eastAsia="IRNazanin"/>
          <w:color w:val="111111"/>
          <w:sz w:val="28"/>
          <w:sz w:val="28"/>
          <w:szCs w:val="28"/>
          <w:rtl w:val="true"/>
          <w:lang w:bidi="fa-IR"/>
        </w:rPr>
        <w:t>وهو ظاهر الطبرسی فی مجمع البیان،</w:t>
      </w:r>
      <w:r>
        <w:rPr>
          <w:rStyle w:val="FootnoteAnchor"/>
          <w:rtl w:val="true"/>
        </w:rPr>
        <w:footnoteReference w:id="143"/>
      </w:r>
      <w:r>
        <w:rPr>
          <w:rFonts w:ascii="Amiri" w:hAnsi="Amiri" w:eastAsia="Amiri" w:cs="Amiri"/>
          <w:color w:val="111111"/>
          <w:sz w:val="28"/>
          <w:sz w:val="28"/>
          <w:szCs w:val="28"/>
          <w:rtl w:val="true"/>
          <w:lang w:bidi="ar-SA"/>
        </w:rPr>
        <w:t>والسیّد</w:t>
      </w:r>
      <w:bookmarkStart w:id="132" w:name="pg16918_187308"/>
    </w:p>
    <w:p>
      <w:pPr>
        <w:pStyle w:val="BookText"/>
        <w:rPr/>
      </w:pPr>
      <w:bookmarkEnd w:id="132"/>
      <w:r>
        <w:rPr>
          <w:rFonts w:ascii="IRNazanin" w:hAnsi="IRNazanin" w:eastAsia="IRNazanin"/>
          <w:color w:val="111111"/>
          <w:sz w:val="28"/>
          <w:sz w:val="28"/>
          <w:szCs w:val="28"/>
          <w:rtl w:val="true"/>
          <w:lang w:bidi="fa-IR"/>
        </w:rPr>
        <w:t>المرتضی جعل بطلان حجّیة خبر الواحد بمنزلة القیاس فی کون ترک العمل به معروفاً من مذهب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بأنّ حجّیة خبر الواحد هو قول أکثر الأصحاب وعلیها سیرة أصحاب الأئمّة علیهم السلام کما یشهد علیها ما سیأتی بیانه من الروایات الحاکیة عن أحوال الرواة، خصوصاً ما ورد فیها من التعلیل بأنّ فلاناً ثقة، الدالّ علی أنّ الملاک فی الحجّیة وثاقة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یستشکل فی ثبوت السیرة بأنّها لو کانت فکیف لم یلتفت إلیها السیّد المرتضی رحمه الله مع قرب عهده إلی زمن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ذلک هو ما ذکره شیخ الطائفة رحمه الله، بأنّ معقد هذا الإجماع لیس هو الأخبار المحفوفة بالقرائن الشاهدة علی صدقها وإن لم تصل إلی حدّ حصول العلم بالصدور، بل معقد هذا الإجماع هو الأخبار الّتی یرویها المخالفون، من دون احتفافها بما یورث الاطمئنان بصدورها عن المعصوم علیه السلام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کلّ حال، لا شکّ فی بطلان دعوی الإجماع علی عدم حجّیة خبر الواحد</w:t>
      </w:r>
      <w:r>
        <w:rPr>
          <w:rFonts w:eastAsia="IRNazanin" w:cs="IRNazanin"/>
          <w:color w:val="111111"/>
          <w:sz w:val="28"/>
          <w:szCs w:val="28"/>
          <w:rtl w:val="true"/>
          <w:lang w:bidi="fa-IR"/>
        </w:rPr>
        <w:t>.</w:t>
      </w:r>
    </w:p>
    <w:p>
      <w:pPr>
        <w:pStyle w:val="Heading5"/>
        <w:numPr>
          <w:ilvl w:val="4"/>
          <w:numId w:val="1"/>
        </w:numPr>
        <w:rPr/>
      </w:pPr>
      <w:bookmarkStart w:id="133" w:name="__RefHeading___Toc96018_3244359995"/>
      <w:bookmarkStart w:id="134" w:name="_Toc49"/>
      <w:bookmarkEnd w:id="133"/>
      <w:r>
        <w:rPr>
          <w:rtl w:val="true"/>
        </w:rPr>
        <w:t>الدلیل الرابع</w:t>
      </w:r>
      <w:r>
        <w:rPr>
          <w:rtl w:val="true"/>
        </w:rPr>
        <w:t xml:space="preserve">: </w:t>
      </w:r>
      <w:r>
        <w:rPr>
          <w:rtl w:val="true"/>
        </w:rPr>
        <w:t>العقل</w:t>
      </w:r>
      <w:bookmarkEnd w:id="134"/>
    </w:p>
    <w:p>
      <w:pPr>
        <w:pStyle w:val="BookText"/>
        <w:rPr/>
      </w:pPr>
      <w:r>
        <w:rPr>
          <w:rFonts w:ascii="IRNazanin" w:hAnsi="IRNazanin" w:eastAsia="IRNazanin"/>
          <w:color w:val="111111"/>
          <w:sz w:val="28"/>
          <w:sz w:val="28"/>
          <w:szCs w:val="28"/>
          <w:rtl w:val="true"/>
          <w:lang w:bidi="fa-IR"/>
        </w:rPr>
        <w:t>استدلّ ابن قبة لعدم إمکان حجّیة خبر الواحد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مختصّ بخبر الواحد، والآخر عامّ یشمل جمیع الأمارات الظنّیة</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التعبّد بخبر الواحد فی الإخبار عن النّبی الأکرم صلی الله علیه و آله لجاز التعبّد به فی الإخبار عن اللَّه تعالی، والتالی باطل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الملازمة أنّ حکم الأمثال فیما یجوز وفیما لا یجوز واحد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 واضح؛ لأنّه قیاس مع الفارق، فإنّ التعبّد بخبر الواحد فی الإخبار</w:t>
      </w:r>
      <w:bookmarkStart w:id="135" w:name="pg16918_187309"/>
    </w:p>
    <w:p>
      <w:pPr>
        <w:pStyle w:val="BookText"/>
        <w:rPr/>
      </w:pPr>
      <w:bookmarkEnd w:id="135"/>
      <w:r>
        <w:rPr>
          <w:rFonts w:ascii="IRNazanin" w:hAnsi="IRNazanin" w:eastAsia="IRNazanin"/>
          <w:color w:val="111111"/>
          <w:sz w:val="28"/>
          <w:sz w:val="28"/>
          <w:szCs w:val="28"/>
          <w:rtl w:val="true"/>
          <w:lang w:bidi="fa-IR"/>
        </w:rPr>
        <w:t>عن اللَّه تعالی ملازم لدعوی النبوّة، وهی من اصول الدین، الّتی تحتاج إلی دلیل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جواز التعبّد بالظنّ موجب لتحلیل الحرام وتحریم الحلال إذ لا یؤمن أن یکون ما أخبر مثلًا بحلّیته حراماً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الجواب عن هذا الوجه فی بیان کیفیة الجمع بین الحکم الواقعی والظاهری فی جمیع الأمارات الظنّیة</w:t>
      </w:r>
      <w:r>
        <w:rPr>
          <w:rFonts w:eastAsia="IRNazanin" w:cs="IRNazanin"/>
          <w:color w:val="111111"/>
          <w:sz w:val="28"/>
          <w:szCs w:val="28"/>
          <w:rtl w:val="true"/>
          <w:lang w:bidi="fa-IR"/>
        </w:rPr>
        <w:t>.</w:t>
      </w:r>
    </w:p>
    <w:p>
      <w:pPr>
        <w:pStyle w:val="Heading4"/>
        <w:numPr>
          <w:ilvl w:val="3"/>
          <w:numId w:val="1"/>
        </w:numPr>
        <w:rPr/>
      </w:pPr>
      <w:bookmarkStart w:id="136" w:name="__RefHeading___Toc96020_3244359995"/>
      <w:bookmarkStart w:id="137" w:name="_Toc50"/>
      <w:bookmarkEnd w:id="136"/>
      <w:r>
        <w:rPr>
          <w:rtl w:val="true"/>
        </w:rPr>
        <w:t>أدلّة القائلین بحجّیة خبر الواحد</w:t>
      </w:r>
      <w:bookmarkEnd w:id="137"/>
    </w:p>
    <w:p>
      <w:pPr>
        <w:pStyle w:val="Heading5"/>
        <w:numPr>
          <w:ilvl w:val="4"/>
          <w:numId w:val="1"/>
        </w:numPr>
        <w:rPr/>
      </w:pPr>
      <w:bookmarkStart w:id="138" w:name="__RefHeading___Toc96022_3244359995"/>
      <w:bookmarkStart w:id="139" w:name="_Toc51"/>
      <w:bookmarkEnd w:id="138"/>
      <w:r>
        <w:rPr>
          <w:rtl w:val="true"/>
        </w:rPr>
        <w:t>اشارة</w:t>
      </w:r>
      <w:bookmarkEnd w:id="139"/>
    </w:p>
    <w:p>
      <w:pPr>
        <w:pStyle w:val="BookText"/>
        <w:rPr/>
      </w:pPr>
      <w:r>
        <w:rPr>
          <w:rFonts w:ascii="IRNazanin" w:hAnsi="IRNazanin" w:eastAsia="IRNazanin"/>
          <w:color w:val="111111"/>
          <w:sz w:val="28"/>
          <w:sz w:val="28"/>
          <w:szCs w:val="28"/>
          <w:rtl w:val="true"/>
          <w:lang w:bidi="fa-IR"/>
        </w:rPr>
        <w:t>إستدلّ القائلون بالحجّیة أیضاً بالأدلّة الأربعة</w:t>
      </w:r>
      <w:r>
        <w:rPr>
          <w:rFonts w:eastAsia="IRNazanin" w:cs="IRNazanin"/>
          <w:color w:val="111111"/>
          <w:sz w:val="28"/>
          <w:szCs w:val="28"/>
          <w:rtl w:val="true"/>
          <w:lang w:bidi="fa-IR"/>
        </w:rPr>
        <w:t>:</w:t>
      </w:r>
    </w:p>
    <w:p>
      <w:pPr>
        <w:pStyle w:val="Heading5"/>
        <w:numPr>
          <w:ilvl w:val="4"/>
          <w:numId w:val="1"/>
        </w:numPr>
        <w:rPr/>
      </w:pPr>
      <w:bookmarkStart w:id="140" w:name="__RefHeading___Toc96024_3244359995"/>
      <w:bookmarkStart w:id="141" w:name="_Toc52"/>
      <w:bookmarkEnd w:id="140"/>
      <w:r>
        <w:rPr>
          <w:rtl w:val="true"/>
        </w:rPr>
        <w:t>الدلیل الأول</w:t>
      </w:r>
      <w:r>
        <w:rPr>
          <w:rtl w:val="true"/>
        </w:rPr>
        <w:t xml:space="preserve">: </w:t>
      </w:r>
      <w:r>
        <w:rPr>
          <w:rtl w:val="true"/>
        </w:rPr>
        <w:t>الکتاب</w:t>
      </w:r>
      <w:r>
        <w:rPr>
          <w:rtl w:val="true"/>
        </w:rPr>
        <w:t>:</w:t>
      </w:r>
      <w:bookmarkEnd w:id="141"/>
    </w:p>
    <w:p>
      <w:pPr>
        <w:pStyle w:val="Heading6"/>
        <w:numPr>
          <w:ilvl w:val="5"/>
          <w:numId w:val="1"/>
        </w:numPr>
        <w:rPr/>
      </w:pPr>
      <w:bookmarkStart w:id="142" w:name="__RefHeading___Toc96026_3244359995"/>
      <w:bookmarkStart w:id="143" w:name="_Toc53"/>
      <w:bookmarkEnd w:id="142"/>
      <w:r>
        <w:rPr>
          <w:rtl w:val="true"/>
        </w:rPr>
        <w:t>اشارة</w:t>
      </w:r>
      <w:bookmarkEnd w:id="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النبأ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جَاءَکُمْ فَاسِقٌ بِنَبَإٍ فَتَبَیَّنُوا أَنْ تُصِیبُوا قَوْماً بِجَهَالَةٍ فَتُصْبِحُوا عَلَی مَا فَعَلْتُمْ نَادِمِینَ</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الطبرسی رحمه الله فی 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فی الولید بن عقبة بن أبی معیط بعثه رسول اللَّه صلی الله علیه و آله فی صدقات بنی المصطلق فخرجوا یتلقّونه فرحاً به وکانت بینهم عداوة فی الجاهلیة فظنّ أنّهم همّوا بقتله، فرجع إلی رسول اللَّه صلی الله علیه و آله وقال إنّهم منعوا صدقاتهم، وکان الأمر بخلافه، فغضب النّبی صلی الله علیه و آله وهمّ أن یغزوهم فنزلت الآیة</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وللاستدلال بالآیة ثلاثة وجوه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بمفهوم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بمفهوم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بمناسبة الحکم والموضوع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 بحجّیة مفهوم الوصف فلا إشکال فی حجّیة مفهوم کلمة الفاسق فی الآیة، فتدلّ علی عدم لزوم التبیّن فی خبر العادل وحجّیته، لکن المشهور عدم حجّیة مفهوم الوصف خصوصاً فی الوصف غیر المعتمد علی الموصوف کما فی المقام فإنّه حینئذٍ أشبه بمفهوم اللقب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هی الفائدة فی ذکر هذا الوصف، ولماذا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جاءکم أحد بنبأ؟</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ورد للتنبیه علی فسق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 أنّ للوصف مفهوماً علی ما یأتی فی مبحث المفاهیم، خصوصاً فی أمثال ما نحن فیه الذی یکون فی مقام بیان ضابطة کلّیة بملاحظة صدر الآیة وهو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بکونه تنبیهاً علی فسق الولید، کلام غیر وجیه؛ لأنّ الآیات لا تکون مختصّة بعصر دون عصر وبشخص دون شخص، بل إنّها هدی للناس فی جمیع القرون والأعصار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وللقائلین به بیانات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تعالی علّق وجوب التبیّن علی مجی‌ء الفاسق بالنبأ، فإذا انتفی ذلک؛ سواء انتفی بانتفاء الموضوع؛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یجی‌ء أحد بخبر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انتفی بانتفاء المحمول؛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إنسان بخبر وکان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ینتفی وجوب التبیّن، فیستدلّ بإطلاق المفهوم لعدم وجوب التبیّن فی خبر العادل وأنّه حجّة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القضیّة الشرطیّة هاهنا لیس لها مفهوم بحسب الظاهر؛ لأنّها سیقت لبیان تحقّق الموضوع مثل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رزقت ولداً فسمّه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الجزاء موقوف علی الشرط عقلًا لا شرعاً وبجعل الشارع من دون توقّف عقلی فی البین، فعند انتفاء الشرط یکون انتفاء الجزاء بحکم العقل من قبیل قضیّة السالبة</w:t>
      </w:r>
      <w:bookmarkStart w:id="144" w:name="pg16918_187311"/>
    </w:p>
    <w:p>
      <w:pPr>
        <w:pStyle w:val="BookText"/>
        <w:rPr/>
      </w:pPr>
      <w:bookmarkEnd w:id="144"/>
      <w:r>
        <w:rPr>
          <w:rFonts w:ascii="IRNazanin" w:hAnsi="IRNazanin" w:eastAsia="IRNazanin"/>
          <w:color w:val="111111"/>
          <w:sz w:val="28"/>
          <w:sz w:val="28"/>
          <w:szCs w:val="28"/>
          <w:rtl w:val="true"/>
          <w:lang w:bidi="fa-IR"/>
        </w:rPr>
        <w:t>بانتفاء الموضوع لا السالبة بانتفاء المحمول مع وجود موضوعه، وانتفاء المحمول والحکم یکون بواسطة انتفاء ما علّق علیه من شرط أو 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الخراسانی رحمه الله وحاصله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الحکم بوجوب التبیّن عن النبأ الذی جی‌ء به، معلّق علی کون الجائی به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نفس مجی‌ء الفاسق بالنبأ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یکون المفهوم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الجائی بالنبأ فاسقاً بل کان عادلًا فلا یجب التبیّن</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کذلک لو کانت الآیة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النبأ إن جاء به الفاسق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الموضوع القدر المطلق المشترک بین نبأ الفاسق والعادل، ولکن سیاق الآیة لیس 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مناسبة الحکم والموضوع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اشیر إلیها فی کلمات الشیخ الأعظم وغیره قدس سرهم وتوضیحها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الآیة کون الفسق موجباً لعدم الاعتماد والوثوق، أی أنّ التبیّن یناسب عدم الاعتبار، وهذه المناسبة تقتضی عرفاً عدم وجوب التبیّن فی خبر العادل المعتبر الموثوق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هو طرق الاستدلال بآیة النبأ، وقد ظهر أنّ الطریق الأوّل والثالث تامّ دون الطریق الثانی، ومع قطع النظر عن هذه الوجوه لو عرضنا الآیة علی العرف یفهم منها المفهوم من دون أن یحتاج إلی ذکر منشئه</w:t>
      </w:r>
      <w:r>
        <w:rPr>
          <w:rFonts w:eastAsia="IRNazanin" w:cs="IRNazanin"/>
          <w:color w:val="111111"/>
          <w:sz w:val="28"/>
          <w:szCs w:val="28"/>
          <w:rtl w:val="true"/>
          <w:lang w:bidi="fa-IR"/>
        </w:rPr>
        <w:t>.</w:t>
      </w:r>
    </w:p>
    <w:p>
      <w:pPr>
        <w:pStyle w:val="Heading6"/>
        <w:numPr>
          <w:ilvl w:val="5"/>
          <w:numId w:val="1"/>
        </w:numPr>
        <w:rPr/>
      </w:pPr>
      <w:bookmarkStart w:id="145" w:name="__RefHeading___Toc96028_3244359995"/>
      <w:bookmarkStart w:id="146" w:name="_Toc54"/>
      <w:bookmarkEnd w:id="145"/>
      <w:r>
        <w:rPr>
          <w:rtl w:val="true"/>
        </w:rPr>
        <w:t>مناقشات فی دلالة الآیة و حلّها</w:t>
      </w:r>
      <w:bookmarkEnd w:id="146"/>
    </w:p>
    <w:p>
      <w:pPr>
        <w:pStyle w:val="BookText"/>
        <w:rPr/>
      </w:pPr>
      <w:r>
        <w:rPr>
          <w:rFonts w:ascii="IRNazanin" w:hAnsi="IRNazanin" w:eastAsia="IRNazanin"/>
          <w:color w:val="111111"/>
          <w:sz w:val="28"/>
          <w:sz w:val="28"/>
          <w:szCs w:val="28"/>
          <w:rtl w:val="true"/>
          <w:lang w:bidi="fa-IR"/>
        </w:rPr>
        <w:t>وقد اورد علی دلالة الآیة إشکالات، ونحن نذکر هنا أهمّها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یرتبط بالتعلیل الوارد فی ذیل الآیة، وهو أنّ مقتضی عموم التعلیل وجوب التبیّن فی کلّ خبر ظنّی؛ لأنّه لا یؤمن الوقوع فی الندم من العمل به وإن کان المخبر عادلًا فیعارض المفهوم، والترجیح مع ظهور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عنه بأنّ الموجب للندم هو ما کان معرضاً للندامة غالباً وخبر العادل لیس کذلک، ووقوع الخطأ فیه أحیاناً کوقوع الخطأ فی العلم لا یوجب الندم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الجهل هنا بمعناه العرفی لا المنطقی، ولیس هذا موجوداً فی خبر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دلالة الآیة علی المفهوم یلزم خروج المورد عن مفهوم الآیة؛ لأنّ موردها وهو الإخبار عن إرتداد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بنو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الموضوعات فلا یثبت بخبر العدل الواحد، وخروج المورد أمر مستهجن عند العرف فیکشف عن عدم المفهوم للآیة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فی فسحة عن هذا الإشکال؛ لأنّ المختار عندنا حجّیة خبر الواحد حتّی فی الموضوعات، إلّافی باب القضاء لما ورد فیه من دلیل خاصّ علی اشتراط شاهدین، بل لابدّ فیه فی بعض الموضوعات کأبواب حدّ الزنا أکثر من اثنین من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ینافی إطلاق المفهوم لا أصله؛ حیث إنّه یدلّ علی حجّیة خبر العادل مطلقاً، وقد قیّد هذا الإطلاق فی الموضوعات بضمّ عدل آخر وعدم الاکتفاء بعدل واحد، وهذا لا ینافی حجّیة أصل المفهوم، فلو دلّت علیها الآیة الشریفة لم یکن تقیید إطلاقه بالنسبة إلی مورده مانعاً عن تحقّقه، والذی لا یجوز فی الکلام إنّما هو خروج المورد علی کلّ حال لا ما إذا کان داخلًا مع قید أو شرط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معارضة للآیات الناهیّة عن العمل بغیر علم، والنسبة بینهما العموم من وجه، فتتعارضان فی مورد الاجتماع وهو خبر العادل الذی یوجب الظنّ بالحکم فتقدّم ظهور الآیات الناهیّة علی ظهور هذه الآیة لکونها أقوی ظهوراً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وجوابه یظهر ممّا سبق عند ذکر الآیات الناهیّة، فقد قلنا هناک أنّ المقصود من الظنّ الوارد فی تلک الآیات هو الأوهام والخرافات الّتی لا أساس لها وعلیه لا تعارض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یختصّ بآیة النبأ بل یرد علی جمیع أدلّة حجّیة خبر الواحد، وهو عدم شمول أدلّة الحجّیة للأخبار مع الواسطة، مع أنّ المقصود من حجّیة خبر الواحد هو إثبات السنّة بالأخبار الّتی وصلت إلینا مع الوسائط عن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إثباته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انصراف الأدلّة عن الإخبار مع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 واضح؛ لأنّه لا وجه للانصراف، ولو سلّمنا کون منصرف الآیة الإخبار بلا واسطة، إلّاأنّ العرف یری إلغاء الخصوصیّة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الحکم والموضوع ببیان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الخبر الّتی یعبّر عنها بوجوب تصدیق العادل إنّما هی بلحاظ الأثر الشرعی الذی یترتّب علی المخبر به، إذ لو لم یکن له أثر شرعی کانت الحجّیة لغواً ولا یصحّ التعبّد به، ومن المعلوم لزوم تغایر کلّ حکم مع موضوعه فإذا لم یکن فی مورد أثر شرعی للخبر إلّانفس وجوب التصدیق الثابت بدلیل حجّیة الخبر عدم إمکان ترتیب هذا الأثر، لما سبق من لزوم وحدة الحکم والموضوع وهو محال والمقام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 الصدوق مثلًا عن الصفّار و أخبر هو عن الإمام علیه السلام بحکمٍ، فلا شکّ أنّ حجّیة خبر الصفّار له أثر شرعی وهو حکم الإمام علیه السلام، ولکن خبر الصدوق لا أثر له شرعاً إلّاإثبات مصداق آخر لإخبار الثقة وهو خبر الصفّار، ومن هنا یتّحد الحکم والموضوع، فتأمّل فإنّه دقیق</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یکفی فی صحّة التعبّد کون المتعبّد به ممّا له دخل فی موضوع الحکم ولا دلیل علی لزوم ترتّب تمام الأثر علیه، ففی ما نحن فیه حیث تنتهی سلسلة الأخبار إلی قوله علیه السلام، فلکلّ واحد منها دخل فی إثبات قوله الذی له الأثر الشرعی، وهذا المقدار کافٍ فی صحّة التعبّد به، فلیس هنا أحکام متعدّدة حتّی یستشکل باتّحاد الحکم والموضوع، بل هنا حکم واحد، وکلّ ما فی سلسلة السند من الرجال جزء لموضوعه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النفر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الْمُؤْمِنُونَ لِیَنفِرُوا کَافَّةً فَلَوْلَا نَفَرَ مِنْ کُلِّ فِرْقَةٍ مِنْهُمْ طَائِفَةٌ لِیَتَفَقَّهُوا فِی الدِّینِ وَلِیُنذِرُوا قَوْمَهُمْ إِذَا رَجَعُوا إِلَیْهِمْ لَعَلَّهُمْ یَحْذَرُونَ</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ذکر فی تفسیر هذه الآیة وجوه، أهمّها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 النفر فیها الخروج إلی الجهاد، غایة الأمر أنّها تنهی المؤمنین أن ینفروا إلی الجهاد کافّة وتأمرهم بالإنقسام إلی 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فطائفة منهم تنفر إلی الجهاد، وطائفة اخری تبقی عند الرسول للتفقّه فی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والقائلون بهذا الوجه استشهدوا له بصدر الآیة وهو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الْمُؤْمِنُونَ لِیَنفِرُوا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یدلّ علی أنّهم کانوا ینفرون کافّة إلی الجهاد حذراً عن شمول الآیات النازلة فی المنافقین القاعدین لهم، فنهاهم اللَّه عن هذا النحو من الخروج وأخبرهم بأنّ الجهاد مع الجهل واجب کالجهاد مع العدوّ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الوجه مخالف لظاهر الآیة من بعض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یحتاج إلی تقدیر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وتبقی 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رجوع الضمیر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الطائفة الباقیة مع أنّ الظاهر رجوعه إلی الفرقة النافرة المذکورة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رجوع الضمیر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الطائفة الباقیة، مع أنّ ظاهره أیضاً الرجوع إلی النافرة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النفر إلی الجهاد مع عدم التقدیر المذکور فی الوجه الأوّل، فیرجع الضمیران إلی الطائفة النافرة، أی التفقّه والإنذار یرجعان إلیهم، واللَّه تعالی حثّهم علی التفقّه فی میدان الحرب بالتبصّر والتیقّن بما یریهم اللَّه من نصرة الدین وصدق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مِنْ فِئَةٍ قَلِیلَةٍ غَلَبَتْ فِئَةً کَثِیرَةً بِإِذْنِ</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یَکُنْ مِنْکُمْ عِشْرُونَ صَابِرُونَ یَغْلِبُوا مِائَتَیْنِ</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لترجع إلی الفرقة المتخلّفة فتحذّرها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أیضاً مخالف للظاهر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ظاهر التفقّه فی الدین وخلاف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المضارع، فإنّه ظاهر فی الاستمرار لا فی التفقّه فی مقطع خاصّ وزمان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زمان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کلمة الدین أیضاً ظاهرة فی جمّ غفیر من المسائل والمعارف الدینیة لا فی خصوص صفة من صفات الباری تعالی کقدرته ونصرته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یبقی السؤال فی الآیة بعدُ من أنّه لماذا منع من نفر الجمیع للتفقّه فی الدین؟ لأنّ المفروض عدم وجود تقدیر فی الآیة، فالواجب علی الجمیع النفر للتفقّه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 النفر، النفر إلی محضر الرسول الأکرم صلی الله علیه و آله لتحصیل الدین، ومعنی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لمؤمنی البلاد أن یخرجوا کافّة من أوطانهم إلی المدینة للتفقّه، للزوم اختلال نظام معیشتهم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وإن یوجب التخلّص من إشکال التقدیر، ولکن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عن شی‌ء إنّما یصحّ فیما إذا کان الشخص فی معرض إرتکاب ذلک الشی‌ء، وهو ممنوع فی مورد الآیة، لأنّا لا نری من نفر جمیع المسلمین إلی محضر الرسول للتفقّه أثراً فی الأخبار والتاریخ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اتّحاد سیاق هذه الآیة مع الآیة السابقة واللاحقة لأنّ موردها هو الجهاد مع العدوّ</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الإنصاف أنّ أخفّها مؤونة وأقلّها محذوراً هو التفسیر الأوّل وإن کان کلّها یحتاج إلی التقدیر، کما یؤیّده ما ورد فی شأن نزولها، فإنّها وردت بعد نزول آیات</w:t>
      </w:r>
    </w:p>
    <w:p>
      <w:pPr>
        <w:pStyle w:val="BookText"/>
        <w:rPr/>
      </w:pPr>
      <w:r>
        <w:rPr>
          <w:rFonts w:ascii="IRNazanin" w:hAnsi="IRNazanin" w:eastAsia="IRNazanin"/>
          <w:color w:val="111111"/>
          <w:sz w:val="28"/>
          <w:sz w:val="28"/>
          <w:szCs w:val="28"/>
          <w:rtl w:val="true"/>
          <w:lang w:bidi="fa-IR"/>
        </w:rPr>
        <w:t>الجهاد وذمّ المنافقین لأجل ترکهم الجهاد، فکان المؤمنون یخرجون إلی الجهاد جمیعاً لئلّا یعمّهم ذمّ الآیات، فنزلت الآیة ونهت عن خروج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الطبرسی رحمه الله فی مجمع البیان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حین کثر الناس فأمرهم اللَّه سبحانه أن تنفر منهم طائفة وتقیم طائفة للتفقّه وأن یکون الغزو نوباً</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فقد صرّحت هذه الروایة بما قدّرت فی الآیة بناءً علی هذا التفسیر، أی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وتقیم 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مختار کثیر من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الاستدلال بهذه الآیة یقوم علی أساس دلالة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الحذر عند إنذار المتفقّه فی الدین مطلقاً سواء حصل منه العلم أو لا، وهو معنی حجّیة خبر الواحد تعبّداً، وقد ذکروا وجوهاً للاستدلال بها وأحسنها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مستعملة فی معناها الحقیقی، وهو إنشاء الترجّی حتّی فیما إذا وقعت فی کلامه تعالی، ولکن بما أنّ الداعی إلی الترجّی یستحیل فی حقّه تعالی لأنّ منشأه عبارة عن الجهل والعجز، فلا محالة تکون مستعملة بداعی طلب الحذر، وإذا ثبت کون الحذر مطلوباً ثبت وجوبه؛ لأنّه لا معنی لحسن الحذر ورجحانه بدون وجوبه، فإنّ المقتضی للحذر إن کان موجوداً فقد وجب الحذر وإلّا فلا یحسن أبداً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الوجه تامّ إلّامن ناحیة ما ذکر من استحالة الترجّی فی حقّه تعالی؛ لأنّ المأخوذ فی مادّة الترجّی هو الحاجة إلی شرائط غیر حاصلة، وعدم حصول الشرائط تارةً یکون من جانب المتکلّم وهو اللَّه تعالی، واخری من ناحیة المخاطب وهو الناس، ففی ما نحن فیه وإن کانت الشرائط حاصلة من جانبه تعالی إلّاأنّها غیر</w:t>
      </w:r>
    </w:p>
    <w:p>
      <w:pPr>
        <w:pStyle w:val="BookText"/>
        <w:rPr/>
      </w:pPr>
      <w:r>
        <w:rPr>
          <w:rFonts w:ascii="IRNazanin" w:hAnsi="IRNazanin" w:eastAsia="IRNazanin"/>
          <w:color w:val="111111"/>
          <w:sz w:val="28"/>
          <w:sz w:val="28"/>
          <w:szCs w:val="28"/>
          <w:rtl w:val="true"/>
          <w:lang w:bidi="fa-IR"/>
        </w:rPr>
        <w:t xml:space="preserve">حاصلة من جانب الناس کاشتراطه بالتقوی والورع، فاستعملت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معناها الحقیقی، فتأمّل فإنّه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یستفاد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مطلوبیّة الحذر وهی مساوقة مع الوجوب، سواء کانت مستعملة فی معناها الحقیقی أو فی معناها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الحذر جعل غایة للإنذار الواجب؛ لظهور الأمر بالإنذار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الوجوب، وغایة الواجب إذا کانت من الأفعال الاختیاریّة واجبة، کما أنّ مقدّمة الواجب واجبة لوجود الملازمة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واورد علی الاستدلال بهذه الآیة إشکالات لا یتمّ الاستدلال بها من دون دفعها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المأخوذ فی التفقّه والإنذار فی الآیة عنوان الطائفة، وهی عبارة عن الجماعة وإخبار الجماعة یوجب العلم، فتکون الآیة خارجة عن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 واضح، لأنّ المقصود من الطائفة هو کلّ واحد منهم، نظیر المراد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الأطبّاء فی مرضک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ونظائرهما ممّا لا شکّ فی أنّ المراد فیه کلّ واحد من الأفراد والمصادیق مستقلًاّ لا الجماعة بما هی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ناظرة إلی اصول الدین بقرینة الروایات الّتی وردت فی ذیلها الدالّة علی وظیفة المؤمنین فی تعیین الإمام اللاحق بعد وفاة الإمام السابق، ولا إشکال فی اعتبار حصول العلم فی الاصول، فتکون الآیة خارجة عن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عامّة تعمّ الفروع أیضاً؛ لأنّه لا وجه لتخصیصها بالاصول، أمّا الروایات فإنّها غایة ما تثبته أنّ اصول الدین مشمولة للآیة ولا تدلّ علی انحصارها بها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فإذا کان الإخبار باصول الدین، وجب فیه تحصیل العلم بالقرائن الخارجیّة، وإذا کان بالفروع کان مطلقاً، من دون اشتراط حصول العلم و الیقین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الکتمان</w:t>
      </w:r>
    </w:p>
    <w:p>
      <w:pPr>
        <w:pStyle w:val="BookText"/>
        <w:rPr/>
      </w:pPr>
      <w:r>
        <w:rPr>
          <w:rFonts w:ascii="Amiri" w:hAnsi="Amiri" w:eastAsia="Amiri" w:cs="Amiri"/>
          <w:color w:val="111111"/>
          <w:sz w:val="28"/>
          <w:sz w:val="28"/>
          <w:szCs w:val="28"/>
          <w:rtl w:val="true"/>
          <w:lang w:bidi="ar-SA"/>
        </w:rPr>
        <w:t>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یَکْتُمُونَ مَا أَنزَلْنَا مِنْ الْبَیِّنَاتِ وَالْهُدَی مِنْ بَعْدِ مَا بَیَّنَّاهُ لِلنَّاسِ فِی الْکِتَابِ أُوْلَئِکَ یَلْعَنُهُمُ اللَّه وَیَلْعَنُهُمُ اللَّاعِنُونَ</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وتقریب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الکتمان ووجوب الإظهار یلازم وجوب القبول وإلّا یکون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واورد علیها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واردة فی اصول العقائد کما یشهد به شأن نزولها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مطلقة تعمّ الفروع والاصول معاً؛ لأنّ الآیة تشمل بالوجدان ما إذا کتم فقیه حرمة الربا أو الرشا مثلًا، ولا دخل لخصوصیة المورد لأنّ المورد لیس مخصّصاً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الممکن أن تکون فائدة حرمة الکتمان ووجوب الإظهار هو حصول العلم من قولهم لأجل تعدّدهم لا العمل بقولهم وإن لم‌یحصل العلم من إخبارهم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فهمنا وجوب القبول من برهان اللغویة، لا من اللفظ حتّی یدّعی الإطلاق بالنسبة إلی مورد عدم حصول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فدلالة الآیة علی حجّیة خبر الواحد لا تخلو من إشکال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أهل الذکر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الذِّکْرِ إِنْ کُنْتُمْ لَاتَعْلَمُونَ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فی موضعین من الکتاب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قَبْلِکَ إِلَّا رِجَالًا نُوحِی إِلَیْهِمْ فَاسْأَلُوا أَهْلَ الذِّکْرِ إِنْ کُنْتُمْ لَاتَعْلَمُونَ</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قَبْلَکَ إِلَّا</w:t>
      </w:r>
    </w:p>
    <w:p>
      <w:pPr>
        <w:pStyle w:val="BookText"/>
        <w:rPr/>
      </w:pPr>
      <w:r>
        <w:rPr>
          <w:rFonts w:ascii="Amiri" w:hAnsi="Amiri" w:eastAsia="Amiri" w:cs="Amiri"/>
          <w:color w:val="111111"/>
          <w:sz w:val="28"/>
          <w:sz w:val="28"/>
          <w:szCs w:val="28"/>
          <w:rtl w:val="true"/>
          <w:lang w:bidi="ar-SA"/>
        </w:rPr>
        <w:t>رِجَالًا نُوحِی إِلَیْهِمْ فَاسْأَلُوا أَهْلَ الذِّکْرِ إِنْ کُنتُمْ لَاتَعْلَمُونَ</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وهاتان الآیتان بشهادة صدرهما نزلتا فی جواب الاعتراض علی النّبی الأکرم صلی الله علیه و آله بأنّه لِمَ خلق بشراً أو لا یکون معه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فاجیب عن هذا الإشکال بأنّ هذا لیس أمراً جدیداً بل کان الأمر کذلک فی الأنبیاء السلف، وإن أردتم شاهداً علی هذا فاسألوا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الیهود والنصاری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فمورد الآیة مسألة من اصول الدین، وهی أنّه هل یمکن أن یکون النّبی صلی الله علیه و آله بشراً أو لا؟</w:t>
      </w:r>
    </w:p>
    <w:p>
      <w:pPr>
        <w:pStyle w:val="BookText"/>
        <w:rPr/>
      </w:pPr>
      <w:r>
        <w:rPr>
          <w:rFonts w:ascii="IRNazanin" w:hAnsi="IRNazanin" w:eastAsia="IRNazanin"/>
          <w:color w:val="111111"/>
          <w:sz w:val="28"/>
          <w:sz w:val="28"/>
          <w:szCs w:val="28"/>
          <w:rtl w:val="true"/>
          <w:lang w:bidi="fa-IR"/>
        </w:rPr>
        <w:t>والاستدلال بهذه الآیة لحجّیة خبر الواحد یرجع أیضاً إلی برهان اللغویة، وتقریبه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الأمر بالسؤال هو وجوبه، ووجوبه ملازم لوجوب القبول، وإلّا یکون وجوب السؤال لغواً، وإطلاقه یشمل السؤال الذی یحصل من جوابه العلم وما یحصل من جوابه الظنّ، أی یجب القبول سواء حصل العلم أم لا؟</w:t>
      </w:r>
    </w:p>
    <w:p>
      <w:pPr>
        <w:pStyle w:val="BookText"/>
        <w:rPr/>
      </w:pPr>
      <w:r>
        <w:rPr>
          <w:rFonts w:ascii="IRNazanin" w:hAnsi="IRNazanin" w:eastAsia="IRNazanin"/>
          <w:color w:val="111111"/>
          <w:sz w:val="28"/>
          <w:sz w:val="28"/>
          <w:szCs w:val="28"/>
          <w:rtl w:val="true"/>
          <w:lang w:bidi="fa-IR"/>
        </w:rPr>
        <w:t>ولکن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کثیر من الأعلام وهو أنّه یمکن أن تکون فائدة وجوب السؤال هی حصول العلم أحیاناً بالسؤال، فیخرج عن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دفع هذا الإشکال بإطلاق وجوب السؤال، لأنّ لازمه إطلاق وجوب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مفادها أخصّ من المدّعی؛ لأنّها تدلّ علی وجوب القبول فی خصوص مورد السؤال، بینما یکون محلّ النزاع مطلق أخبار الثقة؛ سواء کان فی قبال سؤال أم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 واضح وهو أنّ الفهم العرفی یوجب إلغاء الخصوصیّة من هذه الجهة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أهل الخبرة، فیدلّ علی حجّیة قول</w:t>
      </w:r>
    </w:p>
    <w:p>
      <w:pPr>
        <w:pStyle w:val="BookText"/>
        <w:rPr/>
      </w:pPr>
      <w:r>
        <w:rPr>
          <w:rFonts w:ascii="IRNazanin" w:hAnsi="IRNazanin" w:eastAsia="IRNazanin"/>
          <w:color w:val="111111"/>
          <w:sz w:val="28"/>
          <w:sz w:val="28"/>
          <w:szCs w:val="28"/>
          <w:rtl w:val="true"/>
          <w:lang w:bidi="fa-IR"/>
        </w:rPr>
        <w:t xml:space="preserve">أهل الخبرة لوجود تفاسیر مختلفة لأهل الذکر فی کلمات المفسّرین، فبعضهم فسّره بأهل القرآن والمفسّرین؛ لأنّ من أسامی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ذِکْرٌ مُبَارَکٌ أَنزَلْنَاهُ</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 xml:space="preserve">، وبعضهم فسّره بأهل الکتاب من علماء الیهود والنصاری، والمقصود من السؤال منهم حینئذٍ هو السؤال عن علائم النبوّة الموجودة فی التوراة والإنجیل، وثالث فسّره بأهل العلم بأخبار الماضین، ورابع فسّره بالأئمّة علیهم السلام لأنّ من أسامی الرسول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أَنزَلَ اللَّه إِلَیْکُمْ ذِکْراً رَسُولًا</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وقد أُیّد هذا التفسیر بروایات وردت فی هذا المعنی وأنّ أهل الذکر هم الأئمّة علیهم السلام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الصحیح أنّ المراد منه أهل العلم عامّة وأنّ کلّ واحد من هذه الاحتمالات بیان لمصداق من المصادیق وتفسیر للآیة بالمصداق کما هو المتداول فی کثیر من کتب التفسیر والأخبار، وذلک باعتبار أنّ الذکر فی اللغة بمعنی العلم مطلقاً من دون تقیّد وخصوصیّة، ویشهد له ملاحظة موارد استعمال هذه المادّة ومشتقّاتها فی القرآن الکریم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کان عالماً وخبیراً فی موضوع من الموضوعات ومسألة من المسائل، ولا وجه لتخصیصه بمصداق دون 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یکون الاستدلال بهذه الآیة فی باب التقلید أولی ممّا نحن فیه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المحقّق الخراسانی رحمه الله حاول الجواب عن هذا الإشکال بأنّ مثل زرارة ومحمّد بن مسلم وغیرهما من أجلّاء الرواة کانوا من أهل العلم، فیجب قبول روایتهم، وإذا وجب قبول روایتهم وجب قبول روایة من لیس من أهل العلم بالإجماع المرکّب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bookmarkStart w:id="147" w:name="pg16918_187321"/>
    </w:p>
    <w:p>
      <w:pPr>
        <w:pStyle w:val="BookText"/>
        <w:rPr/>
      </w:pPr>
      <w:bookmarkEnd w:id="147"/>
      <w:r>
        <w:rPr>
          <w:rFonts w:ascii="IRNazanin" w:hAnsi="IRNazanin" w:eastAsia="IRNazanin"/>
          <w:color w:val="111111"/>
          <w:sz w:val="28"/>
          <w:sz w:val="28"/>
          <w:szCs w:val="28"/>
          <w:rtl w:val="true"/>
          <w:lang w:bidi="fa-IR"/>
        </w:rPr>
        <w:t>والإنصاف أنّه غیر تامّ، لأنّ المستفاد من الآیة وجوب السؤال عن مثل زرارة وقبول جوابه من حیث إنّه من أهل العلم والخبرویّة لا بما أنّه راوٍ وناقل للروایة حتّی یتعدّی عنه إلی سائر الرواة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دلیل علی جواز رجوع الجاهل إلی العالم وإمضاء لبناء العقلاء فی هذا الأمر، مضافاً إلی أنّه لا إشکال فی عدم حجّیة الإجماع المرکّب لا سیّما فی أمثال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أنّ جمیع ما اورد علی الاستدلال بهذه الآیة مدفوعة إلّاالإشکال الثالث، وهو أنّها واردة فی حجّیة قول أهل الخبرة، ولهذا استدلّ کثیر من العلماء بها فی باب الاجتهاد والتقلید بل هی من أهمّ الأدلّة فی ذلک الباب</w:t>
      </w:r>
      <w:r>
        <w:rPr>
          <w:rFonts w:eastAsia="IRNazanin" w:cs="IRNazanin"/>
          <w:color w:val="111111"/>
          <w:sz w:val="28"/>
          <w:szCs w:val="28"/>
          <w:rtl w:val="true"/>
          <w:lang w:bidi="fa-IR"/>
        </w:rPr>
        <w:t>.</w:t>
      </w:r>
    </w:p>
    <w:p>
      <w:pPr>
        <w:pStyle w:val="Heading5"/>
        <w:numPr>
          <w:ilvl w:val="4"/>
          <w:numId w:val="1"/>
        </w:numPr>
        <w:rPr/>
      </w:pPr>
      <w:bookmarkStart w:id="148" w:name="__RefHeading___Toc96030_3244359995"/>
      <w:bookmarkStart w:id="149" w:name="_Toc55"/>
      <w:bookmarkEnd w:id="148"/>
      <w:r>
        <w:rPr>
          <w:rtl w:val="true"/>
        </w:rPr>
        <w:t>الدلیل الثانی</w:t>
      </w:r>
      <w:r>
        <w:rPr>
          <w:rtl w:val="true"/>
        </w:rPr>
        <w:t xml:space="preserve">: </w:t>
      </w:r>
      <w:r>
        <w:rPr>
          <w:rtl w:val="true"/>
        </w:rPr>
        <w:t>السنّة</w:t>
      </w:r>
      <w:bookmarkEnd w:id="149"/>
    </w:p>
    <w:p>
      <w:pPr>
        <w:pStyle w:val="BookText"/>
        <w:rPr/>
      </w:pPr>
      <w:r>
        <w:rPr>
          <w:rFonts w:ascii="IRNazanin" w:hAnsi="IRNazanin" w:eastAsia="IRNazanin"/>
          <w:color w:val="111111"/>
          <w:sz w:val="28"/>
          <w:sz w:val="28"/>
          <w:szCs w:val="28"/>
          <w:rtl w:val="true"/>
          <w:lang w:bidi="fa-IR"/>
        </w:rPr>
        <w:t>وقد وردت روایات متواترة دالّة علی حجّیة خبر الواحد، وهی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الآمرة بالرجوع إلی أشخاص معینین من الرواة والأصحاب أو إلی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شعیب العقرقوفی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إحتجنا أن نسأل عن الشی‌ء فمن نسأل؟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أبا بصیر</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یونس بن عمّار أنّ أبا عبداللَّه علیه السلام قال له فی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رواه زرارة عن أبی جعفر علیه السلام فلا یجوز لک أن تردّه</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المفضّل بن عمر أنّ أبا عبداللَّه علیه السلام قال للفیض بن المختار فی حدیث</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أردت حدیثنا فعلیک بهذا الجالس، وأومأ إلی رجل من أصحابه</w:t>
      </w:r>
    </w:p>
    <w:p>
      <w:pPr>
        <w:pStyle w:val="BookText"/>
        <w:rPr/>
      </w:pPr>
      <w:r>
        <w:rPr>
          <w:rFonts w:ascii="IRNazanin" w:hAnsi="IRNazanin" w:eastAsia="IRNazanin"/>
          <w:color w:val="111111"/>
          <w:sz w:val="28"/>
          <w:sz w:val="28"/>
          <w:szCs w:val="28"/>
          <w:rtl w:val="true"/>
          <w:lang w:bidi="fa-IR"/>
        </w:rPr>
        <w:t>فسألت أصحابنا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أعین</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وتقریب الاستدلال بهذه الطائفة أنّها وإن لم تصرّح بحجّیة خبر الثقة بنحو الکبری الکلّیة، ولکن یستفاد ذلک من مجموعها، بل من کلّ واحد منها، ضرورة عدم خصوصیة لأشخاصهم فلم توجب حجّیة کلامهم إلّاوثاقتهم وأمانتهم، فمن کان من غیر هؤلاء وکان بصفتهم کان خبره حجّة مثل أخبارهم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الّتی تدلّ علی حجّیة خبر الثقات بنحو الکبری الکلّیة من دون اختصاص بأشخاص معینین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مقبولة عمر بن حنظلة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أعدلهما وأفقههما وأصدقهما فی الحدیث وأورعهما، ولا یلتفت إلی ما یحکم به الآخر</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فیستفاد من تعبیره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الصدق یوجب الحجّیة، ولذلک یکون مرجّحاً عند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مسلم،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یروون عن فلان وفلان عن رسول اللَّه صلی الله علیه و آله لا یتّهمون بالکذب فیجی‌ء منکم خلافه؟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ینسخ کما ینسخ القرآن</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الحسن بن الجهم،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تجیئنا الأحادیث عنکم مختلفة،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جاءک عنّا فقس علی کتاب اللَّه عزّوجلّ وأحادیثنا، فإن کان یشبههما فهو منّا وإن لم یکن یشبههما فلیس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یجیئنا الرجلان وکلاهما ثقة بحدیثین مختلفین ولا نعلم أیّهما الحقّ، قال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تعلم فموسّع علیک بأیّهما أخذت</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الحکم فی هذه الروایات تعلّق بعناوین کلّیة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الصادق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الاولی،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المتّهم بالکذب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الثانیة،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الثالثة، فصدر الحکم علی نهج القضیّة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عبدالعزیز بن المهتدی والحسن بن علی بن یقطین 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أکاد أصل إلیک أسألک عن کلّ ما أحتاج إلیه من معالم دینی، أفیونس بن عبدالرحمن ثقة آخذ عنه ما أحتاج إلیه من معالم دینی؟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أمضی الإمام فی هذه الروایة ما کان مرتکزاً فی ذهن الراوی من حجّیة قول الثقة لأنّ الراوی سأل عن وثاقة یونس بن عبدالرحمن وعن أخذ معالم دینه منه لکونه ثقة، والإمام علیه السلام أجاب عن کلا السؤالین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فکأنّه أمضی الصغری والکبری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التوقیع الشریف الوارد علی القاسم بن العلاء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عذر لأحد من موالینا فی التشکیک فما یرویه عنّا ثقاتنا، قد عرفوا بأنّا نفاوضهم سرّنا ونحملهم إیّاه إلیهم</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الحکم فیها بعدم جواز التشکیک أیضاً تعلّق بموضوع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أحمد بن إسحاق، عن أبی الحسن علیه السلام سألته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اعامل وعمّن آخذ وقول من أقبل؟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ثقتی فما أدّی إلیک عنّی فعنّی یؤدّی وما قال لک عنّی فعنّی یقول، فاسمع له وأطع فإنّه الثقة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أبا محمّد علیه السلام عن مثل ذلک فقال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وابنه ثقتان فما أدّیا إلیک عنّی فعنّی یؤدّیان، وما قالا لک فعنّی یقولان، فاسمع لهما وأطعهما فإنّهما الثقتان المأمونان</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والإنصاف أنّ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الثقة المأمون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قوله علیه السلام فی ذیل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الثقتان المأمونان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بمنزلة تعلیق حرمة الخمر بقولک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 أنّ المیزان فی حجّیة خبر الواحد کون المخبر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اخری ذات تعابیر مختلفة تدلّ علی کلّ حال علی حجّیة 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إسحاق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عثمان العمری أن یوصل لی کتاباً قد سألت فیه عن مسائل أشکلت علیّ، فورد التوقیع بخطّ مولانا صاحب الزمان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سألت عنه أرشدک اللَّه وثبّتک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الحوادث الواقعة فارجعوا فیها إلی رواة أحادیثنا فإنّهم حجّتی علیکم وأنا حجّة اللَّه، وأمّا محمّد بن عثمان العمری فرضی اللَّه عنه وعن أبیه من قبل، فإنّه ثقتی وکتابه کتابی</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الروایة وإن استدلّ بها فی باب التقلید وباب ولایة الفقیه، لکن یمکن أن یستدلّ بها أیضاً فی باب الحدیث والإخبار بالأحادیث خصوصاً مع ملاحظة التعبیر الوارد فیها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رواة أحادیثنا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فی الجملة تدلّ علی حجّیة خبر الواحد وإن اعتبرنا فیها شرائط وخصوصیّات، ولا یخفی أنّ محلّ النزاع حجّیة خبر الواحد فی الجملة، کما یمکن إدراج هذه الروایة فی الطائفة الثانیة لما ورد فی ذیلها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ثقتی وکتابه کتابی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العبّاس الفضل بن عبدالملک قال 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الناس إلیّ أحیاءً وأمواتاً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معاویة البجلی، وزرارة، ومحمّد بن مسلم، والأحول وهم أحبّ الناس إلیّ أحیاءً وأمواتاً</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فإنّها تدلّ علی حجّیة خبر الثقة فی الجملة بالدلالة الالتزامیّة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لعبداللَّه بن محمّد إلی أبی الحسن علیه السلام اختلف أصحابنا فی روایاتهم عن أبی عبد اللَّه علیه السلام فی رکعتی الفجر فی السفر فروی بعضهم صلّها فی المحمل، وروی بعضهم لا تصلّها إلّاعلی الأرض، فوقّع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 علیک بأیّة عملت</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هی الطوائف الثلاثة من الأخبار الدالّة علی حجّیة خبر الواحد البالغة حدّ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واورد علیها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المنع عن کونها متواترة؛ لأنّها مع کثرتها منقولة عن عدّة کتب خاصّة لا تبلغ حدّ التواتر، مع أنّ الشرط فی تحقّق التواتر کونها متواترة فی جمیع الطبقات، والتواتر فی جمیعها ممنوع مع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سلّمنا کونها متواترة، إلّاأنّه لا یوجد بین الأخبار خبر یکون جامعاً لعامّة الشرائط، أی دالًاّ علی حجّیة قول مطلق الثقة، لأنّ القدر المتیقّن من تلک الأخبار هو الخبر الحاکی من الإمام بلا واسطة مع کون الراوی من الفقهاء نظراء زرارة، ومحمّد بن مسلم، وأبی بصیر، ومعلوم أنّه لیس بینها خبر واجد لجمیع الشرائط حتّی شرط عدم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الجواب عن کلا الإشکالین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لو فرضنا أنّها لیست متواترة، فلا أقلّ من وجود خبر بینها محفوف بالقرائن القطعیّة أو الإطمئنانیّة یدلّ علی حجّیة خبر مطلق الثقة، وهذا المقدار کافٍ فی المطلوب؛ لأنّ المهمّ هو القطع بالصدور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جمیع هذه الروایات باستثناء روایتین أو ثلاث روایات منها ظاهرة فی الأعمّ من الأخبار مع الواسطة ویکون القدر المتیقّن، حینئذٍ ما کانت سلسلة الرواة فیها من الفقهاء نظراء زرارة من دون فرق بین کونها مع الواسطة أو بلا واسطة، فلو ظفرنا علی روایة جامعة لهذه الشرائط ویکون مفادها حجّیة خبر الثقة</w:t>
      </w:r>
      <w:bookmarkStart w:id="150" w:name="pg16918_187326"/>
    </w:p>
    <w:p>
      <w:pPr>
        <w:pStyle w:val="BookText"/>
        <w:rPr/>
      </w:pPr>
      <w:bookmarkEnd w:id="150"/>
      <w:r>
        <w:rPr>
          <w:rFonts w:ascii="IRNazanin" w:hAnsi="IRNazanin" w:eastAsia="IRNazanin"/>
          <w:color w:val="111111"/>
          <w:sz w:val="28"/>
          <w:sz w:val="28"/>
          <w:szCs w:val="28"/>
          <w:rtl w:val="true"/>
          <w:lang w:bidi="fa-IR"/>
        </w:rPr>
        <w:t>مطلقاً یثبت المطلوب سواء کانت مع الواسطة أو بدون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تکون من هذا القبیل روایة أحمد بن إسحاق المذکورة آنفاً، لأنّ رجال السند فیها کلّهم من أجلّاء الأصحاب الذین یعتنی بشأنهم، ولا إشکال أیضاً أنّ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الثقة المأمون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ورد فی ذیل هذا الحدیث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الثقتان المأمونان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بمنزلة الکبری الکلّیة یدلّ علی حجّیة خبر الثقة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ثبت بحمد اللَّه من جمیع ما ذکرنا أنّ الاستدلال علی حجّیة خبر الثقة بالسنّة فی محلّه</w:t>
      </w:r>
      <w:r>
        <w:rPr>
          <w:rFonts w:eastAsia="IRNazanin" w:cs="IRNazanin"/>
          <w:color w:val="111111"/>
          <w:sz w:val="28"/>
          <w:szCs w:val="28"/>
          <w:rtl w:val="true"/>
          <w:lang w:bidi="fa-IR"/>
        </w:rPr>
        <w:t>.</w:t>
      </w:r>
    </w:p>
    <w:p>
      <w:pPr>
        <w:pStyle w:val="Heading5"/>
        <w:numPr>
          <w:ilvl w:val="4"/>
          <w:numId w:val="1"/>
        </w:numPr>
        <w:rPr/>
      </w:pPr>
      <w:bookmarkStart w:id="151" w:name="__RefHeading___Toc96032_3244359995"/>
      <w:bookmarkStart w:id="152" w:name="_Toc56"/>
      <w:bookmarkEnd w:id="151"/>
      <w:r>
        <w:rPr>
          <w:rtl w:val="true"/>
        </w:rPr>
        <w:t>الدلیل الثالث</w:t>
      </w:r>
      <w:r>
        <w:rPr>
          <w:rtl w:val="true"/>
        </w:rPr>
        <w:t xml:space="preserve">: </w:t>
      </w:r>
      <w:r>
        <w:rPr>
          <w:rtl w:val="true"/>
        </w:rPr>
        <w:t>الإجماع</w:t>
      </w:r>
      <w:bookmarkEnd w:id="152"/>
    </w:p>
    <w:p>
      <w:pPr>
        <w:pStyle w:val="BookText"/>
        <w:rPr/>
      </w:pPr>
      <w:r>
        <w:rPr>
          <w:rFonts w:ascii="IRNazanin" w:hAnsi="IRNazanin" w:eastAsia="IRNazanin"/>
          <w:color w:val="111111"/>
          <w:sz w:val="28"/>
          <w:sz w:val="28"/>
          <w:szCs w:val="28"/>
          <w:rtl w:val="true"/>
          <w:lang w:bidi="fa-IR"/>
        </w:rPr>
        <w:t>وتارةً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الإجماع القولی من العلماء، 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العملی منهم، بل من المسلمین ویمکن التعبیر عنه بسیرة المسلمین أیضاً، 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الإجماع بالمعنی الأوّل فهو ممنوع لکون المسألة خلافیة، وکذا الإجماع بالمعنی الثانی، ولو سلّمنا تحقّق صغری الإجماع لکنّه لیس بحجّة؛ لأنّ مدارک المسألة معلومة، فطائفة منهم تمسّکوا بالدلیل العقلی، واخری بالأدلّة النقلیة من الآیات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الإجماع بمعنی السیرة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ممّا لا ریب فیه لاستقرار طریقة العقلاء طرّاً علی الرجوع إلی خبر الثقة فی جمیع امورهم، وهو حجّة ما لم یردع عنه الشارع</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استقرار سیرة العقلاء علی العمل بخبر الثقة إنّما هو من جهة حصول الوثوق والإطمئنان منه نوعاً، وإلّا فلا خصوصیّة لخبر الثقة ولا لغیره أصلًا فعملهم بخبر الثقة خصوصاً فی الامور المهمّة إنّما یکون فیما إذا أفاد الوثوق والإطمئنان لا بما هو هو، فلا یثبت بها حجّیة الظنّ مطلقاً ولو لم یصل إلی حدّ الوثوق، ولو سلّمنا شمولها لمطلق الظنّ إلّاأنّ دائرتها تختصّ بالأخبار بلا واسطة، ولو فرضنا شمولها</w:t>
      </w:r>
    </w:p>
    <w:p>
      <w:pPr>
        <w:pStyle w:val="BookText"/>
        <w:rPr/>
      </w:pPr>
      <w:r>
        <w:rPr>
          <w:rFonts w:ascii="IRNazanin" w:hAnsi="IRNazanin" w:eastAsia="IRNazanin"/>
          <w:color w:val="111111"/>
          <w:sz w:val="28"/>
          <w:sz w:val="28"/>
          <w:szCs w:val="28"/>
          <w:rtl w:val="true"/>
          <w:lang w:bidi="fa-IR"/>
        </w:rPr>
        <w:t>للأخبار مع الواسطة أیضاً فی زماننا هذا، إلّاأنّ رجوعها إلی عصر الأئمّة المعصومین علیهم السلام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راجعنا سیرة العقلاء فی امورهم العامّة، کتقسیم ضریبة مالیة وتوزیعها بین الفقراء مثلًا، ونحو ذلک ممّا یصنع به فی دائرة واسعة لعلمنا أنّهم یکتفون فی تعیین الفقراء وتشخیص الموضوعات والمصادیق بأخبار الثقات مطلقاً ولو لم یحصل الإطمئنان المقارب للعلم، بل ولو کان الخبر مع الواسطة، کما أنّه المتعارف فی الحوالات المصرفیة فإنّها تقبل من حاملیها بمجرّد کونهم موثّقین مع احتمال کونها مجعولة، بل علی هذا یدور رحی الحیاة الاعتیادیّة الیومیّة، وعلیه أیضاً مدار المراجعات إلی التاریخ والأخبار الماضیة فیکتفی فیها بتألیفات الموثّقین والکتب المعتبرة الموجودة، وإلّا لا طریق لنا للوصول إلی أخبار الماضین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وجود هذه السیرة فی عصر الأئمّة الأطهار علیهم السلام فیشهد له ملاحظة الأسئلة الواردة من الرواة وتقریرات الأئمّة علیهم السلام لهم الّتی مرّت جملة منها ضمن نقل الأخبار الدالّة علی حجّیة 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مخالفة أمثال السیّد المرتضی رحمه الله لا تضرّنا فی المقام، وذلک لجهتین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مخالفتهم کانت من ناحیة الضغط الوارد من جانب المخالفین وإعتراضهم بأنّه لو کان خبر الواحد حجّة عندکم فکیف لا تعملون بأخبار الآحاد الواردة من طرقنا مع عدم إمکان جرح رواتهم من جانب هؤلاء؟ فاستندوا بعدم حجّیة خبر الواحد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حمل مخالفتهم بالنسبة للأخبار غیر نقیّة السند المرویة من غیر الثقات من أصحاب الأئمّة علیهم السلام أو فی الکتب غیر المعتمدة، لأنّه لا شکّ فی أنّهم کانوا یعملون بالأخبار الموجودة فی الکتب المعتبرة للشیعة ویستندون إلیها فی فتاویهم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کان وجه عملهم بها اعتقادهم بأنّها محفوفة بقرائن قطعیّة أو اطمئنانیّة، وهی</w:t>
      </w:r>
      <w:bookmarkStart w:id="153" w:name="pg16918_187328"/>
    </w:p>
    <w:p>
      <w:pPr>
        <w:pStyle w:val="BookText"/>
        <w:rPr/>
      </w:pPr>
      <w:bookmarkEnd w:id="153"/>
      <w:r>
        <w:rPr>
          <w:rFonts w:ascii="IRNazanin" w:hAnsi="IRNazanin" w:eastAsia="IRNazanin"/>
          <w:color w:val="111111"/>
          <w:sz w:val="28"/>
          <w:sz w:val="28"/>
          <w:szCs w:val="28"/>
          <w:rtl w:val="true"/>
          <w:lang w:bidi="fa-IR"/>
        </w:rPr>
        <w:t>ممنوعة عندنا فهم مشترکون معنا فی أصل حجّیة أخبار الثقات الموجودة فی الکتب المعتبرة المعتمدة علیها للشیعة الّتی هی محلّ الکلام فی ما نحن فیه، وإنّما الاختلاف فی وجه الحجّیة، فمخالفتهم لیست مضرّة بثبوت الإجماع علی العمل بها</w:t>
      </w:r>
      <w:r>
        <w:rPr>
          <w:rFonts w:eastAsia="IRNazanin" w:cs="IRNazanin"/>
          <w:color w:val="111111"/>
          <w:sz w:val="28"/>
          <w:szCs w:val="28"/>
          <w:rtl w:val="true"/>
          <w:lang w:bidi="fa-IR"/>
        </w:rPr>
        <w:t>.</w:t>
      </w:r>
    </w:p>
    <w:p>
      <w:pPr>
        <w:pStyle w:val="Heading5"/>
        <w:numPr>
          <w:ilvl w:val="4"/>
          <w:numId w:val="1"/>
        </w:numPr>
        <w:rPr/>
      </w:pPr>
      <w:bookmarkStart w:id="154" w:name="__RefHeading___Toc96034_3244359995"/>
      <w:bookmarkStart w:id="155" w:name="_Toc57"/>
      <w:bookmarkEnd w:id="154"/>
      <w:r>
        <w:rPr>
          <w:rtl w:val="true"/>
        </w:rPr>
        <w:t>الدلیل الرابع</w:t>
      </w:r>
      <w:r>
        <w:rPr>
          <w:rtl w:val="true"/>
        </w:rPr>
        <w:t xml:space="preserve">: </w:t>
      </w:r>
      <w:r>
        <w:rPr>
          <w:rtl w:val="true"/>
        </w:rPr>
        <w:t>العقل</w:t>
      </w:r>
      <w:bookmarkEnd w:id="155"/>
    </w:p>
    <w:p>
      <w:pPr>
        <w:pStyle w:val="BookText"/>
        <w:rPr/>
      </w:pPr>
      <w:r>
        <w:rPr>
          <w:rFonts w:ascii="IRNazanin" w:hAnsi="IRNazanin" w:eastAsia="IRNazanin"/>
          <w:color w:val="111111"/>
          <w:sz w:val="28"/>
          <w:sz w:val="28"/>
          <w:szCs w:val="28"/>
          <w:rtl w:val="true"/>
          <w:lang w:bidi="fa-IR"/>
        </w:rPr>
        <w:t>وتقریره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بصدور جملة کثیرة من الأخبار الموجودة فی الکتب المعتبرة المشتملة علی الأحکام الإلزامیّة الوافیّة بمعظم الفقه عن الشارع المقدّس، ولازم هذا العلم الإجمالی العمل بجمیع أخبار الکتب المعتبرة المثبتة للتکالیف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هذا الوجه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هذا الوجه هو الأخذ بالأخبار احتیاطاً لا حجّیتها بالخصوص، وأنّ العلم الإجمالی یقتضی هذا المقدار من العمل، ومن المعلوم أنّ الأخذ من باب الاحتیاط یختلف عن الأخذ بها من باب الحجّیة فإنّ الحجّة تخصّص وتقیّد وتقدّم علی معارضها مع الرجحان وتوجب جواز إسناد الحکم إلی الشارع وجواز قصد الورود، بخلاف الأخذ بها احتیاطاً فإنّه لا یترتّب علیه شی‌ء من هذه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یقتضی حجّیة أخبار الثقات وغیر الثقات جمیعاً، مع أنّ المدّعی هو حجّیة خبر الثقة فقط</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ذکره صاحب الوافیة من أنّا نقطع ببقاء التکالیف إلی یوم القیامة، لا سیّما بالاصول الضروریة مثل الصلاة والصوم والحجّ والزکاة وغیر ذلک من الضروریات، ومن المعلوم أنّ أجزاء هذه الامور وشرائطها وموانعها لا تثبت إلّا بخبر الواحد الموجود فی الکتب، ولو لم تکن تلک الأخبار حجّة وجاز ترک العمل بها لخرجت هذه الامور عن حقائقها وما کنّا نعرف أنّ هذه الامور ما هی، وهذا</w:t>
      </w:r>
    </w:p>
    <w:p>
      <w:pPr>
        <w:pStyle w:val="BookText"/>
        <w:rPr/>
      </w:pPr>
      <w:r>
        <w:rPr>
          <w:rFonts w:ascii="IRNazanin" w:hAnsi="IRNazanin" w:eastAsia="IRNazanin"/>
          <w:color w:val="111111"/>
          <w:sz w:val="28"/>
          <w:sz w:val="28"/>
          <w:szCs w:val="28"/>
          <w:rtl w:val="true"/>
          <w:lang w:bidi="fa-IR"/>
        </w:rPr>
        <w:t>ینافی کونها ضروریة وبقاء التکلیف بها إلی یوم القیامة</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وکلامه هذا مشتمل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سلسلة من العبادات واجبة بضرورة من الدین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لها أجزاء وشرائط مبثوثة فی کتب الأخبار لا یجوز ترک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بینه وبین الوجه السابق من دعوی العلم الإجمالی إلّا أنّ دائرته أضیق منه مع أنّه لا دلیل علی هذا التضییق؛ لأنّا نعلم بدخول غیر العبادات أیضاً فی أطراف العلم الإجمالی، وانحصار حجّیة خبر الواحد بالعبادات وعدم حجّیته فی مثل المعاملات والحدود والدیات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عدم إثباته إلّالزوم الأخذ بخبر الواحد من باب الاحتیاط لا الحجّیة بالمعنی الذی یکون مخصّصاً للعمومات ومقیّداً للمطلقات والذی لأجله یکون الإسناد إلی اللَّه تعالی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شمولها للأخبار النافیّة واختصاصها بالمثبتة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أخبار غیر الثقات وعدم اعتبار الوثاقة مع أنّ کلّ من قال بحجّیة خبر الواحد اعتبر قیوداً مثل قید الوثاقة أو کون الخبر فی الکتب المعتبرة، اللهمّ إلّا أن یقال بانحلال العلم الإجمالی بخصوص أخبار الثقات أو ما فی الکتب المعتبرة، فتأمّل جیّداً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صاحب الحاشیة علی کتاب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العمل بالکتاب والسنّة ثابت بالإجماع والضرورة والأخبار المتواترة، ولا شکّ فی بقاء هذا التکلیف بالنسبة إلینا أیضاً بنفس الأدلّة المذکورة، وحینئذٍ فإن أمکن الرجوع إلیهما علی نحو یحصل منهما العلم بالحکم أو الظنّ الخاصّ به فهو، وإلّا فالمتّبع هو الرجوع إلیهما علی وجه یحصل الظنّ بالطریق أو بالحکم، وإذن یجب</w:t>
      </w:r>
      <w:bookmarkStart w:id="156" w:name="pg16918_187330"/>
    </w:p>
    <w:p>
      <w:pPr>
        <w:pStyle w:val="BookText"/>
        <w:rPr/>
      </w:pPr>
      <w:bookmarkEnd w:id="156"/>
      <w:r>
        <w:rPr>
          <w:rFonts w:ascii="IRNazanin" w:hAnsi="IRNazanin" w:eastAsia="IRNazanin"/>
          <w:color w:val="111111"/>
          <w:sz w:val="28"/>
          <w:sz w:val="28"/>
          <w:szCs w:val="28"/>
          <w:rtl w:val="true"/>
          <w:lang w:bidi="fa-IR"/>
        </w:rPr>
        <w:t>العمل بالروایات الّتی یظنّ بصدورها للظنّ بوجود السنّة فیها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والفرق بین هذا الوجه والوجهین السابقین أنّ متعلّق العلم الإجمالی فی هذا الوجه هو ما ورد فی الکتاب والسنّة، وفی الوجهین السابقین هو الأحکام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 الجواب عنه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من السنّة هذه الأخبار الحاکیة لقول المعصوم علیه السلام أو فعله أو تقریره الموجودة فی کتب الحدیث بما هی هی، أی أنّ لهذه الأخبار موضوعیّة فوجوب الرجوع إلیها بهذا الوجه أوّل الکلام، وإن کان المراد أنّها بما هی طریق إلی أحکام اللَّه الواقعیة وبما أنّا نعلم بصدور کثیر منها فإن أمکن الاحتیاط والعمل بجمیع الأخبار فیرجع إلی الوجه الأوّل ویکون الجواب هو الجواب، وإن لم یمکن الاحتیاط فیرجع إلی دلیل الانسداد</w:t>
      </w:r>
      <w:r>
        <w:rPr>
          <w:rFonts w:eastAsia="IRNazanin" w:cs="IRNazanin"/>
          <w:color w:val="111111"/>
          <w:sz w:val="28"/>
          <w:szCs w:val="28"/>
          <w:rtl w:val="true"/>
          <w:lang w:bidi="fa-IR"/>
        </w:rPr>
        <w:t>.</w:t>
      </w:r>
    </w:p>
    <w:p>
      <w:pPr>
        <w:pStyle w:val="Heading4"/>
        <w:numPr>
          <w:ilvl w:val="3"/>
          <w:numId w:val="1"/>
        </w:numPr>
        <w:rPr/>
      </w:pPr>
      <w:bookmarkStart w:id="157" w:name="__RefHeading___Toc96036_3244359995"/>
      <w:bookmarkStart w:id="158" w:name="_Toc58"/>
      <w:bookmarkEnd w:id="157"/>
      <w:r>
        <w:rPr>
          <w:rtl w:val="true"/>
        </w:rPr>
        <w:t>نتیجة البحث فی حجّیة خبر الواحد</w:t>
      </w:r>
      <w:bookmarkEnd w:id="158"/>
    </w:p>
    <w:p>
      <w:pPr>
        <w:pStyle w:val="BookText"/>
        <w:rPr/>
      </w:pPr>
      <w:r>
        <w:rPr>
          <w:rFonts w:ascii="IRNazanin" w:hAnsi="IRNazanin" w:eastAsia="IRNazanin"/>
          <w:color w:val="111111"/>
          <w:sz w:val="28"/>
          <w:sz w:val="28"/>
          <w:szCs w:val="28"/>
          <w:rtl w:val="true"/>
          <w:lang w:bidi="fa-IR"/>
        </w:rPr>
        <w:t>قد تلخّص ممّا ذکرنا من أدلّة حجّیة خبر الواحد أنّ تامّة الدلالة منها عندنا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النبأ حیث تدلّ علی حجّیة خبر العادل من باب مفهوم الوصف، بل تدلّ علی حجّیة خبر الثقة لا سیّما بقرینة التعلیل الوارد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النفر، وهی منصرفة إلی حجّیة 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الّتی إن لم نقل بتواترها فلا أقلّ من کونها محفوفة بالقرائن القطعیّة، وهی تدلّ علی حجّیة مطلق خبر الثقة أیضاً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العمدة، بناء العقلاء، فإنّه قائم علی حجّیة الأخبار الموثوق بها وإن لم یکن المخبر ثقة، أی الملاک عندهم هو الوثوق بالمخبَر به لا المخبِر، والظاهر أنّ سائر الأدلّة إمضاء لبناء العقلاء فی هذه المسألة</w:t>
      </w:r>
      <w:r>
        <w:rPr>
          <w:rFonts w:eastAsia="IRNazanin" w:cs="IRNazanin"/>
          <w:color w:val="111111"/>
          <w:sz w:val="28"/>
          <w:szCs w:val="28"/>
          <w:rtl w:val="true"/>
          <w:lang w:bidi="fa-IR"/>
        </w:rPr>
        <w:t>.</w:t>
      </w:r>
      <w:bookmarkStart w:id="159" w:name="pg16918_187331"/>
    </w:p>
    <w:p>
      <w:pPr>
        <w:pStyle w:val="Heading4"/>
        <w:numPr>
          <w:ilvl w:val="3"/>
          <w:numId w:val="1"/>
        </w:numPr>
        <w:rPr/>
      </w:pPr>
      <w:bookmarkStart w:id="160" w:name="__RefHeading___Toc96038_3244359995"/>
      <w:bookmarkStart w:id="161" w:name="_Toc59"/>
      <w:bookmarkEnd w:id="159"/>
      <w:bookmarkEnd w:id="160"/>
      <w:r>
        <w:rPr>
          <w:rtl w:val="true"/>
        </w:rPr>
        <w:t>بقی هنا امور مهمّة</w:t>
      </w:r>
      <w:r>
        <w:rPr>
          <w:rtl w:val="true"/>
        </w:rPr>
        <w:t>:</w:t>
      </w:r>
      <w:bookmarkEnd w:id="161"/>
    </w:p>
    <w:p>
      <w:pPr>
        <w:pStyle w:val="Heading5"/>
        <w:numPr>
          <w:ilvl w:val="4"/>
          <w:numId w:val="1"/>
        </w:numPr>
        <w:rPr/>
      </w:pPr>
      <w:bookmarkStart w:id="162" w:name="__RefHeading___Toc96040_3244359995"/>
      <w:bookmarkStart w:id="163" w:name="_Toc60"/>
      <w:bookmarkEnd w:id="162"/>
      <w:r>
        <w:rPr>
          <w:rtl w:val="true"/>
        </w:rPr>
        <w:t>الأوّل</w:t>
      </w:r>
      <w:r>
        <w:rPr>
          <w:rtl w:val="true"/>
        </w:rPr>
        <w:t xml:space="preserve">: </w:t>
      </w:r>
      <w:r>
        <w:rPr>
          <w:rtl w:val="true"/>
        </w:rPr>
        <w:t>عدم حجّیة خبر الواحد فی الاصول</w:t>
      </w:r>
      <w:bookmarkEnd w:id="163"/>
    </w:p>
    <w:p>
      <w:pPr>
        <w:pStyle w:val="BookText"/>
        <w:rPr/>
      </w:pPr>
      <w:r>
        <w:rPr>
          <w:rFonts w:ascii="IRNazanin" w:hAnsi="IRNazanin" w:eastAsia="IRNazanin"/>
          <w:color w:val="111111"/>
          <w:sz w:val="28"/>
          <w:sz w:val="28"/>
          <w:szCs w:val="28"/>
          <w:rtl w:val="true"/>
          <w:lang w:bidi="fa-IR"/>
        </w:rPr>
        <w:t>لاشکّ فی عدم حجّیة خبر الواحد فی اصول الدین، لأنّ المقصود فیها الاعتقاد القطعی بمبانی الإسلام، ولا یحصل ذلک إلّابدلیل قطعی، والخبر الظنّی غیر وافٍ بهذا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اصول الفقه، فهل یکفی فی إثبات مسائلها خبر الواحد أم لا؟ لم نر بحثاً واضحاً من أکابر الأصحاب فی ذلک، ومقتضی التحقیق عدم حجّیته فیه؛ لما عرفت من أنّ العمدة فی حجّیة خبر الواحد هو بناء العقلاء علیه، ومن البعید جدّاً رکونهم فی إثبات أصل من الاصول الّتی تترتّب علیها مئات أو آلاف فرع من الفروع علی خبر الواحد، بل یحتاج إثبات أمثال هذه الاصول إلی دلیل أقوی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الاستصحاب فی الأحکام الشرعیّة أصل یترتّب علیه أحکام کثیرة من أوّل أبواب الفقه إلی آخرها، فهل یمکن إثباته بمجرّد خبر واحد؟ کلّا، فاللازم فی إثبات أمثال ذلک الرجوع إلی أخبار مستفیضة محفوفة بالقرائن، ولا أقلّ من الشکّ والأصل عدم الحجّیة</w:t>
      </w:r>
      <w:r>
        <w:rPr>
          <w:rFonts w:eastAsia="IRNazanin" w:cs="IRNazanin"/>
          <w:color w:val="111111"/>
          <w:sz w:val="28"/>
          <w:szCs w:val="28"/>
          <w:rtl w:val="true"/>
          <w:lang w:bidi="fa-IR"/>
        </w:rPr>
        <w:t>.</w:t>
      </w:r>
    </w:p>
    <w:p>
      <w:pPr>
        <w:pStyle w:val="Heading5"/>
        <w:numPr>
          <w:ilvl w:val="4"/>
          <w:numId w:val="1"/>
        </w:numPr>
        <w:rPr/>
      </w:pPr>
      <w:bookmarkStart w:id="164" w:name="__RefHeading___Toc96042_3244359995"/>
      <w:bookmarkStart w:id="165" w:name="_Toc61"/>
      <w:bookmarkEnd w:id="164"/>
      <w:r>
        <w:rPr>
          <w:rtl w:val="true"/>
        </w:rPr>
        <w:t>الثانی</w:t>
      </w:r>
      <w:r>
        <w:rPr>
          <w:rtl w:val="true"/>
        </w:rPr>
        <w:t xml:space="preserve">: </w:t>
      </w:r>
      <w:r>
        <w:rPr>
          <w:rtl w:val="true"/>
        </w:rPr>
        <w:t>خبر الواحد هل یکون حجّة فی الموضوعات أو لا؟</w:t>
      </w:r>
      <w:bookmarkEnd w:id="165"/>
    </w:p>
    <w:p>
      <w:pPr>
        <w:pStyle w:val="BookText"/>
        <w:rPr/>
      </w:pPr>
      <w:r>
        <w:rPr>
          <w:rFonts w:ascii="IRNazanin" w:hAnsi="IRNazanin" w:eastAsia="IRNazanin"/>
          <w:color w:val="111111"/>
          <w:sz w:val="28"/>
          <w:sz w:val="28"/>
          <w:szCs w:val="28"/>
          <w:rtl w:val="true"/>
          <w:lang w:bidi="fa-IR"/>
        </w:rPr>
        <w:t>قد اشتهر أنّ خبر الواحد لا یکون حجّة فی الموضوعات، ولکن الحقّ کما ذهب إلیه جمع من الأصحاب ولا سیّما المتأخّرون منهم حجّیته فیها ویدلّ علی ذلک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النبأ، خصوصاً مع أنّ موردها وشأن نزولها من الموضوعات لا من الأحکام وهو الخبر بارتداد قبیلة بنی المصطلق، ومن الغریب جدّاً تخصیص العموم وتقیید الإطلاق بإخراج المورد وما هو شأن نزول الآیة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کثیرة وردت فی مختلف أبواب الفقه یمکن الاستدلال بها</w:t>
      </w:r>
    </w:p>
    <w:p>
      <w:pPr>
        <w:pStyle w:val="BookText"/>
        <w:rPr/>
      </w:pPr>
      <w:r>
        <w:rPr>
          <w:rFonts w:ascii="IRNazanin" w:hAnsi="IRNazanin" w:eastAsia="IRNazanin"/>
          <w:color w:val="111111"/>
          <w:sz w:val="28"/>
          <w:sz w:val="28"/>
          <w:szCs w:val="28"/>
          <w:rtl w:val="true"/>
          <w:lang w:bidi="fa-IR"/>
        </w:rPr>
        <w:t>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وردت فی أبواب النکاح من روایة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جاریة أو تمتّع بها، فحدّثه رجل ثقة أو غیر ثقة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امرأتی ولیست لی بیّنة، وقال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ثقة فلا یقربها وإن کان غیر ثقة فلا یقبل منه</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أبواب الوکالة عن هشام بن سالم عن أبی عبد اللَّه علیه السلام فی رجل وکّل آخر علی وکالة فی أمر من الأمور وأشهد له بذلک شاهدین، فقام الوکیل فخرج لإمضاء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إنّی قد عزلت الفلان عن الوکالة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الوکیل إذا وکّل ثمّ قام عن المجلس فأمره ماض أبداً والوکالة ثابتة حتّی یبلغه العزل عن الوکالة بثقة</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ودلالة الخبرین علی حجّیة قول الثقة فی الموضوعات واضح، وقد ذکرنا فی محلّه روایات اخری تدلّ علی ذلک </w:t>
      </w:r>
      <w:r>
        <w:rPr>
          <w:rStyle w:val="FootnoteAnchor"/>
          <w:rtl w:val="true"/>
        </w:rPr>
        <w:footnoteReference w:id="177"/>
      </w:r>
      <w:r>
        <w:rPr>
          <w:rFonts w:ascii="IRNazanin" w:hAnsi="IRNazanin" w:eastAsia="IRNazanin"/>
          <w:color w:val="111111"/>
          <w:sz w:val="28"/>
          <w:sz w:val="28"/>
          <w:szCs w:val="28"/>
          <w:rtl w:val="true"/>
          <w:lang w:bidi="fa-IR"/>
        </w:rPr>
        <w:t>ولو نوقش فی بعضها دلالة أو سنداً ففی الباقی لا سیّما مع تضافرها وضمّ بعضها ببعض غنی وکفایة؛ لأنّها وإن وردت فی موارد خاصّة إلّاأنّه یمکن إلغاء الخصوصیّة عنها بعد ورودها فی أبواب 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 وهو عمدة الأدلّة وأقواها، فإنّهم لا یزالون یعتمدون علی خبر الثقة فی ما یرجع إلی معاشهم، وحیث لم یردع عنه الشارع فی ما یرجع إلی معادهم فیکون حجّة، من دون أیّ فرق بین أخبار الثقة فی الموضوعات، أو فی الأحکام، فما ورد فی القرآن الکریم أو الروایات إمضاء لهذا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 لو کان حجّة فی الموضوعات لم تبق حاجة إلی البیّنة فیها فحجّیتها نافیة لحجّیته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اعتراف کثیر من الأصحاب بحجّیة خبر الواحد فی الموضوعات،</w:t>
      </w:r>
      <w:bookmarkStart w:id="166" w:name="pg16918_187333"/>
    </w:p>
    <w:p>
      <w:pPr>
        <w:pStyle w:val="BookText"/>
        <w:rPr/>
      </w:pPr>
      <w:bookmarkEnd w:id="166"/>
      <w:r>
        <w:rPr>
          <w:rFonts w:ascii="IRNazanin" w:hAnsi="IRNazanin" w:eastAsia="IRNazanin"/>
          <w:color w:val="111111"/>
          <w:sz w:val="28"/>
          <w:sz w:val="28"/>
          <w:szCs w:val="28"/>
          <w:rtl w:val="true"/>
          <w:lang w:bidi="fa-IR"/>
        </w:rPr>
        <w:t>أو تردیدهم فیها نشأ ظاهراً من هذا الإشکال، ولکنّه قابل للدفع، وذلک لأنّ أخبار حجّیة البیّنة ناظرة فی الغالب إلی المسائل المالیّة والحقوقیّة، والظاهر أنّ ذکر البیّنة فیها من جهة أنّ هذه المسائل وإن لم تکن مورداً للدعوی بالفعل، ولکن قد یؤدّی إلی المخاصمة، فلابدّ من أخذ شاهدین فیها حتّی إذا انتهی الأمر إلی المحکمة یکون دلیلًا یمکن الاستناد إلیه فی إثبات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مجمل القول فی المسألة والتفصیل موکول إلی محلّه</w:t>
      </w:r>
      <w:r>
        <w:rPr>
          <w:rFonts w:eastAsia="IRNazanin" w:cs="IRNazanin"/>
          <w:color w:val="111111"/>
          <w:sz w:val="28"/>
          <w:szCs w:val="28"/>
          <w:rtl w:val="true"/>
          <w:lang w:bidi="fa-IR"/>
        </w:rPr>
        <w:t>.</w:t>
      </w:r>
    </w:p>
    <w:p>
      <w:pPr>
        <w:pStyle w:val="Heading5"/>
        <w:numPr>
          <w:ilvl w:val="4"/>
          <w:numId w:val="1"/>
        </w:numPr>
        <w:rPr/>
      </w:pPr>
      <w:bookmarkStart w:id="167" w:name="__RefHeading___Toc96044_3244359995"/>
      <w:bookmarkStart w:id="168" w:name="_Toc62"/>
      <w:bookmarkEnd w:id="167"/>
      <w:r>
        <w:rPr>
          <w:rtl w:val="true"/>
        </w:rPr>
        <w:t>الثالث</w:t>
      </w:r>
      <w:r>
        <w:rPr>
          <w:rtl w:val="true"/>
        </w:rPr>
        <w:t xml:space="preserve">: </w:t>
      </w:r>
      <w:r>
        <w:rPr>
          <w:rtl w:val="true"/>
        </w:rPr>
        <w:t>المعیار فی حجّیة خبر الواحد</w:t>
      </w:r>
      <w:bookmarkEnd w:id="168"/>
    </w:p>
    <w:p>
      <w:pPr>
        <w:pStyle w:val="BookText"/>
        <w:rPr/>
      </w:pPr>
      <w:r>
        <w:rPr>
          <w:rFonts w:ascii="IRNazanin" w:hAnsi="IRNazanin" w:eastAsia="IRNazanin"/>
          <w:color w:val="111111"/>
          <w:sz w:val="28"/>
          <w:sz w:val="28"/>
          <w:szCs w:val="28"/>
          <w:rtl w:val="true"/>
          <w:lang w:bidi="fa-IR"/>
        </w:rPr>
        <w:t>هل المدار فی حجّیة خبر الواحد علی الوثوق بالروایة أو وثاقة الراوی؟ الظاهر هو الأوّل، ولذا لو ثبت الوثوق بالروایة من طریق آخر یعمل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والطرق الموجودة لذلک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الوثوق الحاصل من وثاقة الراوی، وهذا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الوثوق الحاصل من ناحیة شهرة الفتوی بمضمونها بین الأصحاب، وهذا هو الذی یعبّر عنه بانجبار ضعف الخبر بالشهرة العملیّة الفتوائیّة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الوثوق الحاصل بتضافر الروایات، لا سیّما إذا کانت فی الکتب المعتبرة، کالکتب الأربعة، وإن کانت نفس کلّ واحد من تلک الروایات ضعیفة بحسب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الوثوق الحاصل من علوّ مضمون الروایة بحیث لا یحتمل صدورها من غیر الإمام المعصوم العارف بالامور والعالم بالعلوم الإلهیّة، کما فی خطب نهج البلاغة و الصحیفة السجادیّة علیه السلام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إعلم أنّ الوثوق المعتبر هنا هو الوثوق النوعی لا الشخصی، ولذا لا یمکن للعبد عند ترک العمل بخبر الثقة الاعتذار بعدم حصول الوثوق الشخصی له، بل یؤاخذ علی ذلک مع الوثوق النوعی الحاصل ممّا عرفت</w:t>
      </w:r>
      <w:r>
        <w:rPr>
          <w:rFonts w:eastAsia="IRNazanin" w:cs="IRNazanin"/>
          <w:color w:val="111111"/>
          <w:sz w:val="28"/>
          <w:szCs w:val="28"/>
          <w:rtl w:val="true"/>
          <w:lang w:bidi="fa-IR"/>
        </w:rPr>
        <w:t>.</w:t>
      </w:r>
      <w:bookmarkStart w:id="169" w:name="pg16918_187334"/>
    </w:p>
    <w:p>
      <w:pPr>
        <w:pStyle w:val="Heading5"/>
        <w:numPr>
          <w:ilvl w:val="4"/>
          <w:numId w:val="1"/>
        </w:numPr>
        <w:rPr/>
      </w:pPr>
      <w:bookmarkStart w:id="170" w:name="__RefHeading___Toc96046_3244359995"/>
      <w:bookmarkStart w:id="171" w:name="_Toc63"/>
      <w:bookmarkEnd w:id="169"/>
      <w:bookmarkEnd w:id="170"/>
      <w:r>
        <w:rPr>
          <w:rtl w:val="true"/>
        </w:rPr>
        <w:t>الرابع</w:t>
      </w:r>
      <w:r>
        <w:rPr>
          <w:rtl w:val="true"/>
        </w:rPr>
        <w:t xml:space="preserve">: </w:t>
      </w:r>
      <w:r>
        <w:rPr>
          <w:rtl w:val="true"/>
        </w:rPr>
        <w:t>لما ذا یرجع إلی الکتب الرجالیة فی إثبات وثاقة الرواة</w:t>
      </w:r>
      <w:bookmarkEnd w:id="171"/>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شهادة علماء الرجال علی الوثوق وضعف الرواة غیر مقبول؛ لأنّهم کانوا غیر معاصرین للرواة الواردة أسمائهم فی الأسانید، مع أنّ المعتبر فی الشهادة الشهود بالعین والسماع بالاذن والإدراک بالحسّ، کما ورد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تشهدنّ بشهادة حتّی تعرفها کما تعرف کفّک</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وما ورد عن رسول اللَّه صلی الله علیه و آله وقد سئل عن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تری الشمس؟ علی مثلها فاشهد أو دع</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الملاک فی الرجوع إلی علماء الرجال هو الملاک فی الرجوع إلی أهل الخبرة، ولا شکّ فی أنّهم من أهل الخبرة لهذا العلم ومعرفة الرواة بالأدلّة والقرائن الّتی وصلت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أنّه لا یجب أن تکون معرفة أهل الخبرة مستنداً إلی الحسّ، کما أنّ الفقیه لا یستند فتواه إلی الحسّ، ومع ذلک فهو من أهل الخبرة ولذلک یرجع إلیه من لا معرفة له بهذا العلم من المقلِّدین</w:t>
      </w:r>
      <w:r>
        <w:rPr>
          <w:rFonts w:eastAsia="IRNazanin" w:cs="IRNazanin"/>
          <w:color w:val="111111"/>
          <w:sz w:val="28"/>
          <w:szCs w:val="28"/>
          <w:rtl w:val="true"/>
          <w:lang w:bidi="fa-IR"/>
        </w:rPr>
        <w:t>.</w:t>
      </w:r>
    </w:p>
    <w:p>
      <w:pPr>
        <w:pStyle w:val="Heading5"/>
        <w:numPr>
          <w:ilvl w:val="4"/>
          <w:numId w:val="1"/>
        </w:numPr>
        <w:rPr/>
      </w:pPr>
      <w:bookmarkStart w:id="172" w:name="__RefHeading___Toc96048_3244359995"/>
      <w:bookmarkStart w:id="173" w:name="_Toc64"/>
      <w:bookmarkEnd w:id="172"/>
      <w:r>
        <w:rPr>
          <w:rtl w:val="true"/>
        </w:rPr>
        <w:t>الخامس</w:t>
      </w:r>
      <w:r>
        <w:rPr>
          <w:rtl w:val="true"/>
        </w:rPr>
        <w:t xml:space="preserve">: </w:t>
      </w:r>
      <w:r>
        <w:rPr>
          <w:rtl w:val="true"/>
        </w:rPr>
        <w:t>نظرة عاجلة إلی روایات الکتب الأربعة</w:t>
      </w:r>
      <w:bookmarkEnd w:id="17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عمدة الروایات المعتبرة عند الشیعة فی الأحکام الشرعیّة وردت فی الکتب الأربعة الحدیثیّة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 مؤلفیها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المرجع للمجتهدین فی استنباط الأحکام الشرعیّة مدی هذه العصورالمتطاولة وقد جمعت هذه الکتب الأربعة من الأصول الأربعمائة المؤلّفة فی زمن الأئمّة علیهم السلام ومن غیر هذه الاصول من الأحادیث المدوّنة وغیر المدوّنة وتسمّی هذه الکتب بالاصول الأربعة</w:t>
      </w:r>
      <w:r>
        <w:rPr>
          <w:rStyle w:val="FootnoteAnchor"/>
          <w:rtl w:val="true"/>
        </w:rPr>
        <w:footnoteReference w:id="180"/>
      </w:r>
      <w:r>
        <w:rPr>
          <w:rFonts w:ascii="IRNazanin" w:hAnsi="IRNazanin" w:eastAsia="IRNazanin"/>
          <w:color w:val="111111"/>
          <w:sz w:val="28"/>
          <w:sz w:val="28"/>
          <w:szCs w:val="28"/>
          <w:rtl w:val="true"/>
          <w:lang w:bidi="fa-IR"/>
        </w:rPr>
        <w:t>، وینبغی هنا إشارة عابرة إلی هذه الکتب ومؤلفیها وشطر من خصوصیّاتها الّتی لها صلة بالمقام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یعقوب بن اسحاق الکُلَینی الرازی، وهو شیخ أصحابنا فی وقته بالریّ وکان أوثق الناس فی الحدیث وأثبتهم، صنّف کتابه فی عشرین سنة ومات رحمه الله سنة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الکتاب کما ذکره خرّیت فنّ الحدیث العلّامة المجلسی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أضبط الاصول وأجمعها، وأحسن مؤلفات الفرقة الناجیة وأعظمها</w:t>
      </w:r>
      <w:r>
        <w:rPr>
          <w:rStyle w:val="FootnoteAnchor"/>
          <w:rtl w:val="true"/>
        </w:rPr>
        <w:footnoteReference w:id="181"/>
      </w:r>
      <w:r>
        <w:rPr>
          <w:rFonts w:ascii="IRNazanin" w:hAnsi="IRNazanin" w:eastAsia="IRNazanin"/>
          <w:color w:val="111111"/>
          <w:sz w:val="28"/>
          <w:sz w:val="28"/>
          <w:szCs w:val="28"/>
          <w:rtl w:val="true"/>
          <w:lang w:bidi="fa-IR"/>
        </w:rPr>
        <w:t>، وقد أثنی علیه المفید قدس سره بأنّه من أجلّ کتب الشیعة وأکثرها فائدة</w:t>
      </w:r>
      <w:r>
        <w:rPr>
          <w:rStyle w:val="FootnoteAnchor"/>
          <w:rtl w:val="true"/>
        </w:rPr>
        <w:footnoteReference w:id="182"/>
      </w:r>
      <w:r>
        <w:rPr>
          <w:rFonts w:ascii="IRNazanin" w:hAnsi="IRNazanin" w:eastAsia="IRNazanin"/>
          <w:color w:val="111111"/>
          <w:sz w:val="28"/>
          <w:sz w:val="28"/>
          <w:szCs w:val="28"/>
          <w:rtl w:val="true"/>
          <w:lang w:bidi="fa-IR"/>
        </w:rPr>
        <w:t>، وقال الشهید الأوّل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یعمل للإمامیّة مثله </w:t>
      </w:r>
      <w:r>
        <w:rPr>
          <w:rStyle w:val="FootnoteAnchor"/>
          <w:rtl w:val="true"/>
        </w:rPr>
        <w:footnoteReference w:id="183"/>
      </w:r>
      <w:r>
        <w:rPr>
          <w:rFonts w:ascii="IRNazanin" w:hAnsi="IRNazanin" w:eastAsia="IRNazanin"/>
          <w:color w:val="111111"/>
          <w:sz w:val="28"/>
          <w:sz w:val="28"/>
          <w:szCs w:val="28"/>
          <w:rtl w:val="true"/>
          <w:lang w:bidi="fa-IR"/>
        </w:rPr>
        <w:t xml:space="preserve">، وهو یشتمل علی أکثر من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وقال الشهید قدس سره فی الذکری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الکافی وحده یزید علی ما فی الصحاح الستّة للعامّة متوناً وأسانید</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بابویه القمّی، نزیل الری، شیخنا وفقیهنا ووجه الطائفة بخراسان ورد بغداد سنة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وسمع منه شیوخ الطائفة وهو حدث السنّ ومات بالریّ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جلیلًا حافظاً للأحادیث، بصیراً ناقداً للأخبار، لم یر فی القمیین مثله فی حفظه وکثرة علمه، له نحو من ثلاثمائة مصنَّف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الکتاب أحد الاصول الأربعة المعتمدة عند الشیعة وأحادیثها تکون قریباً من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 والاستبصار فی ما اختلف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جعفر محمّد بن الحسن بن علی الطوسی، شیخ الإمامیّة، رئیس الطائفة، جلیل القدر، عظیم المنزلة،</w:t>
      </w:r>
      <w:bookmarkStart w:id="174" w:name="pg16918_187336"/>
    </w:p>
    <w:p>
      <w:pPr>
        <w:pStyle w:val="BookText"/>
        <w:rPr/>
      </w:pPr>
      <w:bookmarkEnd w:id="174"/>
      <w:r>
        <w:rPr>
          <w:rFonts w:ascii="IRNazanin" w:hAnsi="IRNazanin" w:eastAsia="IRNazanin"/>
          <w:color w:val="111111"/>
          <w:sz w:val="28"/>
          <w:sz w:val="28"/>
          <w:szCs w:val="28"/>
          <w:rtl w:val="true"/>
          <w:lang w:bidi="fa-IR"/>
        </w:rPr>
        <w:t xml:space="preserve">ثقة عین صدوق، عارف بالأخبار والرجال والفقه والاصول والکلام والأدب، وجمیع الفضائل تنسب إلیه، صنّف فی کلّ فنون الإسلام، وهو المهذّب للعقائد فی الاصول والفروع، والجامع لکمالات النفس فی العلم والعمل، ولد فی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وقدم العراق سنة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أثنی علیه العلّامة الطباطبائی بحر العلوم بما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الحدیث، فإلیه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 الرحال، وبه تبلغ رجاله غایة الآمال، وله فیه من الکتب الأربعة الّتی هی أعظم کتب الحدیث منزلة، وأکثرها منفعة کتاب التهذیب وکتاب الاستبصار، ولهما المزیة الظاهرة باستقصاء ما یتعلّق بالفروع من الأخبار، خصوصاً التهذیب، فإنّه کان للفقیه فیما یبتغیه من روایات الأحکام مغنیاً عمّا سواه فی الغالب، ولا یغنی عنه غیره فی هذا المرام، مضافاً إلی ما اشتمل علیه الکتابان من الفقه والاستدلال والتنبیه علی الاصول والرجال، والتوفیق بین الأخبار، والجمع بینها بشاهد النقل أو الاعتبار</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وکتاب التهذیب جامع لأبواب الفقه کلّها، وأحادیثه تبلغ </w:t>
      </w:r>
      <w:r>
        <w:rPr>
          <w:rFonts w:eastAsia="IRNazanin" w:cs="IRNazanin"/>
          <w:color w:val="111111"/>
          <w:sz w:val="28"/>
          <w:szCs w:val="28"/>
          <w:lang w:bidi="fa-IR"/>
        </w:rPr>
        <w:t>13500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کما أنّ الأحادیث الواردة فی الاستبصار تزید علی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الجدیر بالذکر، أنّا لا نعتقد صحّة جمیع الأخبار الواردة فی هذه الکتب المعتبرة کما یعتقده أهل السنّة بالنسبة إلی صحاحهم، بل نرجع فی کلّ حدیث ورد فی کتبنا إلی إسناده حتّی نمیز الأحادیث الصحاح من الضعاف، ولا یضرّ ذلک بجلالة مؤلفیها قدس سرهم؛ لأنّه لم یکن بناؤهم علی ذکر الأحادیث الصحاح فقط</w:t>
      </w:r>
      <w:r>
        <w:rPr>
          <w:rFonts w:eastAsia="IRNazanin" w:cs="IRNazanin"/>
          <w:color w:val="111111"/>
          <w:sz w:val="28"/>
          <w:szCs w:val="28"/>
          <w:rtl w:val="true"/>
          <w:lang w:bidi="fa-IR"/>
        </w:rPr>
        <w:t>.</w:t>
      </w:r>
    </w:p>
    <w:p>
      <w:pPr>
        <w:pStyle w:val="Heading3"/>
        <w:numPr>
          <w:ilvl w:val="2"/>
          <w:numId w:val="1"/>
        </w:numPr>
        <w:rPr/>
      </w:pPr>
      <w:bookmarkStart w:id="175" w:name="__RefHeading___Toc96050_3244359995"/>
      <w:bookmarkStart w:id="176" w:name="_Toc65"/>
      <w:bookmarkEnd w:id="175"/>
      <w:r>
        <w:rPr/>
        <w:t>3</w:t>
      </w:r>
      <w:r>
        <w:rPr>
          <w:rtl w:val="true"/>
        </w:rPr>
        <w:t xml:space="preserve">. </w:t>
      </w:r>
      <w:r>
        <w:rPr>
          <w:rtl w:val="true"/>
        </w:rPr>
        <w:t>فی حکم تعارض الروایات</w:t>
      </w:r>
      <w:bookmarkEnd w:id="176"/>
    </w:p>
    <w:p>
      <w:pPr>
        <w:pStyle w:val="Heading4"/>
        <w:numPr>
          <w:ilvl w:val="3"/>
          <w:numId w:val="1"/>
        </w:numPr>
        <w:rPr/>
      </w:pPr>
      <w:bookmarkStart w:id="177" w:name="__RefHeading___Toc96052_3244359995"/>
      <w:bookmarkStart w:id="178" w:name="_Toc66"/>
      <w:bookmarkEnd w:id="177"/>
      <w:r>
        <w:rPr>
          <w:rtl w:val="true"/>
        </w:rPr>
        <w:t>اشارة</w:t>
      </w:r>
      <w:bookmarkEnd w:id="17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المسألة من أهمّ المسائل الاصولیّة، أمّا کونها مسألة اصولیّة فلأنّ موضوع</w:t>
      </w:r>
      <w:bookmarkStart w:id="179" w:name="pg16918_187337"/>
    </w:p>
    <w:p>
      <w:pPr>
        <w:pStyle w:val="BookText"/>
        <w:rPr/>
      </w:pPr>
      <w:bookmarkEnd w:id="179"/>
      <w:r>
        <w:rPr>
          <w:rFonts w:ascii="IRNazanin" w:hAnsi="IRNazanin" w:eastAsia="IRNazanin"/>
          <w:color w:val="111111"/>
          <w:sz w:val="28"/>
          <w:sz w:val="28"/>
          <w:szCs w:val="28"/>
          <w:rtl w:val="true"/>
          <w:lang w:bidi="fa-IR"/>
        </w:rPr>
        <w:t xml:space="preserve">علم الاصول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فی أنّ البحث عن تعارض الحجّتین والترجیح بینهما بحث عن عوارض الحجّة، وأمّا أهمّیتها فلجریانها فی جلّ الأبواب الفقهیّة، والکلام وإن کان فی تعارض جمیع الحجج الشرعیّة، ولکن العمدة هو تعارض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التعارض تنافی الدلیلین أو الأدلّة بحیث لا یمکن الجمع بینها، فعلی هذا یخرج منه التعارضات البدویّة، کموارد التخصیص والتخصّص والحکومة والورود وموارد الجمع العرفی، ولکن ینبغی الإشارة إلی التعارضات البدویّة هنا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یقع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البدوی،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الورود فی ذلک ینبغی بیان الفرق بین التزاحم والتعارض</w:t>
      </w:r>
      <w:r>
        <w:rPr>
          <w:rFonts w:eastAsia="IRNazanin" w:cs="IRNazanin"/>
          <w:color w:val="111111"/>
          <w:sz w:val="28"/>
          <w:szCs w:val="28"/>
          <w:rtl w:val="true"/>
          <w:lang w:bidi="fa-IR"/>
        </w:rPr>
        <w:t>:</w:t>
      </w:r>
    </w:p>
    <w:p>
      <w:pPr>
        <w:pStyle w:val="Heading4"/>
        <w:numPr>
          <w:ilvl w:val="3"/>
          <w:numId w:val="1"/>
        </w:numPr>
        <w:rPr/>
      </w:pPr>
      <w:bookmarkStart w:id="180" w:name="__RefHeading___Toc96054_3244359995"/>
      <w:bookmarkStart w:id="181" w:name="_Toc67"/>
      <w:bookmarkEnd w:id="180"/>
      <w:r>
        <w:rPr>
          <w:rtl w:val="true"/>
        </w:rPr>
        <w:t>الفرق بین التعارض والتزاحم</w:t>
      </w:r>
      <w:bookmarkEnd w:id="181"/>
    </w:p>
    <w:p>
      <w:pPr>
        <w:pStyle w:val="Heading5"/>
        <w:numPr>
          <w:ilvl w:val="4"/>
          <w:numId w:val="1"/>
        </w:numPr>
        <w:rPr/>
      </w:pPr>
      <w:bookmarkStart w:id="182" w:name="__RefHeading___Toc96056_3244359995"/>
      <w:bookmarkStart w:id="183" w:name="_Toc68"/>
      <w:bookmarkEnd w:id="182"/>
      <w:r>
        <w:rPr>
          <w:rtl w:val="true"/>
        </w:rPr>
        <w:t>اشارة</w:t>
      </w:r>
      <w:bookmarkEnd w:id="183"/>
    </w:p>
    <w:p>
      <w:pPr>
        <w:pStyle w:val="BookText"/>
        <w:rPr/>
      </w:pPr>
      <w:r>
        <w:rPr>
          <w:rFonts w:ascii="IRNazanin" w:hAnsi="IRNazanin" w:eastAsia="IRNazanin"/>
          <w:color w:val="111111"/>
          <w:sz w:val="28"/>
          <w:sz w:val="28"/>
          <w:szCs w:val="28"/>
          <w:rtl w:val="true"/>
          <w:lang w:bidi="fa-IR"/>
        </w:rPr>
        <w:t>المراد من التزاحم هنا لیس هو التزاحم فی الملاکات بالنسبة إلی فعل واحد، کما إذا کان فی فعل واحد جهة مصلحة تقتضی إیجابه، وجهة مفسدة تقتضی تحریمه، فلیس للمکلّف دخل فی هذا التزاحم، فإنّ أمره وملاحظة الجهات وما هو الأقوی من الملاکات فیه بید المولی، فهو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المراد من التزاحم فیما نحن فیه هو تزاحم الأحکام المختلفة فی مقام الإمتثال بأن توجّه إلی المکلّف تکلیفان لا یقدر علی الجمع بینهما، کما إذا توقّف إنقاذ الغریق علی التصرّف فی الأرض المغصوبة، أو کان هناک غریقان لا یقدر المکلّف إلّاعلی إنقاذ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هذا النوع من التزاحم وبین التعارض یکون فی أمرین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المکلّف بکذب أحد الدلیلین فی باب التعارض مع علمه بصدقهما فی باب التزاحم</w:t>
      </w:r>
      <w:r>
        <w:rPr>
          <w:rFonts w:eastAsia="IRNazanin" w:cs="IRNazanin"/>
          <w:color w:val="111111"/>
          <w:sz w:val="28"/>
          <w:szCs w:val="28"/>
          <w:rtl w:val="true"/>
          <w:lang w:bidi="fa-IR"/>
        </w:rPr>
        <w:t>.</w:t>
      </w:r>
      <w:bookmarkStart w:id="184" w:name="pg16918_187338"/>
    </w:p>
    <w:p>
      <w:pPr>
        <w:pStyle w:val="BookText"/>
        <w:rPr/>
      </w:pPr>
      <w:bookmarkEnd w:id="18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التعارض إنّما هو بین الدلیلین وفی مقام الإثبات، أی مقام الدلالة والکشف عن الواقع، 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إنّما هو بین محتواهما فی مقام الإثبات، فیکون أحدهما صادقاً فی کشفه والآخر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التزاحم فیقع بین الحکمین من ناحیة الإمتثال بعد الفراغ عن تمامیّة دلیلهما وصدق کلیهما، ولذلک یکون المرجّحات فی التعارض بما یرجع إلی الدلالة والسند وشبههما، وفی التزاحم بأقوائیّة الملاک وأهمّیة أحد الحکمین بالنسبة إلی الحکم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یکون التزاحم سبباً للتعارض، وهو فیما إذا کان کلّ واحد من المتزاحمین ظاهراً فی الفعلیّة، فیقع التعارض حینئذٍ بین مدلولیهما للعلم بکذب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بما ذکرنا، أنّ الترجیح أو التخییر فی باب التزاحم عقلی، لأنّ العقل یحکم بترجیح أقوی الملاکین علی الآخر، ویحکم بالتخییر فی المتساویین من ناحیة الملاک، بخلاف باب التعارض حیث إنّ العقل یقضی بالتساقط فیه، ویکون الحکم بالتخییر أو بترجیح ما وافق کتاب اللَّه وطرح ما خالفه مثلًا، شرعیاً وتعبّدیاً علی خلاف الأصل والقاعدة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صارت المرجّحات موجبة لتمییز الحجّة عن اللاحجّة، حکم العقل حینئذٍ بترجیح الحجّة فیکون الترجیح عقلیاً، ولکنّه خارج عن باب التعارض لأنّه عبارة عن التنافی بین الحجّتین</w:t>
      </w:r>
      <w:r>
        <w:rPr>
          <w:rFonts w:eastAsia="IRNazanin" w:cs="IRNazanin"/>
          <w:color w:val="111111"/>
          <w:sz w:val="28"/>
          <w:szCs w:val="28"/>
          <w:rtl w:val="true"/>
          <w:lang w:bidi="fa-IR"/>
        </w:rPr>
        <w:t>.</w:t>
      </w:r>
    </w:p>
    <w:p>
      <w:pPr>
        <w:pStyle w:val="Heading5"/>
        <w:numPr>
          <w:ilvl w:val="4"/>
          <w:numId w:val="1"/>
        </w:numPr>
        <w:rPr/>
      </w:pPr>
      <w:bookmarkStart w:id="185" w:name="__RefHeading___Toc96058_3244359995"/>
      <w:bookmarkStart w:id="186" w:name="_Toc69"/>
      <w:bookmarkEnd w:id="185"/>
      <w:r>
        <w:rPr>
          <w:rtl w:val="true"/>
        </w:rPr>
        <w:t>المقام الأوّل</w:t>
      </w:r>
      <w:r>
        <w:rPr>
          <w:rtl w:val="true"/>
        </w:rPr>
        <w:t xml:space="preserve">: </w:t>
      </w:r>
      <w:r>
        <w:rPr>
          <w:rtl w:val="true"/>
        </w:rPr>
        <w:t>فی أنحاء التعارضات البدویّة</w:t>
      </w:r>
      <w:bookmarkEnd w:id="186"/>
    </w:p>
    <w:p>
      <w:pPr>
        <w:pStyle w:val="Heading6"/>
        <w:numPr>
          <w:ilvl w:val="5"/>
          <w:numId w:val="1"/>
        </w:numPr>
        <w:rPr/>
      </w:pPr>
      <w:bookmarkStart w:id="187" w:name="__RefHeading___Toc96060_3244359995"/>
      <w:bookmarkStart w:id="188" w:name="_Toc70"/>
      <w:bookmarkEnd w:id="187"/>
      <w:r>
        <w:rPr/>
        <w:t>1</w:t>
      </w:r>
      <w:r>
        <w:rPr>
          <w:rtl w:val="true"/>
        </w:rPr>
        <w:t xml:space="preserve">. </w:t>
      </w:r>
      <w:r>
        <w:rPr>
          <w:rtl w:val="true"/>
        </w:rPr>
        <w:t>التخصیص والتخصّص والحکومة والورود</w:t>
      </w:r>
      <w:bookmarkEnd w:id="18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إعلم أنّ التخصّص عبارة عن خروج شی‌ء عن موضوع حکم آخر تکویناً کخروج زید الجاهل عن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والتخصیص عبارة عن خروج شی‌ء عن حکم دلیل آخر مع حفظ موضوعه کإخراج زید العالم عن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الورود فهو خروج شی‌ء عن موضوع حکم آخر حقیقة ولکن بعد ورود دلیل شرعی، نظیر غسل الحیض فیما إذا دلّ علی وجوبه خبر الثقة، فإنّه خارج عن موضوع اللابیان حقیقة ولکن بالتعبّد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والحکومة عبارة عن أن یکون أحد الدلیلین شارحاً ومفسّراً للدلیل الآخر بالدلالة اللفظیّة المطابقیّة أو التضمّنیّة أو الالتزامیّة وموجباً للخروج عن الموضوع أو المتعلّق أو الحکم ولکن تعبّداً لا حقیقة،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کان زید عالماً واقعاً ولکن نفی العلم عنه لبعض النقائص، وکذلک دخول موضوع فی أحدهما توسعة بالتعبّد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فالورود یشبه التخصّص فی کون کلّ منهما خروجاً عن الموضوع حقیقة، والفرق بینهما أنّ الخروج فی أحدهما حقیقی وفی الآخر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الحکومة تشبه التخصیص فی کون کلّ منهما إخراجاً للموضوع تعبّداً إلّا أنّ التخصیص إخراج للموضوع بلسان المعارضة، ولکن الحکومة إخراج له بلسان التوضیح والتفسیر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یخفی أنّ للحکومة أقساماً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فتارةً یکون الدلیل الحاکم ناظراً إلی التصرّف فی موضوع الدلیل المحکوم توسعة أو تضییقاً، ومثال الأوّل قول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العادل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ومثال الثانی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 لیس عندی بعالم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یکون ناظراً إلی التصرّف فی متعلّق الدلیل المحکوم نظیر قول المولی فی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مجرّد الإطعام لیس بإکرام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وثالثة یکون ناظراً إلی التصرّف فی حکم الدلیل المحکوم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عنیت من وجوب إکرام العلماء وجوب إکرام الفقهاء خاصّة</w:t>
      </w:r>
      <w:r>
        <w:rPr>
          <w:rFonts w:eastAsia="IRNazanin" w:cs="IRNazanin"/>
          <w:color w:val="111111"/>
          <w:sz w:val="28"/>
          <w:szCs w:val="28"/>
          <w:rtl w:val="true"/>
          <w:lang w:bidi="fa-IR"/>
        </w:rPr>
        <w:t>».</w:t>
      </w:r>
      <w:bookmarkStart w:id="189" w:name="pg16918_187340"/>
    </w:p>
    <w:p>
      <w:pPr>
        <w:pStyle w:val="BookText"/>
        <w:rPr/>
      </w:pPr>
      <w:bookmarkEnd w:id="189"/>
      <w:r>
        <w:rPr>
          <w:rFonts w:ascii="IRNazanin" w:hAnsi="IRNazanin" w:eastAsia="IRNazanin"/>
          <w:color w:val="111111"/>
          <w:sz w:val="28"/>
          <w:sz w:val="28"/>
          <w:szCs w:val="28"/>
          <w:rtl w:val="true"/>
          <w:lang w:bidi="fa-IR"/>
        </w:rPr>
        <w:t xml:space="preserve">ورابعة یکون ناظراً إلی التصرّف فی النسبة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 الفاسق لیس بإکرام العالم</w:t>
      </w:r>
      <w:r>
        <w:rPr>
          <w:rFonts w:eastAsia="IRNazanin" w:cs="IRNazanin"/>
          <w:color w:val="111111"/>
          <w:sz w:val="28"/>
          <w:szCs w:val="28"/>
          <w:rtl w:val="true"/>
          <w:lang w:bidi="fa-IR"/>
        </w:rPr>
        <w:t>».</w:t>
      </w:r>
    </w:p>
    <w:p>
      <w:pPr>
        <w:pStyle w:val="Heading6"/>
        <w:numPr>
          <w:ilvl w:val="5"/>
          <w:numId w:val="1"/>
        </w:numPr>
        <w:rPr/>
      </w:pPr>
      <w:bookmarkStart w:id="190" w:name="__RefHeading___Toc96062_3244359995"/>
      <w:bookmarkStart w:id="191" w:name="_Toc71"/>
      <w:bookmarkEnd w:id="190"/>
      <w:r>
        <w:rPr/>
        <w:t>2</w:t>
      </w:r>
      <w:r>
        <w:rPr>
          <w:rtl w:val="true"/>
        </w:rPr>
        <w:t xml:space="preserve">. </w:t>
      </w:r>
      <w:r>
        <w:rPr>
          <w:rtl w:val="true"/>
        </w:rPr>
        <w:t>عدم التعارض بین أدلّة الأمارات والاصول</w:t>
      </w:r>
      <w:bookmarkEnd w:id="191"/>
    </w:p>
    <w:p>
      <w:pPr>
        <w:pStyle w:val="BookText"/>
        <w:rPr/>
      </w:pPr>
      <w:r>
        <w:rPr>
          <w:rFonts w:ascii="IRNazanin" w:hAnsi="IRNazanin" w:eastAsia="IRNazanin"/>
          <w:color w:val="111111"/>
          <w:sz w:val="28"/>
          <w:sz w:val="28"/>
          <w:szCs w:val="28"/>
          <w:rtl w:val="true"/>
          <w:lang w:bidi="fa-IR"/>
        </w:rPr>
        <w:t>یحتمل فی وجه تقدیم الأمارات علی الاصول وعدم التعارض بینها امور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حکومتها علیها، وورودها علیها، وإمکان الجمع والتوفیق العرفی بینهما، وتخصیص الاصول بالأمارات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المحقّق الخراسانی رحمه الله هنا إلی الوجه الثالث </w:t>
      </w:r>
      <w:r>
        <w:rPr>
          <w:rStyle w:val="FootnoteAnchor"/>
          <w:rtl w:val="true"/>
        </w:rPr>
        <w:footnoteReference w:id="189"/>
      </w:r>
      <w:r>
        <w:rPr>
          <w:rFonts w:ascii="IRNazanin" w:hAnsi="IRNazanin" w:eastAsia="IRNazanin"/>
          <w:color w:val="111111"/>
          <w:sz w:val="28"/>
          <w:sz w:val="28"/>
          <w:szCs w:val="28"/>
          <w:rtl w:val="true"/>
          <w:lang w:bidi="fa-IR"/>
        </w:rPr>
        <w:t>، مع أنّه صرّح فی أواخر الاستصحاب بالورود، وأراد من التوفیق العرفی ما یقابل الحکومة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فی غیر محلّه، لأنّ المراد من الجمع العرفی إمّا کون الأمارات خاصّة بالنسبة إلی الاصول مطلقاً، ولکنّها لیست کذلک، أو أنّ أدلّتها أظهر من أدلّة الاصول، ولا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ینتفی الوجه الثالث والرابع، ویدور الأمر بین الحکومة والورود، وقد مرّ أنّ الحقّ ورود الأمارات علی الاصول، لأنّ الأمارة طریق إلی الواقع فیوجب رفع الحیرة والتردّد الذی هو معنی الشکّ المأخوذ فی موضوع الاصول، ولو تنزّلنا عن ذلک فلا أقلّ من الحکومة، لما مرّ أیضاً من أنّ أدلّة الأمارات ناظرة إلی أدلّة الاصول ولو بمدلولها الالتزامی وشارح لها</w:t>
      </w:r>
      <w:r>
        <w:rPr>
          <w:rFonts w:eastAsia="IRNazanin" w:cs="IRNazanin"/>
          <w:color w:val="111111"/>
          <w:sz w:val="28"/>
          <w:szCs w:val="28"/>
          <w:rtl w:val="true"/>
          <w:lang w:bidi="fa-IR"/>
        </w:rPr>
        <w:t>.</w:t>
      </w:r>
    </w:p>
    <w:p>
      <w:pPr>
        <w:pStyle w:val="Heading6"/>
        <w:numPr>
          <w:ilvl w:val="5"/>
          <w:numId w:val="1"/>
        </w:numPr>
        <w:rPr/>
      </w:pPr>
      <w:bookmarkStart w:id="192" w:name="__RefHeading___Toc96064_3244359995"/>
      <w:bookmarkStart w:id="193" w:name="_Toc72"/>
      <w:bookmarkEnd w:id="192"/>
      <w:r>
        <w:rPr/>
        <w:t>3</w:t>
      </w:r>
      <w:r>
        <w:rPr>
          <w:rtl w:val="true"/>
        </w:rPr>
        <w:t xml:space="preserve">. </w:t>
      </w:r>
      <w:r>
        <w:rPr>
          <w:rtl w:val="true"/>
        </w:rPr>
        <w:t>عدم التعارض بین العناوین الأوّلیّة والعناوین الثانویّة</w:t>
      </w:r>
      <w:bookmarkEnd w:id="19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تقدیم العناوین الثانویّة علی العناوین الأوّلیّة وأنّه لا تعارض بینهما کما أشار إلیه الشیخ الأعظم والمحقّق الخراسانی رحمه الله فی کلماتهما، وهو متفرّع علی</w:t>
      </w:r>
    </w:p>
    <w:p>
      <w:pPr>
        <w:pStyle w:val="BookText"/>
        <w:rPr/>
      </w:pPr>
      <w:r>
        <w:rPr>
          <w:rFonts w:ascii="IRNazanin" w:hAnsi="IRNazanin" w:eastAsia="IRNazanin"/>
          <w:color w:val="111111"/>
          <w:sz w:val="28"/>
          <w:sz w:val="28"/>
          <w:szCs w:val="28"/>
          <w:rtl w:val="true"/>
          <w:lang w:bidi="fa-IR"/>
        </w:rPr>
        <w:t>التعریف المذکور للتعارض، لأنّه بمعنی التنافر والتضادّ، ولا ریب فی أنّه لا تضادّ بین أدلّة العنوانین، إنّما الکلام فی وجه 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کلمات الشیخ الأعظم رحمه الله أنّه من باب الحکومة،</w:t>
      </w:r>
      <w:r>
        <w:rPr>
          <w:rStyle w:val="FootnoteAnchor"/>
          <w:rtl w:val="true"/>
        </w:rPr>
        <w:footnoteReference w:id="191"/>
      </w:r>
      <w:r>
        <w:rPr>
          <w:rFonts w:ascii="IRNazanin" w:hAnsi="IRNazanin" w:eastAsia="IRNazanin"/>
          <w:color w:val="111111"/>
          <w:sz w:val="28"/>
          <w:sz w:val="28"/>
          <w:szCs w:val="28"/>
          <w:rtl w:val="true"/>
          <w:lang w:bidi="fa-IR"/>
        </w:rPr>
        <w:t xml:space="preserve">بینما ظاهر کلمات المحقّق الخراسانی رحمه الله أنّه من باب الجمع العرفی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ولابدّ قبل الورود فی أصل البحث من تعریف الأحکام الأوّلیّة والثانویّة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فالأحکام الأوّلیّة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أحکام ترد علی الموضوعات الخارجیّة مع قطع النظر عن الطوارئ والعوارض الخارجة عن طبیعتها کحکم حرمة الأکل العارضة علی عنوان الدم أو المیتة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الْمَیْتَةُ وَالدَّمُ</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والأحکام الثانویّة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یرد علی الموضوعات الخارجیّة مع النظر إلی الطوارئ الخارجة عن ذاتها کحکم الحلّیة العارضة علی المیتة بما أنّها مضطرّ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لیست نجاسة الماء فی صورة تغیّر أحد أوصافه الثلاثة من الأحکام الثانویّة؛ لأنّ عنوان التغیّر یکون من الإنقسامات الأوّلیّة للماء، فالماء بما هو ماء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متغیّر وماء غیر متغیّر، کما أنّه یقسّم بذاته إلی الماء المضاف والماء المطلق أو إلی الکثیر والقلیل، بخلاف الاضطرار فلا یقال إنّ الماء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مضطرّ إلی شربه وماء غیر مضطرّ إلی 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أنّ العناوین الثانویّة وخصوصیّاتها، کالاضطرار وشبهه تجری فی کثیر من الأبواب الفقهیّة والموضوعات المختلفة، بخلاف العناوین الأوّلیّة الّتی تجری فی موضوعات خاصّة کعنوان التغیّر بالنسبة إلی الماء</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العناوین الثانویّة لیست منحصرة بعنوان الضرورة والاضطرار، بل</w:t>
      </w:r>
      <w:bookmarkStart w:id="194" w:name="pg16918_187342"/>
    </w:p>
    <w:p>
      <w:pPr>
        <w:pStyle w:val="BookText"/>
        <w:rPr/>
      </w:pPr>
      <w:bookmarkEnd w:id="194"/>
      <w:r>
        <w:rPr>
          <w:rFonts w:ascii="IRNazanin" w:hAnsi="IRNazanin" w:eastAsia="IRNazanin"/>
          <w:color w:val="111111"/>
          <w:sz w:val="28"/>
          <w:sz w:val="28"/>
          <w:szCs w:val="28"/>
          <w:rtl w:val="true"/>
          <w:lang w:bidi="fa-IR"/>
        </w:rPr>
        <w:t>لها مصادیق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کالعسر والحرج، والضرر، والإکراه، والاضطرار، والتقیّة، والنذر والعهد والقسم، وأمر الوالد أو نهیه، والمقدّمیّة للواجب أو الحرام، والأهم والمهمّ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فی وجه تقدیم العناوین الثانویّة علی الأوّلیّة ما ذهب إلیه الشیخ الأعظم رحمه الله وهو الحکومة، وهذا واضح بعد ما ذکرنا من أنّ العناوین الثانویّة تکون طارئة وعارضة علی العناوین الأوّلیّة، ولازمه النظر والتفسیر وأنّه لا معنی للعناوین الثانویّة بدون العناوین الأوّلیّة، کما لا معنی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إذا لم یکن فی الرتبة السابقة جعل وتشریع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صاحب الکفایة من أنّه من باب التوفیق العرفی فإن کان مراده أنّ الجمع بینهما علی وزان الجمع بین العامّ والخاصّ والظاهر والأظهر، فهذا أمر لا یمکن المساعدة علیه، لما عرفت من کون أحدهما حاکماً علی الآخر، وإن کان المراد ما یشمل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خلاف مصطلح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منه</w:t>
      </w:r>
      <w:r>
        <w:rPr>
          <w:rFonts w:eastAsia="IRNazanin" w:cs="IRNazanin"/>
          <w:color w:val="111111"/>
          <w:sz w:val="28"/>
          <w:szCs w:val="28"/>
          <w:rtl w:val="true"/>
          <w:lang w:bidi="fa-IR"/>
        </w:rPr>
        <w:t>.</w:t>
      </w:r>
    </w:p>
    <w:p>
      <w:pPr>
        <w:pStyle w:val="Heading6"/>
        <w:numPr>
          <w:ilvl w:val="5"/>
          <w:numId w:val="1"/>
        </w:numPr>
        <w:rPr/>
      </w:pPr>
      <w:bookmarkStart w:id="195" w:name="__RefHeading___Toc96066_3244359995"/>
      <w:bookmarkStart w:id="196" w:name="_Toc73"/>
      <w:bookmarkEnd w:id="195"/>
      <w:r>
        <w:rPr/>
        <w:t>4</w:t>
      </w:r>
      <w:r>
        <w:rPr>
          <w:rtl w:val="true"/>
        </w:rPr>
        <w:t xml:space="preserve">. </w:t>
      </w:r>
      <w:r>
        <w:rPr>
          <w:rtl w:val="true"/>
        </w:rPr>
        <w:t>عدم التعارض فی موارد الجمع العرفی</w:t>
      </w:r>
      <w:bookmarkEnd w:id="196"/>
    </w:p>
    <w:p>
      <w:pPr>
        <w:pStyle w:val="BookText"/>
        <w:rPr/>
      </w:pPr>
      <w:r>
        <w:rPr>
          <w:rFonts w:ascii="IRNazanin" w:hAnsi="IRNazanin" w:eastAsia="IRNazanin"/>
          <w:color w:val="111111"/>
          <w:sz w:val="28"/>
          <w:sz w:val="28"/>
          <w:szCs w:val="28"/>
          <w:rtl w:val="true"/>
          <w:lang w:bidi="fa-IR"/>
        </w:rPr>
        <w:t>إذا کان أحد الدلیلین أظهر من الآخر أو کان أحدهما نصّاً والآخر ظاهراً فلا إشکال فی أنّ العرف یوفّق بینهما بتقدیم الأظهر علی الظاهر إذا کان الأظهر قرینة علی التصرّف فی الظاهر، وبتقدیم النصّ علی الظاهر، فهما لیسا متعارضین عندهم إلّا فی النظر البدوی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ممّا لا إشکال فیه کبرویاً، إنّما الإشکال فیما مثّلوا له بالعامّ والخاصّ والمطلق والمقیّد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المطلق والمقیّد فلأنّه إذا فهمنا الإطلاق من مقدّمات الحکمة کما هو مذهب المحقّقین من المتأخّرین، فمن المقدّمات عدم البیان فی مقام البیان، ولا ریب أنّه بعد ورود المقیّد یتبدّل إلی البیان فیکون وارداً علی المطلق</w:t>
      </w:r>
      <w:r>
        <w:rPr>
          <w:rFonts w:eastAsia="IRNazanin" w:cs="IRNazanin"/>
          <w:color w:val="111111"/>
          <w:sz w:val="28"/>
          <w:szCs w:val="28"/>
          <w:rtl w:val="true"/>
          <w:lang w:bidi="fa-IR"/>
        </w:rPr>
        <w:t>.</w:t>
      </w:r>
      <w:bookmarkStart w:id="197" w:name="pg16918_187343"/>
    </w:p>
    <w:p>
      <w:pPr>
        <w:pStyle w:val="BookText"/>
        <w:rPr/>
      </w:pPr>
      <w:bookmarkEnd w:id="197"/>
      <w:r>
        <w:rPr>
          <w:rFonts w:ascii="IRNazanin" w:hAnsi="IRNazanin" w:eastAsia="IRNazanin"/>
          <w:color w:val="111111"/>
          <w:sz w:val="28"/>
          <w:sz w:val="28"/>
          <w:szCs w:val="28"/>
          <w:rtl w:val="true"/>
          <w:lang w:bidi="fa-IR"/>
        </w:rPr>
        <w:t>وأمّا العامّ والخاصّ فلما یأتی فی مبحث العامّ والخاصّ إذا کان الخاصّ منفصلًا کما هو موضوع البحث فی المقام، من أنّهما من قبیل المتعارضین المتضادّین عند العرف سواء صدر العامّ علی نهج الجملة الخبریّة أو الجملة الإنشائیّة، فإذا قال المولی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 جمیع أفراد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غداً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هذه وهذه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یحمله العرف علی التناقض والتضادّ أو علی الغفلة أو الندم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إذا سأل المشتری من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یوجد عندک شی‌ء من ذلک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بعتها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فی ساعة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بعتها إلّاهذا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تکذیب المشتری إیّاه، وهکذا فی المراسلات وفی المحاکم عند سؤال القاضی عن المتّهم فلو أجاب بالعامّ فی مجلس والخاصّ فی مجلس آخر أو فی مجلس واحد مع عدم اتّصال الخاصّ بالعامّ، لعُدّ کلامه متناقضاً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العرف العامّ، وأمّا فی العرف الخاصّ فقد یکون علی خلاف ذلک إذا علمنا أنّ سیرة المقنّن والشارع فیه جرت علی بیان أحکامه وقوانینه تدریجاً کما أنّه کذلک فی الشریعة الإسلامیّة، فالعرف بعد ملاحظة هذه السیرة لا یحکم بالتعارض فی موارد العامّ والخاصّ وإن کانا منفصلین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جارٍ بالنسبة إلی الواجبات أو المحرّمات، وأمّا فی المستحبّات فللشارع سیرة اخری، وهی بیان سلسلة مراتب الاستحباب ودرجات المطلوبیّة، فیحمل العامّ فیها علی بیان درجة منها والخاصّ علی بیان درجة أعلی منه، ونتیجته عدم کونهما فیها من باب التخصیص ولا من باب التعارض، حیث إنّهما یجریان فی خصوص موارد إحراز وحدة المطلوب لا تعدّده</w:t>
      </w:r>
      <w:r>
        <w:rPr>
          <w:rFonts w:eastAsia="IRNazanin" w:cs="IRNazanin"/>
          <w:color w:val="111111"/>
          <w:sz w:val="28"/>
          <w:szCs w:val="28"/>
          <w:rtl w:val="true"/>
          <w:lang w:bidi="fa-IR"/>
        </w:rPr>
        <w:t>.</w:t>
      </w:r>
    </w:p>
    <w:p>
      <w:pPr>
        <w:pStyle w:val="Heading6"/>
        <w:numPr>
          <w:ilvl w:val="5"/>
          <w:numId w:val="1"/>
        </w:numPr>
        <w:rPr/>
      </w:pPr>
      <w:bookmarkStart w:id="198" w:name="__RefHeading___Toc96068_3244359995"/>
      <w:bookmarkStart w:id="199" w:name="_Toc74"/>
      <w:bookmarkEnd w:id="198"/>
      <w:r>
        <w:rPr>
          <w:rtl w:val="true"/>
        </w:rPr>
        <w:t>الضوابط العامّة للجمع الدلالی العرفی</w:t>
      </w:r>
      <w:bookmarkEnd w:id="199"/>
    </w:p>
    <w:p>
      <w:pPr>
        <w:pStyle w:val="Heading6"/>
        <w:numPr>
          <w:ilvl w:val="5"/>
          <w:numId w:val="1"/>
        </w:numPr>
        <w:rPr/>
      </w:pPr>
      <w:bookmarkStart w:id="200" w:name="__RefHeading___Toc96070_3244359995"/>
      <w:bookmarkStart w:id="201" w:name="_Toc75"/>
      <w:bookmarkEnd w:id="200"/>
      <w:r>
        <w:rPr>
          <w:rtl w:val="true"/>
        </w:rPr>
        <w:t>اشارة</w:t>
      </w:r>
      <w:bookmarkEnd w:id="20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أنّ علم الاصول لا تبحث عن القرائن الخاصّة الجزئیّة للجمع الدلالی بین المتعارضین الّتی لا تدخل تحت ضابطة کلّیة، بل إنّما تبحث عن القرائن</w:t>
      </w:r>
      <w:bookmarkStart w:id="202" w:name="pg16918_187344"/>
    </w:p>
    <w:p>
      <w:pPr>
        <w:pStyle w:val="BookText"/>
        <w:rPr/>
      </w:pPr>
      <w:bookmarkEnd w:id="202"/>
      <w:r>
        <w:rPr>
          <w:rFonts w:ascii="IRNazanin" w:hAnsi="IRNazanin" w:eastAsia="IRNazanin"/>
          <w:color w:val="111111"/>
          <w:sz w:val="28"/>
          <w:sz w:val="28"/>
          <w:szCs w:val="28"/>
          <w:rtl w:val="true"/>
          <w:lang w:bidi="fa-IR"/>
        </w:rPr>
        <w:t>الکلّیة الّتی تشکّل قاعدة عامّة وقانوناً کلّیاً للجمع الدلالی، وهذه الضوابط والقرائن کثیرة نذکر منها أهمّها</w:t>
      </w:r>
      <w:r>
        <w:rPr>
          <w:rFonts w:eastAsia="IRNazanin" w:cs="IRNazanin"/>
          <w:color w:val="111111"/>
          <w:sz w:val="28"/>
          <w:szCs w:val="28"/>
          <w:rtl w:val="true"/>
          <w:lang w:bidi="fa-IR"/>
        </w:rPr>
        <w:t>:</w:t>
      </w:r>
    </w:p>
    <w:p>
      <w:pPr>
        <w:pStyle w:val="Heading6"/>
        <w:numPr>
          <w:ilvl w:val="5"/>
          <w:numId w:val="1"/>
        </w:numPr>
        <w:rPr/>
      </w:pPr>
      <w:bookmarkStart w:id="203" w:name="__RefHeading___Toc96072_3244359995"/>
      <w:bookmarkStart w:id="204" w:name="_Toc76"/>
      <w:bookmarkEnd w:id="203"/>
      <w:r>
        <w:rPr/>
        <w:t>1</w:t>
      </w:r>
      <w:r>
        <w:rPr>
          <w:rtl w:val="true"/>
        </w:rPr>
        <w:t xml:space="preserve">. </w:t>
      </w:r>
      <w:r>
        <w:rPr>
          <w:rtl w:val="true"/>
        </w:rPr>
        <w:t>تعارض العامّ مع المطلق</w:t>
      </w:r>
      <w:bookmarkEnd w:id="204"/>
    </w:p>
    <w:p>
      <w:pPr>
        <w:pStyle w:val="BookText"/>
        <w:rPr/>
      </w:pPr>
      <w:r>
        <w:rPr>
          <w:rFonts w:ascii="IRNazanin" w:hAnsi="IRNazanin" w:eastAsia="IRNazanin"/>
          <w:color w:val="111111"/>
          <w:sz w:val="28"/>
          <w:sz w:val="28"/>
          <w:szCs w:val="28"/>
          <w:rtl w:val="true"/>
          <w:lang w:bidi="fa-IR"/>
        </w:rPr>
        <w:t>أی دوران الأمر بین تخصیص عامّ وتقیید مطلق، 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ووقع التعارض فی العالم الفاسق فإنّ العالم مطلق یشمل العادل والفاسق منه، والفسّاق جمع محلّی باللام یدلّ علی عموم الحکم لجمیع أفراد الفاسق، فالنسبة بینهما عموم من وجه فیتعارضان فی مادّة الاجتماع وهی العالم الفاسق، ومثاله الشرعی تعارض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وروایة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فإنّهما یتعارضان فی العقود الغرریّة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بترجیح ظهور العموم علی الإطلاق أی تقدیم التقیید علی التخصیص، واستدلّ له بأنّ ظهور الإطلاق تعلیقی أی معلّق علی عدم بیان التقیید بحیث کان عدم البیان جزءاً من مقتضی الإطلاق، بخلاف ظهور العامّ فإنّه تنجیزی مستند إلی الوضع، فیکون ظهور العامّ بیاناً للتقیید ولیس للمطلق ظهور فی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 المحقّق الخراسانی رحمه الله بأنّه مبنی علی کون الإطلاق معلّقاً علی عدم البیان إلی الأبد، بینما هو معلّق علی عدم البیان فی مقام التخاطب، فإذا لم یأت من جانب المتکلّم بیان فی مقام التخاطب کما هو المفروض انعقد ظهور الإطلاق وتنجّز</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فلا إشکال فی أنّ ظهور الإطلاق أیضاً منجّز، ولکن ظهور العامّ أقوی</w:t>
      </w:r>
      <w:bookmarkStart w:id="205" w:name="pg16918_187345"/>
    </w:p>
    <w:p>
      <w:pPr>
        <w:pStyle w:val="BookText"/>
        <w:rPr/>
      </w:pPr>
      <w:bookmarkEnd w:id="205"/>
      <w:r>
        <w:rPr>
          <w:rFonts w:ascii="IRNazanin" w:hAnsi="IRNazanin" w:eastAsia="IRNazanin"/>
          <w:color w:val="111111"/>
          <w:sz w:val="28"/>
          <w:sz w:val="28"/>
          <w:szCs w:val="28"/>
          <w:rtl w:val="true"/>
          <w:lang w:bidi="fa-IR"/>
        </w:rPr>
        <w:t>منه فی الجملة، فإذا انضمّت إلیه بعض القرائن الاخر قدّم علیه، فلابدّ حینئذٍ من ملاحظة المقامات المختلفة والقرائن الموجودة فی کلّ مقام، فإن أحرزنا من مجموع ذلک کون ظهور العموم أقوی من ظهور الإطلاق قدّمناه علیه، وإلّا یقع التعارض بینهما وتصل النوبة إلی المرجّحات الاخر</w:t>
      </w:r>
      <w:r>
        <w:rPr>
          <w:rFonts w:eastAsia="IRNazanin" w:cs="IRNazanin"/>
          <w:color w:val="111111"/>
          <w:sz w:val="28"/>
          <w:szCs w:val="28"/>
          <w:rtl w:val="true"/>
          <w:lang w:bidi="fa-IR"/>
        </w:rPr>
        <w:t>.</w:t>
      </w:r>
    </w:p>
    <w:p>
      <w:pPr>
        <w:pStyle w:val="Heading6"/>
        <w:numPr>
          <w:ilvl w:val="5"/>
          <w:numId w:val="1"/>
        </w:numPr>
        <w:rPr/>
      </w:pPr>
      <w:bookmarkStart w:id="206" w:name="__RefHeading___Toc96074_3244359995"/>
      <w:bookmarkStart w:id="207" w:name="_Toc77"/>
      <w:bookmarkEnd w:id="206"/>
      <w:r>
        <w:rPr/>
        <w:t>2</w:t>
      </w:r>
      <w:r>
        <w:rPr>
          <w:rtl w:val="true"/>
        </w:rPr>
        <w:t xml:space="preserve">. </w:t>
      </w:r>
      <w:r>
        <w:rPr>
          <w:rtl w:val="true"/>
        </w:rPr>
        <w:t>تعارض الإطلاق الشمولی مع الإطلاق البدلی</w:t>
      </w:r>
      <w:bookmarkEnd w:id="207"/>
    </w:p>
    <w:p>
      <w:pPr>
        <w:pStyle w:val="BookText"/>
        <w:rPr/>
      </w:pP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إطلاقه بدلی یدلّ علی وجوب إکرام عالم واحد علی البدل، والثانی شمولی یدلّ علی ترک إکرام کلّ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إطلاق الشمولی یقدّم علی الإطلاق البدلی، واستدلّ له بأنّ مقدّمات الحکمة فی الإطلاق الشمولی تمنع عن جریان مقدّمات الحکمة فی الإطلاق البدلی، لأنّ من مقدّمات الحکمة فی الإطلاق البدلی کون الأفراد متساویة الأقدام، ومقدّمات الحکمة فی الإطلاق الشمولی یمنع عن ذلک، ولا یمکن العکس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یستدلّ له أیضاً بأنّ تقدیم الإطلاق الشمولی یجتمع مع إمتثال الإطلاق البدلی فی بعض أفراده بخلاف العکس، فإنّه یوجب نفی بعض مصادیق المطلق الشمولی وترک العمل به</w:t>
      </w:r>
      <w:r>
        <w:rPr>
          <w:rFonts w:eastAsia="IRNazanin" w:cs="IRNazanin"/>
          <w:color w:val="111111"/>
          <w:sz w:val="28"/>
          <w:szCs w:val="28"/>
          <w:rtl w:val="true"/>
          <w:lang w:bidi="fa-IR"/>
        </w:rPr>
        <w:t>.</w:t>
      </w:r>
    </w:p>
    <w:p>
      <w:pPr>
        <w:pStyle w:val="Heading6"/>
        <w:numPr>
          <w:ilvl w:val="5"/>
          <w:numId w:val="1"/>
        </w:numPr>
        <w:rPr/>
      </w:pPr>
      <w:bookmarkStart w:id="208" w:name="__RefHeading___Toc96076_3244359995"/>
      <w:bookmarkStart w:id="209" w:name="_Toc78"/>
      <w:bookmarkEnd w:id="208"/>
      <w:r>
        <w:rPr/>
        <w:t>3</w:t>
      </w:r>
      <w:r>
        <w:rPr>
          <w:rtl w:val="true"/>
        </w:rPr>
        <w:t xml:space="preserve">. </w:t>
      </w:r>
      <w:r>
        <w:rPr>
          <w:rtl w:val="true"/>
        </w:rPr>
        <w:t>دوران الأمر بین النسخ والتخصیص</w:t>
      </w:r>
      <w:bookmarkEnd w:id="209"/>
    </w:p>
    <w:p>
      <w:pPr>
        <w:pStyle w:val="BookText"/>
        <w:rPr/>
      </w:pPr>
      <w:r>
        <w:rPr>
          <w:rFonts w:ascii="IRNazanin" w:hAnsi="IRNazanin" w:eastAsia="IRNazanin"/>
          <w:color w:val="111111"/>
          <w:sz w:val="28"/>
          <w:sz w:val="28"/>
          <w:szCs w:val="28"/>
          <w:rtl w:val="true"/>
          <w:lang w:bidi="fa-IR"/>
        </w:rPr>
        <w:t>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وفرضنا مجی‌ء وقت العمل به،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العامّ بعد حضور وقت العمل بالخاصّ، فیدور الأمر بین أن یکون الخاصّ مخصِّصاً أو یکون العامّ ناسخاً، وهکذا إذا ورد الخاصّ بعد حضور وقت العمل بالعامّ، فیدور الأمر بین أن یکون الخاصّ ناسخاً للعامّ أو مخصّصاً له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ومثاله الشرعی ما إذا فرضنا صدور النهی عن بیع الغرر فی ابتداء الهجرة ونزول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سنین، فإن قلنا بالتخصیص کانت النتیجة عدم وجوب الوفاء بالبیع الغرری، وإن قلنا بأنّ العامّ یکون ناسخاً للخاصّ کانت النتیجة وجوب الوفاء حتّی فی البیع الغرری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ذهب المشهور إلی تقدیم التخصیص علی النسخ مطلقاً، مستدلّا بأنّ النسخ قلیل والتخصیص کثیر حتّی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عامّ إلّاوقد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فیوجب شیوع التخصیص وندرة النسخ أن یکون ظهور الخاصّ فی الدوام أقوی من ظهور العامّ فی العموم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مال إلی تقدیم النسخ المحقّق الخراسانی رحمه الله خلافاً لما ذهب إلیه فی مبحث العامّ والخاصّ، وهو ضعیف</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وتحقیق المسألة یستدعی تحلیل ماهیة النسخ والصحیح فیه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النسخ إبطال للإنشاء السابق، کالفسخ فی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للحکم مرحلتین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الإنشاء ومرحلة الفعلیّة،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الإرادة الاستعمالیّة ومرحلة الإرادة الجدّیة، والتقیید بالمنفصل إنّما هو تصرّف فی الإرادة الجدّیة وهکذا التخصیص، وأمّا الإرادة الإستعمالیّة فهی باقیة بحالها بخلاف النسخ، فإنّه إبطال للإنشاء من حین وروده نظیر الفسخ فإنّ الفاسخ یبطل إنشاء البیع حین الفسخ، وهذا ممّا ندرکه بوجداننا العرفی وإرتکازنا العقلائی فی القوانین العقلائیّة، فکما أنّ فیها تخصیصات وتقییدات تندرج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تمسّ بإرادتهم الجدّیة فی القوانین السابقة، کذلک لهم نواسخ تتعلّق بإرادتهم الإستعمالیّة بالنسبة إلی القوانین الماضیة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إنّ النسخ هو فسخ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النسخ فی القانون والفسخ فی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من قبیل التقیید الذی یتعلّق بالإرادة الجدّیة</w:t>
      </w:r>
      <w:r>
        <w:rPr>
          <w:rFonts w:eastAsia="IRNazanin" w:cs="IRNazanin"/>
          <w:color w:val="111111"/>
          <w:sz w:val="28"/>
          <w:szCs w:val="28"/>
          <w:rtl w:val="true"/>
          <w:lang w:bidi="fa-IR"/>
        </w:rPr>
        <w:t>.</w:t>
      </w:r>
      <w:bookmarkStart w:id="210" w:name="pg16918_187347"/>
    </w:p>
    <w:p>
      <w:pPr>
        <w:pStyle w:val="BookText"/>
        <w:rPr/>
      </w:pPr>
      <w:bookmarkEnd w:id="210"/>
      <w:r>
        <w:rPr>
          <w:rFonts w:ascii="IRNazanin" w:hAnsi="IRNazanin" w:eastAsia="IRNazanin"/>
          <w:color w:val="111111"/>
          <w:sz w:val="28"/>
          <w:sz w:val="28"/>
          <w:szCs w:val="28"/>
          <w:rtl w:val="true"/>
          <w:lang w:bidi="fa-IR"/>
        </w:rPr>
        <w:t>هذا مضافاً إلی أنّ الإنشاء فی القوانین کالإیجاد، فیکون بذاته باقیاً فی عالم الاعتبار إلی الأبد، فدوامه واستمراره لازم لذاته وماهیّته، لا أنّ بقاءه یستفاد من الإطلاق اللفظی لأدلّته حتّی نتکلّم عن تقییده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ما ذهب إلیه المشهور وهو تقدیم التخصیص علی النسخ؛ لأنّ النسخ یحتاج إلی دلیل قطعی بخلاف التخصیص الذی یثبت حتّی بخبر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سیرة الفقهاء فی الفقه علی تقدیم التخصیص کما یشهد علیها عدم السؤال والفحص عن تاریخ صدور العامّ والخاصّ، فإنّ النسخ لابدّ فیه من الفحص عن التاریخ حتّی یتبیّن المقدّم منهما والمتأخّر فیکون المتأخّر ناسخاً والمتقدّم منسوخاً، فعدم فحصهم عن تواریخ صدور الأحادیث من أقوی الدلیل علی ترجیحهم التخصیص علی النسخ</w:t>
      </w:r>
      <w:r>
        <w:rPr>
          <w:rFonts w:eastAsia="IRNazanin" w:cs="IRNazanin"/>
          <w:color w:val="111111"/>
          <w:sz w:val="28"/>
          <w:szCs w:val="28"/>
          <w:rtl w:val="true"/>
          <w:lang w:bidi="fa-IR"/>
        </w:rPr>
        <w:t>.</w:t>
      </w:r>
    </w:p>
    <w:p>
      <w:pPr>
        <w:pStyle w:val="Heading6"/>
        <w:numPr>
          <w:ilvl w:val="5"/>
          <w:numId w:val="1"/>
        </w:numPr>
        <w:rPr/>
      </w:pPr>
      <w:bookmarkStart w:id="211" w:name="__RefHeading___Toc96078_3244359995"/>
      <w:bookmarkStart w:id="212" w:name="_Toc79"/>
      <w:bookmarkEnd w:id="211"/>
      <w:r>
        <w:rPr>
          <w:rtl w:val="true"/>
        </w:rPr>
        <w:t>بقی شی‌ء</w:t>
      </w:r>
      <w:bookmarkEnd w:id="212"/>
    </w:p>
    <w:p>
      <w:pPr>
        <w:pStyle w:val="BookText"/>
        <w:rPr/>
      </w:pPr>
      <w:r>
        <w:rPr>
          <w:rFonts w:ascii="IRNazanin" w:hAnsi="IRNazanin" w:eastAsia="IRNazanin"/>
          <w:color w:val="111111"/>
          <w:sz w:val="28"/>
          <w:sz w:val="28"/>
          <w:szCs w:val="28"/>
          <w:rtl w:val="true"/>
          <w:lang w:bidi="fa-IR"/>
        </w:rPr>
        <w:t>لا شکّ فی أنّه بعد ملاحظة العمومات والتخصیصات الواردة فی الکتاب والسنّة نری مخصّصات وردت بعد حضور العمل بالعمومات، فورد مثلًا عامّ فی الکتاب أو السنّة النبویّة مع أنّ خاصّه ورد فی عصر الصادقین علیهما السلام، فإن قلنا بکونه مخصّصاً للعامّ یلزم تأخیر البیان عن وقت الحاجة، وإن قلنا بکونه ناسخاً یلزم کون الإمام علیه السلام مشرّعاً، مع أنّه حافظ للشریعة، ولو قبلنا إمکان تشریعه ونسخه بعد توجیهه بإرادة کشف ما بیّنه النّبی صلی الله علیه و آله عن غایة الحکم الأوّل وابتداء الحکم الثانی لم یمکن قبوله هنا، لأنّ غلبة هذا النحو من التخصیصات تأبی عن هذا التوجیه، وإلّا کثر النسخ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لحلّ هذه المشکلة وجوه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الخاصّ ناسخاً، ونزل فی عصر النّبی الأکرم صلی الله علیه و آله ولکنّه لم تکن مصلحة فی إظهاره عندئذٍ، فأودع أمر إبرازه بید الأئمّة علیهم السلام فهم یبیّنون غایة الحکم</w:t>
      </w:r>
    </w:p>
    <w:p>
      <w:pPr>
        <w:pStyle w:val="BookText"/>
        <w:rPr/>
      </w:pPr>
      <w:r>
        <w:rPr>
          <w:rFonts w:ascii="IRNazanin" w:hAnsi="IRNazanin" w:eastAsia="IRNazanin"/>
          <w:color w:val="111111"/>
          <w:sz w:val="28"/>
          <w:sz w:val="28"/>
          <w:szCs w:val="28"/>
          <w:rtl w:val="true"/>
          <w:lang w:bidi="fa-IR"/>
        </w:rPr>
        <w:t>بعد حلول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کثیراً من هذه التخصیصات من أخبار الآحاد، والنسخ یحتاج إلی دلیل قطعی کما 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الخاصّ مخصّصاً وصادراً فی عصر النّبی صلی الله علیه و آله و فی وقت الحاجة به، ولکنّه خفی علینا بأسباب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کمنع کتابة الحدیث فی عصر بعض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بید الإمام علیه السلام فلا یلزم تأخیر البیان عن وقت الحاجة وتشهد علیه روایات تدلّ علی أنّ کلّ ما قال به الأئمّة الهادون من أهل البیت علیهم السلام فإنّها من النّبی صلی الله علیه و آله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البعید جدّاً صدور هذه المخصّصات الکثیرة من جانب الرسول صلی الله علیه و آله ولم یصل إلینا شی‌ء منها، وما دلّ علی أنّ روایاتهم علیهم السلام کلّها عن النّبی الأکرم صلی الله علیه و آله یکون ناظراً إلی العلم الذی ورثوه عنه لا أنّ جمیع ذلک صدر عنه صلی الله علیه و آله بمرأی من الناس ومسمع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نلتزم بجواز تأخیر البیان عن وقت الحاجة إذا کان لمصلحة أهمّ، وهی مصلحة تدریجیة بیان الأحکام، فکان تکلیف السابقین هو العمل بالعموم ظاهراً مع إرادة الخصوص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وجه رابع یجری بالنسبة إلی کثیر من التخصیصات والتقییدات، وهو أنّ کثیراً منها تطبیق لکبریات الکتاب والسنّة علی مصادیقها أو بیان لتعیین خصوصیّاتها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 تخصیص الإمام علیه السلام وجوب تقصیر الصلاة فی السفر بسفر المعصیة یرجع إلی بیان أنّ آیة التقصیر قد وردت فی مقام الإمتنان فلا تنطبق علی سفر المعصیة، إلی غیر ذلک من أمثاله وهی کثیرة</w:t>
      </w:r>
      <w:r>
        <w:rPr>
          <w:rFonts w:eastAsia="IRNazanin" w:cs="IRNazanin"/>
          <w:color w:val="111111"/>
          <w:sz w:val="28"/>
          <w:szCs w:val="28"/>
          <w:rtl w:val="true"/>
          <w:lang w:bidi="fa-IR"/>
        </w:rPr>
        <w:t>.</w:t>
      </w:r>
      <w:bookmarkStart w:id="213" w:name="pg16918_187349"/>
    </w:p>
    <w:p>
      <w:pPr>
        <w:pStyle w:val="Heading6"/>
        <w:numPr>
          <w:ilvl w:val="5"/>
          <w:numId w:val="1"/>
        </w:numPr>
        <w:rPr/>
      </w:pPr>
      <w:bookmarkStart w:id="214" w:name="__RefHeading___Toc96080_3244359995"/>
      <w:bookmarkStart w:id="215" w:name="_Toc80"/>
      <w:bookmarkEnd w:id="213"/>
      <w:bookmarkEnd w:id="214"/>
      <w:r>
        <w:rPr/>
        <w:t>4</w:t>
      </w:r>
      <w:r>
        <w:rPr>
          <w:rtl w:val="true"/>
        </w:rPr>
        <w:t xml:space="preserve">. </w:t>
      </w:r>
      <w:r>
        <w:rPr>
          <w:rtl w:val="true"/>
        </w:rPr>
        <w:t>دوران الأمر بین التصرّف فی منطوق أحد الخبرین ومفهوم الآخر</w:t>
      </w:r>
      <w:bookmarkEnd w:id="215"/>
    </w:p>
    <w:p>
      <w:p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خفیت الجدران فقصّر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فرض صدور خبرین بهذین المضمونین </w:t>
      </w:r>
      <w:r>
        <w:rPr>
          <w:rStyle w:val="FootnoteAnchor"/>
          <w:rtl w:val="true"/>
        </w:rPr>
        <w:footnoteReference w:id="203"/>
      </w:r>
      <w:r>
        <w:rPr>
          <w:rFonts w:ascii="IRNazanin" w:hAnsi="IRNazanin" w:eastAsia="IRNazanin"/>
          <w:color w:val="111111"/>
          <w:sz w:val="28"/>
          <w:sz w:val="28"/>
          <w:szCs w:val="28"/>
          <w:rtl w:val="true"/>
          <w:lang w:bidi="fa-IR"/>
        </w:rPr>
        <w:t>، فبعد قبول کبری مفهوم الشرط یقع التعارض بینهما، لأنّ مفهوم کلّ منهما ینافی منطوق الآخر، وقد وقع الکلام فی مبحث مفهوم الشرط بینهم وذکروا لحلّ هذا التعارض طرقاً عدیدة، والعمدة منها فیما نحن فیه طریقان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تقیید إطلاق مفهوم کلّ منهما بمنطوق الآخر، ولازمه کفایة أحد الأمرین فی حصول حدّ الترخّص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تقیید إطلاق منطوق کلّ منهما بمنطوق الآخر، ولازمه اعتبار خفاء الأذان والجدران معاً فی وجوب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بأنّ المنطوق أقوی ظهوراً من المفهوم فالمتعیّن هو الطریق الأوّل، وإلّا لا ترجیح لأحدهما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المنطوق أقوی ظهوراً من المفهوم؛ لأنّ الکلام إنّما سیق لبیان المنطوق، والمفهوم أمر تبعی ولازم للمنطوق، ولکنّ الإنصاف أنّ هذا دعوی بلا دلیل بل کثیراً ما یساق الکلام لبیان المفهوم،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سافر إن کان الطریق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منه غالباً النهی عن السفر فی صورة عدم الأمن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المقامات مختلفة، والمتّبع هو القرائن المکتنفة بالکلام، فیسقط الطریق الأوّل عن کونه ضابطة کلّیة للجمع الدلالی</w:t>
      </w:r>
      <w:r>
        <w:rPr>
          <w:rFonts w:eastAsia="IRNazanin" w:cs="IRNazanin"/>
          <w:color w:val="111111"/>
          <w:sz w:val="28"/>
          <w:szCs w:val="28"/>
          <w:rtl w:val="true"/>
          <w:lang w:bidi="fa-IR"/>
        </w:rPr>
        <w:t>.</w:t>
      </w:r>
    </w:p>
    <w:p>
      <w:pPr>
        <w:pStyle w:val="Heading6"/>
        <w:numPr>
          <w:ilvl w:val="5"/>
          <w:numId w:val="1"/>
        </w:numPr>
        <w:rPr/>
      </w:pPr>
      <w:bookmarkStart w:id="216" w:name="__RefHeading___Toc96082_3244359995"/>
      <w:bookmarkStart w:id="217" w:name="_Toc81"/>
      <w:bookmarkEnd w:id="216"/>
      <w:r>
        <w:rPr/>
        <w:t>5</w:t>
      </w:r>
      <w:r>
        <w:rPr>
          <w:rtl w:val="true"/>
        </w:rPr>
        <w:t xml:space="preserve">. </w:t>
      </w:r>
      <w:r>
        <w:rPr>
          <w:rtl w:val="true"/>
        </w:rPr>
        <w:t>دوران الأمر بین التخصیص والمجاز</w:t>
      </w:r>
      <w:bookmarkEnd w:id="21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التصرّف فی أصالة العموم أو رفع الید عن أصالة</w:t>
      </w:r>
      <w:bookmarkStart w:id="218" w:name="pg16918_187350"/>
    </w:p>
    <w:p>
      <w:pPr>
        <w:pStyle w:val="BookText"/>
        <w:rPr/>
      </w:pPr>
      <w:bookmarkEnd w:id="218"/>
      <w:r>
        <w:rPr>
          <w:rFonts w:ascii="IRNazanin" w:hAnsi="IRNazanin" w:eastAsia="IRNazanin"/>
          <w:color w:val="111111"/>
          <w:sz w:val="28"/>
          <w:sz w:val="28"/>
          <w:szCs w:val="28"/>
          <w:rtl w:val="true"/>
          <w:lang w:bidi="fa-IR"/>
        </w:rPr>
        <w:t>الحقیقة،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بإکرام زید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یمکن رفع الید عن العموم بالتخصیص، کذلک یمکن رفع الید عن ظهور النهی فی الحرمة وحملها علی الکراهة حتّی تجتمع مع عدم البأس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نظیره فی الفقه کثیر، فإنّه یتصوّر أیضاً فیما إذا کان العامّ بصیغة الأمر، فیدور الأمر بین رفع الید عن ظهور العامّ فی العموم ورفع الید عن ظهور هیئة الأمر فی الوجوب وحملها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 هذه الموارد تقدیم التخصیص علی المجاز لأنّه أمر شائع معروف، والأوامر الّتی تحمل علی الاستحباب أو النواهی الّتی تحمل علی الکراهة وإن کانت کثیرة إلّاأنّ تخصیص العامّ أکثر وأظهر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یقدّم المجاز فی هذه الموارد علی التخصیص لبعض القرائن الخاصّة والضوابط الجزئیّة کما لا یخفی علی من له إلمام بالمسائل الفقهیّة المناسبة للمقام</w:t>
      </w:r>
      <w:r>
        <w:rPr>
          <w:rFonts w:eastAsia="IRNazanin" w:cs="IRNazanin"/>
          <w:color w:val="111111"/>
          <w:sz w:val="28"/>
          <w:szCs w:val="28"/>
          <w:rtl w:val="true"/>
          <w:lang w:bidi="fa-IR"/>
        </w:rPr>
        <w:t>.</w:t>
      </w:r>
    </w:p>
    <w:p>
      <w:pPr>
        <w:pStyle w:val="Heading5"/>
        <w:numPr>
          <w:ilvl w:val="4"/>
          <w:numId w:val="1"/>
        </w:numPr>
        <w:rPr/>
      </w:pPr>
      <w:bookmarkStart w:id="219" w:name="__RefHeading___Toc96084_3244359995"/>
      <w:bookmarkStart w:id="220" w:name="_Toc82"/>
      <w:bookmarkEnd w:id="219"/>
      <w:r>
        <w:rPr>
          <w:rtl w:val="true"/>
        </w:rPr>
        <w:t>المقام الثانی</w:t>
      </w:r>
      <w:r>
        <w:rPr>
          <w:rtl w:val="true"/>
        </w:rPr>
        <w:t xml:space="preserve">: </w:t>
      </w:r>
      <w:r>
        <w:rPr>
          <w:rtl w:val="true"/>
        </w:rPr>
        <w:t>فی التعارض الحقیقی</w:t>
      </w:r>
      <w:bookmarkEnd w:id="220"/>
    </w:p>
    <w:p>
      <w:pPr>
        <w:pStyle w:val="Heading6"/>
        <w:numPr>
          <w:ilvl w:val="5"/>
          <w:numId w:val="1"/>
        </w:numPr>
        <w:rPr/>
      </w:pPr>
      <w:bookmarkStart w:id="221" w:name="__RefHeading___Toc96086_3244359995"/>
      <w:bookmarkStart w:id="222" w:name="_Toc83"/>
      <w:bookmarkEnd w:id="221"/>
      <w:r>
        <w:rPr>
          <w:rtl w:val="true"/>
        </w:rPr>
        <w:t>اشارة</w:t>
      </w:r>
      <w:bookmarkEnd w:id="222"/>
    </w:p>
    <w:p>
      <w:pPr>
        <w:pStyle w:val="BookText"/>
        <w:rPr/>
      </w:pPr>
      <w:r>
        <w:rPr>
          <w:rFonts w:ascii="IRNazanin" w:hAnsi="IRNazanin" w:eastAsia="IRNazanin"/>
          <w:color w:val="111111"/>
          <w:sz w:val="28"/>
          <w:sz w:val="28"/>
          <w:szCs w:val="28"/>
          <w:rtl w:val="true"/>
          <w:lang w:bidi="fa-IR"/>
        </w:rPr>
        <w:t>لا یخفی أنّ التعارض إنّما یتصوّر فیما إذا کان کلّ واحد من الدلیلین ظنّیاً، إمّا من ناحیة السند، أو الدلالة، أو جهة الصدور، وأمّا إذا کان أحدهما قطعیاً من جمیع الجهات والآخر ظنّیاً من بعض الجهات فلا إشکال فی تقدیم الأوّل علی الثانی، ولا معنی لتعارضهما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فالتعارض بین الآیات القرآنیة إنّما یتصوّر فیما إذا کانت کلّ واحدة من الآیتین المتعارضتین ظاهرة فی الحکم، أی کانت ظنّیة الدلالة، وهکذا فی الخبرین المتواترین ومعقد الإجماعین المحصّلین، فیتصوّر التعارض فیهما فیما إذا کان الخبر المتواتر ظاهراً فی الحکم وکان للإجماع المحصّل معقد لفظی ظاهر فی الحکم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 یعلم أنّه لا یتصوّر التعارض فیما إذا کان کلّ من الدلیلین قطعیاً من جمیع الجهات؛ لأنّه ینافی العلم بکذب أحدهما، بل لا یمکن فرض وجود دلیلین</w:t>
      </w:r>
      <w:bookmarkStart w:id="223" w:name="pg16918_187351"/>
    </w:p>
    <w:p>
      <w:pPr>
        <w:pStyle w:val="BookText"/>
        <w:rPr/>
      </w:pPr>
      <w:bookmarkEnd w:id="223"/>
      <w:r>
        <w:rPr>
          <w:rFonts w:ascii="IRNazanin" w:hAnsi="IRNazanin" w:eastAsia="IRNazanin"/>
          <w:color w:val="111111"/>
          <w:sz w:val="28"/>
          <w:sz w:val="28"/>
          <w:szCs w:val="28"/>
          <w:rtl w:val="true"/>
          <w:lang w:bidi="fa-IR"/>
        </w:rPr>
        <w:t>قطعیین متخالفین حتّی یتکلّم فیهما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ذلک فاعلم أنّ هنا جهات من البحث لتنقیح أحکام المتعارضین</w:t>
      </w:r>
      <w:r>
        <w:rPr>
          <w:rFonts w:eastAsia="IRNazanin" w:cs="IRNazanin"/>
          <w:color w:val="111111"/>
          <w:sz w:val="28"/>
          <w:szCs w:val="28"/>
          <w:rtl w:val="true"/>
          <w:lang w:bidi="fa-IR"/>
        </w:rPr>
        <w:t>:</w:t>
      </w:r>
    </w:p>
    <w:p>
      <w:pPr>
        <w:pStyle w:val="Heading6"/>
        <w:numPr>
          <w:ilvl w:val="5"/>
          <w:numId w:val="1"/>
        </w:numPr>
        <w:rPr/>
      </w:pPr>
      <w:bookmarkStart w:id="224" w:name="__RefHeading___Toc96088_3244359995"/>
      <w:bookmarkStart w:id="225" w:name="_Toc84"/>
      <w:bookmarkEnd w:id="224"/>
      <w:r>
        <w:rPr>
          <w:rtl w:val="true"/>
        </w:rPr>
        <w:t>الجهة الاولی</w:t>
      </w:r>
      <w:r>
        <w:rPr>
          <w:rtl w:val="true"/>
        </w:rPr>
        <w:t xml:space="preserve">: </w:t>
      </w:r>
      <w:r>
        <w:rPr>
          <w:rtl w:val="true"/>
        </w:rPr>
        <w:t>مقتضی الأصل الأوّلی فی المتعارضین</w:t>
      </w:r>
      <w:bookmarkEnd w:id="225"/>
    </w:p>
    <w:p>
      <w:pPr>
        <w:pStyle w:val="Heading6"/>
        <w:numPr>
          <w:ilvl w:val="5"/>
          <w:numId w:val="1"/>
        </w:numPr>
        <w:rPr/>
      </w:pPr>
      <w:bookmarkStart w:id="226" w:name="__RefHeading___Toc96090_3244359995"/>
      <w:bookmarkStart w:id="227" w:name="_Toc85"/>
      <w:bookmarkEnd w:id="226"/>
      <w:r>
        <w:rPr>
          <w:rtl w:val="true"/>
        </w:rPr>
        <w:t>اشارة</w:t>
      </w:r>
      <w:bookmarkEnd w:id="227"/>
    </w:p>
    <w:p>
      <w:pPr>
        <w:pStyle w:val="BookText"/>
        <w:rPr/>
      </w:pPr>
      <w:r>
        <w:rPr>
          <w:rFonts w:ascii="IRNazanin" w:hAnsi="IRNazanin" w:eastAsia="IRNazanin"/>
          <w:color w:val="111111"/>
          <w:sz w:val="28"/>
          <w:sz w:val="28"/>
          <w:szCs w:val="28"/>
          <w:rtl w:val="true"/>
          <w:lang w:bidi="fa-IR"/>
        </w:rPr>
        <w:t>هل الأصل فی التعارض التساقط، أو التخییر، أو الجمع مهما أمکن؟</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بلزوم الجمع بینهما استناداً إلی القاعدة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أمکن أولی من الطرح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والأولویّة هنا هی الأولویّة التعیینیّة، أی وجوب الجمع لا 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والجمع یتصوّر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التامّ بین الدلیلین بالعمل بتمامهما من دون أیّ تصرّف فیهما فإن أمکن ذلک ولو بتدبیر فلا إشکال فی وجوبه، بل هو خارج عن محلّ الکلام ومن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منه العمل ببعض کلّ منهما أو بعض أحدهما وتمام الآخر عملًا یوافقه العرف ویستحسنه، فلا إشکال أیضاً فی تعیّنه وکونه أولی من الطرح کما فی العامّ والخاصّ، ولکنّه أیضاً خارج عن محلّ الکلام؛ لأنّه لو کان بینهما تعارض فإنّما هو فی النظر البدوی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منه الجمع بین الحقوق المتزاحمة فی باب التزاحم، کالجمع بین حقوق الغرماء فی المفلّس، فلا ریب أیضاً فی لزوم هذا الجمع بمقدار الإمکان ولکنّه أیضاً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منه مطلق الجمع ورفع الید عن ظاهر کلیهما أو أحدهما بتأویلهما أو تأویل أحدهما من دون أیّ شاهد عرفی، وهو ما یسمّی بالجمع التبرّعی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الجمع یرد علیه امور</w:t>
      </w:r>
      <w:r>
        <w:rPr>
          <w:rFonts w:eastAsia="IRNazanin" w:cs="IRNazanin"/>
          <w:color w:val="111111"/>
          <w:sz w:val="28"/>
          <w:szCs w:val="28"/>
          <w:rtl w:val="true"/>
          <w:lang w:bidi="fa-IR"/>
        </w:rPr>
        <w:t>:</w:t>
      </w:r>
      <w:bookmarkStart w:id="228" w:name="pg16918_187352"/>
    </w:p>
    <w:p>
      <w:pPr>
        <w:pStyle w:val="BookText"/>
        <w:rPr/>
      </w:pPr>
      <w:bookmarkEnd w:id="228"/>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أولویّته من الطرح عند العرف والعقلاء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یوجب الهرج والمرج فی الفقه؛ لأنّه لا ضابطة للجمع التبرّعی فیمکن لکلّ فقیه أن یختار نوع جمع خاصّ لروایتین غیر ما یختاره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یعارضه جمیع أخبار الترجیح عند وجود المرجّحات أو حملها علی مورد النادر، أی المورد الذی لا یمکن الجمع فیه ولو بالتأویل وإرتکاب خلاف الظاهر، وهکذا یعارض أخبار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أولویة لهذا الجمع عند التعارض، فیدور الأمر بین التخییر والتساقط</w:t>
      </w:r>
      <w:r>
        <w:rPr>
          <w:rFonts w:eastAsia="IRNazanin" w:cs="IRNazanin"/>
          <w:color w:val="111111"/>
          <w:sz w:val="28"/>
          <w:szCs w:val="28"/>
          <w:rtl w:val="true"/>
          <w:lang w:bidi="fa-IR"/>
        </w:rPr>
        <w:t>.</w:t>
      </w:r>
    </w:p>
    <w:p>
      <w:pPr>
        <w:pStyle w:val="Heading6"/>
        <w:numPr>
          <w:ilvl w:val="5"/>
          <w:numId w:val="1"/>
        </w:numPr>
        <w:rPr/>
      </w:pPr>
      <w:bookmarkStart w:id="229" w:name="__RefHeading___Toc96092_3244359995"/>
      <w:bookmarkStart w:id="230" w:name="_Toc86"/>
      <w:bookmarkEnd w:id="229"/>
      <w:r>
        <w:rPr>
          <w:rtl w:val="true"/>
        </w:rPr>
        <w:t>التفصیل بین المبانی فی القول بالتساقط أو التخییر</w:t>
      </w:r>
      <w:bookmarkEnd w:id="230"/>
    </w:p>
    <w:p>
      <w:pPr>
        <w:pStyle w:val="BookText"/>
        <w:rPr/>
      </w:pPr>
      <w:r>
        <w:rPr>
          <w:rFonts w:ascii="IRNazanin" w:hAnsi="IRNazanin" w:eastAsia="IRNazanin"/>
          <w:color w:val="111111"/>
          <w:sz w:val="28"/>
          <w:sz w:val="28"/>
          <w:szCs w:val="28"/>
          <w:rtl w:val="true"/>
          <w:lang w:bidi="fa-IR"/>
        </w:rPr>
        <w:t>ثمّ إنّ القاعدة الأوّلیّة هل تقتضی التساقط مطلقاً، أو التخییر مطلقاً، أو التفصیل بین المبانی المختلفة فی حجّیة الأمارات من الطریقیّة وأنواع السببیّة؟ الصحیح هو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الطریقیة أنّ الأمارة لا توجد مصلحة فی مؤدّاها، بل إنّها مجرّد طریق إلی الواقع فإن أصابت الواقع فمؤدّیها هو الواقع، وإلّا فیکون عذراً فقط، والمراد من السببیّة أنّ الأمارة توجب حصول مصلحة فی المؤدّی وهی علی أقسام أربعة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التصویب الأشعری وحاصلها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الفقیه یجتهد فی ملاحظة المصالح والمفاسد ثمّ یختار حکماً بلحاظها، وفی الواقع له وضع القانون الإلهی فیما لم یرد فیه نصّ، وهذا المعنی ثابت لجمیع المجتهدین علی زعمهم، وإن اختلفوا فی وضع هذه الأحکام، فکلّ واحد منها حکم إلهی یمضیه اللَّه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النوع من التصویب یلزم منه نقص التشریع الإلهی وحاجته إلی الإکمال من ناحیة البشر، وهو مخالف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فإنّ الدین</w:t>
      </w:r>
    </w:p>
    <w:p>
      <w:pPr>
        <w:pStyle w:val="BookText"/>
        <w:rPr/>
      </w:pPr>
      <w:r>
        <w:rPr>
          <w:rFonts w:ascii="IRNazanin" w:hAnsi="IRNazanin" w:eastAsia="IRNazanin"/>
          <w:color w:val="111111"/>
          <w:sz w:val="28"/>
          <w:sz w:val="28"/>
          <w:szCs w:val="28"/>
          <w:rtl w:val="true"/>
          <w:lang w:bidi="fa-IR"/>
        </w:rPr>
        <w:t>الکامل لا یحتاج فی تشریعاته إلی أبناء البشر، وإنّهم لم یقعوا فی هذه المشکلة إلّا بترک الثقل الأصغر من الثقلین أعنی أئمّة أهل البیت علیهم السلام الذی أمر رسول اللَّه صلی الله علیه و آله بالتمسّک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ولنعم ما قال مولانا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عَلَی أَحَدِهُم الْقَضِیَّةُ فِی حُکْمٍ مِنْ الْأَحْکامِ فَیَحْکُمُ فِیها بِرَأْیِهِ، ثُم تَرِدُ تِلْکَ الْقَضِیَّةُ بِعَیْنِهَا عَلَی غَیْرِهِ فَیَحْکُمُ فِیهَا بِخِلافِهِ، ثُمَّ یَجْتَمِعُ الْقُضَاةُ بِذلِکَ عِنْدَ الْإِمَامِ الَّذِی اسْتَقْضَاهُمْ فیُصَوّبُ آرَاءَهُمْ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وَإِلهُهُمْ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وَنَبِیُّهُمْ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وَکِتَابُهُمْ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أَفَأمَرَهُمُ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بِالْاختِلافِ فَأَطَاعُوهُ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نَهَاهُمْ عَنْهُ فَعَصَوْهُ</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أنّه بناءً علی هذا المعنی للسببیّة تدخل الأمارات المتعارضة فی باب التزاحم ویکون مقتضی القاعدة حینئذٍ التخییر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التصویب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أنّ لنا واقعاً محفوظاً قد تصیبه الأمارة وقد تخطئ، ولکنّها فی صورة الخطأ توجد مصلحة أقوی من مصلحة الواقع فی مؤدّیها، فتوجب سقوط الواقع عن الفعلیّة وانقلاب الحکم الواقعی إلی مؤدّی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أیضاً أجمع أصحابنا علی بطلانه، ویکون مقتضی القاعدة بناءً علیه هو التخییر؛ لأنّ الأخبار المتعارضة تدخل حینئذٍ فی باب التزاحم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فصّل المحقّق الخراسانی رحمه الله هنا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إذا قلنا بالسببیّة مطلقاً ولو فیما علم کذبه، وأمّا إذا قلنا بسببیّة الأمارات فی خصوص ما لم یعلم کذبه من الخبرین المتعارضین بأن لا یکون ما علم کذبه مسبّباً لحدوث مصلحة أو مفسدة فی المتعلّق، فحالهما حینئذٍ من حیث مقتضی القاعدة الأوّلیة کحالهما بناءً علی الطریقیّة عیناً من التساقط</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وما ذکره قریب من الصواب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السببیة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منها أنّ أدلّة حجّیة الأمارة تجعل حکماً ظاهریاً</w:t>
      </w:r>
    </w:p>
    <w:p>
      <w:pPr>
        <w:pStyle w:val="BookText"/>
        <w:rPr/>
      </w:pPr>
      <w:r>
        <w:rPr>
          <w:rFonts w:ascii="IRNazanin" w:hAnsi="IRNazanin" w:eastAsia="IRNazanin"/>
          <w:color w:val="111111"/>
          <w:sz w:val="28"/>
          <w:sz w:val="28"/>
          <w:szCs w:val="28"/>
          <w:rtl w:val="true"/>
          <w:lang w:bidi="fa-IR"/>
        </w:rPr>
        <w:t>مماثلًا لمؤدّیها، وهذا ما ذهب إلیه جماعة من أعاظم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بناءً علی هذا المعنی هو التساقط بناءً علی کون الحکم الظاهری المماثل مجرّد طریق إلی الواقع فحسب، من دون حصول أی مصلحة فیه، وأمّا إذا قلنا إنّها توجب فی مؤدّیها حصول مصلحة أقوی من مصلحة الواقع أو المساوی لها فهو یشبه حینئذٍ مبنی السببیّة المعتزلیّة، ونتیجته التزاحم بین الأمارة الّتی أصابت إلی الواقع والأمارة الّتی أخطأت، ولکنّها أوجبت مصلحة فی مؤدّیها، فیکون مقتضی الأصل حینئذٍ التخییر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السببیة السلوکیة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المصلحة السلوکیّة، والمراد منها أنّ أدلّة حجّیة الأمارة لا توجد مصلحة فی مؤدّیها فی صورة الخطأ، بل إنّها توجب حصول مصلحة فی نفس العمل علی طبقها ما یعادل مصلحة الواقع، ففی مثل الأمارة الّتی قامت علی وجوب صلاة الجمعة فی زمان الغیبة، بناء علی عدم وجوبها واقعاً، لا توجب أدلّة حجّیتها حصول مصلحة فی نفس صلاة الجمعة، بل توجد مصلحة فی العمل بقول الثقة مثلًا وسلوک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المبنی أیضاً یکون مقتضی القاعدة التخییر والدخول فی باب التزاحم علی تفصیل مرّ ذکره، ولکن لا دلیل علی حصول هذه المصلحة فی مقام الإثبات، هذا کلّه بناءً علی القول بالسببیّة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مبنی الطریقیة، وهو الصحیح المختار علی ما بیّناه فی محلّه، فذهب أکثر أصحابنا إلی التساقط، واستدلّوا لذلک بوجود العلم الإجمالی بکذب أحد الطریقین، حیث إنّه یوجب عدم اعتماد العرف و العقلاء بکلیهما فیسقط کلّ واحد منهما عن الطریقیة والحجّیة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الطرق الشرعیّة مأخوذة من الطرق العقلائیّة وإمضاء لها غالباً، ولا إشکال فی أنّ العرف والعقلاء فی باب الشهادات والدعاوی ومقام القضاء وغیرها یحکمون ببطلان کلاالطریقین إذا شهد کلّ منهما علی خلاف الآخر وتعارضا</w:t>
      </w:r>
      <w:r>
        <w:rPr>
          <w:rFonts w:eastAsia="IRNazanin" w:cs="IRNazanin"/>
          <w:color w:val="111111"/>
          <w:sz w:val="28"/>
          <w:szCs w:val="28"/>
          <w:rtl w:val="true"/>
          <w:lang w:bidi="fa-IR"/>
        </w:rPr>
        <w:t>.</w:t>
      </w:r>
      <w:bookmarkStart w:id="231" w:name="pg16918_187355"/>
    </w:p>
    <w:p>
      <w:pPr>
        <w:pStyle w:val="BookText"/>
        <w:rPr/>
      </w:pPr>
      <w:bookmarkEnd w:id="231"/>
      <w:r>
        <w:rPr>
          <w:rFonts w:ascii="IRNazanin" w:hAnsi="IRNazanin" w:eastAsia="IRNazanin"/>
          <w:color w:val="111111"/>
          <w:sz w:val="28"/>
          <w:sz w:val="28"/>
          <w:szCs w:val="28"/>
          <w:rtl w:val="true"/>
          <w:lang w:bidi="fa-IR"/>
        </w:rPr>
        <w:t>وما ذکرنا من أنّ قضیّة التعارض هو التساقط إنّما هو بملاحظة القاعدة الأوّلیّة، فیعمل به ما لم یدلّ دلیل خاصّ علی خلافه، کما فی الخبرین المتعارضین، فإنّ الإجماع والأخبار العلاجیّة قائمان علی عدم سقوطهما بل لابدّ من العمل بأحدهما إمّا تعییناً أو تخییراً، نعم إنّها باقیة علی حالها فی غیر الخبرین سواء فی الشبهة الحکمیّة کما فی الإجماعین المحصّلین أو فی الشبهة الموضوعیّة کما فی البیّنتین</w:t>
      </w:r>
      <w:r>
        <w:rPr>
          <w:rFonts w:eastAsia="IRNazanin" w:cs="IRNazanin"/>
          <w:color w:val="111111"/>
          <w:sz w:val="28"/>
          <w:szCs w:val="28"/>
          <w:rtl w:val="true"/>
          <w:lang w:bidi="fa-IR"/>
        </w:rPr>
        <w:t>.</w:t>
      </w:r>
    </w:p>
    <w:p>
      <w:pPr>
        <w:pStyle w:val="Heading6"/>
        <w:numPr>
          <w:ilvl w:val="5"/>
          <w:numId w:val="1"/>
        </w:numPr>
        <w:rPr/>
      </w:pPr>
      <w:bookmarkStart w:id="232" w:name="__RefHeading___Toc96094_3244359995"/>
      <w:bookmarkStart w:id="233" w:name="_Toc87"/>
      <w:bookmarkEnd w:id="232"/>
      <w:r>
        <w:rPr>
          <w:rtl w:val="true"/>
        </w:rPr>
        <w:t>عدم دلالة المتعارضین علی نفی الثالث</w:t>
      </w:r>
      <w:bookmarkEnd w:id="233"/>
    </w:p>
    <w:p>
      <w:pPr>
        <w:pStyle w:val="BookText"/>
        <w:rPr/>
      </w:pPr>
      <w:r>
        <w:rPr>
          <w:rFonts w:ascii="IRNazanin" w:hAnsi="IRNazanin" w:eastAsia="IRNazanin"/>
          <w:color w:val="111111"/>
          <w:sz w:val="28"/>
          <w:sz w:val="28"/>
          <w:szCs w:val="28"/>
          <w:rtl w:val="true"/>
          <w:lang w:bidi="fa-IR"/>
        </w:rPr>
        <w:t>ثمّ إنّه بناءً علی تساقط الخبرین المتعارضین هل تبقی دلالتهما الالتزامیّة علی نفی الثالث علی حالها، أو أنّها أیضاً تسقط؟ فإذا قامت بیّنة علی أنّ هذه الدار لزید مثلًا وبیّنة اخری علی أنّها لعمرو فهل یثبت بهما عدم کونها لبکر، أو لا؟ وهکذا فی الشبهات الحکمیّة، فإذا قام الخبر علی کون نصاب المعدن عشرین دیناراً ودلّ خبر آخر علی أنّه دینار واحد فهل یبقی مدلولهما الالتزامی، فتکون النتیجة عدم وجوب الخمس فی الأقلّ من دینار، أو أنّه أیضاً یسقط؟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سقوط الدلالة بالنسبة إلی نفی الثالث وهو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المتعارضین حتّی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للقول الأوّل بأنّ الخبرین المتعارضین یشترکان فی نفی الثالث بالدلالة الالتزامیّة فیکونان معاً حجّة فی عدم الثالث، وتوهّم أنّ الدلالة الالتزامیّة فرع الدلالة المطابقیّة وبعد سقوط المتعارضین فی المدلول المطابقی لا مجال لبقاء الدلالة الالتزامیّة لهما فی نفی الثالث فاسد، فإنّ الدلالة الالتزامیّة إنّما تکون فرع الدلالة المطابقیّة فی الوجود لا فی الحجّیة</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یمکن المناقشة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صحیح فی مقام الثبوت لا فی مقام</w:t>
      </w:r>
      <w:bookmarkStart w:id="234" w:name="pg16918_187356"/>
    </w:p>
    <w:p>
      <w:pPr>
        <w:pStyle w:val="BookText"/>
        <w:rPr/>
      </w:pPr>
      <w:bookmarkEnd w:id="234"/>
      <w:r>
        <w:rPr>
          <w:rFonts w:ascii="IRNazanin" w:hAnsi="IRNazanin" w:eastAsia="IRNazanin"/>
          <w:color w:val="111111"/>
          <w:sz w:val="28"/>
          <w:sz w:val="28"/>
          <w:szCs w:val="28"/>
          <w:rtl w:val="true"/>
          <w:lang w:bidi="fa-IR"/>
        </w:rPr>
        <w:t>الإثبات؛ لأنّ أدلّة الحجّیة فی مقام الإثبات إنّما تعمّ الدلالة الالتزامیّة بتبع الدلالة المطابقیّة ومن طریقها وفی طولها لا فی عرضها، وبعد فرض عدم شمولها للمدلول المطابقی لا یبقی مجال لحجّیة المدلول 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الأمارات لا تشمل شیئاً من المتعارضین؛ للزوم التناقض، فلا یبقی مورد للدلالة الالتزامیّة کما لا یبقی مورد للدلالة المطابقیّة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مخالف للسیرة العقلائیّة والإرتکازات العرفیّة، فإنّها قائمة علی سقوط الدلالة الالتزامیّة بتبع الدلالة المطابقیّة، فإذا أخبر ثقة بقدوم زید یوم الجمعة وأخبر ثقة آخر بقدومه یوم السبت، فلا إشکال فی سقوط کلیهما عن الحجّیة عند العرف حتّی فی مدلولهما الالتزامی، وهو عدم قدوم زید یوم الأحد، ولذا یبقی عندهم احتمال قدومه یوم الأحد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 أنّ الصحیح فی المسألة هو القول الثانی، کما قد ظهرت الثمرة المترتّبة علی هذا البحث، حیث إنّه بناءً علی نفی الثالث لا یمکن الرجوع إلی الإطلاقات والاصول العملیّة بعد سقوط الخبرین، ففی مثال دوران الأمر بین العشرین والواحد فی نصاب المعدن، لابدّ من الجمع بین الخبرین والأخذ بأقلّ النصابین لانتفاء احتمال ثالث فی البین، مع أنّه بناءً علی القول الثانی وهو عدم نفی الثالث یمکن الرجوع إلیها، وهی فی المثال إطلاقات وجوب الخمس فی المعدن، وهی تقتضی وجوب الخمس حتّی فی الأقلّ من دینار، أی تقتضی عدم اعتبار النصاب رأساً، وهو الحقّ</w:t>
      </w:r>
      <w:r>
        <w:rPr>
          <w:rFonts w:eastAsia="IRNazanin" w:cs="IRNazanin"/>
          <w:color w:val="111111"/>
          <w:sz w:val="28"/>
          <w:szCs w:val="28"/>
          <w:rtl w:val="true"/>
          <w:lang w:bidi="fa-IR"/>
        </w:rPr>
        <w:t>.</w:t>
      </w:r>
    </w:p>
    <w:p>
      <w:pPr>
        <w:pStyle w:val="Heading6"/>
        <w:numPr>
          <w:ilvl w:val="5"/>
          <w:numId w:val="1"/>
        </w:numPr>
        <w:rPr/>
      </w:pPr>
      <w:bookmarkStart w:id="235" w:name="__RefHeading___Toc96096_3244359995"/>
      <w:bookmarkStart w:id="236" w:name="_Toc88"/>
      <w:bookmarkEnd w:id="235"/>
      <w:r>
        <w:rPr>
          <w:rtl w:val="true"/>
        </w:rPr>
        <w:t>الجهة الثانیة</w:t>
      </w:r>
      <w:r>
        <w:rPr>
          <w:rtl w:val="true"/>
        </w:rPr>
        <w:t xml:space="preserve">: </w:t>
      </w:r>
      <w:r>
        <w:rPr>
          <w:rtl w:val="true"/>
        </w:rPr>
        <w:t>مقتضی الأصل الثانوی فی المتعارضین</w:t>
      </w:r>
      <w:bookmarkEnd w:id="236"/>
    </w:p>
    <w:p>
      <w:pPr>
        <w:pStyle w:val="Heading6"/>
        <w:numPr>
          <w:ilvl w:val="5"/>
          <w:numId w:val="1"/>
        </w:numPr>
        <w:rPr/>
      </w:pPr>
      <w:bookmarkStart w:id="237" w:name="__RefHeading___Toc96098_3244359995"/>
      <w:bookmarkStart w:id="238" w:name="_Toc89"/>
      <w:bookmarkEnd w:id="237"/>
      <w:r>
        <w:rPr>
          <w:rtl w:val="true"/>
        </w:rPr>
        <w:t>اشارة</w:t>
      </w:r>
      <w:bookmarkEnd w:id="238"/>
    </w:p>
    <w:p>
      <w:pPr>
        <w:pStyle w:val="BookText"/>
        <w:rPr/>
      </w:pPr>
      <w:r>
        <w:rPr>
          <w:rFonts w:ascii="IRNazanin" w:hAnsi="IRNazanin" w:eastAsia="IRNazanin"/>
          <w:color w:val="111111"/>
          <w:sz w:val="28"/>
          <w:sz w:val="28"/>
          <w:szCs w:val="28"/>
          <w:rtl w:val="true"/>
          <w:lang w:bidi="fa-IR"/>
        </w:rPr>
        <w:t>لا شکّ فی انتقاض الأصل الأوّلی بالنسبة إلی الخبرین المتعارضین، لقیام الدلیل علی عدم سقوط کلیهما عن الحجّیة، و یقع الکلام عن ذلک فی ضمن أمرین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الخبرین المتعارضین بعد التعادل والتکافؤ</w:t>
      </w:r>
      <w:r>
        <w:rPr>
          <w:rFonts w:eastAsia="IRNazanin" w:cs="IRNazanin"/>
          <w:color w:val="111111"/>
          <w:sz w:val="28"/>
          <w:szCs w:val="28"/>
          <w:rtl w:val="true"/>
          <w:lang w:bidi="fa-IR"/>
        </w:rPr>
        <w:t>.</w:t>
      </w:r>
      <w:bookmarkStart w:id="239" w:name="pg16918_187357"/>
    </w:p>
    <w:p>
      <w:pPr>
        <w:pStyle w:val="BookText"/>
        <w:rPr/>
      </w:pPr>
      <w:bookmarkEnd w:id="23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التراجیح ولزوم إعمال المرجّحات قبل أن تصل النوبة إلی التعادل والتکافؤ</w:t>
      </w:r>
      <w:r>
        <w:rPr>
          <w:rFonts w:eastAsia="IRNazanin" w:cs="IRNazanin"/>
          <w:color w:val="111111"/>
          <w:sz w:val="28"/>
          <w:szCs w:val="28"/>
          <w:rtl w:val="true"/>
          <w:lang w:bidi="fa-IR"/>
        </w:rPr>
        <w:t>.</w:t>
      </w:r>
    </w:p>
    <w:p>
      <w:pPr>
        <w:pStyle w:val="Heading6"/>
        <w:numPr>
          <w:ilvl w:val="5"/>
          <w:numId w:val="1"/>
        </w:numPr>
        <w:rPr/>
      </w:pPr>
      <w:bookmarkStart w:id="240" w:name="__RefHeading___Toc96100_3244359995"/>
      <w:bookmarkStart w:id="241" w:name="_Toc90"/>
      <w:bookmarkEnd w:id="240"/>
      <w:r>
        <w:rPr>
          <w:rtl w:val="true"/>
        </w:rPr>
        <w:t>الأمر الأوّل</w:t>
      </w:r>
      <w:r>
        <w:rPr>
          <w:rtl w:val="true"/>
        </w:rPr>
        <w:t xml:space="preserve">: </w:t>
      </w:r>
      <w:r>
        <w:rPr>
          <w:rtl w:val="true"/>
        </w:rPr>
        <w:t>فی أخبار التعادل</w:t>
      </w:r>
      <w:bookmarkEnd w:id="241"/>
    </w:p>
    <w:p>
      <w:pPr>
        <w:pStyle w:val="Heading6"/>
        <w:numPr>
          <w:ilvl w:val="5"/>
          <w:numId w:val="1"/>
        </w:numPr>
        <w:rPr/>
      </w:pPr>
      <w:bookmarkStart w:id="242" w:name="__RefHeading___Toc96102_3244359995"/>
      <w:bookmarkStart w:id="243" w:name="_Toc91"/>
      <w:bookmarkEnd w:id="242"/>
      <w:r>
        <w:rPr>
          <w:rtl w:val="true"/>
        </w:rPr>
        <w:t>اشارة</w:t>
      </w:r>
      <w:bookmarkEnd w:id="243"/>
    </w:p>
    <w:p>
      <w:pPr>
        <w:pStyle w:val="BookText"/>
        <w:rPr/>
      </w:pPr>
      <w:r>
        <w:rPr>
          <w:rFonts w:ascii="IRNazanin" w:hAnsi="IRNazanin" w:eastAsia="IRNazanin"/>
          <w:color w:val="111111"/>
          <w:sz w:val="28"/>
          <w:sz w:val="28"/>
          <w:szCs w:val="28"/>
          <w:rtl w:val="true"/>
          <w:lang w:bidi="fa-IR"/>
        </w:rPr>
        <w:t>والأخبار الواردة فی هذا المجال تنقسم إلی قسمین</w:t>
      </w:r>
      <w:r>
        <w:rPr>
          <w:rFonts w:eastAsia="IRNazanin" w:cs="IRNazanin"/>
          <w:color w:val="111111"/>
          <w:sz w:val="28"/>
          <w:szCs w:val="28"/>
          <w:rtl w:val="true"/>
          <w:lang w:bidi="fa-IR"/>
        </w:rPr>
        <w:t>:</w:t>
      </w:r>
    </w:p>
    <w:p>
      <w:pPr>
        <w:pStyle w:val="Heading6"/>
        <w:numPr>
          <w:ilvl w:val="5"/>
          <w:numId w:val="1"/>
        </w:numPr>
        <w:rPr/>
      </w:pPr>
      <w:bookmarkStart w:id="244" w:name="__RefHeading___Toc96104_3244359995"/>
      <w:bookmarkStart w:id="245" w:name="_Toc92"/>
      <w:bookmarkEnd w:id="244"/>
      <w:r>
        <w:rPr/>
        <w:t>1</w:t>
      </w:r>
      <w:r>
        <w:rPr>
          <w:rtl w:val="true"/>
        </w:rPr>
        <w:t xml:space="preserve">. </w:t>
      </w:r>
      <w:r>
        <w:rPr>
          <w:rtl w:val="true"/>
        </w:rPr>
        <w:t>ما یدلّ علی التخییر</w:t>
      </w:r>
      <w:bookmarkEnd w:id="245"/>
    </w:p>
    <w:p>
      <w:pPr>
        <w:pStyle w:val="BookText"/>
        <w:rPr/>
      </w:pPr>
      <w:r>
        <w:rPr>
          <w:rFonts w:ascii="IRNazanin" w:hAnsi="IRNazanin" w:eastAsia="IRNazanin"/>
          <w:color w:val="111111"/>
          <w:sz w:val="28"/>
          <w:sz w:val="28"/>
          <w:szCs w:val="28"/>
          <w:rtl w:val="true"/>
          <w:lang w:bidi="fa-IR"/>
        </w:rPr>
        <w:t>وهی روایات کثیرة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الحسن بن الجهم،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تجیئنا الأحادیث عنکم مختلفة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جاءک عنّا فقس علی کتاب اللَّه عزّوجلّ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یجیئنا الرجلان وکلاهما ثقة بحدیثین مختلفین ولا نعلم أیّهما الحقّ،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تعلم فموسّع علیک بأیّهما أخذت</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الحارث بن المغیرة، عن أبی عبداللَّه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سمعت من أصحابک الحدیث وکلّهم ثقة فموسّع علیک حتّی تری القائم علیه السلام فتردّ إلیه</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ودلالة هاتین الروایتین تامّة علی المقصود وإن أُورد علی سندهما بالارسال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لعبداللَّه بن محمّد إلی أبی الحسن علیه السلام اختلف أصحابنا فی روایاتهم عن أبی عبداللَّه علیه السلام فی رکعتی الفجر فی السفر، فروی بعضهم صلّها فی المحمل، وروی بعضهم لا تصلّها إلّاعلی الأرض، فوقّع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 علیک بأیّةٍ عملت</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مورده هو التخییر فی نافلة الفجر المستحبّة فیحمل علی</w:t>
      </w:r>
    </w:p>
    <w:p>
      <w:pPr>
        <w:pStyle w:val="BookText"/>
        <w:rPr/>
      </w:pPr>
      <w:r>
        <w:rPr>
          <w:rFonts w:ascii="IRNazanin" w:hAnsi="IRNazanin" w:eastAsia="IRNazanin"/>
          <w:color w:val="111111"/>
          <w:sz w:val="28"/>
          <w:sz w:val="28"/>
          <w:szCs w:val="28"/>
          <w:rtl w:val="true"/>
          <w:lang w:bidi="fa-IR"/>
        </w:rPr>
        <w:t>التخییر بین مراتب الفضیلة فلا یمکن التعدّی عنه إلی الواجبات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رواه الطبرسی فی الاحتجاج فی جواب مکاتبة محمّد بن عبداللَّه بن جعفر الحمیری إلی صاحب الزمان علیه السلام </w:t>
      </w:r>
      <w:r>
        <w:rPr>
          <w:rStyle w:val="FootnoteAnchor"/>
          <w:rtl w:val="true"/>
        </w:rPr>
        <w:footnoteReference w:id="211"/>
      </w:r>
      <w:r>
        <w:rPr>
          <w:rFonts w:ascii="IRNazanin" w:hAnsi="IRNazanin" w:eastAsia="IRNazanin"/>
          <w:color w:val="111111"/>
          <w:sz w:val="28"/>
          <w:sz w:val="28"/>
          <w:szCs w:val="28"/>
          <w:rtl w:val="true"/>
          <w:lang w:bidi="fa-IR"/>
        </w:rPr>
        <w:t>، وهو ما مرّ ذکره سابقاً من روایة التکبیر حین الانتقال من حالة إلی حالة اخری، ولکن مورده أیضاً هو التخییر فی المستحبّات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مرسلة الکلینی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أخذت من باب التسلیم وسعک</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ولکن لعلّها مأخوذة من الروایات السابقة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معتبرة سماعة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اختلف فیه رجلان من أهل دینه فی أمر کلاهما یرویه، أحدهما یأمر بأخذه والآخر ینهاه عنه، کیف یصنع؟</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یرجئه حتّی یلقی من یخبره، فهو فی سعة حتّی یلقاه</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وهی أیضاً قابلة للمناقشة حیث إنّ دلالتها علی المطلوب مبنیّة علی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هو التخییر مع أنّه یحتمل أن یکون المراد منها الرجوع إلی الأصل؛ أی البراءة، والأوّل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مغیّاة بملاقاة الإمام فتکون الروایة مختصّة بعصر الحضور،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عصر الغیبة أولی بالسعة لعدم إمکان الوصول إلی قول المعصوم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أحمد بن الحسن المیثمی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الرضا علیه السلام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وبأیّهما شئت وسعک الاختیار من باب التسلیم والاتّباع </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موردها أیضاً المستحبّات حیث ورد قبل الفقرة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کان فی السنّة نهی إعافة أو کراهة ثمّ کان الخبر الأخیر خلافه فذلک رخصة فیما عافه رسول‌اللَّه صلی الله علیه و آله وکره ولم یحرّمه، فذلک الذی یسع الأخذ بها جمیعاً وبأیّهما شئت </w:t>
      </w:r>
      <w:r>
        <w:rPr>
          <w:rFonts w:eastAsia="IRNazanin" w:cs="IRNazanin"/>
          <w:color w:val="111111"/>
          <w:sz w:val="28"/>
          <w:szCs w:val="28"/>
          <w:rtl w:val="true"/>
          <w:lang w:bidi="fa-IR"/>
        </w:rPr>
        <w:t>...».</w:t>
      </w:r>
      <w:bookmarkStart w:id="246" w:name="pg16918_187359"/>
    </w:p>
    <w:p>
      <w:pPr>
        <w:pStyle w:val="BookText"/>
        <w:rPr/>
      </w:pPr>
      <w:bookmarkEnd w:id="246"/>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فی عوالی اللئالی عن العلّامة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العلّامة مرفوعاً إلی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الباقر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یأتی عنکم الخبران أو الحدیثان المتعارضان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أنّهما معاً موافقان للإحتیاط أو مخالفان له فکیف أصنع؟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فتخیّر أحدهما وتأخذ به وتدع الآخر</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صریحة الدلالة علی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إلی هنا أنّ التامّ دلالة من هذه الثمانیة إنّما هو الأوّل والثانی والثامن، وقد قال شیخنا الأعظم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علیه المشهور وجمهور المجتهدین</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وکفی بذلک جبراً لسندها حتّی ولو کانت روایة واحدة، کیف وهی روایات متضافرة</w:t>
      </w:r>
      <w:r>
        <w:rPr>
          <w:rFonts w:eastAsia="IRNazanin" w:cs="IRNazanin"/>
          <w:color w:val="111111"/>
          <w:sz w:val="28"/>
          <w:szCs w:val="28"/>
          <w:rtl w:val="true"/>
          <w:lang w:bidi="fa-IR"/>
        </w:rPr>
        <w:t>.</w:t>
      </w:r>
    </w:p>
    <w:p>
      <w:pPr>
        <w:pStyle w:val="Heading6"/>
        <w:numPr>
          <w:ilvl w:val="5"/>
          <w:numId w:val="1"/>
        </w:numPr>
        <w:rPr/>
      </w:pPr>
      <w:bookmarkStart w:id="247" w:name="__RefHeading___Toc96106_3244359995"/>
      <w:bookmarkStart w:id="248" w:name="_Toc93"/>
      <w:bookmarkEnd w:id="247"/>
      <w:r>
        <w:rPr/>
        <w:t>2</w:t>
      </w:r>
      <w:r>
        <w:rPr>
          <w:rtl w:val="true"/>
        </w:rPr>
        <w:t xml:space="preserve">. </w:t>
      </w:r>
      <w:r>
        <w:rPr>
          <w:rtl w:val="true"/>
        </w:rPr>
        <w:t>ما یدلّ علی التوقّف والاحتیاط</w:t>
      </w:r>
      <w:bookmarkEnd w:id="2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مقبولة عمر بن حنظلة حیث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وافق حکّامهم الخبرین جمعیاً؟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ذلک فارجئه حتّی تلقی إمامک، فإنّ الوقوف عند الشبهات خیر من الاقتحام فی الهلکات</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غیر تامّة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مفادها هو التساقط لا الأخذ بأحوط الاحتمالات، فإنّ المراد من الإرجاء هو التوقّف والتساقط وهو خلاف الإجماع؛ لأنّه قام علی عدم التساقط</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الفقرة ناظرة إلی عصر الحضور ولا تعمّ زمان الغیبة إذ إنّ الحکم بالإرجاء فیها مغیّی بلقاء الإمام علیه السلام، وهی إنّما تدلّ علی لزوم الاحتیاط فی الشبهات قبل الفحص والرجوع إلی الإمام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ذیل روایة المیثمی، عن الرضا علیه السلام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لم تجدوه فی شی‌ء من هذه الوجوه فردّوا إلینا علمه</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أنّه مختصّ بزمن الحضور وإمکان الوصول إلی الحجّة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الطریق الصحیح فی المقام إنّما هو ما ذهب إلیه المشهور وهو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التخییر فی المقام إن کان واقعیاً یکون نظیر التخییر بین خصال الکفّارات والتخییر بین الحمد والتسبیحات الأربعة فی الرکعتین الأخیرتین، وإن کان ظاهریاً یکون نظیر التخییر بین الوجوب والحرمة عند دوران الأمر بین المحذورین فی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فیما نحن فیه هو الثانی؛ لأنّ المختار فی أمثال ذلک هو مبنی الطریقیّة والعلم بکذب أحد الخبرین حاصل، لأنّ المصلحة حینئذٍ لو کانت فإنّما هی فی واحد منهما، فلا یتصوّر حینئذٍ التخییر الواقعی، لأنّه إنّما یتصوّر فیما إذا وجدت المصلحة فی کلّ من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التخییر هنا فی المسألة الاصولیّة، أو فی المسألة الفقهیّة؟</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یکون للمجتهد فقط فی اختیار الأدلّة، أو له وللمقلِّد فی العمل؟</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 الأعظم الأنصاری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المحکی عن جماعة بل قیل إنّه المشهور، بل ممّا لا خلاف فیه، أنّ التعادل إن وقع للمجتهد فی عمل نفسه کان مخیّراً فی عمل نفسه، وإن وقع للمفتی لأجل الإفتاء فحکمه أن یخیّر المستفتی فیتخیّر فی العمل کالمفتی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یکون التخییر للمفتی فقط فیفتی بما اختار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بعد</w:t>
      </w:r>
    </w:p>
    <w:p>
      <w:pPr>
        <w:pStyle w:val="BookText"/>
        <w:rPr/>
      </w:pPr>
      <w:r>
        <w:rPr>
          <w:rFonts w:ascii="IRNazanin" w:hAnsi="IRNazanin" w:eastAsia="IRNazanin"/>
          <w:color w:val="111111"/>
          <w:sz w:val="28"/>
          <w:sz w:val="28"/>
          <w:szCs w:val="28"/>
          <w:rtl w:val="true"/>
          <w:lang w:bidi="fa-IR"/>
        </w:rPr>
        <w:t>محتاجة إلی التأمّل وإن کان وجه المشهور أقوی</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لقول المشهور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خطابات الأمارات وإن کانت عامّة تشمل المجتهد والمقلِّد، إلّاأنّ المقلِّد عاجز عن القیام بشروط العمل بالأدلّة من حیث تشخیص مقتضاها ودفع موانعها، فإذا ثبت للمجتهد جواز العمل بکلّ من الخبرین المتکافئین المشترک بین المقلِّد والمجتهد تخیّر المقلِّد کالمجتهد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إیجاب مضمون أحد الخبرین علی المقلِّد تعییناً لا دلیل علیه، فهو تشریع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للقول الآخر؛ أی حصر التخییر فی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ورد فی مرفوعة زرارة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معاً موافقان للاحتیاط أو مخالفان له فکیف أصنع؟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فتخیّر أحدهما فتأخذ به وتدع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إنّه وارد بعد إعمال المرجّحات ولا إشکال فی أنّه من عمل المجتهد لا المقلِّد، مضافاً إلی أنّ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فتخیّر أحدهما فتأخذ به وتدع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کالصریح فی اختیار أحد الحجّتین ورفض الآخر، ولیس ذلک إلّاللمجتهد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التخییر حکم للمتحیّر، والمتحیّر إنّما هو المجتهد لا المقلِّد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فی المقام ملاحظة روایات التخییر، ولا إشکال فی أنّها ظاهرة فیما ذهب إلیه المشهور فإنّ من جملتها ما رواه سماعة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اختلف علیه رجلان من أهل دینه فی أمر کلاهما یرویه، أحدهما یأمر بأخذه والآخر ینهاه عنه کیف یصنع؟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سعة حتّی یلقاه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إشکال فی أنّه ظاهر فی التخییر بین مدلولی الخبرین فی العمل، وکذلک مرسلة الکلینی، وروایة الحسن بن الجهم، وروایة الحارث بن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المستفاد من مرفوعة زرارة هو التخییر فی المسألة الاصولیّة، ولکن الکلام بعد فی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الاستدلال بأنّ التحیّر حاصل للمجتهد فقط، فالحکم بالتخییر یکون له، فیمکن الجواب عنه بأنّ الموضوع فی روایات التخییر هو الخبران المتعارضان لا المتحیّر، فإنّه لم یرد هذا العنوان فی شی‌ء من هذه الروایات، فإذن الأظهر هو ما ذهب إلیه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شککنا فی المسألة ولم نعلم أنّه هل التخییر للمجتهد أو للمقلِّد فمقتضی الأصل هو الأوّل لأنّه 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التخییر بدوی أو استمراری؟ والمراد من التخییر البدوی أنّه لو اختار مثلًا وجوب صلاة الجمعة عند تعارض الأخبار، لابدّ من العمل بها مادام عمره، ومعنی التخییر الاستمراری أنّ له فی المثال المذکور اختیار الجمعة فی کلّ جمعة أراد، واختیار صلاة الظهر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والأقوال فی المسألة 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ذهب إلیه جماعة من المحقّقین من أنّ التخییر استمراری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یظهر من بعض کلمات شیخنا الأعظم رحمه الله من أنّه بدوی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المسألة علی المسألة السابقة، فإن قلنا بأنّ التخییر فی المسألة الاصولیّة یکون التخییر هنا بدویاً، وإن قلنا بأنّ التخییر فی المسألة الفقهیّة یکون التخییر هنا استمراریاً</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للقول الأوّل بوجهین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إطلاقات أخبار التخییر، فإنّ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فموسّع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فتخیّر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فی السعة الاستمراری والتخییر الدائمی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التخییر الثابت فی بدو الأمر علی فرض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للقول الثانی أیضاً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فی أخبار التخییر هو التحیّر، وهو یرتفع بعد اختیار أحد الخبرین فلا یکون بعده مشمولًا لها، کما أنّه لا یجوز حینئذٍ استصحاب التخییر لتبدّل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المخالفة القطعیّة التدریجیّة العملیّة من استمرار التخییر فإنّ المفروض کون التخییر ظاهریاً فیکون أحدهما مخالفاً للواقع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المناقشة فی الوجه الأوّل بأنّ الموضوع فی أخبار التخییر لیس هو عنوان المتحیّر بل الموضوع وجود خبرین متعارضین، ولا إشکال فی أنّ التعارض دائمی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الثانی فهو تامّ، وقد ذکرنا فی محلّه أنّ المخالفة القطعیّة العملیّة للعلم الإجمالی حرام سواء کانت دفعیة أو تدریجیّة، ولازم هذا الوجه کون التخییر بدویاً کما تشهد به مرفوعة زرارة لأنّها تأمر بالأخذ بأحد الخبرین وطرد الآخر حیث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فتخیّر أحدهما فتأخذ به وتدع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إشکال فی أنّ ظاهر طرد الآخر طرده مطلقاً، کما أنّ ظاهر الأخذ بأحدهما أخذه دائماً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القول الثالث فاستدلّ له بأنّ التخییر إذا کان فی المسألة الفقهیّة کان کالتخییر بین القصر والإتمام فی المواطن الأربعة، فللمکلّف أن یعمل بمضمون أحد المتعارضین تارةً، وبمضمون الآخر اخری، إلّاأن یقوم دلیل علی خلاف ذلک، وأمّا إذا کان التخییر فی المسألة الاصولیّة فإنّ معناه هو التخییر فی جعل أحد المعارضین حجّة شرعیة وأخذ أحدهما طریقاً محرزاً للواقع، ولازم ذلک وجوب الفتوی بما إختاره أوّلًا وجعل مؤدّاه هو الحکم الکلّی الواقعی المتعلّق بأفعال المکلّفین فلا معنی لاختیار الآخر بعد ذلک</w:t>
      </w:r>
      <w:r>
        <w:rPr>
          <w:rFonts w:eastAsia="IRNazanin" w:cs="IRNazanin"/>
          <w:color w:val="111111"/>
          <w:sz w:val="28"/>
          <w:szCs w:val="28"/>
          <w:rtl w:val="true"/>
          <w:lang w:bidi="fa-IR"/>
        </w:rPr>
        <w:t>.</w:t>
      </w:r>
      <w:bookmarkStart w:id="249" w:name="pg16918_187364"/>
    </w:p>
    <w:p>
      <w:pPr>
        <w:pStyle w:val="BookText"/>
        <w:rPr/>
      </w:pPr>
      <w:bookmarkEnd w:id="249"/>
      <w:r>
        <w:rPr>
          <w:rFonts w:ascii="IRNazanin" w:hAnsi="IRNazanin" w:eastAsia="IRNazanin"/>
          <w:color w:val="111111"/>
          <w:sz w:val="28"/>
          <w:sz w:val="28"/>
          <w:szCs w:val="28"/>
          <w:rtl w:val="true"/>
          <w:lang w:bidi="fa-IR"/>
        </w:rPr>
        <w:t>والحقّ أنّه لا ملازمة بین القول بالتخییر فی المسألة الاصولیّة وکونه بدویاً، لإمکان جعل المجتهد مخیّراً فی هذه المسألة مستمرّاً، کما أنّ الأمر فی المسألة الفرعیة أیضاً کذلک، إنّما الکلام بحسب مقام الإثبات وظواهر أدلّة التخییر، فإن کانت هی إطلاقات السعة فهی ظاهرة فی الاستمرار، وإن کانت هی مرفوعة زرارة فهی ظاهرة فی التخییر البدوی، ولو شکّ فی ذلک فقاعدة الاحتیاط حاکمة بالتخییر البدوی لعین ما مرّ فی المسألة السابقة الّتی دار أمرها بین التعیین والتخییر، هذا کلّه مع قطع النظر عمّا عرفت من لزوم المخالفة القطعیّة العملیّة التدریجیّة فی التخییر الاستمراری</w:t>
      </w:r>
      <w:r>
        <w:rPr>
          <w:rFonts w:eastAsia="IRNazanin" w:cs="IRNazanin"/>
          <w:color w:val="111111"/>
          <w:sz w:val="28"/>
          <w:szCs w:val="28"/>
          <w:rtl w:val="true"/>
          <w:lang w:bidi="fa-IR"/>
        </w:rPr>
        <w:t>.</w:t>
      </w:r>
    </w:p>
    <w:p>
      <w:pPr>
        <w:pStyle w:val="Heading6"/>
        <w:numPr>
          <w:ilvl w:val="5"/>
          <w:numId w:val="1"/>
        </w:numPr>
        <w:rPr/>
      </w:pPr>
      <w:bookmarkStart w:id="250" w:name="__RefHeading___Toc96108_3244359995"/>
      <w:bookmarkStart w:id="251" w:name="_Toc94"/>
      <w:bookmarkEnd w:id="250"/>
      <w:r>
        <w:rPr>
          <w:rtl w:val="true"/>
        </w:rPr>
        <w:t>الأمر الثانی</w:t>
      </w:r>
      <w:r>
        <w:rPr>
          <w:rtl w:val="true"/>
        </w:rPr>
        <w:t xml:space="preserve">: </w:t>
      </w:r>
      <w:r>
        <w:rPr>
          <w:rtl w:val="true"/>
        </w:rPr>
        <w:t>فی أخبار الترجیح</w:t>
      </w:r>
      <w:bookmarkEnd w:id="251"/>
    </w:p>
    <w:p>
      <w:pPr>
        <w:pStyle w:val="BookText"/>
        <w:rPr/>
      </w:pPr>
      <w:r>
        <w:rPr>
          <w:rFonts w:ascii="IRNazanin" w:hAnsi="IRNazanin" w:eastAsia="IRNazanin"/>
          <w:color w:val="111111"/>
          <w:sz w:val="28"/>
          <w:sz w:val="28"/>
          <w:szCs w:val="28"/>
          <w:rtl w:val="true"/>
          <w:lang w:bidi="fa-IR"/>
        </w:rPr>
        <w:t>المشهور وجوب إعمال المرجّحات قبل أن تصل النوبة إلی التخییر، ویدلّ علیه الأخبار الکثیرة الآمرة بالترجیح وهی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 المرجّحات أکثر من مرجّحین</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رجلین من أصحابنا بینهما منازعة فی دین أو میراث فتحاکما إلی السلطان وإلی القضاة أیحلّ ذلک؟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تحاکم إلیهم فی حقّ أو باطل فإنّما تحاکم إلی الطاغوت، وما یحکم له فإنّما یأخذ سحتاً وإن کان حقّاً ثابتاً له، لأنّه أخذه بحکم الطاغوت وقد أمر اللَّه أن یکفر به،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یَتَحَاکَمُوا إِلَی الطَّاغُوتِ وَقَدْ أُمِرُوا أَنْ یَکْفُرُوا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یصنعان؟ 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ینظران من کان منکم ممّن قد روی حدیثنا ونظر فی حلالنا وحرامنا وعرف أحکامنا فلیرضوا به حکماً فإنّی قد جعلته علیکم حاکماً، فإذا حکم بحکمنا فلم یقبل منه فإنّما استخفّ بحکم اللَّه وعلینا ردّ، والرادّ علینا الرادّ علی اللَّه وهو علی حدّ</w:t>
      </w:r>
    </w:p>
    <w:p>
      <w:pPr>
        <w:pStyle w:val="BookText"/>
        <w:rPr/>
      </w:pPr>
      <w:r>
        <w:rPr>
          <w:rFonts w:ascii="Amiri" w:hAnsi="Amiri" w:eastAsia="Amiri" w:cs="Amiri"/>
          <w:color w:val="111111"/>
          <w:sz w:val="28"/>
          <w:sz w:val="28"/>
          <w:szCs w:val="28"/>
          <w:rtl w:val="true"/>
          <w:lang w:bidi="ar-SA"/>
        </w:rPr>
        <w:t>الشرک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کلّ واحد اختار رجلًا من أصحابنا فرضیا أن یکونا الناظرین فی حقّهما واختلفا فیما حکما وکلاهما اختلفا فی حدیثکم،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أعدلهما وأفقههما وأصدقهما فی الحدیث وأورعهما ولا یلتفت إلی ما یحکم به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عدلان مرضیّان عند أصحابنا لا یفضّل واحد منهما علی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ما کان من روایتهما عنّا فی ذلک الذی حکما به المجمع عیه عند أصحابک فیؤخذ به من حکمنا ویترک الشاذّ الذی لیس بمشهور عند أصحابک فإنّ المجمع علیه لا ریب فیه، وإنّما الامور ثلاثة أمر بیّن رشده فیتّبع وأمر بیّن غیّه فیجتنب وأمر مشکل یردّ علمه إلی اللَّه وإلی رسوله،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بیّن وحرام بیّن وشبهات بین ذلک فمن ترک الشبهات نجا من المحرّمات ومن أخذ بالشبهات ارتکب المحرّمات وهلک من حیث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الخبران عنکم مشهورین قد رواهما الثقات عنکم؟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فما وافق حکمه حکم الکتاب والسنّة وخالف العامّة فیؤخذ به ویترک ما خالف حکمه حکم الکتاب والسنّة ووافق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أرأیت إن کان الفقیهان عرفا حکمه من الکتاب والسنّة ووجدنا أحد الخبرین موافقاً للعامّة والآخر مخالفاً لهم بأی الخبرین یؤخذ؟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العامّة ففیه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فإن وافقها الخبران جمیعاً؟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ما هم إلیه أمیل حکّامهم وقضاتهم فیترک ویؤخذ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وافق حکّامهم الخبرین جمیعاً، قال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ذلک فارجه حتّی تلقی إمامک، فإنّ الوقوف عند الشبهات خیر من الاقتحام فی الهلکات</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هذه الروایة تأمر بالترجیح بالشهرة وبموافقة الکتاب ومخالفة العامّة ومخالفة ما هو موافق لمیل حکّامهم، ولکنّه اورد علیها سنداً ودلالة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السند فلوجود عمر بن حنظلة، حیث إنّه لم یوثّق فی کتب الرجال و ما قیل فی توثیقه مخدوش </w:t>
      </w:r>
      <w:r>
        <w:rPr>
          <w:rStyle w:val="FootnoteAnchor"/>
          <w:rtl w:val="true"/>
        </w:rPr>
        <w:footnoteReference w:id="224"/>
      </w:r>
      <w:r>
        <w:rPr>
          <w:rFonts w:ascii="IRNazanin" w:hAnsi="IRNazanin" w:eastAsia="IRNazanin"/>
          <w:color w:val="111111"/>
          <w:sz w:val="28"/>
          <w:sz w:val="28"/>
          <w:szCs w:val="28"/>
          <w:rtl w:val="true"/>
          <w:lang w:bidi="fa-IR"/>
        </w:rPr>
        <w:t>، والمهمّ فی المقام إنّما هو عمل الأصحاب بهذه الروایة فتلقّوها بالقبول حتّی سمّیت 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الدلالة فقد نوقش فیها من جهات 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ظاهرها تقدّم الترجیح بالصفات علی الترجیح بموافقة الکتاب مع أنّ المشهور خلافه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الاحتجاج بها علی وجوب الترجیح فی مقام الفتوی لا یخلو عن إشکال؛ لقوّة احتمال الترجیح بها بمورد الحکومة لرفع المنازعة وفصل الخصومة کما هو موردها، ولا وجه معه للتعدّی منه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بعد ذکر مرجّحات القاضیین ذکر مرجّحات الخبرین، ولکن الترجیح فی الخبرین إنّما یکون لدفع خصومة المتخاصمین فلا یمکن الاحتجاج بها لوجوب الترجیح فی مقام الفتوی أیضاً، وذلک لقوّة احتمال اختصاص الترجیح بتلک المزایا المنصوصة بمورد القضاء فقط، فإنّ قطع الخصومة عند اختلاف القاضیین لاختلاف ما استند إلیه من الخبرین لا یکاد یمکن إلّا بالترجیح، بخلاف مقام العمل والفتوی فیمکن الأخذ فیه بأیّهما شاء من باب التسلیم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إنّها مختصّة بزمان الحضور والتمکّن من لقاء الإمام علیه السلام بقرینة أمره فی آخرها بالإرجاء حتّی تلقی إمامک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صدرها معارض لذیلها؛ لأنّ الصدر ظاهر فی أنّ أرباب الدعوی کانوا</w:t>
      </w:r>
    </w:p>
    <w:p>
      <w:pPr>
        <w:pStyle w:val="BookText"/>
        <w:rPr/>
      </w:pPr>
      <w:r>
        <w:rPr>
          <w:rFonts w:ascii="IRNazanin" w:hAnsi="IRNazanin" w:eastAsia="IRNazanin"/>
          <w:color w:val="111111"/>
          <w:sz w:val="28"/>
          <w:sz w:val="28"/>
          <w:szCs w:val="28"/>
          <w:rtl w:val="true"/>
          <w:lang w:bidi="fa-IR"/>
        </w:rPr>
        <w:t>مقلّدین والذیل ظاهر فی اجتهادهم بقرینة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النظر والدقّة من عمل المجتهد لا المقلِّد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وحلّ هذه المناقشات والجواب عنها یتوقّف علی بیان أنّ هذه الروایة هل هی واردة فی باب القضاء أو فی باب الفتوی أو تعارض الخبرین؟</w:t>
      </w:r>
    </w:p>
    <w:p>
      <w:pPr>
        <w:pStyle w:val="BookText"/>
        <w:rPr/>
      </w:pPr>
      <w:r>
        <w:rPr>
          <w:rFonts w:ascii="IRNazanin" w:hAnsi="IRNazanin" w:eastAsia="IRNazanin"/>
          <w:color w:val="111111"/>
          <w:sz w:val="28"/>
          <w:sz w:val="28"/>
          <w:szCs w:val="28"/>
          <w:rtl w:val="true"/>
          <w:lang w:bidi="fa-IR"/>
        </w:rPr>
        <w:t>والحقّ أنّ صدرها ظاهر فی وروده فی باب القضاء ووسطها فی باب الاجتهاد والتقلید وذیلها فی باب تعارض الخبرین، والشاهد علی أنّ صدرها مخصوص بباب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المنازعة فی دَین أو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 بین 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الشواهد، إذا عرفت هذا فلنرجع إلی الجواب عن الإشکالات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الرجوع إلی الصفات إنّما هو لتقدیم حاکم علی حاکم أو مفتٍ علی مفتٍ لا تقدیم إحدی الروایتین علی الاخری، ولذا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ما حکم به أعدلهما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ینظر إلی ما کان من روایتهما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مزیّة للحاکم أو المفتی، والثانی مزیّة للروایة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الوارد فی باب الحکومة وفصل الخصومة إنّما هو صدر الروایة لا ذیلها، فإنّه وارد فی باب تعارض الخبرین فی مقام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فجوابه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قاعدة الاشتراک فی التکلیف عدم الفرق بین زمان الحضور والغیبة ما لم تقم قرینة علی الخلاف،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الحکم فی زمن الحضور مع إمکان لقاء الإمام علیه السلام هکذا، ففی زمن الغیبة وعدم إمکان اللقاء فبطریق أولی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فجوابه أنّه فرق بین الاجتهاد فی عصر الحضور والاجتهاد فی أعصارنا، فإنّ قواعد الفقه والاصول وفروعاتهما فی أعصارنا متشعّبة معقّدة علی خلاف تلک الأعصار، فإنّها کانت بسیطة جدّاً یمکن الوصول إلیها لکثیر من آحاد الناس، ولا مانع من صیرورة المقلّد بعد الاطلاع علیها إجمالًا مجتهداً ولو فی بعض المسائل بصورة التجزّی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زرارة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رواها ابن أبی جمهور الأحسائی عن العلّامة رحمه الله مرفوعاً إلی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جعفر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یأتی عنکم الخبران أو الحدیثان المتعارضان فبأیّهما آخذ؟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یازرارة خذ بما اشتهر بین أصحابک ودع الشاذّ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یاسیّدی إنّهما معاً مشهوران مرویّان مأثوران عنکم،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یقول أعدلهما عندک وأوثقهما فی نفسک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عدلان مرضیّان موثّقان،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إلی ما وافق منهما مذهب العامّة فاترکه وخذ بما خالفهم فإنّ الحقّ فیما خالفهم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کانا معاً موافقین لها أو مخالفین فکیف أصنع؟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فخذ بما فیه الحائطة لدینک واترک ما خالف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معاً موافقان للاحتیاط أو مخالفان له فکیف أصنع؟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فتخیّر أحدهما فتأخذ به ودع الآخر</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والخبر لایمکن الاعتماد علیه من جهة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 الشیخ الأعظم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وإن کانت ضعیفة السند، إلّاأنّها موافقة لسیرة العلماء فی باب الترجیح، فإنّ طریقتهم مستمرّة علی تقدیم المشهور علی الشاذّ، والمقبولة وإن کانت مشهورة بین العلماء حتّی سمّیت مقبولة إلّاأنّ عملهم علی طبق المرفوعة وإن کانت شاذّة من حیث الروایة</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أورد علیها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بالمرفوعة یقتضی عدم العمل بها حیث إنّها معارضة مع المقبولة فی تقدیم الشهرة علی الصفات وتأمر بالأخذ بالمشهور من</w:t>
      </w:r>
    </w:p>
    <w:p>
      <w:pPr>
        <w:pStyle w:val="BookText"/>
        <w:rPr/>
      </w:pPr>
      <w:r>
        <w:rPr>
          <w:rFonts w:ascii="IRNazanin" w:hAnsi="IRNazanin" w:eastAsia="IRNazanin"/>
          <w:color w:val="111111"/>
          <w:sz w:val="28"/>
          <w:sz w:val="28"/>
          <w:szCs w:val="28"/>
          <w:rtl w:val="true"/>
          <w:lang w:bidi="fa-IR"/>
        </w:rPr>
        <w:t>الروایتین المتعارضتین، ولا إشکال فی أنّ المشهور هی المقبولة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متوقّف علی وجود التعارض بینهما مع أنّه لیس کذلک، لأنّ صدر المقبولة وارد فی باب القضاء والفتوی لا الخبرین المتعارضین کما مرّ، وإنّما المتعلّق منها بباب تعارض الخبرین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ینظر إلی ما کان من روایتهما المجمع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أوّل المرجّحات حینئذٍ الشهرة کما فی المرفوعة، فهما متوافقان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إشکال ضعف السند علی حاله؛ لأنّ استناد عمل الأصحاب بها غیر معلوم فلعلّ مدرکهم هو المقبولة بناءً علی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المرجّحات الواردة فی کلّ واحدة من هاتین الروایتین أربعة، أمّا ما ورد فی المقبولة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وموافقة الکتاب، ومخالفة العامّة، ومخالفة ما هو أمیل إلیه حکّامهم وقضاتهم، وما ورد فی المرفوعة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وصفات الراوی، ومخالفة العامّة، والموافقة مع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قال فی أوّل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یاأخی أنّه لا یسع أحد تمییز شی‌ء ممّا اختلفت الروایة فیه عن العلماء برأیه إلّاما أطلقه العالم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أعرضوهما علی کتاب اللَّه عزّوجلّ فما وافق کتاب اللَّه عزّوجلّ فخذوه وما خالف کتاب اللَّه فردّوه، وقوله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 ما وافق القوم فإنّ الرشد فی خلافهم، 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بالمجمع علیه فإنّ المجمع علیه لا ریب فیه</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والمرجّحات الواردة فیها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کتاب اللَّه، ومخالفة العامّة، والشهرة، ولکن المظنون بالظنّ القوی أنّها لیست إلّاضمّ الروایات بعضها ببعض فلیست روایة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الترجیح بموافقة الکتاب ومخالفة العامّة</w:t>
      </w:r>
    </w:p>
    <w:p>
      <w:pPr>
        <w:pStyle w:val="BookText"/>
        <w:rPr/>
      </w:pPr>
      <w:r>
        <w:rPr>
          <w:rFonts w:ascii="IRNazanin" w:hAnsi="IRNazanin" w:eastAsia="IRNazanin"/>
          <w:color w:val="111111"/>
          <w:sz w:val="28"/>
          <w:sz w:val="28"/>
          <w:szCs w:val="28"/>
          <w:rtl w:val="true"/>
          <w:lang w:bidi="fa-IR"/>
        </w:rPr>
        <w:t>وهی روایة واحدة رواها عبدالرحمن بن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علیکم حدیثان مختلفان فأعرضوهما علی کتاب اللَّه فما وافق کتاب اللَّه فخذوه، وما خالف کتاب اللَّه فردّوه، فإن لم تجدوهما فی کتاب اللَّه فأعرضوهما علی أخبار العامّة، فما وافق أخبارهم فذروه وما خالف أخبارهم فخذوه</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الترجیح بموافقة الکتاب والسنّة القطعیّة</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أحمد بن الحسن المیثمی أنّه سأل الرضا علیه السلام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یرد عنکم الحدیث فی‌الشی‌ء عن رسول‌اللَّه صلی الله علیه و آله ممّا لیس فی‌الکتاب وهو فی السنّة ثمّ یرد خلافه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فقد نهی رسول‌اللَّه صلی الله علیه و آله عن‌أشیاء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ورد علیکم من خبرین مختلفین فأعرضوهما علی کتاب اللَّه فما کان فی کتاب اللَّه موجوداً حلالًا أو حراماً فاتّبعوا ما وافق الکتاب، وما لم یکن فی الکتاب فأعرضوه علی سنن رسول‌اللَّه صلی الله علیه و آله </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 المراد من السنّة فیها هو السنّة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الحسن بن الجهم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تجیئنا الأحادیث عنکم مختلفة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جاءک عنّا فقس علی کتاب اللَّه عزّوجلّ وأحادیثنا فإن کان یشبهها فهو منّا وإن لم یکن یشبهها فلیس منّا</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فالأحادیث القطعیّة عنهم بمنزلة السنّة النبویة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الحسن بن الجهم عن العبد الصالح علیه السلام قال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 الحدیثان المختلفان فقسهما علی کتاب اللَّه وأحادیثنا فإن أشبهها فهو حقّ وإن لم یشبهها فهو باطل</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الترجیح بمخالفة العامّة فقط</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الحسین بن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علیکم حدیثان مختلفان فخذوا بما خالف القوم</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للعبد الصالح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یسعنا فیما ورد علینا منکم إلّاالتسلیم لکم؟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لا یسعکم إلّاالتسلیم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فیروی عن أبی عبداللَّه علیه السلام شی‌ء ویروی عنه خلافه فبأیّهما نأخذ؟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خالف القوم، وما وافق القوم فاجتنبه</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نصنع بالخبرین المختلفین؟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علیکم خبران مختلفان فانظروا إلی ما یخالف منهما العامّة فخذوه وانظروا إلی ما یوافق أخبارهم فدعوه</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سماعة بن مهران، عن أبی عبداللَّه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علینا حدیثان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یأمرنا بالأخذ به، والآخر ینهانا عنه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تعمل بواحد منهما حتّی تلقی صاحبک فتسأله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نعمل بواحد منهما،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فیه خلاف العامّة</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الترجیح بالموافقة مع الشهرة فقط</w:t>
      </w:r>
    </w:p>
    <w:p>
      <w:pPr>
        <w:pStyle w:val="BookText"/>
        <w:rPr/>
      </w:pPr>
      <w:r>
        <w:rPr>
          <w:rFonts w:ascii="IRNazanin" w:hAnsi="IRNazanin" w:eastAsia="IRNazanin"/>
          <w:color w:val="111111"/>
          <w:sz w:val="28"/>
          <w:sz w:val="28"/>
          <w:szCs w:val="28"/>
          <w:rtl w:val="true"/>
          <w:lang w:bidi="fa-IR"/>
        </w:rPr>
        <w:t>وهی روایة واحدة رواها فی الاحتجاج مرسلًا،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عنهم علیهم السلام أنّهم 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 أحادیثنا علیکم فخذوا بما اجتمعت علیه شیعتنا فإنّه لا ریب فیه</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یبعد أن تکون مأخوذة من مقبولة عمر بن حنظلة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ترجیح الأحدث</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الحسین بن المختار، عن بعض أصحابنا، عن أبی عبداللَّه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أرأیتک لو حدّثتک بحدیث العامّ، ثمّ جئتنی من قابل فحدّثتک بخلافه بأیّهما کنت تأخذ؟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آخذ بالأخیر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رحمک اللَّه</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المعلّی بن خنیس، قال 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حدیث عن أوّلکم وحدیث عن آخرکم بأیّهما نأخذ؟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به حتّی یبلغکم عن الحیّ فإن بلغکم عن الحیّ فخذوا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واللَّه لا ندخلکم إلّا فیما یسعکم</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عمرو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یاأبا عمرو أرأیت لو حدّثتک بحدیث أو أفتیتک بفتیا ثمّ جئتنی بعد ذلک فسألتنی عنه فأخبرتک بخلاف ما کنت أخبرتک أو أفتیتک بخلاف ذلک بأیّهما کنت تأخذ؟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بأحدثهما وأدع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أصبت یاأبا عمرو، أبی اللَّه إلّاأن یعبد سرّاً، أما واللَّه لئن فعلتم ذلک إنّه لخیر لی ولکم أبی اللَّه عزّوجلّ لنا فی دینه إلّاالتقیّة</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أنّ مورد هذه الروایة هو التقیّة، ولا إشکال فی أنّ المعتبر فی هذا المقام إنّما هو آخر ما یصدر من صاحب التقیّة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التقیّة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تقیّة القائل، وهی ما إذا کان الإمام علیه السلام فی شرائط خاصّة تقتضی بیان الحکم علی خلاف الواقع، وتقیّة السائل وهی ما إذا کان للسائل ظروف وشرائط خاصّة کذلک، فإنّ الإمام علیه السلام ینظر إلی حاجة السائلین فی الظروف المختلفة من لزوم التقیّة أو رفضها، ومن الواضح أنّ المیزان فی تعیین الحکم والوظیفة العملیّة إنّما هو ما مرّ علیه فی‌الحال من‌الشرائط الجدیدة، ولازمه لزوم الأخذ بأحدث الخبرین</w:t>
      </w:r>
      <w:r>
        <w:rPr>
          <w:rFonts w:eastAsia="IRNazanin" w:cs="IRNazanin"/>
          <w:color w:val="111111"/>
          <w:sz w:val="28"/>
          <w:szCs w:val="28"/>
          <w:rtl w:val="true"/>
          <w:lang w:bidi="fa-IR"/>
        </w:rPr>
        <w:t>.</w:t>
      </w:r>
      <w:bookmarkStart w:id="252" w:name="pg16918_187373"/>
    </w:p>
    <w:p>
      <w:pPr>
        <w:pStyle w:val="Heading6"/>
        <w:numPr>
          <w:ilvl w:val="5"/>
          <w:numId w:val="1"/>
        </w:numPr>
        <w:rPr/>
      </w:pPr>
      <w:bookmarkStart w:id="253" w:name="__RefHeading___Toc96110_3244359995"/>
      <w:bookmarkStart w:id="254" w:name="_Toc95"/>
      <w:bookmarkEnd w:id="252"/>
      <w:bookmarkEnd w:id="253"/>
      <w:r>
        <w:rPr>
          <w:rtl w:val="true"/>
        </w:rPr>
        <w:t>نتیجة الجمع بین روایات الترجیح</w:t>
      </w:r>
      <w:bookmarkEnd w:id="254"/>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الأخبار معارضة مع أخبار التخییر الّتی مرّ تفصیلها فی المقام الأوّل، فلا یمکن الأخذ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المطلق علی المقیّد، حیث إنّ تلک الروایات مطلقة تعمّ موارد وجود المرجّحات وعدمها فتقیّد بهذه الروایات وتحمل علی موارد تساوی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قد یورد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نفس هذه الطوائف تعارض بعضها مع بعض، فإنّ بعضها یدلّ علی ثلاث مرجّحات أو أربعة، وبعضها علی اثنین، وبعضها الآخر علی أنّها واحدة، والّتی تدلّ علی مرجّح واحد أیضاً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الإشکال أیضاً یندفع بحمل المطلق منها علی المقیّد، فإنّ ما تدلّ علی مرجّح واحد مثلًا تکون مطلقة بالنسبة إلی ما یدلّ علی تعدّدها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إیراد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وجود الاختلاف فی ترتیب المرجّحات فی هذه الأخبار، ولعلّه شاهد علی الحمل علی مراتب الاستحباب والفضل، کما أفتی به جمع من الأصحاب بالنسبة إلی الروایات المختلفة الواردة فی باب منزوحات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أیضاً یرتفع بعد التأمّل فی الأخبار والنسبة الموجودة بینها، فإنّ المهمّ من الطائفة الاولی إنّما هی المقبولة، والمرجّحات الواردة فیها عبارة عن الشهرة وموافقة الکتاب ومخالفة العامّة، ولا إشکال فی أنّ الطائفة الثانیة وهی ما تدلّ علی اثنین من هذه الثلاثة مطلقة بالنسبة إلی المرجّح الأوّل منها، وهکذا کلّ من الطوائف الدالّة علی مرجّح واحد من الثلاثة، مطلقة بالنسبة إلی مرجّحین آخرین فیجمع بینها بالتقیید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 جمیع ذلک أنّ العمدة فی المرجّحات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وموافقة الکتاب ومخالفة العامّة</w:t>
      </w:r>
      <w:r>
        <w:rPr>
          <w:rFonts w:eastAsia="IRNazanin" w:cs="IRNazanin"/>
          <w:color w:val="111111"/>
          <w:sz w:val="28"/>
          <w:szCs w:val="28"/>
          <w:rtl w:val="true"/>
          <w:lang w:bidi="fa-IR"/>
        </w:rPr>
        <w:t>.</w:t>
      </w:r>
      <w:bookmarkStart w:id="255" w:name="pg16918_187374"/>
    </w:p>
    <w:p>
      <w:pPr>
        <w:pStyle w:val="Heading6"/>
        <w:numPr>
          <w:ilvl w:val="5"/>
          <w:numId w:val="1"/>
        </w:numPr>
        <w:rPr/>
      </w:pPr>
      <w:bookmarkStart w:id="256" w:name="__RefHeading___Toc96112_3244359995"/>
      <w:bookmarkStart w:id="257" w:name="_Toc96"/>
      <w:bookmarkEnd w:id="255"/>
      <w:bookmarkEnd w:id="256"/>
      <w:r>
        <w:rPr>
          <w:rtl w:val="true"/>
        </w:rPr>
        <w:t>بقی هنا امور</w:t>
      </w:r>
      <w:r>
        <w:rPr>
          <w:rtl w:val="true"/>
        </w:rPr>
        <w:t>:</w:t>
      </w:r>
      <w:bookmarkEnd w:id="257"/>
    </w:p>
    <w:p>
      <w:pPr>
        <w:pStyle w:val="Heading6"/>
        <w:numPr>
          <w:ilvl w:val="5"/>
          <w:numId w:val="1"/>
        </w:numPr>
        <w:rPr/>
      </w:pPr>
      <w:bookmarkStart w:id="258" w:name="__RefHeading___Toc96114_3244359995"/>
      <w:bookmarkStart w:id="259" w:name="_Toc97"/>
      <w:bookmarkEnd w:id="258"/>
      <w:r>
        <w:rPr/>
        <w:t>1</w:t>
      </w:r>
      <w:r>
        <w:rPr>
          <w:rtl w:val="true"/>
        </w:rPr>
        <w:t xml:space="preserve">. </w:t>
      </w:r>
      <w:r>
        <w:rPr>
          <w:rtl w:val="true"/>
        </w:rPr>
        <w:t>لزوم الاقتصار علی المرجّحات المنصوصة وعدمه</w:t>
      </w:r>
      <w:bookmarkEnd w:id="259"/>
    </w:p>
    <w:p>
      <w:pPr>
        <w:pStyle w:val="BookText"/>
        <w:rPr/>
      </w:pPr>
      <w:r>
        <w:rPr>
          <w:rFonts w:ascii="IRNazanin" w:hAnsi="IRNazanin" w:eastAsia="IRNazanin"/>
          <w:color w:val="111111"/>
          <w:sz w:val="28"/>
          <w:sz w:val="28"/>
          <w:szCs w:val="28"/>
          <w:rtl w:val="true"/>
          <w:lang w:bidi="fa-IR"/>
        </w:rPr>
        <w:t>هل یجب الاقتصار علی المرجّحات المنصوصة وهی الشهرة وموافقة الکتاب ومخالفة العامّة، أو یتعدّی منها إلی غیرها کموافقة الأصل أو موافقة الإجماع المنقول؟ فیه قولان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التعدّی وهو ما ذهب إلیه الشیخ الأعظم رحمه الله وحکی الإجماع علیه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جواز التعدّی وهو ما ذهب إلیه المحقّق الخراسانی رحمه الله، وتبعه الآخرون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 هو الثانی لأنّه هو مقتضی إطلاقات التخییر، حیث إنّها تقتضی التخییر فی کلّ حال إلّاما خرج بالدلیل، وما خرج بالدلیل إنّما هو ذو المزیّة بالمزایا المنصوصة فقط؛ فإنّه لو وجب التعدّی عن المرجّحات المنصوصة إلی کلّ مزیة توجب أقربیة ذیها إلی الواقع لبیّن الإمام علیه السلام من الأوّل بنحو الضابطة الکلّیة أنّه یجب الأخذ بالأقرب من الخبرین إلی الواقع من دون حاجة إلی ذکر تلک المرجّحات المخصوصة واحداً بعد واحد کی یحتاج السائل إلی إعادة السؤال مرّة بعد مرّة، اللهمّ إلّاأن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باب ذکر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خلاف ظاهر تلک الأخبار، مضافاً إلی أنّه لو وجب التعدّی لما صحّ أن یأمر الإمام علیه السلام بعد ما فرض السائل تساوی الطرفین فی جمیع ما ذکر من المرجّحات المنصوصة بالإرجاء حتّی تلقی إمامک، بل کان یأمره بالترجیح بسائر المرجّحات الموجبة لأقربیة أحدهما إلی الواقع</w:t>
      </w:r>
      <w:r>
        <w:rPr>
          <w:rFonts w:eastAsia="IRNazanin" w:cs="IRNazanin"/>
          <w:color w:val="111111"/>
          <w:sz w:val="28"/>
          <w:szCs w:val="28"/>
          <w:rtl w:val="true"/>
          <w:lang w:bidi="fa-IR"/>
        </w:rPr>
        <w:t>.</w:t>
      </w:r>
    </w:p>
    <w:p>
      <w:pPr>
        <w:pStyle w:val="Heading6"/>
        <w:numPr>
          <w:ilvl w:val="5"/>
          <w:numId w:val="1"/>
        </w:numPr>
        <w:rPr/>
      </w:pPr>
      <w:bookmarkStart w:id="260" w:name="__RefHeading___Toc96116_3244359995"/>
      <w:bookmarkStart w:id="261" w:name="_Toc98"/>
      <w:bookmarkEnd w:id="260"/>
      <w:r>
        <w:rPr/>
        <w:t>2</w:t>
      </w:r>
      <w:r>
        <w:rPr>
          <w:rtl w:val="true"/>
        </w:rPr>
        <w:t xml:space="preserve">. </w:t>
      </w:r>
      <w:r>
        <w:rPr>
          <w:rtl w:val="true"/>
        </w:rPr>
        <w:t>أقسام الشهرة وکیفیة الترجیح بها</w:t>
      </w:r>
      <w:bookmarkEnd w:id="26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الشهرة علی ثلاثة أقسام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الشهرة الروائیّة وهی عبارة عن اشتهار الروایة بین الرواة والمحدّثین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الشهرة الفتوائیّة وهی فتوی المشهور، سواء کان فی البین روایة أو 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الشهرة العملیّة وهی عبارة عن نفس السیرة العملیّة للمتشرّعة وأصحاب الأئمّة علیهم السلام علی وفق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إشکال فی أنّ النسبة بین الأوّل والثانی هی العموم من وجه، فقد تتحقّق الشهرة الروائیّة بالنسبة إلی خبر وتکون فتوی الأصحاب أیضاً علی طبقه، وقد تتحقّق الشهرة الروائیّة من دون الفتوی علی طبقها، وقد تکون القضیّة بالعکس، أی تکون الفتوی مطابقة لروایة مع عدم شهرتها روائیّة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إشکال فی أنّ النسبة بین الأوّل والثالث أیضاً العموم من وجه، فقد تکون روایة مشهورة بین الرواة، ومعمولًا بها عند الأصحاب، وقد تکون الروایة مشهورة من دون العمل علی طبقها، وقد یکون العمل مطابقاً لروایة من دون شهرتها بین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النسبة بین الثانی والثالث هی العموم المطلق، فإنّ فتوی الأصحاب بشی‌ء یلازم عملهم علی طبقه، بینما قد یکون عمل المتشرّعة علی روایة من دون فتوی الأصحاب بها فی کتبهم الفتوائیّة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کون القسم الأوّل من الشهرة من المرجّحات؛ لأنّ الظاهر من قوله علیه السلام فی المقبولة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ما کان من روایتهما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الشهرة الروائیّة، نعم أنّه مشروط بعدم إحراز العمل علی خلافها، لأنّ المقبولة هی فی مقام بیان قرائن صدق الروایة ومرجّحات صدورها، والمقام هذا بنفسه قرینة عقلیة موجبة لعدم انعقاد إطلاق للمقبولة بالنسبة إلی ما إذا کان العمل مخالفاً للروایة وانصرافها إلی غیره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ظاهر المرفوعة،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یاسیّدی إنّهما معاً مشهوران مأثوران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فی ظهوره فی الشهرة الروائیّة</w:t>
      </w:r>
      <w:r>
        <w:rPr>
          <w:rFonts w:eastAsia="IRNazanin" w:cs="IRNazanin"/>
          <w:color w:val="111111"/>
          <w:sz w:val="28"/>
          <w:szCs w:val="28"/>
          <w:rtl w:val="true"/>
          <w:lang w:bidi="fa-IR"/>
        </w:rPr>
        <w:t>.</w:t>
      </w:r>
      <w:bookmarkStart w:id="262" w:name="pg16918_187376"/>
    </w:p>
    <w:p>
      <w:pPr>
        <w:pStyle w:val="BookText"/>
        <w:rPr/>
      </w:pPr>
      <w:bookmarkEnd w:id="262"/>
      <w:r>
        <w:rPr>
          <w:rFonts w:ascii="IRNazanin" w:hAnsi="IRNazanin" w:eastAsia="IRNazanin"/>
          <w:color w:val="111111"/>
          <w:sz w:val="28"/>
          <w:sz w:val="28"/>
          <w:szCs w:val="28"/>
          <w:rtl w:val="true"/>
          <w:lang w:bidi="fa-IR"/>
        </w:rPr>
        <w:t xml:space="preserve">وأمّا الشهرة الفتوائیّة والعملیّة فلا إشکال فی عدم شمول المقبولة والمرفوعة لهما بإطلاقهما، ولکن لا یبعد إلغاء الخصوصیة عن الشهرة الروائیّة بالنسبة إلیهما أو تنقیح المناط خصوصاً بعد ملاحظة التعلیل الوارد فی المقبولة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تعلیل باعتبار عقلی یوجد فی الفتوائیّة والعملیّة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کانت الشهرة الفتوائیّة بین القدماء لا المتأخّرین؛ حیث لا شکّ فی أنّ الشهرة الفتوائیّة بین المتأخّرین لا تکون سبباً للترجیح سواء کانت فتواهم علی طبق القاعدة أو لم تکن، وذلک لأنّ مبانی فتاویهم ومصادرها موجودة بأیدینا فلا تزیدنا الشهرة شیئاً، بخلاف الشهرة بین القدماء، فإنّهم کانوا حدیث العهد بعصر الأئمّة المعصومین علیهم السلام وقد وصل إلیهم ما لم یصل إلینا</w:t>
      </w:r>
      <w:r>
        <w:rPr>
          <w:rFonts w:eastAsia="IRNazanin" w:cs="IRNazanin"/>
          <w:color w:val="111111"/>
          <w:sz w:val="28"/>
          <w:szCs w:val="28"/>
          <w:rtl w:val="true"/>
          <w:lang w:bidi="fa-IR"/>
        </w:rPr>
        <w:t>.</w:t>
      </w:r>
    </w:p>
    <w:p>
      <w:pPr>
        <w:pStyle w:val="Heading6"/>
        <w:numPr>
          <w:ilvl w:val="5"/>
          <w:numId w:val="1"/>
        </w:numPr>
        <w:rPr/>
      </w:pPr>
      <w:bookmarkStart w:id="263" w:name="__RefHeading___Toc96118_3244359995"/>
      <w:bookmarkStart w:id="264" w:name="_Toc99"/>
      <w:bookmarkEnd w:id="263"/>
      <w:r>
        <w:rPr/>
        <w:t>3</w:t>
      </w:r>
      <w:r>
        <w:rPr>
          <w:rtl w:val="true"/>
        </w:rPr>
        <w:t xml:space="preserve">. </w:t>
      </w:r>
      <w:r>
        <w:rPr>
          <w:rtl w:val="true"/>
        </w:rPr>
        <w:t>لماذا تکون مخالفة العامّة من المرجّحات؟</w:t>
      </w:r>
      <w:bookmarkEnd w:id="264"/>
    </w:p>
    <w:p>
      <w:pPr>
        <w:pStyle w:val="BookText"/>
        <w:rPr/>
      </w:pPr>
      <w:r>
        <w:rPr>
          <w:rFonts w:ascii="IRNazanin" w:hAnsi="IRNazanin" w:eastAsia="IRNazanin"/>
          <w:color w:val="111111"/>
          <w:sz w:val="28"/>
          <w:sz w:val="28"/>
          <w:szCs w:val="28"/>
          <w:rtl w:val="true"/>
          <w:lang w:bidi="fa-IR"/>
        </w:rPr>
        <w:t>الاحتمالات فیه أربعة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الترجیح بها لمجرّد التعبّد من الشرع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الرشد فی نفس المخالفة لهم لحسنها ورجحانها فیکون للمخالفة موضوعیّة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لها طریقیّة إلی ما هو الأقرب إلی الواقع فالترجیح بالمخالفة لهم من باب أنّ الخبر المخالف أقرب إلی الواقع؛ لأنّ الرشد والحقّ غالباً یکون فیما خالفهم والغیّ والباطل فیما وافقهم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لها طریقیّة إلی احتمال وجود التقیّة، فیکون الترجیح بها لأجل انفتاح باب التقیّة فیما وافقهم وانسداده فیما خالفهم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الوجه الأوّل خلاف ظاهر التعلیل الوارد فیها، فإنّ ظاهره أنّه لیس أمراً تعبّدیاً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الوجه الثانی بعید جدّاً؛ لکونه مخالفاً لظاهر التعلیل الوارد فیها أیضاً، فإنّ</w:t>
      </w:r>
    </w:p>
    <w:p>
      <w:pPr>
        <w:pStyle w:val="BookText"/>
        <w:rPr/>
      </w:pPr>
      <w:r>
        <w:rPr>
          <w:rFonts w:ascii="IRNazanin" w:hAnsi="IRNazanin" w:eastAsia="IRNazanin"/>
          <w:color w:val="111111"/>
          <w:sz w:val="28"/>
          <w:sz w:val="28"/>
          <w:szCs w:val="28"/>
          <w:rtl w:val="true"/>
          <w:lang w:bidi="fa-IR"/>
        </w:rPr>
        <w:t>الرشد بمعنی الوصول إلی الحقّ وسلوک طریق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خلاف ما ورد فی روایات کثیرة من الأمر بالحضور فی تشییع جنائزهم وعیادة مرضاهم والحضور فی جماعاتهم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الثالث فیمکن أن یستشهد له بما رواه أبو إسحاق الأرجانی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أتدری لِمَ امرتم بالأخذ بخلاف ما تقول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لم یکن یدین اللَّه بدین إلّاخالف علیه الامّة إلی غیره إرادة لإبطال أمره، وکانوا یسألون أمیر المؤمنین علیه السلام عن الشی‌ء الذی لا یعلمونه فإذا أفتاهم جعلوا له ضدّاً من عندهم لیلتبسوا علی الناس</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ظاهرها أنّ هناک تعمّد فی المخالفة لآراء أهل البیت علیهم السلام ولازمه أنّ الغلبة فی مخالفتهم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یناقش فیها بضعف السند وبأنّها مخالفة لما ثبت فی کتبهم التاریخیّة والفقهیّة من استنادهم إلی قول علی علیه السلام کثیراً، مضافاً إلی ما نشاهد بأعیننا من موافقة کثیر من أحکام مذهب أهل البیت لأحکامهم فی أبواب مختلفة من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فیبقی الوجه الرابع، ویشهد له روایة عبید بن زرارة، عن أبی عبداللَّه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سمعته منّی یشبه قول الناس فیه التقیّة، وما سمعت منّی لا یشبه قول الناس فلا تقیّة فیه</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وقوله علیه السلام فی المقبولة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العامّة ففیه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ظاهراً فی الطریقیة إجمالًا الدائر أمرها بین الوجه الثالث والرابع، إلّا أنّه بتناسب الحکم والموضوع یتعیّن الوجه الرابع، ولازمه اختصاص مرجّحیة مخالفة العامّة بموارد احتمال التقیّة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الخبران المتعارضان واردین فی عصر لا یحتمل فیه التقیّة کعصر الإمام الرضا علیه السلام یشکل ترجیح المخالف علی الموافق، بل لابدّ من‌الرجوع إلی سائر المرجّحات</w:t>
      </w:r>
      <w:r>
        <w:rPr>
          <w:rFonts w:eastAsia="IRNazanin" w:cs="IRNazanin"/>
          <w:color w:val="111111"/>
          <w:sz w:val="28"/>
          <w:szCs w:val="28"/>
          <w:rtl w:val="true"/>
          <w:lang w:bidi="fa-IR"/>
        </w:rPr>
        <w:t>.</w:t>
      </w:r>
      <w:bookmarkStart w:id="265" w:name="pg16918_187378"/>
    </w:p>
    <w:p>
      <w:pPr>
        <w:pStyle w:val="Heading6"/>
        <w:numPr>
          <w:ilvl w:val="5"/>
          <w:numId w:val="1"/>
        </w:numPr>
        <w:rPr/>
      </w:pPr>
      <w:bookmarkStart w:id="266" w:name="__RefHeading___Toc96120_3244359995"/>
      <w:bookmarkStart w:id="267" w:name="_Toc100"/>
      <w:bookmarkEnd w:id="265"/>
      <w:bookmarkEnd w:id="266"/>
      <w:r>
        <w:rPr>
          <w:rtl w:val="true"/>
        </w:rPr>
        <w:t>الجهة الثالثة</w:t>
      </w:r>
      <w:r>
        <w:rPr>
          <w:rtl w:val="true"/>
        </w:rPr>
        <w:t xml:space="preserve">: </w:t>
      </w:r>
      <w:r>
        <w:rPr>
          <w:rtl w:val="true"/>
        </w:rPr>
        <w:t>فی ترتیب المرجّحات</w:t>
      </w:r>
      <w:bookmarkEnd w:id="267"/>
    </w:p>
    <w:p>
      <w:pPr>
        <w:pStyle w:val="BookText"/>
        <w:rPr/>
      </w:pPr>
      <w:r>
        <w:rPr>
          <w:rFonts w:ascii="IRNazanin" w:hAnsi="IRNazanin" w:eastAsia="IRNazanin"/>
          <w:color w:val="111111"/>
          <w:sz w:val="28"/>
          <w:sz w:val="28"/>
          <w:szCs w:val="28"/>
          <w:rtl w:val="true"/>
          <w:lang w:bidi="fa-IR"/>
        </w:rPr>
        <w:t>ذهب شیخنا الأعظم رحمه الله إلی لزوم مراعاة الترتیب بین المرجّحات، فإنّها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المرجّحات السندیة وهی ما ترجع إلی أصل الصدور کالشهرة وأعدلیة الراوی أو أوثقیته، والمرجّحات الجهتیّة وهی ما ترجع إلی جهة الصدور، أی التقیّة وعدمها، کمخالفة العامّة، والمرجّحات المضمونیّة، وهی ما ترجع إلی المضمون کموافقة الکتاب، فقال رحمه الله بتقدیم الأوّل علی الثانی والثالث، لأنّ جهة الصدور متفرّعة علی أصل الصدور، فإذا کان الخبران المتعارضان مقطوعی الصدور کما فی المتواترین أو بحکم مقطوعی الصدور فتصل النوبة إلی المرجّح الجهتی، وأمّا إذا کانا متفاضلین من حیث الصدور فیجب التعبّد حینئذٍ بالراجح صدوراً، ولا تکاد تصل النوبة إلی المرجوح صدوراً کی یلاحظ رجحانه جهة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المرجّحات الجهتیّة أو المضمونیّة وإن کانت متأخّرة عن المرجّحات الصدوریّة بحسب الوجود الخارجی؛ لأنّ جهة الصدور أو المضمون فرع لأصل الصدور، إلّاأنّه لا دخل له فیما هو المهمّ فی المقام، فإنّ محلّ البحث فی ما نحن فیه هو الحجّیة بمعنی ترتیب الأثر العملی، ولا ریب فی أنّ کلًاّ من الجهات الثلاثة شرط فی الحجّیة والعمل، ومن أجزاء العلّة التامّة له فی عرض واحد، ولا تقدّم لأحدها علی غیره من هذه الجهة، أی من ناحیة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عدم اعتبار الترتیب بین المرجّحات، فلابدّ من الرجوع إلی أقوی الدلیلین وأظهرهما، وهو مختلف بحسب اختلاف المقامات، ولو لم یکن أحدهما أقوی أو أظهر سقطت المرجّحات فتصل النوبة إلی التخییر، هذا کلّه بحسب القواعد الأولیّة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بحسب الأدلّة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فالمهمّ منها هو مقبولة عمر بن حنظلة کما عرفت، والمذکور فیها ثلاث 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وموافقة الکتاب والسنّة، ومخالفة العامّة وما یلحق بها من مخالفة میل حکّامهم، وظاهرها هو لزوم الترتیب بین المرجّحات الثلاثة</w:t>
      </w:r>
      <w:r>
        <w:rPr>
          <w:rFonts w:eastAsia="IRNazanin" w:cs="IRNazanin"/>
          <w:color w:val="111111"/>
          <w:sz w:val="28"/>
          <w:szCs w:val="28"/>
          <w:rtl w:val="true"/>
          <w:lang w:bidi="fa-IR"/>
        </w:rPr>
        <w:t>.</w:t>
      </w:r>
      <w:bookmarkStart w:id="268" w:name="pg16918_187379"/>
    </w:p>
    <w:p>
      <w:pPr>
        <w:pStyle w:val="BookText"/>
        <w:rPr/>
      </w:pPr>
      <w:bookmarkEnd w:id="268"/>
      <w:r>
        <w:rPr>
          <w:rFonts w:ascii="IRNazanin" w:hAnsi="IRNazanin" w:eastAsia="IRNazanin"/>
          <w:color w:val="111111"/>
          <w:sz w:val="28"/>
          <w:sz w:val="28"/>
          <w:szCs w:val="28"/>
          <w:rtl w:val="true"/>
          <w:lang w:bidi="fa-IR"/>
        </w:rPr>
        <w:t>أضف إلی ذلک، أنّ ما تدلّ علیه المقبولة من اعتبار الترتیب علی النحو المذکور فیها موافق للاعتبار أیضاً، وأنّ الإمام علیه السلام کان فی مقام بیان ما یوافق الاعتبار، والأخذ بالأقوی فالأقوی من المرجّحات، وتطبیق قاعدة تقدیم الأقوی علی الأضعف، إذ إنّ الخبر الموافق مع الشهرة أقوی ظهوراً من الخبر غیر المشهور الموافق مع عموم کتاب اللَّه، وهکذا الخبر الموافق لعموم الکتاب أو إطلاقه أقوی من الخبر المخالف للعامّة</w:t>
      </w:r>
      <w:r>
        <w:rPr>
          <w:rFonts w:eastAsia="IRNazanin" w:cs="IRNazanin"/>
          <w:color w:val="111111"/>
          <w:sz w:val="28"/>
          <w:szCs w:val="28"/>
          <w:rtl w:val="true"/>
          <w:lang w:bidi="fa-IR"/>
        </w:rPr>
        <w:t>.</w:t>
      </w:r>
    </w:p>
    <w:p>
      <w:pPr>
        <w:pStyle w:val="Heading6"/>
        <w:numPr>
          <w:ilvl w:val="5"/>
          <w:numId w:val="1"/>
        </w:numPr>
        <w:rPr/>
      </w:pPr>
      <w:bookmarkStart w:id="269" w:name="__RefHeading___Toc96122_3244359995"/>
      <w:bookmarkStart w:id="270" w:name="_Toc101"/>
      <w:bookmarkEnd w:id="269"/>
      <w:r>
        <w:rPr>
          <w:rtl w:val="true"/>
        </w:rPr>
        <w:t>الجهة الرابعة</w:t>
      </w:r>
      <w:r>
        <w:rPr>
          <w:rtl w:val="true"/>
        </w:rPr>
        <w:t xml:space="preserve">: </w:t>
      </w:r>
      <w:r>
        <w:rPr>
          <w:rtl w:val="true"/>
        </w:rPr>
        <w:t>فی المرجّحات الخارجیّة</w:t>
      </w:r>
      <w:bookmarkEnd w:id="270"/>
    </w:p>
    <w:p>
      <w:pPr>
        <w:pStyle w:val="BookText"/>
        <w:rPr/>
      </w:pPr>
      <w:r>
        <w:rPr>
          <w:rFonts w:ascii="IRNazanin" w:hAnsi="IRNazanin" w:eastAsia="IRNazanin"/>
          <w:color w:val="111111"/>
          <w:sz w:val="28"/>
          <w:sz w:val="28"/>
          <w:szCs w:val="28"/>
          <w:rtl w:val="true"/>
          <w:lang w:bidi="fa-IR"/>
        </w:rPr>
        <w:t>جعل شیخنا الأعظم رحمه الله مجموع المرجّحات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داخلیة وخارجیّة</w:t>
      </w:r>
      <w:r>
        <w:rPr>
          <w:rStyle w:val="FootnoteAnchor"/>
          <w:rtl w:val="true"/>
        </w:rPr>
        <w:footnoteReference w:id="245"/>
      </w:r>
      <w:r>
        <w:rPr>
          <w:rFonts w:ascii="IRNazanin" w:hAnsi="IRNazanin" w:eastAsia="IRNazanin"/>
          <w:color w:val="111111"/>
          <w:sz w:val="28"/>
          <w:sz w:val="28"/>
          <w:szCs w:val="28"/>
          <w:rtl w:val="true"/>
          <w:lang w:bidi="fa-IR"/>
        </w:rPr>
        <w:t>، فالداخلیّة عبارة عن کلّ مزیة غیر مستقلّة بنفسها، وهی علی ثلاثة أقسام کما مرّ، والخارجیّة عبارة عن کلّ مزیة مستقلّة بنفسها ولو لم یکن هناک خبر أصلًا، ولها خمسة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تکون معتبرة لتعلّق النهی بها، وهی الأمارات الظنّیة غیر المعتبرة المنهی عنها کالقیاس الظنّی، فلا یجوز الترجیح به وإن جوّزنا التعدّی عن المرجّحات المنصوصة إلی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تکون معتبرة لعدم وجود دلیل علی اعتبارها، وهی الأمارات الظنّیة الّتی لا دلیل علی اعتبارها کالإجماع المنقول، وکونه من المرجّحات مبنی علی جواز التعدّی من المرجّحات المنصوصة إلی کلّ مرجّح ظنّی، وبما أنّ المختار هو عدم التعدّی عنها فهذا القسم عندنا لیس من المرجّحات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 معتبرة فی نفسها، وهی الأمارات الظنّیة المعتبرة کإطلاق الکتاب أو عمومه، ولا إشکال فی لزوم الترجیح به إذا کان من المرجّحات المنصوصة</w:t>
      </w:r>
      <w:r>
        <w:rPr>
          <w:rFonts w:eastAsia="IRNazanin" w:cs="IRNazanin"/>
          <w:color w:val="111111"/>
          <w:sz w:val="28"/>
          <w:szCs w:val="28"/>
          <w:rtl w:val="true"/>
          <w:lang w:bidi="fa-IR"/>
        </w:rPr>
        <w:t>.</w:t>
      </w:r>
      <w:bookmarkStart w:id="271" w:name="pg16918_187380"/>
    </w:p>
    <w:p>
      <w:pPr>
        <w:pStyle w:val="BookText"/>
        <w:rPr/>
      </w:pPr>
      <w:bookmarkEnd w:id="271"/>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المرجّحات القطعیّة کالإجماع المحصّل ونصوص الکتاب، ولا ریب فی لزوم الترجیح به أیضاً، لأنّه من قبیل تمییز الحجّة عن اللاحجّة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العملیّة شرعیّة کانت أو عقلیّة، وفیه ثلاثة أقوال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الموافق للأصل، فإنّ مطابق الأصل مظنون، وکلّ ظنّ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الأصل العملی لا یوجب ظنّاً بالحکم، حیث إنّه وظیفة عملیّة للشاکّ فحسب، مضافاً إلی ابتنائه علی التعدّی من المرجّحات المنصوصة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المخالف له، لأنّ المحتاج إلی البیان من جانب الشارع إنّما هو فی الغالب ما یکون مخالفاً للأصل، وهو الوجوب أو الحرمة، إذ إنّ المباح الموافق للبراءة أو أصالة الاباحة لا یحتاج إلی بیان غالباً، وهذا ما یوجب حصول الظنّ بأنّ ما صدر من جانب الشارع إنّما هو المخالف للأصل لا الموافق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أیضاً مبنی علی التعدّی من المرجّحات المنصوصة، وإلّا لا حجّیة لمثل هذا الظنّ فی مقام الترجیح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مرجّحیة الأصل مطلقاً لا المخالف ولا الموافق، وهو الصحیح بعد عدم وجود الدلیل علی ترجیح الموافق أو المخالف</w:t>
      </w:r>
      <w:r>
        <w:rPr>
          <w:rFonts w:eastAsia="IRNazanin" w:cs="IRNazanin"/>
          <w:color w:val="111111"/>
          <w:sz w:val="28"/>
          <w:szCs w:val="28"/>
          <w:rtl w:val="true"/>
          <w:lang w:bidi="fa-IR"/>
        </w:rPr>
        <w:t>.</w:t>
      </w:r>
    </w:p>
    <w:p>
      <w:pPr>
        <w:pStyle w:val="Heading6"/>
        <w:numPr>
          <w:ilvl w:val="5"/>
          <w:numId w:val="1"/>
        </w:numPr>
        <w:rPr/>
      </w:pPr>
      <w:bookmarkStart w:id="272" w:name="__RefHeading___Toc96124_3244359995"/>
      <w:bookmarkStart w:id="273" w:name="_Toc102"/>
      <w:bookmarkEnd w:id="272"/>
      <w:r>
        <w:rPr>
          <w:rtl w:val="true"/>
        </w:rPr>
        <w:t>الجهة الخامسة</w:t>
      </w:r>
      <w:r>
        <w:rPr>
          <w:rtl w:val="true"/>
        </w:rPr>
        <w:t xml:space="preserve">: </w:t>
      </w:r>
      <w:r>
        <w:rPr>
          <w:rtl w:val="true"/>
        </w:rPr>
        <w:t>فی انقلاب النسبة</w:t>
      </w:r>
      <w:bookmarkEnd w:id="273"/>
    </w:p>
    <w:p>
      <w:pPr>
        <w:pStyle w:val="BookText"/>
        <w:rPr/>
      </w:pPr>
      <w:r>
        <w:rPr>
          <w:rFonts w:ascii="IRNazanin" w:hAnsi="IRNazanin" w:eastAsia="IRNazanin"/>
          <w:color w:val="111111"/>
          <w:sz w:val="28"/>
          <w:sz w:val="28"/>
          <w:szCs w:val="28"/>
          <w:rtl w:val="true"/>
          <w:lang w:bidi="fa-IR"/>
        </w:rPr>
        <w:t>إذا کان التعارض بین أکثر من دلیلین، فتارةً لا یوجب تقدیم إحدی الخصوصات انقلاب النسبة بین العامّ والخاصّ الآخر،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الصرفیین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واخری یوجب تقدیم إحداها انقلاب النسبة،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تقدیم التخصیص بالأوّل یوجب انقلاب النسبة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العموم المطلق إلی</w:t>
      </w:r>
    </w:p>
    <w:p>
      <w:pPr>
        <w:pStyle w:val="BookText"/>
        <w:rPr/>
      </w:pPr>
      <w:r>
        <w:rPr>
          <w:rFonts w:ascii="IRNazanin" w:hAnsi="IRNazanin" w:eastAsia="IRNazanin"/>
          <w:color w:val="111111"/>
          <w:sz w:val="28"/>
          <w:sz w:val="28"/>
          <w:szCs w:val="28"/>
          <w:rtl w:val="true"/>
          <w:lang w:bidi="fa-IR"/>
        </w:rPr>
        <w:t>العموم من وجه، فإنّ النسبة بین العلماء العدول والنحویین هی العموم من وجه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والبحث هاهنا فی انقلاب النسبة السابقة علی التخصیص بإحدی الخصوصات إلی النسبة اللاحقة به وعدمه، والمحکی عن المحقّق النراقی رحمه الله أنّه ذهب إلی الانقلاب وقال بلزوم ملاحظة النسبة اللاحقة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والنزاع إنّما یتصوّر فیما إذا کان الخاصّان منفصلین، وأمّا إذا کان أحدهما متّصلًا فلا إشکال فی انقلاب النسبة، أی لزوم ملاحظة النسبة بین العامّ المخصّص بالمتّصل والخاصّ الآخر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فهل تنقلب النسبة فیکون اللازم ملاحظة تاریخ الخاصّین وتخصیص العامّ أوّلًا بما هو الأقرب زماناً، ثمّ بالأبعد، أو لا ینقلب فلا حاجة إلی ملاحظة تاریخهما؟ ولابدّ فی الجواب من الإشارة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التخصیص یتعلّق بالإرادة الجدّیة لا الإرادة الاستعمالیّة، ولذا لا یلزم منه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المعیار فی التعارض إنّما هو الإرادة الاستعمالیّة؛ لأنّ الدلیلین یتعارضان ویتضادّان فی ظهورهما الاستعمالی واللفظی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یظهر أنّه لا وجه لانقلاب النسبة؛ لأنّ تخصیص العامّ بالخاصّ الأوّل إنّما هو فی الإرادة الجدّیة ولا ربط له بالإرادة الاستعمالیّة، وحینئذٍ یبقی الظهور الاستعمالی للعامّ علی حاله الذی کان هو المعیار فی التعارض، ولابدّ بعد التخصیص بالخاصّ الأوّل من ملاحظة النسبة بین الخاصّ الثانی وهذا الظهور الاستعمالی للعامّ الباقی علی قوّته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یؤیّد ذلک هو سیرة الفقهاء، فإنّهم لا یلاحظون تاریخ المخصّصات ولا</w:t>
      </w:r>
      <w:bookmarkStart w:id="274" w:name="pg16918_187382"/>
    </w:p>
    <w:p>
      <w:pPr>
        <w:pStyle w:val="BookText"/>
        <w:rPr/>
      </w:pPr>
      <w:bookmarkEnd w:id="274"/>
      <w:r>
        <w:rPr>
          <w:rFonts w:ascii="IRNazanin" w:hAnsi="IRNazanin" w:eastAsia="IRNazanin"/>
          <w:color w:val="111111"/>
          <w:sz w:val="28"/>
          <w:sz w:val="28"/>
          <w:szCs w:val="28"/>
          <w:rtl w:val="true"/>
          <w:lang w:bidi="fa-IR"/>
        </w:rPr>
        <w:t>یقدّمون التخصیص بأحد الخاصّین علی التخصیص بالخاصّ الآخر، بل یخصّصون العامّ بکلیهما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ما ظهر الحقّ فی المسألة من عدم انقلاب النسبة مطلقاً، فلا یهمّنا البحث عن أنواع التعارض الواقعة لأکثر من الدلیلین مع ما لها من الصور العدیدة، لعدم طائل تحته</w:t>
      </w:r>
      <w:r>
        <w:rPr>
          <w:rFonts w:eastAsia="IRNazanin" w:cs="IRNazanin"/>
          <w:color w:val="111111"/>
          <w:sz w:val="28"/>
          <w:szCs w:val="28"/>
          <w:rtl w:val="true"/>
          <w:lang w:bidi="fa-IR"/>
        </w:rPr>
        <w:t>.</w:t>
      </w:r>
    </w:p>
    <w:p>
      <w:pPr>
        <w:pStyle w:val="Heading6"/>
        <w:numPr>
          <w:ilvl w:val="5"/>
          <w:numId w:val="1"/>
        </w:numPr>
        <w:rPr/>
      </w:pPr>
      <w:bookmarkStart w:id="275" w:name="__RefHeading___Toc96126_3244359995"/>
      <w:bookmarkStart w:id="276" w:name="_Toc103"/>
      <w:bookmarkEnd w:id="275"/>
      <w:r>
        <w:rPr>
          <w:rtl w:val="true"/>
        </w:rPr>
        <w:t>الجهة السادسة</w:t>
      </w:r>
      <w:r>
        <w:rPr>
          <w:rtl w:val="true"/>
        </w:rPr>
        <w:t xml:space="preserve">: </w:t>
      </w:r>
      <w:r>
        <w:rPr>
          <w:rtl w:val="true"/>
        </w:rPr>
        <w:t>فی التعارض بین العامّین من وجه</w:t>
      </w:r>
      <w:bookmarkEnd w:id="276"/>
    </w:p>
    <w:p>
      <w:pPr>
        <w:pStyle w:val="BookText"/>
        <w:rPr/>
      </w:pPr>
      <w:r>
        <w:rPr>
          <w:rFonts w:ascii="IRNazanin" w:hAnsi="IRNazanin" w:eastAsia="IRNazanin"/>
          <w:color w:val="111111"/>
          <w:sz w:val="28"/>
          <w:sz w:val="28"/>
          <w:szCs w:val="28"/>
          <w:rtl w:val="true"/>
          <w:lang w:bidi="fa-IR"/>
        </w:rPr>
        <w:t>هل یکون المرجع فیه الأخبار العلاجیّة فلابدّ عند وجود المرجّحات من الترجیح وعند فقدها من التخییر، أو لا، بل فی مادّة الافتراق یعمل بکلّ واحد منهما وفی مادّة الاجتماع یحکم بالتساقط ویکون المرجع هو الأصل الجاری فی المسألة؟</w:t>
      </w:r>
    </w:p>
    <w:p>
      <w:pPr>
        <w:pStyle w:val="BookText"/>
        <w:rPr/>
      </w:pPr>
      <w:r>
        <w:rPr>
          <w:rFonts w:ascii="IRNazanin" w:hAnsi="IRNazanin" w:eastAsia="IRNazanin"/>
          <w:color w:val="111111"/>
          <w:sz w:val="28"/>
          <w:sz w:val="28"/>
          <w:szCs w:val="28"/>
          <w:rtl w:val="true"/>
          <w:lang w:bidi="fa-IR"/>
        </w:rPr>
        <w:t>مثلًا إذا وردت روایة تدلّ بإطلاقها علی نجاسة عذرة کلّ ما لا یؤکل لحمه، وروایة اخری تدلّ بإطلاقها علی طهارة عذرة کلّ طائر، فمادّة الاجتماع فیهما هو الطائر الذی لا یؤکل لحمه، فتتعارضان فیه وتدلّ إحداهما علی نجاسته والاخری علی طهارته، فهل المرجع فیه الأخبار العلاجیّة أو یخیّر بینهما، أو یکون المرجع الأصل الجاری فیه؟</w:t>
      </w:r>
    </w:p>
    <w:p>
      <w:pPr>
        <w:pStyle w:val="BookText"/>
        <w:rPr/>
      </w:pPr>
      <w:r>
        <w:rPr>
          <w:rFonts w:ascii="IRNazanin" w:hAnsi="IRNazanin" w:eastAsia="IRNazanin"/>
          <w:color w:val="111111"/>
          <w:sz w:val="28"/>
          <w:sz w:val="28"/>
          <w:szCs w:val="28"/>
          <w:rtl w:val="true"/>
          <w:lang w:bidi="fa-IR"/>
        </w:rPr>
        <w:t>لا إشکال فی عدم جریان المرجّحات الصدوریّة فیه؛ لأنّ المفروض أنّه یعمل بکلّ واحد منهما فی مادّتی الافتراق، ومعلوم أنّ الرجوع إلی المرجّحات الصدوریّة وترجیح أحدهما علی الآخر مستلزم لإسقاط الدلیل فی مادّة الاجتماع، مع العمل به فی مادّة الافتراق</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المرجّحات الجهتیّة وهکذا المرجّحات المضمونیّة، فلا مانع من جریانها فیهما؛ لإمکان وجود التقیّة فی خصوص مادّة الاجتماع فیؤخذ بما لیس فیه احتمال التقیّة وترجیحها علی الاخری، وفی مادّة الافتراق یعمل بکلتیهما من دون أن یلزم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الترجیح عند وجود المرجّح، وأمّا عند فقد المرجّح فالمشهور علی عدم التخییر، فیتساقط الخبران فی مادّة الاجتماع، ویکون المرجع هو الأصل دون إطلاقات التخییر، وذلک لانصراف أدلّة التخییر منه، فإنّ ظاهر قوله علیه السلام فی مرفوعة 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فتخیّر أحدهما ودع الآخر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أحدهما بتمامه وترک الآخر بتمامه، لا قبول أحدهما وترک بعض الآخر</w:t>
      </w:r>
      <w:r>
        <w:rPr>
          <w:rFonts w:eastAsia="IRNazanin" w:cs="IRNazanin"/>
          <w:color w:val="111111"/>
          <w:sz w:val="28"/>
          <w:szCs w:val="28"/>
          <w:rtl w:val="true"/>
          <w:lang w:bidi="fa-IR"/>
        </w:rPr>
        <w:t>.</w:t>
      </w:r>
      <w:bookmarkStart w:id="277" w:name="pg16918_187384"/>
    </w:p>
    <w:p>
      <w:pPr>
        <w:pStyle w:val="Heading2"/>
        <w:numPr>
          <w:ilvl w:val="1"/>
          <w:numId w:val="1"/>
        </w:numPr>
        <w:rPr/>
      </w:pPr>
      <w:bookmarkStart w:id="278" w:name="__RefHeading___Toc96128_3244359995"/>
      <w:bookmarkStart w:id="279" w:name="_Toc104"/>
      <w:bookmarkEnd w:id="277"/>
      <w:bookmarkEnd w:id="278"/>
      <w:r>
        <w:rPr>
          <w:rtl w:val="true"/>
        </w:rPr>
        <w:t>تذییل</w:t>
      </w:r>
      <w:r>
        <w:rPr>
          <w:rtl w:val="true"/>
        </w:rPr>
        <w:t xml:space="preserve">: </w:t>
      </w:r>
      <w:r>
        <w:rPr>
          <w:rtl w:val="true"/>
        </w:rPr>
        <w:t>حول الألفاظ الواردة فی الکتاب والسنة</w:t>
      </w:r>
      <w:bookmarkEnd w:id="279"/>
    </w:p>
    <w:p>
      <w:pPr>
        <w:pStyle w:val="Heading3"/>
        <w:numPr>
          <w:ilvl w:val="2"/>
          <w:numId w:val="1"/>
        </w:numPr>
        <w:rPr/>
      </w:pPr>
      <w:bookmarkStart w:id="280" w:name="__RefHeading___Toc96130_3244359995"/>
      <w:bookmarkStart w:id="281" w:name="_Toc105"/>
      <w:bookmarkEnd w:id="280"/>
      <w:r>
        <w:rPr>
          <w:rtl w:val="true"/>
        </w:rPr>
        <w:t>اشارة</w:t>
      </w:r>
      <w:bookmarkEnd w:id="281"/>
    </w:p>
    <w:p>
      <w:pPr>
        <w:pStyle w:val="BookText"/>
        <w:rPr/>
      </w:pPr>
      <w:r>
        <w:rPr>
          <w:rFonts w:ascii="IRNazanin" w:hAnsi="IRNazanin" w:eastAsia="IRNazanin"/>
          <w:color w:val="111111"/>
          <w:sz w:val="28"/>
          <w:sz w:val="28"/>
          <w:szCs w:val="28"/>
          <w:rtl w:val="true"/>
          <w:lang w:bidi="fa-IR"/>
        </w:rPr>
        <w:t>ویشتمل علی فصول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حجّیة قول اللغوی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الوضع وأنحاء الاستعمال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الأوامر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النواهی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المشتقّات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المفاهیم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العامّ والخاصّ</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المطلق والمقیّد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المجمل والمبیّن</w:t>
      </w:r>
      <w:bookmarkStart w:id="282" w:name="pg16918_187386"/>
    </w:p>
    <w:p>
      <w:pPr>
        <w:pStyle w:val="Heading3"/>
        <w:numPr>
          <w:ilvl w:val="2"/>
          <w:numId w:val="1"/>
        </w:numPr>
        <w:rPr/>
      </w:pPr>
      <w:bookmarkStart w:id="283" w:name="__RefHeading___Toc96132_3244359995"/>
      <w:bookmarkStart w:id="284" w:name="_Toc106"/>
      <w:bookmarkEnd w:id="282"/>
      <w:bookmarkEnd w:id="283"/>
      <w:r>
        <w:rPr>
          <w:rtl w:val="true"/>
        </w:rPr>
        <w:t>تمهید</w:t>
      </w:r>
      <w:bookmarkEnd w:id="284"/>
    </w:p>
    <w:p>
      <w:pPr>
        <w:pStyle w:val="BookText"/>
        <w:rPr/>
      </w:pPr>
      <w:r>
        <w:rPr>
          <w:rFonts w:ascii="IRNazanin" w:hAnsi="IRNazanin" w:eastAsia="IRNazanin"/>
          <w:color w:val="111111"/>
          <w:sz w:val="28"/>
          <w:sz w:val="28"/>
          <w:szCs w:val="28"/>
          <w:rtl w:val="true"/>
          <w:lang w:bidi="fa-IR"/>
        </w:rPr>
        <w:t>قد فرغنا عن إثبات کبری حجّیة الظواهر فی المقصد الأوّل عند البحث عن حجّیة ظواهر الکتاب، واللازم هنا البحث عن بعض صغریاتها وأنّ هذا اللفظ هل هو ظاهر فی هذا المعنی أو لا، وبأیّ شی‌ء یثبت الظهور؟</w:t>
      </w:r>
    </w:p>
    <w:p>
      <w:pPr>
        <w:pStyle w:val="BookText"/>
        <w:rPr/>
      </w:pPr>
      <w:r>
        <w:rPr>
          <w:rFonts w:ascii="IRNazanin" w:hAnsi="IRNazanin" w:eastAsia="IRNazanin"/>
          <w:color w:val="111111"/>
          <w:sz w:val="28"/>
          <w:sz w:val="28"/>
          <w:szCs w:val="28"/>
          <w:rtl w:val="true"/>
          <w:lang w:bidi="fa-IR"/>
        </w:rPr>
        <w:t>غیر خفی أنّه یمکن الوقوف علی ظهورات الألفاظ بسبب الفهم العرفی والتبادر والقواعد العربیة، ولا ریب فی حجّیتها بعد ما مرّ من تمامیّة کبری حجّیة الظواهر، إلّا أنّه لو شککنا فی فهم تفاصیل المعانی وجزئیاتها الّتی تکون مرهونة لما یستظهر من موادّ اللغات أوّلًا، ومن الهیئات المفردة ثانیاً، ومن الجملات والهیئات الترکیبیّة ثالثاً، فلا یخلو الأمر من الصور الثلاثة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الشکّ فی مادّة اللغة کمادّة الأمر أو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الشکّ فی هیئة المفرد، کما إذا شککنا فی هیئة الأمر، وأنّه هل هی ظاهرة فی مطلق الطلب، أو خصوص الطلب الإلزامی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الشکّ فی هیئة الجملة کالشکّ فی الجملة الشرطیّة وأنّها هل تدلّ علی العلّیة المنحصرة حتّی یکون لها مفهوم أو لا؟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والمرجع فی جمیع هذه الصور هو قول أهل اللسان وخبرائهم من مهرة علم اللغة والصرف والنحو والمعانی والبیان؛ لأنّ اللغة یبحث عن مفاد الموادّ، وعلم</w:t>
      </w:r>
    </w:p>
    <w:p>
      <w:pPr>
        <w:pStyle w:val="BookText"/>
        <w:rPr/>
      </w:pPr>
      <w:r>
        <w:rPr>
          <w:rFonts w:ascii="IRNazanin" w:hAnsi="IRNazanin" w:eastAsia="IRNazanin"/>
          <w:color w:val="111111"/>
          <w:sz w:val="28"/>
          <w:sz w:val="28"/>
          <w:szCs w:val="28"/>
          <w:rtl w:val="true"/>
          <w:lang w:bidi="fa-IR"/>
        </w:rPr>
        <w:t>الصرف باحث عن الهیئات المفردة وعلم النحو والمعانی والبیان یبحثون عن مفاد الهیئات الترکیبیة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بما أنّ کثیراً من مهمّات مباحث الألفاظ الواردة فی الکتاب والسنّة الّتی یتوقّف علیها استنباط الأحکام الشرعیّة، لم یبحث عنها فی هذه العلوم بحثاً کافیاً، لا محیص عن البحث عنها فی علم الاصول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ویتمّ الکلام حول هذه المباحث فی ضمن فصول</w:t>
      </w:r>
      <w:r>
        <w:rPr>
          <w:rFonts w:eastAsia="IRNazanin" w:cs="IRNazanin"/>
          <w:color w:val="111111"/>
          <w:sz w:val="28"/>
          <w:szCs w:val="28"/>
          <w:rtl w:val="true"/>
          <w:lang w:bidi="fa-IR"/>
        </w:rPr>
        <w:t>:</w:t>
      </w:r>
      <w:bookmarkStart w:id="285" w:name="pg16918_187388"/>
    </w:p>
    <w:p>
      <w:pPr>
        <w:pStyle w:val="Heading3"/>
        <w:numPr>
          <w:ilvl w:val="2"/>
          <w:numId w:val="1"/>
        </w:numPr>
        <w:rPr/>
      </w:pPr>
      <w:bookmarkStart w:id="286" w:name="__RefHeading___Toc96134_3244359995"/>
      <w:bookmarkStart w:id="287" w:name="_Toc107"/>
      <w:bookmarkEnd w:id="285"/>
      <w:bookmarkEnd w:id="286"/>
      <w:r>
        <w:rPr>
          <w:rtl w:val="true"/>
        </w:rPr>
        <w:t>الفصل الأول</w:t>
      </w:r>
      <w:r>
        <w:rPr>
          <w:rtl w:val="true"/>
        </w:rPr>
        <w:t xml:space="preserve">: </w:t>
      </w:r>
      <w:r>
        <w:rPr>
          <w:rtl w:val="true"/>
        </w:rPr>
        <w:t>حجیة قول اللغوی</w:t>
      </w:r>
      <w:bookmarkEnd w:id="287"/>
    </w:p>
    <w:p>
      <w:pPr>
        <w:pStyle w:val="BookText"/>
        <w:rPr/>
      </w:pPr>
      <w:r>
        <w:rPr>
          <w:rFonts w:ascii="IRNazanin" w:hAnsi="IRNazanin" w:eastAsia="IRNazanin"/>
          <w:color w:val="111111"/>
          <w:sz w:val="28"/>
          <w:sz w:val="28"/>
          <w:szCs w:val="28"/>
          <w:rtl w:val="true"/>
          <w:lang w:bidi="fa-IR"/>
        </w:rPr>
        <w:t>المشهور حجّیة قول اللغوی، بل ادّعی علیه إجماع العلماء</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وقال صاحب الفصول رحمه الله عند البحث عن الحقیقة والمجاز واعتبار قول اللغوی فی تشخیصهما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کلّ من الحقیقة والمجاز بعلامات ودلائل منها نصّ أهل اللغة علیه مع سلامته من المعارض وممّا یوجب الریب فی نقله، وکذا الخبیر بکلّ اصطلاح إذا أخبر کذلک وهذا ممّا لا یعرف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الغرویة،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خالف فی ذلک جمع من الاصولیین، منهم المحقّق الخراسانی رحمه الله وقالوا بعدم الحجّیة واستدلّوا علیه بوجوه عمدتها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یقتضی عدم حجّیة الظنّ فیه، فإنّه ظنّ فی أنّه ظاهر ولا دلیل إلّاعلی حجّیة الظواهر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للحجّیة بوجوه، عمدتها وجهان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فانّ الفقهاء لایزالون یرجعون فی استعلام معانی اللغات إلی کتب أهل اللغة، ولذلک ینقلون فی الفقه أقوال اللغویین بالنسبة إلی موضوعات الأحکام کالغنیمة والکنز والمعدن وغیر ذلک، کما یرجعون إلیها غیرهم من العلماء فی فهم معانی الحدیث وتفسیر الکتاب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فی أمثال هذه المسألة لا یکون کاشفاً عن قول المعصوم علیه السلام تعبّداً قبال الأدلّة الاخری الّتی استدلّوا بها فی المقام لإمکان استناد المجمعین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 وسیرتهم قدیماً وحدیثاً من الرجوع إلی أهل الخبرة، وهذا أهمّ الوجوه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أُورد علیه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اللغوی لیس من أهل الخبرة، أی أهل الرأی والاجتهاد بالنسبة إلی تشخیص المعانی الحقیقیّة عن المعانی المجازیّة،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شأن اللغوی إلّا بیان موارد الاستعمال لا تعیین المعنی الحقیقی من بین المعانی الّتی یستعمل اللفظ فیها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المهم فی تعیین مراد المتکلّم هو تشخیص ظهور اللفظ، ولا ریب فی أنّ اللغوی یبیّن المعنی الظاهر للفظ سواء کان حقیقة أو مجازاً مشهوراً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 رحمه الله من أنّه یمکن أن یکون رجوع العقلاء إلی کتب اللغویین من جهة حصول الوثوق والاطمئنان من قولهم فی بعض الأحیان لا من جهة حصول الظنّ فقط وحجّیة قولهم مطلقاً؛ سواء حصل منه الاطمئنان أم لا، ولا إشکال فی أنّ الاطمئنان منزّل منزلة العلم أو أنّه علم عرفی فیکون حجّة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الإنصاف أنّ رجوعهم إلی أهل الخبرة لیس متوقّفاً علی حصول الإطمئنان کما فی الرجوع إلی قول المجتهد، فإنّ المقلِّد مع الإلتفات إلی اختلاف آراء الفقهاء فی کثیر من الموارد، لا یحصل له الإطمئنان والوثوق فیها عادةً بقول المجتهد، ومع ذلک لا یتوقّف عن الرجوع إلیه، کما أنّه کذلک فی باب القضاء ورجوع</w:t>
      </w:r>
    </w:p>
    <w:p>
      <w:pPr>
        <w:pStyle w:val="BookText"/>
        <w:rPr/>
      </w:pPr>
      <w:r>
        <w:rPr>
          <w:rFonts w:ascii="IRNazanin" w:hAnsi="IRNazanin" w:eastAsia="IRNazanin"/>
          <w:color w:val="111111"/>
          <w:sz w:val="28"/>
          <w:sz w:val="28"/>
          <w:szCs w:val="28"/>
          <w:rtl w:val="true"/>
          <w:lang w:bidi="fa-IR"/>
        </w:rPr>
        <w:t>القضاة إلی المتخصّصین والعارفین والخبراء بالموضوعات الّتی هی محلّ الدعوی کالغبن والتدلیس وغیرهما، مع أنّه لا یحصل لهم الإطمئنان بقولهم فی کثیر من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تهذیب الاصول من أنّ موارد التمسّک ببناء العقلاء إنّما هو فیما إذا احرز کون بناء العقلاء بمرأی ومسمع من المعصومین علیهم السلام ولم یحرز رجوع الناس إلی صناعة اللغة فی زمن الأئمّة بحیث کان الرجوع إلیهم کالرجوع إلی الطبیب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حاجة فی حجّیة قول اللغوی الذی هو من مصادیق کبری بناء العقلاء علی الرجوع إلی أهل الخبرة، إلی وجود خصوص هذا المصداق فی زمن المعصومین علیهم السلام بل مجرّد وجود الکبری فی ذلک الزمان کافٍ، وإلّا یلزم من ذلک عدم جواز الرجوع إلی أهل الخبرة بالنسبة إلی الامور المستحدثة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لا ریب فی رجوع غیر أهل اللسان فی زمن المعصومین علیهم السلام إلی أهل اللسان فی حاجاتهم عموماً، وبالخصوص فی فهم ما یتعلّق بالقرآن والحدیث وتبیین مفرداتهما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تامّ، نعم لا یبعد أن یکون المنشأ لبناء العقلاء عدم وجود طریق آخر لحلّ هذه المشاکل إلّاالرجوع إلی الخبراء، وقد یعبّر عن ذلک بالانسداد الصغیر</w:t>
      </w:r>
      <w:r>
        <w:rPr>
          <w:rFonts w:eastAsia="IRNazanin" w:cs="IRNazanin"/>
          <w:color w:val="111111"/>
          <w:sz w:val="28"/>
          <w:szCs w:val="28"/>
          <w:rtl w:val="true"/>
          <w:lang w:bidi="fa-IR"/>
        </w:rPr>
        <w:t>.</w:t>
      </w:r>
      <w:bookmarkStart w:id="288" w:name="pg16918_187392"/>
    </w:p>
    <w:p>
      <w:pPr>
        <w:pStyle w:val="Heading3"/>
        <w:numPr>
          <w:ilvl w:val="2"/>
          <w:numId w:val="1"/>
        </w:numPr>
        <w:rPr/>
      </w:pPr>
      <w:bookmarkStart w:id="289" w:name="__RefHeading___Toc96136_3244359995"/>
      <w:bookmarkStart w:id="290" w:name="_Toc108"/>
      <w:bookmarkEnd w:id="288"/>
      <w:bookmarkEnd w:id="289"/>
      <w:r>
        <w:rPr>
          <w:rtl w:val="true"/>
        </w:rPr>
        <w:t>الفصل الثانی</w:t>
      </w:r>
      <w:r>
        <w:rPr>
          <w:rtl w:val="true"/>
        </w:rPr>
        <w:t xml:space="preserve">: </w:t>
      </w:r>
      <w:r>
        <w:rPr>
          <w:rtl w:val="true"/>
        </w:rPr>
        <w:t>الوضع وأنحاء الإستعمال</w:t>
      </w:r>
      <w:bookmarkEnd w:id="290"/>
    </w:p>
    <w:p>
      <w:pPr>
        <w:pStyle w:val="Heading4"/>
        <w:numPr>
          <w:ilvl w:val="3"/>
          <w:numId w:val="1"/>
        </w:numPr>
        <w:rPr/>
      </w:pPr>
      <w:bookmarkStart w:id="291" w:name="__RefHeading___Toc96138_3244359995"/>
      <w:bookmarkStart w:id="292" w:name="_Toc109"/>
      <w:bookmarkEnd w:id="291"/>
      <w:r>
        <w:rPr>
          <w:rtl w:val="true"/>
        </w:rPr>
        <w:t>اشارة</w:t>
      </w:r>
      <w:bookmarkEnd w:id="292"/>
    </w:p>
    <w:p>
      <w:pPr>
        <w:pStyle w:val="BookText"/>
        <w:rPr/>
      </w:pPr>
      <w:r>
        <w:rPr>
          <w:rFonts w:ascii="IRNazanin" w:hAnsi="IRNazanin" w:eastAsia="IRNazanin"/>
          <w:color w:val="111111"/>
          <w:sz w:val="28"/>
          <w:sz w:val="28"/>
          <w:szCs w:val="28"/>
          <w:rtl w:val="true"/>
          <w:lang w:bidi="fa-IR"/>
        </w:rPr>
        <w:t>بناءً علی ما هو الحقّ من عدم ذاتیة دلالة الألفاظ علی معانیها وکونها ناشئة من ناحیة الوضع قطعاً، یقع الکلام فی عدّة امور ترتبط بالوضع وأنحاء الاستعمالات اللفظیّة، کالبحث 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حقیقة الوضع وأقسامه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الاستعمالات المجازیة هل هی بالطبع أو الوضع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علامات الحقیقة والمجاز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ذلک من المباحث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ألفاظ العبادات والمعاملات أسام للصحیح منها أو للأعمّ منه</w:t>
      </w:r>
      <w:r>
        <w:rPr>
          <w:rFonts w:eastAsia="IRNazanin" w:cs="IRNazanin"/>
          <w:color w:val="111111"/>
          <w:sz w:val="28"/>
          <w:szCs w:val="28"/>
          <w:rtl w:val="true"/>
          <w:lang w:bidi="fa-IR"/>
        </w:rPr>
        <w:t>».</w:t>
      </w:r>
    </w:p>
    <w:p>
      <w:pPr>
        <w:pStyle w:val="Heading4"/>
        <w:numPr>
          <w:ilvl w:val="3"/>
          <w:numId w:val="1"/>
        </w:numPr>
        <w:rPr/>
      </w:pPr>
      <w:bookmarkStart w:id="293" w:name="__RefHeading___Toc96140_3244359995"/>
      <w:bookmarkStart w:id="294" w:name="_Toc110"/>
      <w:bookmarkEnd w:id="293"/>
      <w:r>
        <w:rPr>
          <w:rtl w:val="true"/>
        </w:rPr>
        <w:t>الأمر الأوّل</w:t>
      </w:r>
      <w:r>
        <w:rPr>
          <w:rtl w:val="true"/>
        </w:rPr>
        <w:t xml:space="preserve">: </w:t>
      </w:r>
      <w:r>
        <w:rPr>
          <w:rtl w:val="true"/>
        </w:rPr>
        <w:t>الوضع وأحکامه</w:t>
      </w:r>
      <w:bookmarkEnd w:id="294"/>
    </w:p>
    <w:p>
      <w:pPr>
        <w:pStyle w:val="Heading5"/>
        <w:numPr>
          <w:ilvl w:val="4"/>
          <w:numId w:val="1"/>
        </w:numPr>
        <w:rPr/>
      </w:pPr>
      <w:bookmarkStart w:id="295" w:name="__RefHeading___Toc96142_3244359995"/>
      <w:bookmarkStart w:id="296" w:name="_Toc111"/>
      <w:bookmarkEnd w:id="295"/>
      <w:r>
        <w:rPr>
          <w:rtl w:val="true"/>
        </w:rPr>
        <w:t>اشارة</w:t>
      </w:r>
      <w:bookmarkEnd w:id="296"/>
    </w:p>
    <w:p>
      <w:pPr>
        <w:pStyle w:val="BookText"/>
        <w:rPr/>
      </w:pPr>
      <w:r>
        <w:rPr>
          <w:rFonts w:ascii="IRNazanin" w:hAnsi="IRNazanin" w:eastAsia="IRNazanin"/>
          <w:color w:val="111111"/>
          <w:sz w:val="28"/>
          <w:sz w:val="28"/>
          <w:szCs w:val="28"/>
          <w:rtl w:val="true"/>
          <w:lang w:bidi="fa-IR"/>
        </w:rPr>
        <w:t>قد یتوهّم أنّ دلالة الألفاظ علی معانیها لیست من ناحیة الوضع، بل إنّها ذاتیة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 خلاف ما نجده بوجداننا إلّا فی أسماء الأصوات، فیوجد فیها خاصّة ربط ذاتی بین المعانی والألفاظ، وعلیه ینبغی البحث عن حقیقة الوضع وأحکامه فی ضمن امور</w:t>
      </w:r>
      <w:r>
        <w:rPr>
          <w:rFonts w:eastAsia="IRNazanin" w:cs="IRNazanin"/>
          <w:color w:val="111111"/>
          <w:sz w:val="28"/>
          <w:szCs w:val="28"/>
          <w:rtl w:val="true"/>
          <w:lang w:bidi="fa-IR"/>
        </w:rPr>
        <w:t>:</w:t>
      </w:r>
      <w:bookmarkStart w:id="297" w:name="pg16918_187393"/>
    </w:p>
    <w:p>
      <w:pPr>
        <w:pStyle w:val="Heading5"/>
        <w:numPr>
          <w:ilvl w:val="4"/>
          <w:numId w:val="1"/>
        </w:numPr>
        <w:rPr/>
      </w:pPr>
      <w:bookmarkStart w:id="298" w:name="__RefHeading___Toc96144_3244359995"/>
      <w:bookmarkStart w:id="299" w:name="_Toc112"/>
      <w:bookmarkEnd w:id="297"/>
      <w:bookmarkEnd w:id="298"/>
      <w:r>
        <w:rPr/>
        <w:t>1</w:t>
      </w:r>
      <w:r>
        <w:rPr>
          <w:rtl w:val="true"/>
        </w:rPr>
        <w:t xml:space="preserve">. </w:t>
      </w:r>
      <w:r>
        <w:rPr>
          <w:rtl w:val="true"/>
        </w:rPr>
        <w:t>حقیقة الوضع</w:t>
      </w:r>
      <w:bookmarkEnd w:id="299"/>
    </w:p>
    <w:p>
      <w:pPr>
        <w:pStyle w:val="BookText"/>
        <w:rPr/>
      </w:pPr>
      <w:r>
        <w:rPr>
          <w:rFonts w:ascii="IRNazanin" w:hAnsi="IRNazanin" w:eastAsia="IRNazanin"/>
          <w:color w:val="111111"/>
          <w:sz w:val="28"/>
          <w:sz w:val="28"/>
          <w:szCs w:val="28"/>
          <w:rtl w:val="true"/>
          <w:lang w:bidi="fa-IR"/>
        </w:rPr>
        <w:t>وفیها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المحقّق الخراسانی رحمه الله من أنّه نحو اختصاص للفظ بالمعنی وإرتباط خاصّ بینهما ناش من تخصیصه به تارةً ومن کثرة استعماله فیه اخری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ولایخفی ما فیه من الإبهام الذی لا یغتفر مثله فی مقام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استیناس ذهنی بین اللفظ والمعنی بحیث ینتقل الذهن من أحدهما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مقبول فی الوضع التعیّنی، أمّا فی التعیینی فلا معنی محصّل له، لأنّ الانس والعلاقة الذهنیّة أمر متأخّر عن الوضع یحصل من کثرة الاستعمال الحاصلة بعد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التزام وتعهّد من ناحیة أهل اللغة بأنّه کلّما استعمل هذا اللفظ ارید منه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الوجدان حاکم علی 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هذا اللفظ لهذا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تعهّدت کلّما ذکرت هذا اللفظ أردت منه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جمع من المحقّقین وهو أنّ حقیقة الوضع أمر اعتباری وهو جعل اللفظ علامة للمعنی فی عالم الاعتبار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تارةً یوضع شی‌ء علامة لشی‌ء آخر فی عالم الخارج کوضع علامات الفراسخ فی الطرق، واخری یجعل شی‌ء علامة لشی‌ء آخر فی عالم الاعتبار وفقاً للعلامات الخارجیّة، ومن هذا القسم جمیع المفاهیم الإنشائیّة الّتی تکون اموراً اعتباریة مشابهة لمصادیقها الخارجیّة من بعض الجهات، فإنّ ملکیة الإنسان وسلطنته علی ماله عند العقلاء فی عالم الاعتبار مثلًا أمر ذهنی یشبه ملکیته وسلطنته علی نفسه أو بعض الأشیاء تکویناً، وکذلک الألفاظ بالنسبة إلی معانیها، فإنّ حقیقة الوضع جعل اللفظ علامة للمعنی فی عالم الاعتبار وفقاً</w:t>
      </w:r>
      <w:bookmarkStart w:id="300" w:name="pg16918_187394"/>
    </w:p>
    <w:p>
      <w:pPr>
        <w:pStyle w:val="BookText"/>
        <w:rPr/>
      </w:pPr>
      <w:bookmarkEnd w:id="300"/>
      <w:r>
        <w:rPr>
          <w:rFonts w:ascii="IRNazanin" w:hAnsi="IRNazanin" w:eastAsia="IRNazanin"/>
          <w:color w:val="111111"/>
          <w:sz w:val="28"/>
          <w:sz w:val="28"/>
          <w:szCs w:val="28"/>
          <w:rtl w:val="true"/>
          <w:lang w:bidi="fa-IR"/>
        </w:rPr>
        <w:t>للعلامات الّتی توضع علی الأشیاء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أحسن ما یمکن أن یقال فی المقام، إلّا أنّه یتصوّر فی خصوص الوضع التعیینی، أمّا فی التعیّنی فلا، لعدم جعل ولا إنشاء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التعیینی حقیقته جعل اللفظ علامة للمعنی، وأمّا الوضع التعیّنی هو الانس الحاصل من کثرة استعمال اللفظ الّتی تکون سبباً لتبادر المعنی إلی الذهن من اللفظ</w:t>
      </w:r>
      <w:r>
        <w:rPr>
          <w:rFonts w:eastAsia="IRNazanin" w:cs="IRNazanin"/>
          <w:color w:val="111111"/>
          <w:sz w:val="28"/>
          <w:szCs w:val="28"/>
          <w:rtl w:val="true"/>
          <w:lang w:bidi="fa-IR"/>
        </w:rPr>
        <w:t>.</w:t>
      </w:r>
    </w:p>
    <w:p>
      <w:pPr>
        <w:pStyle w:val="Heading5"/>
        <w:numPr>
          <w:ilvl w:val="4"/>
          <w:numId w:val="1"/>
        </w:numPr>
        <w:rPr/>
      </w:pPr>
      <w:bookmarkStart w:id="301" w:name="__RefHeading___Toc96146_3244359995"/>
      <w:bookmarkStart w:id="302" w:name="_Toc113"/>
      <w:bookmarkEnd w:id="301"/>
      <w:r>
        <w:rPr/>
        <w:t>2</w:t>
      </w:r>
      <w:r>
        <w:rPr>
          <w:rtl w:val="true"/>
        </w:rPr>
        <w:t xml:space="preserve">. </w:t>
      </w:r>
      <w:r>
        <w:rPr>
          <w:rtl w:val="true"/>
        </w:rPr>
        <w:t>من هو الواضع؟</w:t>
      </w:r>
      <w:bookmarkEnd w:id="302"/>
    </w:p>
    <w:p>
      <w:pPr>
        <w:pStyle w:val="BookText"/>
        <w:rPr/>
      </w:pPr>
      <w:r>
        <w:rPr>
          <w:rFonts w:ascii="Amiri" w:hAnsi="Amiri" w:eastAsia="Amiri" w:cs="Amiri"/>
          <w:color w:val="111111"/>
          <w:sz w:val="28"/>
          <w:sz w:val="28"/>
          <w:szCs w:val="28"/>
          <w:rtl w:val="true"/>
          <w:lang w:bidi="ar-SA"/>
        </w:rPr>
        <w:t>لا شکّ أنّ الأنبیاء کانوا یتکلّمون بلسان قومهم کما قال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بِلِسَانِ قَوْمِهِ</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 ومنه یعلم عدم نزول الألفاظ علیهم من ناحیة اللَّه تعالی، ولو فرض ذلک فی خصوص اللسان الذی کان یتکلّم به آدم علیه السلام فلا شکّ فی أنّه غیر مقبول بالنسبة إلی اللغات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الواضع شخصاً خاصّاً أو جماعة معیّنة، فهو أیضاً لا دلیل علیه من التاریخ علی ما بأیدینا، بل الوجدان حاکم علی خلافه، لأنّا نجد إبداع ألفاظ جدیدة علی أساس الحاجات الیومیّة، من دون وجود واضع خاصّ معروف فی البین، فیتعیّن حینئذٍ کون الواضع عدّة أفراد مختلفین یضعون ألفاظاً لمعان مختلفة بحسب حاجاتهم فی کلّ عصر من الأعصار</w:t>
      </w:r>
      <w:r>
        <w:rPr>
          <w:rFonts w:eastAsia="IRNazanin" w:cs="IRNazanin"/>
          <w:color w:val="111111"/>
          <w:sz w:val="28"/>
          <w:szCs w:val="28"/>
          <w:rtl w:val="true"/>
          <w:lang w:bidi="fa-IR"/>
        </w:rPr>
        <w:t>.</w:t>
      </w:r>
    </w:p>
    <w:p>
      <w:pPr>
        <w:pStyle w:val="Heading5"/>
        <w:numPr>
          <w:ilvl w:val="4"/>
          <w:numId w:val="1"/>
        </w:numPr>
        <w:rPr/>
      </w:pPr>
      <w:bookmarkStart w:id="303" w:name="__RefHeading___Toc96148_3244359995"/>
      <w:bookmarkStart w:id="304" w:name="_Toc114"/>
      <w:bookmarkEnd w:id="303"/>
      <w:r>
        <w:rPr/>
        <w:t>3</w:t>
      </w:r>
      <w:r>
        <w:rPr>
          <w:rtl w:val="true"/>
        </w:rPr>
        <w:t xml:space="preserve">. </w:t>
      </w:r>
      <w:r>
        <w:rPr>
          <w:rtl w:val="true"/>
        </w:rPr>
        <w:t>أقسام الوضع</w:t>
      </w:r>
      <w:bookmarkEnd w:id="30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 الوضع یحتاج إلی تصوّر اللفظ والمعنی ینقسم الوضع إلی أقسام بلحاظ اختلاف المعنی من حیث الکلیّة والجزئیّة، وباعتبار أنّ المعنی الموضوع له تارةً یتّحد مع ما یتصوّره الواضع، واخری یختلف، فالأقسام الحاصلة أربعة</w:t>
      </w:r>
      <w:r>
        <w:rPr>
          <w:rFonts w:eastAsia="IRNazanin" w:cs="IRNazanin"/>
          <w:color w:val="111111"/>
          <w:sz w:val="28"/>
          <w:szCs w:val="28"/>
          <w:rtl w:val="true"/>
          <w:lang w:bidi="fa-IR"/>
        </w:rPr>
        <w:t>.</w:t>
      </w:r>
      <w:bookmarkStart w:id="305" w:name="pg16918_187395"/>
    </w:p>
    <w:p>
      <w:pPr>
        <w:pStyle w:val="BookText"/>
        <w:rPr/>
      </w:pPr>
      <w:bookmarkEnd w:id="305"/>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المعنی المتصوّر مفهوماً عامّاً، أی‌معنیً کلّیاً، ویوضع اللفظ بإزاء نفس ذلک المفهوم، فیکون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المعنی المتصوّر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والموضوع له أیضاً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الوضع والموضوع له کلاهما خاصّین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یتصوّر معنیً عامّاً ویضع اللفظ لمصادیقه، فیکون الوضع عامّاً والموضوع له خاصّاً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کلام فی إمکان هذه الأقسام الثلاثة، کما لا إشکال فی وقوع القسم الأوّل والثانی فی الخارج، فمن القسم الأوّل أسماء الأجناس، ومن الثانی الأعلام الشخصیّة، وأمّا القسم الثالث فالمشهور وقوعه خارجاً، وعدّوا من مصادیقه المعانی الحرفیّة وما شابهها، وسیأتی تحقیقه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یتصوّر معنیً جزئیاً ویضع اللفظ لکلّیه، کأن یتصوّر زیداً مثلًا ویضع اللفظ للإنسان، فیکون الوضع عامّاً والموضوع له خاصّاً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والمشهور استحالة هذا القسم وهو الصحیح؛ لأنّ الخاصّ من حیث کونه خاصّاً لا یکون مرآة للعامّ وعنواناً له بخلاف العکس، فإنّ العامّ شامل لأفراده ووجه لها</w:t>
      </w:r>
      <w:r>
        <w:rPr>
          <w:rFonts w:eastAsia="IRNazanin" w:cs="IRNazanin"/>
          <w:color w:val="111111"/>
          <w:sz w:val="28"/>
          <w:szCs w:val="28"/>
          <w:rtl w:val="true"/>
          <w:lang w:bidi="fa-IR"/>
        </w:rPr>
        <w:t>.</w:t>
      </w:r>
    </w:p>
    <w:p>
      <w:pPr>
        <w:pStyle w:val="Heading5"/>
        <w:numPr>
          <w:ilvl w:val="4"/>
          <w:numId w:val="1"/>
        </w:numPr>
        <w:rPr/>
      </w:pPr>
      <w:bookmarkStart w:id="306" w:name="__RefHeading___Toc96150_3244359995"/>
      <w:bookmarkStart w:id="307" w:name="_Toc115"/>
      <w:bookmarkEnd w:id="306"/>
      <w:r>
        <w:rPr/>
        <w:t>4</w:t>
      </w:r>
      <w:r>
        <w:rPr>
          <w:rtl w:val="true"/>
        </w:rPr>
        <w:t xml:space="preserve">. </w:t>
      </w:r>
      <w:r>
        <w:rPr>
          <w:rtl w:val="true"/>
        </w:rPr>
        <w:t>تحقیق حول المعانی الحرفیة</w:t>
      </w:r>
      <w:bookmarkEnd w:id="307"/>
    </w:p>
    <w:p>
      <w:pPr>
        <w:pStyle w:val="BookText"/>
        <w:rPr/>
      </w:pPr>
      <w:r>
        <w:rPr>
          <w:rFonts w:ascii="IRNazanin" w:hAnsi="IRNazanin" w:eastAsia="IRNazanin"/>
          <w:color w:val="111111"/>
          <w:sz w:val="28"/>
          <w:sz w:val="28"/>
          <w:szCs w:val="28"/>
          <w:rtl w:val="true"/>
          <w:lang w:bidi="fa-IR"/>
        </w:rPr>
        <w:t>اختلفوا فی المعنی الحرفی علی أقوال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الحروف لا معانی لها، بل هی علامات للمعانی الإسمیّة کالإعراب فی الکلمات المعربة، فکما أنّ الرفع مثلًا علامة للفاعل، والنصب علامة للمفعول، کذلک الحروف،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علامة لابتداء السیر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لانتهائه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مخالف لما یتبادر من الحروف إلی الذهن عند استعمالها، وقیاسه بالإعراب قیاس مع الفارق، لأنّه یتبادر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خاصّ کالظرفیّة، ولا یتبادر شی‌ء من علامة الرفع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المحقّق الخراسانی رحمه الله وهو عکس الأوّل، وحاصله عدم الفرق بین الحروف والأسماء فی کون معانی کلیهما استقلالیّة، فلا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دلالة کلیهما علی الابتداء، وعدم إمکان استعمال أحدهما فی موضع الآخر ناش من شرط الواضع لا إنّه مأخوذ فی الموضوع له، فإنّ الواضع اعتبر لزوم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لم یکن معنی الابتداء ملحوظاً استقلالیاً وشرط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استعمالها فیما إذا لم یکن المعنی آلیّاً</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الشرط لا یوجب إلزاماً لغیره من المستعملین، فإنّ الذی یجب قبوله من الواضع إنّما هو ما یکون فی دائرة الوضع، فإن کان هناک شی‌ء خارج عنها وکان الموضوع له مطلقاً بالنسبة إلیه فلا مانع حینئذٍ فی استعمال تلک اللّفظة علی نحو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المحقّق النائینی رحمه الله من أنّ معانی الحروف کلّها إیجادیة یوجد بها الربط بین أجزاء الکلام،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توجد الربط بین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وظاهر کلامه إنّها لیست حاکیات عن معانیها بل وضعت لإنشائها،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لا تحکی عن الظرفیّة بل توجدها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معنی لإیجاد النسبة بلفظ لا معنی له ولا یدلّ علی مفهوم، فإن لم یکن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معنی الظرفیّة، فلا یمکن إیجادها بها فی الکلام، فاللازم</w:t>
      </w:r>
    </w:p>
    <w:p>
      <w:pPr>
        <w:pStyle w:val="BookText"/>
        <w:rPr/>
      </w:pPr>
      <w:r>
        <w:rPr>
          <w:rFonts w:ascii="IRNazanin" w:hAnsi="IRNazanin" w:eastAsia="IRNazanin"/>
          <w:color w:val="111111"/>
          <w:sz w:val="28"/>
          <w:sz w:val="28"/>
          <w:szCs w:val="28"/>
          <w:rtl w:val="true"/>
          <w:lang w:bidi="fa-IR"/>
        </w:rPr>
        <w:t xml:space="preserve">دلالة الحروف أوّلًا علی معنی وحکایتها عنه، ثمّ إیجاد النسبة الکلامیّة بها فی ضوء تلک الحکایة، مع أنّه لو کانت معانی الحروف إیجادیّة فلا سبیل للصدق والکذب إلیها، کما هو کذلک فی جمیع الإنشائیّات فلا معنی لکون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صادقة أو 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سیدنا الاستاذ المحقّق الخوئی رحمه الله، وملخّصه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الحروف بأجمعها وضعت لتضییقات المعانی الاسمیة وتقییداتها بقیود خارجة عن حقائقها، ومع ذلک لا نظر لها إلی النسب الخارجیّة، بل التضییق إنّما هو فی عالم المفهومیّة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مفهوم اسمی له سعة وإطلاق بالإضافة إلی الحصص الّتی تحته سواء کان الإطلاق بالقیاس إلی الخصوصیّات المنوّعة أو المصنّفة أو المشخّصة أو بالقیاس إلی حالات شخص واحد، ومن الضروری أنّ غرض المتکلّم کما یتعلّق بإفادة المفهوم علی إطلاقه وسعته کذلک قد یتعلّق بإفادة حصّة خاصّة منه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 حکمها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وحیث إنّ حصص المعنی الواحد فضلًا عن المعانی الکثیرة غیر متناهیّة، فلابدّ للواضع الحکیم من وضع ما یوجب تخصیص المعنی وتقییده عند الحاجة إلیه، ولیس ذلک إلّا بسبب الحروف والهیئات وبذلک یظهر أنّ إیجاد الحروف لمعانیها إنّما هو باعتبار حدوث الضیق فی مرحلة الإثبات والدلالة، وإلّا کان المفهوم متّصفاً بالإطلاق والسعة وأمّا باعتبار مقام الثبوت فالکاشف عن تعلّق القصد بإفادة المعنی المضیّق إنّما هو الحروف</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یلاحظ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قسماً ثالثاً من الحروف لا یجری فیه شی‌ء ممّا ذکره، کالحروف العاطفة فإنّها لیست إنشائیّة کما أنّها لیست لبیان الحصص الخاصّة من المعانی الإسمیّة وغیرها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التضییق 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من طریق الحکایة والدلالة علی الخارج أو بدونها، فإن لم یکن مع الدلالة فلا معنی له، وإن کان مع</w:t>
      </w:r>
      <w:bookmarkStart w:id="308" w:name="pg16918_187398"/>
    </w:p>
    <w:p>
      <w:pPr>
        <w:pStyle w:val="BookText"/>
        <w:rPr/>
      </w:pPr>
      <w:bookmarkEnd w:id="308"/>
      <w:r>
        <w:rPr>
          <w:rFonts w:ascii="IRNazanin" w:hAnsi="IRNazanin" w:eastAsia="IRNazanin"/>
          <w:color w:val="111111"/>
          <w:sz w:val="28"/>
          <w:sz w:val="28"/>
          <w:szCs w:val="28"/>
          <w:rtl w:val="true"/>
          <w:lang w:bidi="fa-IR"/>
        </w:rPr>
        <w:t>الحکایة والدلالة فیکون دور الحروف أوّلًا هو الدلالة علی معنی والحکایة عن الخارج، ثمّ تضییق المعانی الإسمیّة بواسطتها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کثیر من المحقّقین؛ من أنّ الحروف وضعت للحکایة عن النسب الخارجیّة والمفاهیم غیر المستقلّة؛ لأنّ المفاهیم والمعانی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مستقلّة وغیر مستقلّة، فالمستقلّة نحو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المستقلّة مثل ابتدائه وانتهائه، وکما نحتاج فی بیان المعانی المستقلّة والحکایة عنها إلی ألفاظ، کذلک فی المعانی غیر المستقلّة، فمثلًا کما نحتاج فی بیان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لفظ زید وقائم، کذلک نحتاج فی بیان نسبة زید إلی قائم وصدور القیام عن زید إلی وضع لفظ، وهو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ونحتاج فی بیان کیفیة السیر من حیث الابتداء والانتهاء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إلی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فالحروف تدلّ علی مفاهیم غیر مستقلّة فی الذهن والخارج وتکون حاکیات عنها ولا تدلّ علی الإیجاد أو التضییق إلّا بسبب دلالتها علی ما ذکر</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القول وإن کان قویّاً من بعض الجهات، لکن لا یشمل تمام أقسام الحروف ولتبیین ذلک لابدّ من بیان أقسام الحروف حتیّ تتّضح کیفیة الوضع فیها</w:t>
      </w:r>
      <w:r>
        <w:rPr>
          <w:rFonts w:eastAsia="IRNazanin" w:cs="IRNazanin"/>
          <w:color w:val="111111"/>
          <w:sz w:val="28"/>
          <w:szCs w:val="28"/>
          <w:rtl w:val="true"/>
          <w:lang w:bidi="fa-IR"/>
        </w:rPr>
        <w:t>.</w:t>
      </w:r>
    </w:p>
    <w:p>
      <w:pPr>
        <w:pStyle w:val="Heading5"/>
        <w:numPr>
          <w:ilvl w:val="4"/>
          <w:numId w:val="1"/>
        </w:numPr>
        <w:rPr/>
      </w:pPr>
      <w:bookmarkStart w:id="309" w:name="__RefHeading___Toc96152_3244359995"/>
      <w:bookmarkStart w:id="310" w:name="_Toc116"/>
      <w:bookmarkEnd w:id="309"/>
      <w:r>
        <w:rPr/>
        <w:t>5</w:t>
      </w:r>
      <w:r>
        <w:rPr>
          <w:rtl w:val="true"/>
        </w:rPr>
        <w:t xml:space="preserve">. </w:t>
      </w:r>
      <w:r>
        <w:rPr>
          <w:rtl w:val="true"/>
        </w:rPr>
        <w:t>أقسام الحروف</w:t>
      </w:r>
      <w:bookmarkEnd w:id="310"/>
    </w:p>
    <w:p>
      <w:pPr>
        <w:pStyle w:val="BookText"/>
        <w:rPr/>
      </w:pPr>
      <w:r>
        <w:rPr>
          <w:rFonts w:ascii="IRNazanin" w:hAnsi="IRNazanin" w:eastAsia="IRNazanin"/>
          <w:color w:val="111111"/>
          <w:sz w:val="28"/>
          <w:sz w:val="28"/>
          <w:szCs w:val="28"/>
          <w:rtl w:val="true"/>
          <w:lang w:bidi="fa-IR"/>
        </w:rPr>
        <w:t>الحقّ أنّ الحروف علی أقسام مختلفة لا یمکن جعلها تحت عنوان واحد، فقسم منها حاکیات عن النسب والحالات القائمة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وقسم آخر إیجادی إنشائی لا تحکی عن شی‌ء بل ینشأ بها معانیها،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وقسم ثالث منها علامات لربط الکلام مثل حروف الاستئناف والعطف</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وقسم رابع یکون لها معنی اسمی نحو کاف التشبیه الّتی تکون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فلایمکن سوق جمیعها فی سیاق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أن یتصوّر للثلاثة الاولی جامعاً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له معنی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الذهن ولا فی الخارج أعمّ من أن یکون علی نحو السالبة بانتفاء الموضوع کالقسم الثالث، أو کان له معنی غیر مستقلّ وهو القسم الأوّل والثانی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القسم الرابع فإنّه وإن کان له معنی مستقلّ، إلّا أنّه یلحق بالثلاثة لشباهته بها لفظاً، بل ومن حیث المعنی من بعض الجهات یکون التشبیه الذی هو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بالطرفین، وهما المشبّه والمشبّه به، فیمکن إدخاله تحت ذلک الجامع ببعض الملاحظات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البحث فی المعانی الحرفیة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فبما ذکرنا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الوضع فی القسم الأوّل من الحروف عامّ والموضوع له خاصّ،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لم توضع للابتداء الکلّی المتصوّر فی الذهن حین الوضع، بل وضعت لمصادیقه الجزئیّة فی الخارج، لأنّها تحکی عن الابتداء الذی تکون حالة لغیره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الموضوع له خاصّاً لجزئیّة المصداق، والوضع عامّاً؛ لعدم إمکان إحصاء هذه المصادیق لکثرتها، فنحتاج فی تصوّرها إلی تصوّر جامع وعنوان مشیر إلیها، ولولا ذلک لم یکن فرق بینه وبین لفظ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القسم الثانی وهی الّتی تدلّ علی المعانی الإیجادیة، یکون الموضوع له فیها جزئیاً حقیقیاً خارجیاً؛ لأنّها وضعت للإنشاء الذی هو إیجاد، ومن المعلوم أنّ ما یوجد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النداء الجزئی الخارجی لا تعدّد ولا تکثّر فیه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القسم الثالث الذی یکون من قبیل العلامة، فلعدم دلالته علی المعنی لا یتصوّر فیه الوضع والموضوع له المعهودان فی باب الألفاظ اللّذین هما محلّ الکلام،</w:t>
      </w:r>
      <w:bookmarkStart w:id="311" w:name="pg16918_187400"/>
    </w:p>
    <w:p>
      <w:pPr>
        <w:pStyle w:val="BookText"/>
        <w:rPr/>
      </w:pPr>
      <w:bookmarkEnd w:id="311"/>
      <w:r>
        <w:rPr>
          <w:rFonts w:ascii="IRNazanin" w:hAnsi="IRNazanin" w:eastAsia="IRNazanin"/>
          <w:color w:val="111111"/>
          <w:sz w:val="28"/>
          <w:sz w:val="28"/>
          <w:szCs w:val="28"/>
          <w:rtl w:val="true"/>
          <w:lang w:bidi="fa-IR"/>
        </w:rPr>
        <w:t>بل هی علامات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القسم الرابع، لا نأبی من کون الوضع فیه عامّاً والموضوع له أیضاً عامّاً کأسماء الأجناس، ولکنّه قلیل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معانی الحروف وإن کانت غیر مستقلّة لا تلاحظ فی أنفسها، بل تلاحظ فی غیرها، لکن لیس هذا بمعنی الغفلة عنها وعدم النظر إلیها کما قیل، بل ربّما تکون هی المقصود بالبیان فقط،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علیک لا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قصد المتکلّم فیها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یکون غیرهما مقصوداً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فی باب الواجب المشروط ثمرة هذه النکتة بالنسبة إلی القیود الواردة فی الجملة وأنّها هل ترجع إلی المادّة أو الهیئة؟ فقال بعض باستحالة رجوعها إلی الهیئة؛ لکونها من المعانی الحرفیّة</w:t>
      </w:r>
      <w:r>
        <w:rPr>
          <w:rStyle w:val="FootnoteAnchor"/>
          <w:rtl w:val="true"/>
        </w:rPr>
        <w:footnoteReference w:id="259"/>
      </w:r>
      <w:r>
        <w:rPr>
          <w:rFonts w:ascii="IRNazanin" w:hAnsi="IRNazanin" w:eastAsia="IRNazanin"/>
          <w:color w:val="111111"/>
          <w:sz w:val="28"/>
          <w:sz w:val="28"/>
          <w:szCs w:val="28"/>
          <w:rtl w:val="true"/>
          <w:lang w:bidi="fa-IR"/>
        </w:rPr>
        <w:t>، وهی مغفول عنها لا ینظر إلیها، وشرحه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أنّه ظهر ممّا ذکرنا فی المقام أنّ عدم استقلال معانی الحروف لا یساوق عدم النظر إلیها وصیرورتها مغفولًا عنها، بل المراد قیامها بالطرفین فی الذهن والخارج، فلا إشکال فی جواز تقییدها بالقیود الواردة فی الکلام</w:t>
      </w:r>
      <w:r>
        <w:rPr>
          <w:rFonts w:eastAsia="IRNazanin" w:cs="IRNazanin"/>
          <w:color w:val="111111"/>
          <w:sz w:val="28"/>
          <w:szCs w:val="28"/>
          <w:rtl w:val="true"/>
          <w:lang w:bidi="fa-IR"/>
        </w:rPr>
        <w:t>.</w:t>
      </w:r>
    </w:p>
    <w:p>
      <w:pPr>
        <w:pStyle w:val="Heading5"/>
        <w:numPr>
          <w:ilvl w:val="4"/>
          <w:numId w:val="1"/>
        </w:numPr>
        <w:rPr/>
      </w:pPr>
      <w:bookmarkStart w:id="312" w:name="__RefHeading___Toc96154_3244359995"/>
      <w:bookmarkStart w:id="313" w:name="_Toc117"/>
      <w:bookmarkEnd w:id="312"/>
      <w:r>
        <w:rPr/>
        <w:t>6</w:t>
      </w:r>
      <w:r>
        <w:rPr>
          <w:rtl w:val="true"/>
        </w:rPr>
        <w:t xml:space="preserve">. </w:t>
      </w:r>
      <w:r>
        <w:rPr>
          <w:rtl w:val="true"/>
        </w:rPr>
        <w:t>الفرق بین الإخبار والإنشاء</w:t>
      </w:r>
      <w:bookmarkEnd w:id="31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اختار صاحب الکفایة رحمه الله عدم الفرق بین الإخبار والإنشاء لا فی الموضوع له ولا فی المستعمل فیه، وفرّق بینهما فی کیفیة الاستعمال وغایته </w:t>
      </w:r>
      <w:r>
        <w:rPr>
          <w:rStyle w:val="FootnoteAnchor"/>
          <w:rtl w:val="true"/>
        </w:rPr>
        <w:footnoteReference w:id="260"/>
      </w:r>
      <w:r>
        <w:rPr>
          <w:rFonts w:ascii="IRNazanin" w:hAnsi="IRNazanin" w:eastAsia="IRNazanin"/>
          <w:color w:val="111111"/>
          <w:sz w:val="28"/>
          <w:sz w:val="28"/>
          <w:szCs w:val="28"/>
          <w:rtl w:val="true"/>
          <w:lang w:bidi="fa-IR"/>
        </w:rPr>
        <w:t xml:space="preserve">، فالموضوع له والمستعمل فیه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الإخبار والإنشاء واحد، إلّا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bookmarkStart w:id="314" w:name="pg16918_187401"/>
    </w:p>
    <w:p>
      <w:pPr>
        <w:pStyle w:val="BookText"/>
        <w:rPr/>
      </w:pPr>
      <w:bookmarkEnd w:id="314"/>
      <w:r>
        <w:rPr>
          <w:rFonts w:ascii="IRNazanin" w:hAnsi="IRNazanin" w:eastAsia="IRNazanin"/>
          <w:color w:val="111111"/>
          <w:sz w:val="28"/>
          <w:sz w:val="28"/>
          <w:szCs w:val="28"/>
          <w:rtl w:val="true"/>
          <w:lang w:bidi="fa-IR"/>
        </w:rPr>
        <w:t xml:space="preserve">الخبریّة وضعت لأن یراد منها الحکایة عن الخارج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الإنشائیّة وضعت لأن یراد منها إیجاد البیع وإنشاؤه فی عالم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الإنشاء والإخبار أمران مختلفان، ذاتاً وجوهراً کما هو مقتضی حکمة الوضع، أمّا الإخبار فهو فی الواقع بمنزلة التصویر من الخارج بآلة التصویر من دون تصرّف من ناحیة المصوّر، وأمّا الإنشاء فهو إیجاد معنی فی عالم الاعتبار من دون أن یکون بإزائه فی الخارج شی‌ء یحکی عنه، لأنّ ید الجعل لا تنال عالم التکوین، بل هی مختصّة بالامور الاعتباریّة، وبالنتیجة لا شباهة بین ماهیة الإنشاء وماهیة الإخبار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بینهما هو نفس الفرق بین الامور التکوینیّة والاعتباریّة، وأمّا نحو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وأمثالها الّتی تستعمل فی الإخبار والإنشاء کلیهما، فإنّها من قبیل الألفاظ المشترکة الّتی وضعت لمعنیین مختلفین ولا بأس بالالتزام به</w:t>
      </w:r>
      <w:r>
        <w:rPr>
          <w:rFonts w:eastAsia="IRNazanin" w:cs="IRNazanin"/>
          <w:color w:val="111111"/>
          <w:sz w:val="28"/>
          <w:szCs w:val="28"/>
          <w:rtl w:val="true"/>
          <w:lang w:bidi="fa-IR"/>
        </w:rPr>
        <w:t>.</w:t>
      </w:r>
    </w:p>
    <w:p>
      <w:pPr>
        <w:pStyle w:val="Heading5"/>
        <w:numPr>
          <w:ilvl w:val="4"/>
          <w:numId w:val="1"/>
        </w:numPr>
        <w:rPr/>
      </w:pPr>
      <w:bookmarkStart w:id="315" w:name="__RefHeading___Toc96156_3244359995"/>
      <w:bookmarkStart w:id="316" w:name="_Toc118"/>
      <w:bookmarkEnd w:id="315"/>
      <w:r>
        <w:rPr/>
        <w:t>7</w:t>
      </w:r>
      <w:r>
        <w:rPr>
          <w:rtl w:val="true"/>
        </w:rPr>
        <w:t xml:space="preserve">. </w:t>
      </w:r>
      <w:r>
        <w:rPr>
          <w:rtl w:val="true"/>
        </w:rPr>
        <w:t>الکلام فی معنی أسماء الإشارة</w:t>
      </w:r>
      <w:bookmarkEnd w:id="316"/>
    </w:p>
    <w:p>
      <w:pPr>
        <w:pStyle w:val="Heading6"/>
        <w:numPr>
          <w:ilvl w:val="5"/>
          <w:numId w:val="1"/>
        </w:numPr>
        <w:rPr/>
      </w:pPr>
      <w:bookmarkStart w:id="317" w:name="__RefHeading___Toc96158_3244359995"/>
      <w:bookmarkStart w:id="318" w:name="_Toc119"/>
      <w:bookmarkEnd w:id="317"/>
      <w:r>
        <w:rPr>
          <w:rtl w:val="true"/>
        </w:rPr>
        <w:t>اشارة</w:t>
      </w:r>
      <w:bookmarkEnd w:id="318"/>
    </w:p>
    <w:p>
      <w:pPr>
        <w:pStyle w:val="BookText"/>
        <w:rPr/>
      </w:pPr>
      <w:r>
        <w:rPr>
          <w:rFonts w:ascii="IRNazanin" w:hAnsi="IRNazanin" w:eastAsia="IRNazanin"/>
          <w:color w:val="111111"/>
          <w:sz w:val="28"/>
          <w:sz w:val="28"/>
          <w:szCs w:val="28"/>
          <w:rtl w:val="true"/>
          <w:lang w:bidi="fa-IR"/>
        </w:rPr>
        <w:t>وفیه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الخراسانی رحمه الله من أنّ المستعمل فیه فی مثل أسماء الإشارة والضمائر أیضاً عامّ وإنّ تشخّصها إنّما نشأ من قبل طور استعمالها، حیث إنّ أسماء الإشارة وضعت لیشار بها إلی معانیها</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کلامه هذا نشأ من ما مرّ من المبنی الذی بنی علیه فی المعانی الحرفیّة فالجواب هو الجواب ولا حاجة إلی التکرار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به المحقّق الإصفهانی رحمه الله من أنّ أسماء الإشارة موضوعة لنفس المعنی عند تعلّق الإشارة به خارجاً أو ذهناً بنحو من الأنحاء، فقولک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 علی زید مثلًا إلّا إذا صار مشاراً إلیه بالید أو بالعین مثلًا، فالفرق بین</w:t>
      </w:r>
      <w:bookmarkStart w:id="319" w:name="pg16918_187402"/>
    </w:p>
    <w:p>
      <w:pPr>
        <w:pStyle w:val="BookText"/>
        <w:rPr/>
      </w:pPr>
      <w:bookmarkEnd w:id="319"/>
      <w:r>
        <w:rPr>
          <w:rFonts w:ascii="IRNazanin" w:hAnsi="IRNazanin" w:eastAsia="IRNazanin"/>
          <w:color w:val="111111"/>
          <w:sz w:val="28"/>
          <w:sz w:val="28"/>
          <w:szCs w:val="28"/>
          <w:rtl w:val="true"/>
          <w:lang w:bidi="fa-IR"/>
        </w:rPr>
        <w:t xml:space="preserve">مفهوم لفظ المشار إلیه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الفرق بین العنوان والحقیقة وحینئذٍ فعموم الموضوع له لا وجه له، بل الوضع حینئذٍ عامّ والموضوع له خاصّ کالحروف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تقریرات الإمام الخمینی قدس سره من أنّ ألفاظ الإشارة وضعت لإیجاد الإشارة فقط، وإنّها تقوم مقام الإشارة بالإصبع وإشارة الأخرس، فکما أنّه بإشارة الإصبع توجد الإشارة، کذلک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ولذلک یقوم أحدهما مقام الآخر، فالموضوع له فی کلّ واحد منهما نفس الإشارة، وعلی هذا فیندرج تلک الألفاظ فی باب الحروف ولا استقلال لها لا فی الذهن ولا فی الخارج، فکما لا تدلّ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معنی مستقلّ، کذلک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تدلّ علی معنی کذلک، فألفاظ الإشارة فی الحقیقة حروف لا أسماء</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0" w:name="__RefHeading___Toc96160_3244359995"/>
      <w:bookmarkStart w:id="321" w:name="_Toc120"/>
      <w:bookmarkEnd w:id="320"/>
      <w:r>
        <w:rPr>
          <w:rtl w:val="true"/>
        </w:rPr>
        <w:t>وتحقیق معنی هذه الأسماء یتمّ فی ضمن امور</w:t>
      </w:r>
      <w:r>
        <w:rPr>
          <w:rtl w:val="true"/>
        </w:rPr>
        <w:t>:</w:t>
      </w:r>
      <w:bookmarkEnd w:id="32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الإشارة تعیین شی‌ء من بین الأشیاء المتشابهة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ما یدلّ علی الإشارة تکویناً قبل وضع الألفاظ کالإشارة بالید والعین، وهی کلّها تدلّ علی معنی معیّن فی الخارج، ثمّ وضعت لها ألفاظ یقوم مقامها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لکلّ من الإشارة الحسّیة والإشارة اللّفظیة نقصاً لا یکون فی الآخر، فالإشارة الحسّیة لا تدلّ علی الإفراد والتثنیّة والجمع والتذکیر والتأنیث بخلاف الإشارة اللّفظیة، کما أنّ اللّفظیة لا یتعیّن ولا یتشخّص بها المشار إلیه بخلاف الحسّیة، ولذا تضمّ إلی الإشارة اللّفظیة الإشارة الحسّیة لتعیین المشار إلیه غالباً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ینبغی الشکّ فی کون ألفاظ الإشارة أسماء کما علیه اتّفاق النحویین، وهو موافق لما نجده بالتبادر عند ذکرها، فإنّا نفهم وجداناً من إطلاق لفظ</w:t>
      </w:r>
      <w:bookmarkStart w:id="322" w:name="pg16918_187403"/>
    </w:p>
    <w:p>
      <w:pPr>
        <w:pStyle w:val="BookText"/>
        <w:rPr/>
      </w:pPr>
      <w:bookmarkEnd w:id="3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وشبهه معنیً مستقلًاّ وإن کان مجملًا أو مبهماً من بعض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فمدلولات أسماء الإشارات مفاهیم إسمیّة وإن کانت فیها رائحة الحروف فلها من حیث دلالتها علی المفرد والتثنیّة والجمع والمذکّر والمؤنّث معان إسمیّة، ومن حیث اشتمالها علی إیجاد الإشارة لها رائحة الحروف و بهذا الاعتبار یکون الوضع فیها عامّاً والموضوع له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ظهر ضعف القول بأنّها من قبیل الحروف، کما ظهر أنّ مفادها إنشاء الإشارة بنفس ألفاظها، فالإشارة مأخوذة فی حاقّ معانیها لا أمر خارج عنها</w:t>
      </w:r>
      <w:r>
        <w:rPr>
          <w:rFonts w:eastAsia="IRNazanin" w:cs="IRNazanin"/>
          <w:color w:val="111111"/>
          <w:sz w:val="28"/>
          <w:szCs w:val="28"/>
          <w:rtl w:val="true"/>
          <w:lang w:bidi="fa-IR"/>
        </w:rPr>
        <w:t>.</w:t>
      </w:r>
    </w:p>
    <w:p>
      <w:pPr>
        <w:pStyle w:val="Heading5"/>
        <w:numPr>
          <w:ilvl w:val="4"/>
          <w:numId w:val="1"/>
        </w:numPr>
        <w:rPr/>
      </w:pPr>
      <w:bookmarkStart w:id="323" w:name="__RefHeading___Toc96162_3244359995"/>
      <w:bookmarkStart w:id="324" w:name="_Toc121"/>
      <w:bookmarkEnd w:id="323"/>
      <w:r>
        <w:rPr/>
        <w:t>8</w:t>
      </w:r>
      <w:r>
        <w:rPr>
          <w:rtl w:val="true"/>
        </w:rPr>
        <w:t xml:space="preserve">. </w:t>
      </w:r>
      <w:r>
        <w:rPr>
          <w:rtl w:val="true"/>
        </w:rPr>
        <w:t>الکلام فی الضمائر</w:t>
      </w:r>
      <w:bookmarkEnd w:id="324"/>
    </w:p>
    <w:p>
      <w:pPr>
        <w:pStyle w:val="BookText"/>
        <w:rPr/>
      </w:pPr>
      <w:r>
        <w:rPr>
          <w:rFonts w:ascii="IRNazanin" w:hAnsi="IRNazanin" w:eastAsia="IRNazanin"/>
          <w:color w:val="111111"/>
          <w:sz w:val="28"/>
          <w:sz w:val="28"/>
          <w:szCs w:val="28"/>
          <w:rtl w:val="true"/>
          <w:lang w:bidi="fa-IR"/>
        </w:rPr>
        <w:t>قال المحقّق الخراسانی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الضمائر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وضع لیشار به إلی معنی خاصّ، وهی الضمائر الغائبة، وبعض آخر وضع لأن یخاطب به،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والإشارة والتخاطب حین الاستعمال یستدعیان التشخّص فلا یکونان جزءین من الموضوع له، بل الموضوع له هو المفرد المذکّر الکلّی المتصوّر حین الوضع، وعلی هذا فالوضع والموضوع له فیها عامّ</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الحقّ فیها هوالتفصیل بین الضمائر، أمّا الغائب منها فلا دلالة لها علی الإشارة، ویشهد علیه قیامها مقام تکرار الاسم، فیقال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وجلس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وجلس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فمعانیها اسمیة لا تدلّ علی نوع من الإشارة والموضوع له فیها عامّ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ضمیر المخاطب أو المتکلّم فیدلّ علی نوع من الإشارة، ویشهد علیه عدم قیام اسم الظاهر مقامهما، فلا یمکن أن یقال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یشهد علیه أیضاً انضمام الإشارة بالید أو الرأس ونحوهما حین إطلاقهما کما فی أسماء الإشارة، فتکون شبیهة بالحروف، فیکون الوضع فیها عامّاً والموضوع له خاصّاً</w:t>
      </w:r>
      <w:r>
        <w:rPr>
          <w:rFonts w:eastAsia="IRNazanin" w:cs="IRNazanin"/>
          <w:color w:val="111111"/>
          <w:sz w:val="28"/>
          <w:szCs w:val="28"/>
          <w:rtl w:val="true"/>
          <w:lang w:bidi="fa-IR"/>
        </w:rPr>
        <w:t>.</w:t>
      </w:r>
      <w:bookmarkStart w:id="325" w:name="pg16918_187404"/>
    </w:p>
    <w:p>
      <w:pPr>
        <w:pStyle w:val="BookText"/>
        <w:rPr/>
      </w:pPr>
      <w:bookmarkEnd w:id="325"/>
      <w:r>
        <w:rPr>
          <w:rFonts w:ascii="IRNazanin" w:hAnsi="IRNazanin" w:eastAsia="IRNazanin"/>
          <w:color w:val="111111"/>
          <w:sz w:val="28"/>
          <w:sz w:val="28"/>
          <w:szCs w:val="28"/>
          <w:rtl w:val="true"/>
          <w:lang w:bidi="fa-IR"/>
        </w:rPr>
        <w:t>نعم، اسم الإشارة یدلّ علی الإشارة وتعیین المشار إلیه فقط، وأمّا ضمیر المخاطب والمتکلّم فمضافاً إلی دلالتهما علی الإشارة، یدلّان علی کون المشار إلیه مخاطباً أو متکلّماً</w:t>
      </w:r>
      <w:r>
        <w:rPr>
          <w:rFonts w:eastAsia="IRNazanin" w:cs="IRNazanin"/>
          <w:color w:val="111111"/>
          <w:sz w:val="28"/>
          <w:szCs w:val="28"/>
          <w:rtl w:val="true"/>
          <w:lang w:bidi="fa-IR"/>
        </w:rPr>
        <w:t>.</w:t>
      </w:r>
    </w:p>
    <w:p>
      <w:pPr>
        <w:pStyle w:val="Heading5"/>
        <w:numPr>
          <w:ilvl w:val="4"/>
          <w:numId w:val="1"/>
        </w:numPr>
        <w:rPr/>
      </w:pPr>
      <w:bookmarkStart w:id="326" w:name="__RefHeading___Toc96164_3244359995"/>
      <w:bookmarkStart w:id="327" w:name="_Toc122"/>
      <w:bookmarkEnd w:id="326"/>
      <w:r>
        <w:rPr/>
        <w:t>9</w:t>
      </w:r>
      <w:r>
        <w:rPr>
          <w:rtl w:val="true"/>
        </w:rPr>
        <w:t xml:space="preserve">. </w:t>
      </w:r>
      <w:r>
        <w:rPr>
          <w:rtl w:val="true"/>
        </w:rPr>
        <w:t>الکلام فی الموصولات</w:t>
      </w:r>
      <w:bookmarkEnd w:id="327"/>
    </w:p>
    <w:p>
      <w:pPr>
        <w:pStyle w:val="BookText"/>
        <w:rPr/>
      </w:pPr>
      <w:r>
        <w:rPr>
          <w:rFonts w:ascii="IRNazanin" w:hAnsi="IRNazanin" w:eastAsia="IRNazanin"/>
          <w:color w:val="111111"/>
          <w:sz w:val="28"/>
          <w:sz w:val="28"/>
          <w:szCs w:val="28"/>
          <w:rtl w:val="true"/>
          <w:lang w:bidi="fa-IR"/>
        </w:rPr>
        <w:t>قال فی تهذیب الاصول ما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الموصولات أیضاً نوعاً من الإشارة فمعانیها معان إیجادیّة، وضعت لإیجاد الإشارة إلی مبهم یتوقّع رفع إبهامه بالصلة</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الموصولات وزان ضمائر الغیبة ولا تدلّ علی الإشارة أصلًا، والشاهد علی ذلک قیام اسم الظاهر مقامها، فیقال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قتل عمراً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قاتل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بذواتها مبهمة من جمیع الجهات إلّا من ناحیة الصلة وإلّا من ناحیة الإفراد والتثنیّة والجمع والتذکیر والتأنیث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فالمعلوم عندنا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هو ذات مبهمة من جمیع الجهات إلّامن ناحیة اتّصافها بأنّها قاتل عمرو، ولذلک یقوم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 والظاهر أنّ الموضوع له فیها أیضاً خاصّ</w:t>
      </w:r>
      <w:r>
        <w:rPr>
          <w:rFonts w:eastAsia="IRNazanin" w:cs="IRNazanin"/>
          <w:color w:val="111111"/>
          <w:sz w:val="28"/>
          <w:szCs w:val="28"/>
          <w:rtl w:val="true"/>
          <w:lang w:bidi="fa-IR"/>
        </w:rPr>
        <w:t>.</w:t>
      </w:r>
    </w:p>
    <w:p>
      <w:pPr>
        <w:pStyle w:val="Heading5"/>
        <w:numPr>
          <w:ilvl w:val="4"/>
          <w:numId w:val="1"/>
        </w:numPr>
        <w:rPr/>
      </w:pPr>
      <w:bookmarkStart w:id="328" w:name="__RefHeading___Toc96166_3244359995"/>
      <w:bookmarkStart w:id="329" w:name="_Toc123"/>
      <w:bookmarkEnd w:id="328"/>
      <w:r>
        <w:rPr/>
        <w:t>10</w:t>
      </w:r>
      <w:r>
        <w:rPr>
          <w:rtl w:val="true"/>
        </w:rPr>
        <w:t xml:space="preserve">. </w:t>
      </w:r>
      <w:r>
        <w:rPr>
          <w:rtl w:val="true"/>
        </w:rPr>
        <w:t>فی وضع الهیئات والمرکّبات</w:t>
      </w:r>
      <w:bookmarkEnd w:id="329"/>
    </w:p>
    <w:p>
      <w:pPr>
        <w:pStyle w:val="BookText"/>
        <w:rPr/>
      </w:pPr>
      <w:r>
        <w:rPr>
          <w:rFonts w:ascii="IRNazanin" w:hAnsi="IRNazanin" w:eastAsia="IRNazanin"/>
          <w:color w:val="111111"/>
          <w:sz w:val="28"/>
          <w:sz w:val="28"/>
          <w:szCs w:val="28"/>
          <w:rtl w:val="true"/>
          <w:lang w:bidi="fa-IR"/>
        </w:rPr>
        <w:t>إنّ لنا أربع أنحاء من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هیئات المفردات نحو هیئات الصفات مثل هیئة اسم الفاعل أو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هیئات النسب الناقصة کهیئة المضاف والمضاف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هیئات النسب التامّة کهیئة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هیئات وضعت لخصوصیّات النسب کهیئة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ما حقّه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تدلّ علی الحصر مثلًا</w:t>
      </w:r>
      <w:r>
        <w:rPr>
          <w:rFonts w:eastAsia="IRNazanin" w:cs="IRNazanin"/>
          <w:color w:val="111111"/>
          <w:sz w:val="28"/>
          <w:szCs w:val="28"/>
          <w:rtl w:val="true"/>
          <w:lang w:bidi="fa-IR"/>
        </w:rPr>
        <w:t>.</w:t>
      </w:r>
      <w:bookmarkStart w:id="330" w:name="pg16918_187405"/>
    </w:p>
    <w:p>
      <w:pPr>
        <w:pStyle w:val="BookText"/>
        <w:rPr/>
      </w:pPr>
      <w:bookmarkEnd w:id="330"/>
      <w:r>
        <w:rPr>
          <w:rFonts w:ascii="IRNazanin" w:hAnsi="IRNazanin" w:eastAsia="IRNazanin"/>
          <w:color w:val="111111"/>
          <w:sz w:val="28"/>
          <w:sz w:val="28"/>
          <w:szCs w:val="28"/>
          <w:rtl w:val="true"/>
          <w:lang w:bidi="fa-IR"/>
        </w:rPr>
        <w:t>والوضع فی جمیعها نوعی، ولذا لا یتبدّل المعنی فیها بتبدّل المفردات والموادّ الموجودة فیها ولا یدور مدار مادّة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لیس للمرکّبات وضع خاصّ مضافاً إلی وضع مفرداتها وهیئاتها، ففی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وراء وضع کلّ واحد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لمعنی خاصّ، ووضع هیئة جملة المبتدأ والخبر لمعنی إخباری، وضع آخر لمجموع الجملة؛ لإنّه یستلزم أوضاعاً غیر متناهیّة فی المرکّبات لعدم إحصائها، مضافاً إلی أنّه لغو، فإنّ وضعها بموادّها وهیئاتها وافٍ بتمام المقصود منها، فلا حاجة إلی وضع آخر لها بجملتها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یمکن تصویر ذلک علی نهج القضیّة الموجبة الجزئیّة فی خصوص الأمثال المرکّبة المستعملة فی کلّ لغة فی مفهوم خاصّ، فیقال 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 تقدّم رجلًا وتؤخّر اخری مثلًا وضعت من حیث المجموع لبیان التحیّر والتردّد،</w:t>
      </w:r>
      <w:r>
        <w:rPr>
          <w:rStyle w:val="FootnoteAnchor"/>
          <w:rtl w:val="true"/>
        </w:rPr>
        <w:footnoteReference w:id="266"/>
      </w:r>
      <w:r>
        <w:rPr>
          <w:rFonts w:ascii="IRNazanin" w:hAnsi="IRNazanin" w:eastAsia="IRNazanin"/>
          <w:color w:val="111111"/>
          <w:sz w:val="28"/>
          <w:sz w:val="28"/>
          <w:szCs w:val="28"/>
          <w:rtl w:val="true"/>
          <w:lang w:bidi="fa-IR"/>
        </w:rPr>
        <w:t xml:space="preserve">وإن کان هذا المعنی أیضاً محلّ تأمّل؛ لعدم الحاجة إلیه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فی‌المثال معنی کنائی یستفاد من مفردات هذه الجملة و هیئتها ولا یحتاج إلی وضع مجموع الجملة وضعاً جدیداً، فإنّها کنایات متّخذة من وضع مفرداتها مع وضع هیئاتها</w:t>
      </w:r>
      <w:r>
        <w:rPr>
          <w:rFonts w:eastAsia="IRNazanin" w:cs="IRNazanin"/>
          <w:color w:val="111111"/>
          <w:sz w:val="28"/>
          <w:szCs w:val="28"/>
          <w:rtl w:val="true"/>
          <w:lang w:bidi="fa-IR"/>
        </w:rPr>
        <w:t>.</w:t>
      </w:r>
    </w:p>
    <w:p>
      <w:pPr>
        <w:pStyle w:val="Heading4"/>
        <w:numPr>
          <w:ilvl w:val="3"/>
          <w:numId w:val="1"/>
        </w:numPr>
        <w:rPr/>
      </w:pPr>
      <w:bookmarkStart w:id="331" w:name="__RefHeading___Toc96168_3244359995"/>
      <w:bookmarkStart w:id="332" w:name="_Toc124"/>
      <w:bookmarkEnd w:id="331"/>
      <w:r>
        <w:rPr>
          <w:rtl w:val="true"/>
        </w:rPr>
        <w:t>الأمر الثانی</w:t>
      </w:r>
      <w:r>
        <w:rPr>
          <w:rtl w:val="true"/>
        </w:rPr>
        <w:t xml:space="preserve">: </w:t>
      </w:r>
      <w:r>
        <w:rPr>
          <w:rtl w:val="true"/>
        </w:rPr>
        <w:t>فی المجاز</w:t>
      </w:r>
      <w:bookmarkEnd w:id="332"/>
    </w:p>
    <w:p>
      <w:pPr>
        <w:pStyle w:val="Heading5"/>
        <w:numPr>
          <w:ilvl w:val="4"/>
          <w:numId w:val="1"/>
        </w:numPr>
        <w:rPr/>
      </w:pPr>
      <w:bookmarkStart w:id="333" w:name="__RefHeading___Toc96170_3244359995"/>
      <w:bookmarkStart w:id="334" w:name="_Toc125"/>
      <w:bookmarkEnd w:id="333"/>
      <w:r>
        <w:rPr>
          <w:rtl w:val="true"/>
        </w:rPr>
        <w:t>اشارة</w:t>
      </w:r>
      <w:bookmarkEnd w:id="334"/>
    </w:p>
    <w:p>
      <w:pPr>
        <w:pStyle w:val="BookText"/>
        <w:rPr/>
      </w:pPr>
      <w:r>
        <w:rPr>
          <w:rFonts w:ascii="IRNazanin" w:hAnsi="IRNazanin" w:eastAsia="IRNazanin"/>
          <w:color w:val="111111"/>
          <w:sz w:val="28"/>
          <w:sz w:val="28"/>
          <w:szCs w:val="28"/>
          <w:rtl w:val="true"/>
          <w:lang w:bidi="fa-IR"/>
        </w:rPr>
        <w:t>فی معنی المجاز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المشهور من أنّ المجاز استعمال اللفظ فی غیر ما وضع له بالعلاقة</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السکّاکی وهو التفصیل بین مجاز الاستعارة وغیرها، ففی الأوّل قال بأنّ المجاز هو استعمال اللفظ فی نفس الموضوع له لکنّه فی مصداقه الادّعائی،</w:t>
      </w:r>
    </w:p>
    <w:p>
      <w:pPr>
        <w:pStyle w:val="BookText"/>
        <w:rPr/>
      </w:pPr>
      <w:r>
        <w:rPr>
          <w:rFonts w:ascii="IRNazanin" w:hAnsi="IRNazanin" w:eastAsia="IRNazanin"/>
          <w:color w:val="111111"/>
          <w:sz w:val="28"/>
          <w:sz w:val="28"/>
          <w:szCs w:val="28"/>
          <w:rtl w:val="true"/>
          <w:lang w:bidi="fa-IR"/>
        </w:rPr>
        <w:t>فیکون المجاز حینئذٍ تصرّفاً فی أمر عقلی لا فی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التصرّف فی الأمر العقلی جعل ما لیس بفرد فرداً له 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الثانی ذهب إلی مثل ما اختاره المشهور</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صاحب وقایة الأذهان، فإنّه ذهب إلی کون المجاز استعمالًا للفظ فی الموضوع له مطلقاً سواء کان من قبیل مجاز الاستعارة أو المرسل؛ لأنّ الإرادة فی استعمال الألفاظ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استعمالیّة وإرادة جدّیة، وهما تارةً تتّحدان واخری تفترقان کما فی الأوامر الامتحانیّة، فإنّ الإرادة فیها إرادة استعمالیّة فقط لم تتعلّق بمتعلّق الأمر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موارد افتراقهما المجازات کلّها، فإنّ الإرادة الاستعمالیّة فیها تعلّقت بالمعنی الحقیقی الموضوع له اللفظ وأمّا الإرادة الجدّیة فتعلّقت بالمعنی المجازی، وهذا تعبیر آخر من أنّ المجاز فی أمر عقلی وإنّ التطبیق علی فرد ادّعائی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هو مقتضی اللطافة المجازیّة فإنّ البداعة وجمال البیان یتحقّق فیما إذا استعمل اللفظ فی معناه الحقیقی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الذی تعرف البطحاء وطأته والبیت یعرفه والحلّ والحرم</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فإنّ حسن الکلام فی هذا البیت مبنی علی کون نفس البیت أو الحرم عارفاً بمن هو المقصود فیه لا خصوص أهل البیت وأهل الحرم أو ربّ البیت وربّ الحرم، وهذا لا یکون إلّا بعد ادّعاء وجود قوّة مدرکة عاقلة للبیت والحرم لمعرفة الإمام زین العابدین علیه السلام، وکذا فی سائر المجازات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مقتضی القرابة الشدیدة بین المجاز والکنایة ذلک، فإذا کان استعمال اللفظ فی الکنایات فی نفس الموضوع له فلیکن کذلک فی المجازات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إشکال ولا خلاف فی أنّ اللفظ فی الکنایات یستعمل فی الموضوع له؛ لأنّ</w:t>
      </w:r>
      <w:bookmarkStart w:id="335" w:name="pg16918_187407"/>
    </w:p>
    <w:p>
      <w:pPr>
        <w:pStyle w:val="BookText"/>
        <w:rPr/>
      </w:pPr>
      <w:bookmarkEnd w:id="335"/>
      <w:r>
        <w:rPr>
          <w:rFonts w:ascii="IRNazanin" w:hAnsi="IRNazanin" w:eastAsia="IRNazanin"/>
          <w:color w:val="111111"/>
          <w:sz w:val="28"/>
          <w:sz w:val="28"/>
          <w:szCs w:val="28"/>
          <w:rtl w:val="true"/>
          <w:lang w:bidi="fa-IR"/>
        </w:rPr>
        <w:t xml:space="preserve">الکنایة عبارة عن ذکر اللازم وإرادة الملزوم أو بالعکس، وتکون الإرادة الاستعمالیّة فیها غیر الإرادة الجدّیة، ففی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تعلّقت الإرادة الاستعمالیّة بأنّ الرماد کثیر فی دار زید، ولکن الإرادة الجدّیة تعلّقت بسخاوة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الأمر فیها کذلک وکان المجاز والکنایة فی غایة القرابة، بل یمکن إدخالهما تحت عنوان واحد وهو استعمال اللفظ وإرادة غیر الموضوع له فی الإرادة الجدّیة، فلا مانع من أن یکون الأمر فی المجازات أیضاً کذلک</w:t>
      </w:r>
      <w:r>
        <w:rPr>
          <w:rFonts w:eastAsia="IRNazanin" w:cs="IRNazanin"/>
          <w:color w:val="111111"/>
          <w:sz w:val="28"/>
          <w:szCs w:val="28"/>
          <w:rtl w:val="true"/>
          <w:lang w:bidi="fa-IR"/>
        </w:rPr>
        <w:t>.</w:t>
      </w:r>
    </w:p>
    <w:p>
      <w:pPr>
        <w:pStyle w:val="Heading5"/>
        <w:numPr>
          <w:ilvl w:val="4"/>
          <w:numId w:val="1"/>
        </w:numPr>
        <w:rPr/>
      </w:pPr>
      <w:bookmarkStart w:id="336" w:name="__RefHeading___Toc96172_3244359995"/>
      <w:bookmarkStart w:id="337" w:name="_Toc126"/>
      <w:bookmarkEnd w:id="336"/>
      <w:r>
        <w:rPr>
          <w:rtl w:val="true"/>
        </w:rPr>
        <w:t>صحّة الاستعمالات المجازیة هل هی بالوضع أو بالطبع؟</w:t>
      </w:r>
      <w:bookmarkEnd w:id="337"/>
    </w:p>
    <w:p>
      <w:pPr>
        <w:pStyle w:val="BookText"/>
        <w:rPr/>
      </w:pPr>
      <w:r>
        <w:rPr>
          <w:rFonts w:ascii="IRNazanin" w:hAnsi="IRNazanin" w:eastAsia="IRNazanin"/>
          <w:color w:val="111111"/>
          <w:sz w:val="28"/>
          <w:sz w:val="28"/>
          <w:szCs w:val="28"/>
          <w:rtl w:val="true"/>
          <w:lang w:bidi="fa-IR"/>
        </w:rPr>
        <w:t>قال المحقّق الخراسانی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الأظهر إنّها بالطبع بشهادة الوجدان بحسن الاستعمال فیه إذا کان مناسباً ولو مع منع الواضع عنه وباستهجان الاستعمال فیما لا یناسبه ولو مع ترخیصه ولا معنی لصحّته إلّا حسنه</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اختاره هو الحقّ الحقیق بالتصدیق ویمکن أن یستدلّ له مضافاً إلی ماأفاده بأنّ المجازات فی جمیع الألسنة واللغات متشابهة متسانخة، مع أنّه لو کان الاستعمال المجازی متوقّفاً علی إذن الواضع کانت وحدة المجازات فی الألسنة المختلفة بعیدة جدّاً؛ لعدم إمکان التواطؤ من ناحیة الواضعین فی طیّ القرون والأعصار، القاطنین فی شتّی البلاد والأمصار</w:t>
      </w:r>
      <w:r>
        <w:rPr>
          <w:rFonts w:eastAsia="IRNazanin" w:cs="IRNazanin"/>
          <w:color w:val="111111"/>
          <w:sz w:val="28"/>
          <w:szCs w:val="28"/>
          <w:rtl w:val="true"/>
          <w:lang w:bidi="fa-IR"/>
        </w:rPr>
        <w:t>.</w:t>
      </w:r>
    </w:p>
    <w:p>
      <w:pPr>
        <w:pStyle w:val="Heading4"/>
        <w:numPr>
          <w:ilvl w:val="3"/>
          <w:numId w:val="1"/>
        </w:numPr>
        <w:rPr/>
      </w:pPr>
      <w:bookmarkStart w:id="338" w:name="__RefHeading___Toc96174_3244359995"/>
      <w:bookmarkStart w:id="339" w:name="_Toc127"/>
      <w:bookmarkEnd w:id="338"/>
      <w:r>
        <w:rPr>
          <w:rtl w:val="true"/>
        </w:rPr>
        <w:t>الأمر الثالث</w:t>
      </w:r>
      <w:r>
        <w:rPr>
          <w:rtl w:val="true"/>
        </w:rPr>
        <w:t xml:space="preserve">: </w:t>
      </w:r>
      <w:r>
        <w:rPr>
          <w:rtl w:val="true"/>
        </w:rPr>
        <w:t>فی علائم الحقیقة والمجاز</w:t>
      </w:r>
      <w:bookmarkEnd w:id="339"/>
    </w:p>
    <w:p>
      <w:pPr>
        <w:pStyle w:val="Heading5"/>
        <w:numPr>
          <w:ilvl w:val="4"/>
          <w:numId w:val="1"/>
        </w:numPr>
        <w:rPr/>
      </w:pPr>
      <w:bookmarkStart w:id="340" w:name="__RefHeading___Toc96176_3244359995"/>
      <w:bookmarkStart w:id="341" w:name="_Toc128"/>
      <w:bookmarkEnd w:id="340"/>
      <w:r>
        <w:rPr>
          <w:rtl w:val="true"/>
        </w:rPr>
        <w:t>اشارة</w:t>
      </w:r>
      <w:bookmarkEnd w:id="34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علماء الاصول والأدب لتشخیص الحقیقة عن المجاز علائم یحتاج الفقیه إلیها فی معرفة ظواهر الألفاظ، وهی من أهمّ مباحث الألفاظ وأتمّها آثاراً فی الفقه والتفسیر والحدیث وغیرها فتکون من المباحث الرئیسیة فی فهم معانی الألفاظ الواردة فی الکتاب والسنّة، وهی امور</w:t>
      </w:r>
      <w:r>
        <w:rPr>
          <w:rFonts w:eastAsia="IRNazanin" w:cs="IRNazanin"/>
          <w:color w:val="111111"/>
          <w:sz w:val="28"/>
          <w:szCs w:val="28"/>
          <w:rtl w:val="true"/>
          <w:lang w:bidi="fa-IR"/>
        </w:rPr>
        <w:t>:</w:t>
      </w:r>
      <w:bookmarkStart w:id="342" w:name="pg16918_187408"/>
    </w:p>
    <w:p>
      <w:pPr>
        <w:pStyle w:val="Heading5"/>
        <w:numPr>
          <w:ilvl w:val="4"/>
          <w:numId w:val="1"/>
        </w:numPr>
        <w:rPr/>
      </w:pPr>
      <w:bookmarkStart w:id="343" w:name="__RefHeading___Toc96178_3244359995"/>
      <w:bookmarkStart w:id="344" w:name="_Toc129"/>
      <w:bookmarkEnd w:id="342"/>
      <w:bookmarkEnd w:id="343"/>
      <w:r>
        <w:rPr/>
        <w:t>1</w:t>
      </w:r>
      <w:r>
        <w:rPr>
          <w:rtl w:val="true"/>
        </w:rPr>
        <w:t xml:space="preserve">. </w:t>
      </w:r>
      <w:r>
        <w:rPr>
          <w:rtl w:val="true"/>
        </w:rPr>
        <w:t>التبادر</w:t>
      </w:r>
      <w:bookmarkEnd w:id="344"/>
    </w:p>
    <w:p>
      <w:pPr>
        <w:pStyle w:val="BookText"/>
        <w:rPr/>
      </w:pPr>
      <w:r>
        <w:rPr>
          <w:rFonts w:ascii="IRNazanin" w:hAnsi="IRNazanin" w:eastAsia="IRNazanin"/>
          <w:color w:val="111111"/>
          <w:sz w:val="28"/>
          <w:sz w:val="28"/>
          <w:szCs w:val="28"/>
          <w:rtl w:val="true"/>
          <w:lang w:bidi="fa-IR"/>
        </w:rPr>
        <w:t>قیل فی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انسباق المعنی إلی الذهن من حاقّ اللفظ</w:t>
      </w:r>
      <w:r>
        <w:rPr>
          <w:rStyle w:val="FootnoteAnchor"/>
          <w:rtl w:val="true"/>
        </w:rPr>
        <w:footnoteReference w:id="272"/>
      </w:r>
      <w:r>
        <w:rPr>
          <w:rFonts w:ascii="IRNazanin" w:hAnsi="IRNazanin" w:eastAsia="IRNazanin"/>
          <w:color w:val="111111"/>
          <w:sz w:val="28"/>
          <w:sz w:val="28"/>
          <w:szCs w:val="28"/>
          <w:rtl w:val="true"/>
          <w:lang w:bidi="fa-IR"/>
        </w:rPr>
        <w:t xml:space="preserve">، ویراد من حاقّ اللفظ ما یقابل الانسباق الحاصل من وجود القرینة، وقیل غیر ذلک </w:t>
      </w:r>
      <w:r>
        <w:rPr>
          <w:rStyle w:val="FootnoteAnchor"/>
          <w:rtl w:val="true"/>
        </w:rPr>
        <w:footnoteReference w:id="273"/>
      </w:r>
      <w:r>
        <w:rPr>
          <w:rFonts w:ascii="IRNazanin" w:hAnsi="IRNazanin" w:eastAsia="IRNazanin"/>
          <w:color w:val="111111"/>
          <w:sz w:val="28"/>
          <w:sz w:val="28"/>
          <w:szCs w:val="28"/>
          <w:rtl w:val="true"/>
          <w:lang w:bidi="fa-IR"/>
        </w:rPr>
        <w:t>، والمقصود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التبادر علامة یعوّل علیها کلّ مستعلم فی اللّغة صغیراً کان أو کبیراً، بل أهل اللّغة أیضاً فی کثیر من الموارد حتّی الصبیّ عند تعلّمه من امّه وأبیه، فإنّ الصبیّ إذا رأی انسباق معنی إلی أذهان والدیه فیما إذا أطلق لفظ یستنتج أنّ هذا اللفظ وضع لذلک المعنی، مثلًا إذا سمع لفظ الماء من والدیه، ثمّ رأی إتیان هذه المادّة السیّالة یعلم الصبیّ أنّ معنی الماء لیس إلّاهذا، وهکذا یعتمد فی فهم معانی الألفاظ غالباً، بل یکون هذا هو السبیل لمعرفة معانی الألفاظ للذین یتعلّمون لغة جدیدة بالمعاشرة مع أهلها، فالتبادر من أهمّ علائم الحقیقة والمجاز، فإنّه المدرک الوحید فی الغالب لفهم اللغات من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امور ینبغی التنبیه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ظهور لفظ فی معنی ومنشأ تبادر ذلک المعنی من ذلک اللفظ لا یخلو من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الوضع أو القرینة، فإذا انتفت القرینة وعلم أنّ المعنی فهم من حاقّ اللفظ کما هو المفروض فی المقام یستکشف منه وضع ذلک اللفظ لذلک المعنی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التبادر علامة للحقیقة یستلزم الدور المحال، لأنّ التبادر یتوقّف علی العلم بالوضع، والمفروض أنّ العلم بالوضع یتوقّف علی التبادر وهذا دور واضح</w:t>
      </w:r>
      <w:r>
        <w:rPr>
          <w:rFonts w:eastAsia="IRNazanin" w:cs="IRNazanin"/>
          <w:color w:val="111111"/>
          <w:sz w:val="28"/>
          <w:szCs w:val="28"/>
          <w:rtl w:val="true"/>
          <w:lang w:bidi="fa-IR"/>
        </w:rPr>
        <w:t>.</w:t>
      </w:r>
      <w:bookmarkStart w:id="345" w:name="pg16918_187409"/>
    </w:p>
    <w:p>
      <w:pPr>
        <w:pStyle w:val="BookText"/>
        <w:rPr/>
      </w:pPr>
      <w:bookmarkEnd w:id="345"/>
      <w:r>
        <w:rPr>
          <w:rFonts w:ascii="IRNazanin" w:hAnsi="IRNazanin" w:eastAsia="IRNazanin"/>
          <w:color w:val="111111"/>
          <w:sz w:val="28"/>
          <w:sz w:val="28"/>
          <w:szCs w:val="28"/>
          <w:rtl w:val="true"/>
          <w:lang w:bidi="fa-IR"/>
        </w:rPr>
        <w:t>واجیب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الذی یتوقّف علیه التبادر هو العلم الإجمالی الإرتکازی، والعلم المتوقّف علی التبادر هو العلم التفصیلی،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حاقّ ذهن الإنسان ومرتکز أهل اللّغة معنی إجمالی یتبدّل إلی العلم التفصیلی بالتبادر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الدور إنّما یلزم إذا اتّحد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یتصوّر بالنسبة إلی الجاهل باللغة المستعلم من التبادر عند أهلها، لأنّه یصیر عالماً بالوضع بتبادر المعنی من اللفظ إلی ذهن العالم باللغة، وقد عرفت أنّ موارد التبادر فی الغالب هو من هذا القبیل أی‌تعدّد العالم والمستعلم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استناد التبادر إلی حاقّ اللفظ غالباً من کثرة استعمال اللفظ فی المعنی وکثرة تبادره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یبلغ حدّ الاطّراد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یعلم عدم استناد الدلالة إلی القرینة، ولا یمکن الاعتماد علی أصل عدم القرینة لکونه من الاصول العقلائیّة الجاریة لتعیین المراد بعد العلم بالوضع وبعد العلم بالمعنی الحقیقی والمجازی، لا عند الشکّ فی الموضوع له</w:t>
      </w:r>
      <w:r>
        <w:rPr>
          <w:rFonts w:eastAsia="IRNazanin" w:cs="IRNazanin"/>
          <w:color w:val="111111"/>
          <w:sz w:val="28"/>
          <w:szCs w:val="28"/>
          <w:rtl w:val="true"/>
          <w:lang w:bidi="fa-IR"/>
        </w:rPr>
        <w:t>.</w:t>
      </w:r>
    </w:p>
    <w:p>
      <w:pPr>
        <w:pStyle w:val="Heading5"/>
        <w:numPr>
          <w:ilvl w:val="4"/>
          <w:numId w:val="1"/>
        </w:numPr>
        <w:rPr/>
      </w:pPr>
      <w:bookmarkStart w:id="346" w:name="__RefHeading___Toc96180_3244359995"/>
      <w:bookmarkStart w:id="347" w:name="_Toc130"/>
      <w:bookmarkEnd w:id="346"/>
      <w:r>
        <w:rPr/>
        <w:t>2</w:t>
      </w:r>
      <w:r>
        <w:rPr>
          <w:rtl w:val="true"/>
        </w:rPr>
        <w:t xml:space="preserve">. </w:t>
      </w:r>
      <w:r>
        <w:rPr>
          <w:rtl w:val="true"/>
        </w:rPr>
        <w:t>صحّة السلب</w:t>
      </w:r>
      <w:bookmarkEnd w:id="347"/>
    </w:p>
    <w:p>
      <w:pPr>
        <w:pStyle w:val="BookText"/>
        <w:rPr/>
      </w:pPr>
      <w:r>
        <w:rPr>
          <w:rFonts w:ascii="IRNazanin" w:hAnsi="IRNazanin" w:eastAsia="IRNazanin"/>
          <w:color w:val="111111"/>
          <w:sz w:val="28"/>
          <w:sz w:val="28"/>
          <w:szCs w:val="28"/>
          <w:rtl w:val="true"/>
          <w:lang w:bidi="fa-IR"/>
        </w:rPr>
        <w:t>والمراد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سلب لفظٍ بما له من المعنی من لفظٍ آخر بما له من المعنی تکون علامة لکونه مجازاً فیه وعدم صحّته علامة لکونه حقیقة فیه، کما أنّ صحّة حمل لفظٍ بما له من المعنی علی لفظٍ آخر بما له من المعنی تکون أیضاً علامة لکونه حقیقة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معلوماً لنا ولم یکن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معلوماً إلّاإجمالًا ورأینا صحّة القول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الغیث هو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فنحکم حینئذٍ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ومعناهما واحد، کما أنّه إذا رأینا صحّة القول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الشجاع لیس بأسد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أنّ استعمال الأسد فی الرجل الشجاع یکون مجازاً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المحقّق الخراسانی رحمه الله وغیره ممّن تبعه ذکروا هنا تفصیلًا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الحمل علی قسمین حمل أوّلی ذاتی وحمل شائع صناعی، والملاک فی الحمل الاولی هو اتّحاد المفهوم فقط، وأمّا الملاک فی الحمل الشائع فهو الاتّحاد فی الوجود مع الافتراق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صحّة الحمل الأوّلی الذاتی یدلّ علی کون الموضوع له فی الموضوع والمحمول واحداً، وأمّا الحمل الشائع الصناعی فیستفاد منه کون الموضوع أحد مصادیق المحمول حقیقة فی مقابل المصادیق المجازیة، ولا یدلّ علی الوضع، فالعلامة هی الحمل الأوّلی لا الحمل الشائع، بل إنّه علامة علی کون الموضوع مصداقاً حقیقیاً للموضوع له فی قبال المصداق المجازی</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وکلامه جیّد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امور تجب الإشارة إلیها لتتمیم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السرّ فی کون صحّة الحمل علامة للمعنی الحقیقی؟ وجوابه ما مرّ نظیره فی التبادر، من أنّ صحّة الحمل تنشأ إمّا من القرینة أو من ناحیة الوضع وحیث إنّ المفروض عدم وجود القرینة یعلم أنّها ناشئة من الوضع، فصحّة سلب معنی عن لفظ علامة عدم وضعه له وإلّا لم یکن السلب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إشکال الدور الذی مرّ فی مبحث التبادر یأتی هنا أیضاً، وبیانه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صحّة الحمل یتوقّف علی العلم بالموضوع له، بینما یکون العلم بالوضع أیضاً متوقّفاً علی صحّة الحمل وهذا دور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هنا أیضاً الجوابان المذکوران فی التبادر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لبعض الأعلام هنا إشکالًا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صحّة الحمل وصحّة السلب یکونان مسبوقین بالتبادر، فالعلامة فی الحقیقة هو التبادر</w:t>
      </w:r>
      <w:r>
        <w:rPr>
          <w:rStyle w:val="FootnoteAnchor"/>
          <w:rtl w:val="true"/>
        </w:rPr>
        <w:footnoteReference w:id="275"/>
      </w:r>
      <w:r>
        <w:rPr>
          <w:rFonts w:ascii="IRNazanin" w:hAnsi="IRNazanin" w:eastAsia="IRNazanin"/>
          <w:color w:val="111111"/>
          <w:sz w:val="28"/>
          <w:sz w:val="28"/>
          <w:szCs w:val="28"/>
          <w:rtl w:val="true"/>
          <w:lang w:bidi="fa-IR"/>
        </w:rPr>
        <w:t>، وتوضیحه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الغیث هو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فحیث إنّ الحمل هذا یحتاج إلی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w:t>
      </w:r>
      <w:bookmarkStart w:id="348" w:name="pg16918_187411"/>
    </w:p>
    <w:p>
      <w:pPr>
        <w:pStyle w:val="BookText"/>
        <w:rPr/>
      </w:pPr>
      <w:bookmarkEnd w:id="348"/>
      <w:r>
        <w:rPr>
          <w:rFonts w:ascii="IRNazanin" w:hAnsi="IRNazanin" w:eastAsia="IRNazanin"/>
          <w:color w:val="111111"/>
          <w:sz w:val="28"/>
          <w:sz w:val="28"/>
          <w:szCs w:val="28"/>
          <w:rtl w:val="true"/>
          <w:lang w:bidi="fa-IR"/>
        </w:rPr>
        <w:t>وتصوّرهما یحتاج إلی العلم بمعناهما واتّحادهما فی الخارج، والعلم هذا لا طریق لنا إلیه إلّا التبادر، فنحن عالمون بالوضع بالتبادر قبل تحقّق الحمل، فالعلامة منحصرة فی 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المستعلم من أهل اللسان، أی‌کان المراد من صحّة الحمل والسلب صحّتهما عند نفسه، وأمّا إذا کان المستعلم من غیره وکان جاهلًا باللسان وأراد أن یصل إلی الوضع من طریق استعمال أهل اللسان، فإنّ هذا الحمل بالنسبة إلیه یرجع إلی تنصیص أهل اللّغة، والتنصیص غیر صحّة الحمل، فتلخّص أنّ صحّة الحمل إمّا أن یرجع إلی التبادر أو إلی تنصیص أهل اللّغة، ولیست هی نفسها من علائم الحقیقة والمجاز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دفع هذا الإشکال بأنّه یکفی فی صحّة الحمل قضیة الإجمال والتفصیل، فما یتوقّف علیه صحّة الحمل هو العلم الإجمالی والإرتکازی بالوضع، فلا حاجة إلی التبادر لمعرفة الوضع تفصیلًا</w:t>
      </w:r>
      <w:r>
        <w:rPr>
          <w:rFonts w:eastAsia="IRNazanin" w:cs="IRNazanin"/>
          <w:color w:val="111111"/>
          <w:sz w:val="28"/>
          <w:szCs w:val="28"/>
          <w:rtl w:val="true"/>
          <w:lang w:bidi="fa-IR"/>
        </w:rPr>
        <w:t>.</w:t>
      </w:r>
    </w:p>
    <w:p>
      <w:pPr>
        <w:pStyle w:val="Heading5"/>
        <w:numPr>
          <w:ilvl w:val="4"/>
          <w:numId w:val="1"/>
        </w:numPr>
        <w:rPr/>
      </w:pPr>
      <w:bookmarkStart w:id="349" w:name="__RefHeading___Toc96182_3244359995"/>
      <w:bookmarkStart w:id="350" w:name="_Toc131"/>
      <w:bookmarkEnd w:id="349"/>
      <w:r>
        <w:rPr/>
        <w:t>3</w:t>
      </w:r>
      <w:r>
        <w:rPr>
          <w:rtl w:val="true"/>
        </w:rPr>
        <w:t xml:space="preserve">. </w:t>
      </w:r>
      <w:r>
        <w:rPr>
          <w:rtl w:val="true"/>
        </w:rPr>
        <w:t>الاطّراد وعدمه</w:t>
      </w:r>
      <w:bookmarkEnd w:id="350"/>
    </w:p>
    <w:p>
      <w:pPr>
        <w:pStyle w:val="BookText"/>
        <w:rPr/>
      </w:pPr>
      <w:r>
        <w:rPr>
          <w:rFonts w:ascii="IRNazanin" w:hAnsi="IRNazanin" w:eastAsia="IRNazanin"/>
          <w:color w:val="111111"/>
          <w:sz w:val="28"/>
          <w:sz w:val="28"/>
          <w:szCs w:val="28"/>
          <w:rtl w:val="true"/>
          <w:lang w:bidi="fa-IR"/>
        </w:rPr>
        <w:t>والمراد من کون الاطّراد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کثرة استعمال لفظ فی معنی وصحّة ذلک الاستعمال مع کثرته دلیل علی أنّ هذا الاستعمال لا یعتمد علی القرینة، بل علی الوضع، ولا یضرّ احتمال وجود بعض القرائن الحالیّة وغیرها أحیاناً؛ لأنّه یتصوّر فی استعمال واحد أو بالنسبة إلی موارد معدودة من الاستعمال لا بالنسبة إلی الکثیر منه، فإذا ثبت أنّ صحّة الاستعمال فی هذه الموارد لم یعتمد علی القرینة نعلم بأنّها نشأت من الوضع</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فالاطّراد وعدمه من أحسن علائم الحقیقة والمجاز، وعلیه العمل فی کشف معانی الألفاظ غالباً، وإعراض جمع من الأعلام عنه هنا قولًا</w:t>
      </w:r>
      <w:r>
        <w:rPr>
          <w:rStyle w:val="FootnoteAnchor"/>
          <w:rtl w:val="true"/>
        </w:rPr>
        <w:footnoteReference w:id="276"/>
      </w:r>
      <w:r>
        <w:rPr>
          <w:rFonts w:ascii="IRNazanin" w:hAnsi="IRNazanin" w:eastAsia="IRNazanin"/>
          <w:color w:val="111111"/>
          <w:sz w:val="28"/>
          <w:sz w:val="28"/>
          <w:szCs w:val="28"/>
          <w:rtl w:val="true"/>
          <w:lang w:bidi="fa-IR"/>
        </w:rPr>
        <w:t>، غیر ضارّ بعد</w:t>
      </w:r>
    </w:p>
    <w:p>
      <w:pPr>
        <w:pStyle w:val="BookText"/>
        <w:rPr/>
      </w:pPr>
      <w:r>
        <w:rPr>
          <w:rFonts w:ascii="IRNazanin" w:hAnsi="IRNazanin" w:eastAsia="IRNazanin"/>
          <w:color w:val="111111"/>
          <w:sz w:val="28"/>
          <w:sz w:val="28"/>
          <w:szCs w:val="28"/>
          <w:rtl w:val="true"/>
          <w:lang w:bidi="fa-IR"/>
        </w:rPr>
        <w:t>التزامهم به فی الکتب الفقهیّة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 شعری کیف نسوا ما یسلکونه عملًا فی الفقه فی مقام کشف المعانی الحقیقیة للألفاظ المستعملة فی الأبواب المختلفة من الفقه؟</w:t>
      </w:r>
    </w:p>
    <w:p>
      <w:pPr>
        <w:pStyle w:val="BookText"/>
        <w:rPr/>
      </w:pPr>
      <w:r>
        <w:rPr>
          <w:rFonts w:ascii="Amiri" w:hAnsi="Amiri" w:eastAsia="Amiri" w:cs="Amiri"/>
          <w:color w:val="111111"/>
          <w:sz w:val="28"/>
          <w:sz w:val="28"/>
          <w:szCs w:val="28"/>
          <w:rtl w:val="true"/>
          <w:lang w:bidi="ar-SA"/>
        </w:rPr>
        <w:t xml:space="preserve">أو لسنا هناک فیما إذا أردنا فهم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شَیْ‌ء فَأَنَّ للّهِ خُمُسَهُ وَلِلرَّسُولِ</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 وأنّه هل یعمّ کلّ فائدة، ولو کانت فی غیر الحرب أو تختصّ بما تؤخذ من ساحة الحرب؟ نتمسّک بذیل الاستعمالات المختلفة للفظ الغنیمة فی الآیات والروایات وأشعار العرب ونستدلّ بها علی الخصم، ونقول إنّ اطّراد استعمالها فی الروایات وغیرها فی مطلق الفوائد أو فی غیر غنائم الحرب یدلّنا علی کونها موضوعة لمطلق الفائدة؟</w:t>
      </w:r>
    </w:p>
    <w:p>
      <w:pPr>
        <w:pStyle w:val="BookText"/>
        <w:rPr/>
      </w:pPr>
      <w:r>
        <w:rPr>
          <w:rFonts w:ascii="IRNazanin" w:hAnsi="IRNazanin" w:eastAsia="IRNazanin"/>
          <w:color w:val="111111"/>
          <w:sz w:val="28"/>
          <w:sz w:val="28"/>
          <w:szCs w:val="28"/>
          <w:rtl w:val="true"/>
          <w:lang w:bidi="fa-IR"/>
        </w:rPr>
        <w:t>وهذا هو المحقّق النحریر الطبرسی؛ وغیره من المفسّرین لا یزالون یتمسّکون لفهم معانی الألفاظ الواردة فی القرآن بأشعار العرب وسائر موارد استعمالها کما لا یخفی علی من راجع کلماتهم، کما تری أیضاً رجوع کثیر من أرباب اللّغة إلی استعمالات العرب، ولذلک کانوا یستأنسون بأهل البوادی ویعاشرونهم، فإذا رأوا اطّراد استعمال لفظ فی معنی فی محاوراتهم یحکمون بأنّه وضع لذلک المعنی، کما أنّ هذا أیضاً منهج العلماء فی مناظراتهم فهم یقنعون بأبیات من أشعار العرب وغیرها إذا عرض علیهم فی موارد مختلفة لإثبات معانی الألفاظ فیما إذا اطّرد استعمال لفظ فی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أمران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یرد الدور المذکور سابقاً هنا أیضاً؛ لأنّ المستعلم هنا یستعلم الوضع من کثرة استعمالات أهل اللسان ویکون جاهلًا بالوضع ولیس المستعلم والعالم</w:t>
      </w:r>
      <w:bookmarkStart w:id="351" w:name="pg16918_187413"/>
    </w:p>
    <w:p>
      <w:pPr>
        <w:pStyle w:val="BookText"/>
        <w:rPr/>
      </w:pPr>
      <w:bookmarkEnd w:id="351"/>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ذکرناه أنّه فرق بین مختارنا فی المقام وما نسب إلی السیّد المرتضی رحمه الله من أنّ الاستعمال علامة الحقیقة، وأنّ الأصل فی الاستعمال هو الحقیقة</w:t>
      </w:r>
      <w:r>
        <w:rPr>
          <w:rStyle w:val="FootnoteAnchor"/>
          <w:rtl w:val="true"/>
        </w:rPr>
        <w:footnoteReference w:id="278"/>
      </w:r>
      <w:r>
        <w:rPr>
          <w:rFonts w:ascii="IRNazanin" w:hAnsi="IRNazanin" w:eastAsia="IRNazanin"/>
          <w:color w:val="111111"/>
          <w:sz w:val="28"/>
          <w:sz w:val="28"/>
          <w:szCs w:val="28"/>
          <w:rtl w:val="true"/>
          <w:lang w:bidi="fa-IR"/>
        </w:rPr>
        <w:t xml:space="preserve">، لأنّا لا نقول بأنّ احتمال القرینة واحتمال المجاز ینتفی بمجرّد الاستعمال ولو فی کلام واحد، بل نقول إنّ اطّراد الاستعمال یکون نافیاً ورادّاً للمجاز ووجود القرینة، وفرق بین اطّراد الاستعمال ومجرّد الاستعمال، وما ذکره ممّا لا دلیل علیه کما أشار إلیه المحقّقون من الأصحاب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 w:name="__RefHeading___Toc96184_3244359995"/>
      <w:bookmarkStart w:id="353" w:name="_Toc132"/>
      <w:bookmarkEnd w:id="352"/>
      <w:r>
        <w:rPr/>
        <w:t>4</w:t>
      </w:r>
      <w:r>
        <w:rPr>
          <w:rtl w:val="true"/>
        </w:rPr>
        <w:t xml:space="preserve">. </w:t>
      </w:r>
      <w:r>
        <w:rPr>
          <w:rtl w:val="true"/>
        </w:rPr>
        <w:t>تنصیص أهل اللغة</w:t>
      </w:r>
      <w:bookmarkEnd w:id="353"/>
    </w:p>
    <w:p>
      <w:pPr>
        <w:pStyle w:val="BookText"/>
        <w:rPr/>
      </w:pPr>
      <w:r>
        <w:rPr>
          <w:rFonts w:ascii="IRNazanin" w:hAnsi="IRNazanin" w:eastAsia="IRNazanin"/>
          <w:color w:val="111111"/>
          <w:sz w:val="28"/>
          <w:sz w:val="28"/>
          <w:szCs w:val="28"/>
          <w:rtl w:val="true"/>
          <w:lang w:bidi="fa-IR"/>
        </w:rPr>
        <w:t>قد ذکر من العلامات نصّ أهل اللّغة</w:t>
      </w:r>
      <w:r>
        <w:rPr>
          <w:rStyle w:val="FootnoteAnchor"/>
          <w:rtl w:val="true"/>
        </w:rPr>
        <w:footnoteReference w:id="280"/>
      </w:r>
      <w:r>
        <w:rPr>
          <w:rFonts w:ascii="IRNazanin" w:hAnsi="IRNazanin" w:eastAsia="IRNazanin"/>
          <w:color w:val="111111"/>
          <w:sz w:val="28"/>
          <w:sz w:val="28"/>
          <w:szCs w:val="28"/>
          <w:rtl w:val="true"/>
          <w:lang w:bidi="fa-IR"/>
        </w:rPr>
        <w:t>، ولکنّه متوقّف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بحث کبروی فی إثبات حجّیة تنصیصهم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صغروی حول أنّ کلمات اللغویین هل تکون ناظرة إلی بیان المعانی الحقیقیّة، أو بیان لمطلق موارد الاستعمال؟</w:t>
      </w:r>
    </w:p>
    <w:p>
      <w:pPr>
        <w:pStyle w:val="BookText"/>
        <w:rPr/>
      </w:pPr>
      <w:r>
        <w:rPr>
          <w:rFonts w:ascii="IRNazanin" w:hAnsi="IRNazanin" w:eastAsia="IRNazanin"/>
          <w:color w:val="111111"/>
          <w:sz w:val="28"/>
          <w:sz w:val="28"/>
          <w:szCs w:val="28"/>
          <w:rtl w:val="true"/>
          <w:lang w:bidi="fa-IR"/>
        </w:rPr>
        <w:t>وحیث قد فرغنا عن الأمر الأوّل فیما سبق وقلنا بحجّیة قول الخبرة من علماء اللسان، ولو مع عدم حصول العلم منه، فلو فرضنا تنصیص أهل اللغة علی کون اللفظة الفلانیة حقیقة فی معنی خاصّ، فلا ریب فی أنّ هذا التنصیص من أهمّ ما یمتاز به الحقیقة عن المجاز، هذا من ناحیة الکبری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ناحیة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ما یتداول فی الألسن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بصدد بیان المعانی الحقیقیّة، لا سیّما فی المعنی الذی یذکرونه مقدّماً علی سائر المعانی</w:t>
      </w:r>
      <w:r>
        <w:rPr>
          <w:rFonts w:eastAsia="IRNazanin" w:cs="IRNazanin"/>
          <w:color w:val="111111"/>
          <w:sz w:val="28"/>
          <w:szCs w:val="28"/>
          <w:rtl w:val="true"/>
          <w:lang w:bidi="fa-IR"/>
        </w:rPr>
        <w:t>.</w:t>
      </w:r>
      <w:bookmarkStart w:id="354" w:name="pg16918_187414"/>
    </w:p>
    <w:p>
      <w:pPr>
        <w:pStyle w:val="Heading4"/>
        <w:numPr>
          <w:ilvl w:val="3"/>
          <w:numId w:val="1"/>
        </w:numPr>
        <w:rPr/>
      </w:pPr>
      <w:bookmarkStart w:id="355" w:name="__RefHeading___Toc96186_3244359995"/>
      <w:bookmarkStart w:id="356" w:name="_Toc133"/>
      <w:bookmarkEnd w:id="354"/>
      <w:bookmarkEnd w:id="355"/>
      <w:r>
        <w:rPr>
          <w:rtl w:val="true"/>
        </w:rPr>
        <w:t>الأمر الرابع</w:t>
      </w:r>
      <w:r>
        <w:rPr>
          <w:rtl w:val="true"/>
        </w:rPr>
        <w:t xml:space="preserve">: </w:t>
      </w:r>
      <w:r>
        <w:rPr>
          <w:rtl w:val="true"/>
        </w:rPr>
        <w:t>فی الحقیقة الشرعیّة</w:t>
      </w:r>
      <w:bookmarkEnd w:id="356"/>
    </w:p>
    <w:p>
      <w:pPr>
        <w:pStyle w:val="Heading5"/>
        <w:numPr>
          <w:ilvl w:val="4"/>
          <w:numId w:val="1"/>
        </w:numPr>
        <w:rPr/>
      </w:pPr>
      <w:bookmarkStart w:id="357" w:name="__RefHeading___Toc96188_3244359995"/>
      <w:bookmarkStart w:id="358" w:name="_Toc134"/>
      <w:bookmarkEnd w:id="357"/>
      <w:r>
        <w:rPr>
          <w:rtl w:val="true"/>
        </w:rPr>
        <w:t>اشارة</w:t>
      </w:r>
      <w:bookmarkEnd w:id="358"/>
    </w:p>
    <w:p>
      <w:pPr>
        <w:pStyle w:val="BookText"/>
        <w:rPr/>
      </w:pPr>
      <w:r>
        <w:rPr>
          <w:rFonts w:ascii="IRNazanin" w:hAnsi="IRNazanin" w:eastAsia="IRNazanin"/>
          <w:color w:val="111111"/>
          <w:sz w:val="28"/>
          <w:sz w:val="28"/>
          <w:szCs w:val="28"/>
          <w:rtl w:val="true"/>
          <w:lang w:bidi="fa-IR"/>
        </w:rPr>
        <w:t xml:space="preserve">إنّ الألفاظ تارةً توضع لفهم عموم الناس وهی أکثر الألفاظ المتداولة بینهم، وتسمّی بالحقائق اللغویّة أو العرفیّة، واخری توضع لصنف خاصّ منهم وتسمّی بالمصطلحات نظیر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وضع فی علم الاصول للُاصول الأربعة العملیّة المعهودة، مع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لما هو أوسع من ذلک لغة، والفرق بینهما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فی الشرع ماهیّات مخترعة نحو الصلاة والحجّ، وما شابههما، نحو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فی اللغة بمعنی مطلق التعظیم، وفی الشرع وضع 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إشکال فی أنّ الألفاظ الدالّة علی هذه الماهیات فی زماننا هذا حقیقة فی المعانی الشرعیّة، ولکن لابدّ من البحث فی أنّها هل صارت حقیقة فیها فی عصر الشارع حتّی تحمل هذه الألفاظ علی تلک المعانی فی لسانه وتسمّی بالحقیقة الشرعیّة، أو صارت حقیقة فی الأزمنة اللاحقة بأیدی المتشرّعین فتسمّی بالحقیقة المتشرّعیّة حتّی تحمل الألفاظ الواردة فی لسان الشارع علی معانیها اللغویّة عند فقد القرینة، وعلی معانیها الشرعیّة عند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فی ذلک یتمّ فی ضمن امور</w:t>
      </w:r>
      <w:r>
        <w:rPr>
          <w:rFonts w:eastAsia="IRNazanin" w:cs="IRNazanin"/>
          <w:color w:val="111111"/>
          <w:sz w:val="28"/>
          <w:szCs w:val="28"/>
          <w:rtl w:val="true"/>
          <w:lang w:bidi="fa-IR"/>
        </w:rPr>
        <w:t>:</w:t>
      </w:r>
    </w:p>
    <w:p>
      <w:pPr>
        <w:pStyle w:val="Heading5"/>
        <w:numPr>
          <w:ilvl w:val="4"/>
          <w:numId w:val="1"/>
        </w:numPr>
        <w:rPr/>
      </w:pPr>
      <w:bookmarkStart w:id="359" w:name="__RefHeading___Toc96190_3244359995"/>
      <w:bookmarkStart w:id="360" w:name="_Toc135"/>
      <w:bookmarkEnd w:id="359"/>
      <w:r>
        <w:rPr/>
        <w:t>1</w:t>
      </w:r>
      <w:r>
        <w:rPr>
          <w:rtl w:val="true"/>
        </w:rPr>
        <w:t xml:space="preserve">. </w:t>
      </w:r>
      <w:r>
        <w:rPr>
          <w:rtl w:val="true"/>
        </w:rPr>
        <w:t>أدلّة القولین</w:t>
      </w:r>
      <w:bookmarkEnd w:id="360"/>
    </w:p>
    <w:p>
      <w:pPr>
        <w:pStyle w:val="BookText"/>
        <w:rPr/>
      </w:pPr>
      <w:r>
        <w:rPr>
          <w:rFonts w:ascii="Amiri" w:hAnsi="Amiri" w:eastAsia="Amiri" w:cs="Amiri"/>
          <w:color w:val="111111"/>
          <w:sz w:val="28"/>
          <w:sz w:val="28"/>
          <w:szCs w:val="28"/>
          <w:rtl w:val="true"/>
          <w:lang w:bidi="ar-SA"/>
        </w:rPr>
        <w:t xml:space="preserve">استدلّ النافون بأصالة عدم النقل </w:t>
      </w:r>
      <w:r>
        <w:rPr>
          <w:rStyle w:val="FootnoteAnchor"/>
          <w:rtl w:val="true"/>
        </w:rPr>
        <w:footnoteReference w:id="281"/>
      </w:r>
      <w:r>
        <w:rPr>
          <w:rFonts w:ascii="IRNazanin" w:hAnsi="IRNazanin" w:eastAsia="IRNazanin"/>
          <w:color w:val="111111"/>
          <w:sz w:val="28"/>
          <w:sz w:val="28"/>
          <w:szCs w:val="28"/>
          <w:rtl w:val="true"/>
          <w:lang w:bidi="fa-IR"/>
        </w:rPr>
        <w:t>، حیث إنّه أصل من الاصول العقلائیّة فی باب الألفاظ الّتی تکون بحکم الأمارات ولیست من الاصول التعبّدیّة الشرعیّة؛ لأنّ بناء العقلاء استقرّ علی حمل الألفاظ علی معانیها الأوّلیّة إلّا إذا ثبت نقلها بدلیل معتبر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المثبتون بوجوه عمدتها التبادر</w:t>
      </w:r>
      <w:r>
        <w:rPr>
          <w:rStyle w:val="FootnoteAnchor"/>
          <w:rtl w:val="true"/>
        </w:rPr>
        <w:footnoteReference w:id="282"/>
      </w:r>
      <w:r>
        <w:rPr>
          <w:rFonts w:ascii="IRNazanin" w:hAnsi="IRNazanin" w:eastAsia="IRNazanin"/>
          <w:color w:val="111111"/>
          <w:sz w:val="28"/>
          <w:sz w:val="28"/>
          <w:szCs w:val="28"/>
          <w:rtl w:val="true"/>
          <w:lang w:bidi="fa-IR"/>
        </w:rPr>
        <w:t>، والمراد منه تبادر المعانی الخاصّة</w:t>
      </w:r>
    </w:p>
    <w:p>
      <w:pPr>
        <w:pStyle w:val="BookText"/>
        <w:rPr/>
      </w:pPr>
      <w:r>
        <w:rPr>
          <w:rFonts w:ascii="IRNazanin" w:hAnsi="IRNazanin" w:eastAsia="IRNazanin"/>
          <w:color w:val="111111"/>
          <w:sz w:val="28"/>
          <w:sz w:val="28"/>
          <w:szCs w:val="28"/>
          <w:rtl w:val="true"/>
          <w:lang w:bidi="fa-IR"/>
        </w:rPr>
        <w:t>من تلک الألفاظ إلی أذهان معاصری النّبی صلی الله علیه و آله و سلم عند استعمالها من دون قرینة، والتبادر علامة الحقیقة؛ لأنّ فهم الأصحاب المعانی الجدیدة من هذه الألفاظ المستعملة فی کلمات الرسول صلی الله علیه و آله والأئمّة علیهم السلام ممّا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 یخلو من أحد وجوه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لوجود قرائن لفظیّة فی البین، أو لوجود قرائن حالیّة، أو أنّه ناشٍ من ناحیة الوضع، ولا إشکال فی أنّ لازم الأوّلین القول بأنّ جمیع تلک القرائن ضاعت فلم تصل إلینا وهذا أمر مستبعد جدّاً، فیتعیّن الأخیر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هاهنا سؤال، وهو أنّ منشأ هذا التبادر ما هو؟ فهل هو الوضع التعیینی أو التعیّنی؟</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الوضع التعیینی یستلزم الالتزام بأنّ النّبی صلی الله علیه و آله کان یصرّح وینصّ بأنّی وضعت هذا لهذا، وذاک لذاک، وهذا أمر مستبعد جدّاً؛ لأنّه لو کان لبان ونقل إلینا لتوفّر الدواعی علی نقله، فیتعیّن کون المنشأ الوضع التعیّنی، وحینئذٍ یقع البحث فی زمان تحقّق هذا الوضع، أی‌زمان صیرورة المعنی المجازی حقیقیاً؛ لأنّه یحتاج إلی کثرة الاستعمال، فیقع السؤال عن أنّه هل یکفی عصر الرسول صلی الله علیه و آله لهذه الکثرة حتّی نلتزم بکونه زمان الوضع، أو لا یکفی حتّی نلتزم بأنّ الوضع والتعیّن حصل فی عصر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نوع الوضع منحصراً فی القسمین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الوضع التعیینی العملی</w:t>
      </w:r>
    </w:p>
    <w:p>
      <w:pPr>
        <w:pStyle w:val="BookText"/>
        <w:rPr/>
      </w:pPr>
      <w:r>
        <w:rPr>
          <w:rFonts w:ascii="IRNazanin" w:hAnsi="IRNazanin" w:eastAsia="IRNazanin"/>
          <w:color w:val="111111"/>
          <w:sz w:val="28"/>
          <w:sz w:val="28"/>
          <w:szCs w:val="28"/>
          <w:rtl w:val="true"/>
          <w:lang w:bidi="fa-IR"/>
        </w:rPr>
        <w:t>والمحقّق الخراسانی رحمه الله أبدع هنا قسماً ثالثاً یمکن تسمیته بالوضع التعیینی العملی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یکون الإنسان بصدد الوضع من دون أن یصرّح به فلا یقول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هذا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یستعمل اللفظ عملًا فی معناه بقصد إنشاء الوضع، فیقول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ائتنی 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یرید به وضع لفظ الحسن لهذا المولود، من دون أن ینصب قرینة علی المجاز بل إنّما ینصب القرینة علی کونه بصدد الوضع، ولعلّه من</w:t>
      </w:r>
    </w:p>
    <w:p>
      <w:pPr>
        <w:pStyle w:val="BookText"/>
        <w:rPr/>
      </w:pPr>
      <w:r>
        <w:rPr>
          <w:rFonts w:ascii="IRNazanin" w:hAnsi="IRNazanin" w:eastAsia="IRNazanin"/>
          <w:color w:val="111111"/>
          <w:sz w:val="28"/>
          <w:sz w:val="28"/>
          <w:szCs w:val="28"/>
          <w:rtl w:val="true"/>
          <w:lang w:bidi="fa-IR"/>
        </w:rPr>
        <w:t>هذا القبیل قول الرسول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اصلّی</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کون هذا النوع من الوضع هو منشأ التبادر فی الحقائق الشرعیّة</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أورد علیه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حقیقة الاستعمال إلقاء المعنی فی الخارج بحیث یکون الألفاظ مغفولًا عنها، فالاستعمال یستدعی کون الألفاظ مغفولًا عنها وتوجّه النظر إلیه بتبع المعنی، بخلاف الوضع فإنّه یستدعی کون اللفظ منظوراً إلیه باستقلاله، ومن الواضح إنّه لا یمکن الجمع بینهما فی آنٍ واحد</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فی المقام متوقّف علی کون اللفظ آلة ومرآة للمعنی وفانیاً فیه، وهو ممنوع جدّاً؛ لأنّ کلّ مستعمل للکلمات والألفاظ ینظر أوّلًا إلی کلّ واحد من اللفظ والمعنی نظراً استقلالیاً، ثمّ یستعمل اللفظ فی المعنی کما هو واضح بالنسبة إلی من هو حدیث العهد بلغة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یحصل الغفلة عن اللفظ بعد استعمالات کثیرة وحصول السلطة علی الاستعمال، ولکن هذه الغفلة المترتّبة علی تلک السلطة لیس معناها دخلها واعتبارها فی حقیقة الاستعمال وفناء اللفظ فی المعنی حین الاستعمال، مع أنّ الاستعمال لیس من الامور الآنیة بالدقّة العقلیّة، بل یمکن إحضار معان متعدّدة فی الذهنّ أوّلًا، ثمّ ذکر اللفظ لإفادتها، کما یأتی توضیحه فی مبحث جواز استعمال اللفظ المشترک فی المعانی المتعدّدة، فظهر من جمیع ذلک أنّ هذا النوع من الوضع متین جدّاً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یبقی الکلام فی أنّ الألفاظ الدائرة فی لسان الشرع للُامور المستحدثة هل وضعت لها بالوضع التعیینی بأحد نوعیه، أو التعیّنی؟</w:t>
      </w:r>
      <w:bookmarkStart w:id="361" w:name="pg16918_187417"/>
    </w:p>
    <w:p>
      <w:pPr>
        <w:pStyle w:val="BookText"/>
        <w:rPr/>
      </w:pPr>
      <w:bookmarkEnd w:id="361"/>
      <w:r>
        <w:rPr>
          <w:rFonts w:ascii="IRNazanin" w:hAnsi="IRNazanin" w:eastAsia="IRNazanin"/>
          <w:color w:val="111111"/>
          <w:sz w:val="28"/>
          <w:sz w:val="28"/>
          <w:szCs w:val="28"/>
          <w:rtl w:val="true"/>
          <w:lang w:bidi="fa-IR"/>
        </w:rPr>
        <w:t xml:space="preserve">والظاهر حصوله من طریق خصوص الوضع التعیّنی، فإنّ هذا هو ما نجده بوجداننا العرفی، فاختبر نفسک فی الأوضاع الجدیدة فی حیاتنا، فإنّک تشاهد عندک ألفاظاً وضعت لمعان جدیدة بکثرة الاستعمال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الألفاظ المتداولة الیوم فی معان خاصّة غیر معانیها اللغویّة، بل یمکن أن یقال بتحقّق الوضع فی المعانی الشرعیّة من هذا الطریق بکثرة الاستعمال حتّی فی خصوص عصر النّبی الأکرم صلی الله علیه و آله أیضاً، بل فی سنة أو أقلّ</w:t>
      </w:r>
      <w:r>
        <w:rPr>
          <w:rFonts w:eastAsia="IRNazanin" w:cs="IRNazanin"/>
          <w:color w:val="111111"/>
          <w:sz w:val="28"/>
          <w:szCs w:val="28"/>
          <w:rtl w:val="true"/>
          <w:lang w:bidi="fa-IR"/>
        </w:rPr>
        <w:t>.</w:t>
      </w:r>
    </w:p>
    <w:p>
      <w:pPr>
        <w:pStyle w:val="Heading5"/>
        <w:numPr>
          <w:ilvl w:val="4"/>
          <w:numId w:val="1"/>
        </w:numPr>
        <w:rPr/>
      </w:pPr>
      <w:bookmarkStart w:id="362" w:name="__RefHeading___Toc96192_3244359995"/>
      <w:bookmarkStart w:id="363" w:name="_Toc136"/>
      <w:bookmarkEnd w:id="362"/>
      <w:r>
        <w:rPr/>
        <w:t>2</w:t>
      </w:r>
      <w:r>
        <w:rPr>
          <w:rtl w:val="true"/>
        </w:rPr>
        <w:t xml:space="preserve">. </w:t>
      </w:r>
      <w:r>
        <w:rPr>
          <w:rtl w:val="true"/>
        </w:rPr>
        <w:t>حدود الحقائق الشرعیّة</w:t>
      </w:r>
      <w:bookmarkEnd w:id="363"/>
    </w:p>
    <w:p>
      <w:pPr>
        <w:pStyle w:val="BookText"/>
        <w:rPr/>
      </w:pPr>
      <w:r>
        <w:rPr>
          <w:rFonts w:ascii="IRNazanin" w:hAnsi="IRNazanin" w:eastAsia="IRNazanin"/>
          <w:color w:val="111111"/>
          <w:sz w:val="28"/>
          <w:sz w:val="28"/>
          <w:szCs w:val="28"/>
          <w:rtl w:val="true"/>
          <w:lang w:bidi="fa-IR"/>
        </w:rPr>
        <w:t xml:space="preserve">والظاهر أنّ دائرتها أوسع من الألفاظ المتداولة فی ألسنة الاصولیین، فیعمّ ألفاظاً کثیرة، مثل ما وضعت للعبادات المخترعة فی الشرع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ولأقسامها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ولأجزائها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وضعت فی غیر العبادات،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جمیع هذه الألفاظ محلّ الکلام فی المقام، ویشکل دعوی ثبوتها فی جمیعها، فاللازم الأخذ بالقدر المتیقّن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 ألفاظ نعلم بعدم کونها حقائق شرعیة، أی‌لم توضع لمعانیها الخاصّة فی لسان الشارع، بل کانت موجودة فی العرف العامّ وإنّما اضیف إلیها من جانب الشارع شرائط وخصوصیّات فحسب، بحیث لم تتبدّل إلی معان جدیدة،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یصحّ التمسّک فی الموارد المشکوکة بإطلاق قوله تعالی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bookmarkStart w:id="364" w:name="pg16918_187418"/>
    </w:p>
    <w:p>
      <w:pPr>
        <w:pStyle w:val="Heading5"/>
        <w:numPr>
          <w:ilvl w:val="4"/>
          <w:numId w:val="1"/>
        </w:numPr>
        <w:rPr/>
      </w:pPr>
      <w:bookmarkStart w:id="365" w:name="__RefHeading___Toc96194_3244359995"/>
      <w:bookmarkStart w:id="366" w:name="_Toc137"/>
      <w:bookmarkEnd w:id="364"/>
      <w:bookmarkEnd w:id="365"/>
      <w:r>
        <w:rPr/>
        <w:t>3</w:t>
      </w:r>
      <w:r>
        <w:rPr>
          <w:rtl w:val="true"/>
        </w:rPr>
        <w:t xml:space="preserve">. </w:t>
      </w:r>
      <w:r>
        <w:rPr>
          <w:rtl w:val="true"/>
        </w:rPr>
        <w:t>ثمرة المسألة</w:t>
      </w:r>
      <w:bookmarkEnd w:id="366"/>
    </w:p>
    <w:p>
      <w:pPr>
        <w:pStyle w:val="BookText"/>
        <w:rPr/>
      </w:pPr>
      <w:r>
        <w:rPr>
          <w:rFonts w:ascii="IRNazanin" w:hAnsi="IRNazanin" w:eastAsia="IRNazanin"/>
          <w:color w:val="111111"/>
          <w:sz w:val="28"/>
          <w:sz w:val="28"/>
          <w:szCs w:val="28"/>
          <w:rtl w:val="true"/>
          <w:lang w:bidi="fa-IR"/>
        </w:rPr>
        <w:t>المعروف فی ثمرة المسألة حمل الألفاظ المستعملة فی لسان الشارع والروایات علی معانیها الشرعیّة عند فقدان القرینة إن قلنا بثبوت الحقیقة الشرعیّة، وإلّا تحمل علی معانیها اللغویّة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اورد علی هذه الثمرة بأنّ الروایات الّتی وصلت عن المعصومین علیهم السلام إلینا المشتملة علی هذه الألفاظ یکون المراد منها معلوماً فلاثمرة، بل لا داعی لهذا البحث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إنّما یصحّ الإشکال لو کان النزاع فی خصوص لفظ الصلاة والصیام وشبههما، أمّا لو کانت دائرته أوسع ممّا ذکر، کما هو المختار وقد مرّ بیانه آنفاً فالثمرة لهذا البحث کثیرة، وما أکثر الألفاظ الّتی وردت فی روایات المعصومین علیهم السلام ولا یعلم أنّ المراد منها معانیها الشرعیّة أو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الألفاظ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صارت حقیقة فی معانیها فی زمان الرسول الأکرم صلی الله علیه و آله و سلم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لا دلیل علی صیرورتها کذلک فی زمنه کأسماء أجزاء العبادات مثل السجود والرکوع والتشهّد وأقسامها مثل صلاة اللیل وشبهها، بل لا یبعد أنّها صارت حقیقة فی عصر الصادقین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دلیل ولا شاهد أیضاً علی صیرورتها حقیقة إلی زمان الصادقین علیهما السلام مثل ألفاظ الأحکام الخمسة، فلا نعلم المراد من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استعملت فی الروایة هل یکون المراد منها الحرمة، أو الکراهة المصطلحة فی الفقه أو الأعمّ؟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البحث عن ثبوت الحقیقة الشرعیّة وعدمه یکون له ثمرة عملیّة بالنسبة إلی کثیر من هذه الألفاظ، والشبهة نشأت من تحدید البحث فی ألفاظ معدودة محدودة</w:t>
      </w:r>
      <w:r>
        <w:rPr>
          <w:rFonts w:eastAsia="IRNazanin" w:cs="IRNazanin"/>
          <w:color w:val="111111"/>
          <w:sz w:val="28"/>
          <w:szCs w:val="28"/>
          <w:rtl w:val="true"/>
          <w:lang w:bidi="fa-IR"/>
        </w:rPr>
        <w:t>.</w:t>
      </w:r>
      <w:bookmarkStart w:id="367" w:name="pg16918_187419"/>
    </w:p>
    <w:p>
      <w:pPr>
        <w:pStyle w:val="Heading5"/>
        <w:numPr>
          <w:ilvl w:val="4"/>
          <w:numId w:val="1"/>
        </w:numPr>
        <w:rPr/>
      </w:pPr>
      <w:bookmarkStart w:id="368" w:name="__RefHeading___Toc96196_3244359995"/>
      <w:bookmarkStart w:id="369" w:name="_Toc138"/>
      <w:bookmarkEnd w:id="367"/>
      <w:bookmarkEnd w:id="368"/>
      <w:r>
        <w:rPr/>
        <w:t>4</w:t>
      </w:r>
      <w:r>
        <w:rPr>
          <w:rtl w:val="true"/>
        </w:rPr>
        <w:t xml:space="preserve">. </w:t>
      </w:r>
      <w:r>
        <w:rPr>
          <w:rtl w:val="true"/>
        </w:rPr>
        <w:t>حکم الشکّ فی تاریخ الاستعمال وتاریخ النقل</w:t>
      </w:r>
      <w:bookmarkEnd w:id="369"/>
    </w:p>
    <w:p>
      <w:pPr>
        <w:pStyle w:val="BookText"/>
        <w:rPr/>
      </w:pPr>
      <w:r>
        <w:rPr>
          <w:rFonts w:ascii="IRNazanin" w:hAnsi="IRNazanin" w:eastAsia="IRNazanin"/>
          <w:color w:val="111111"/>
          <w:sz w:val="28"/>
          <w:sz w:val="28"/>
          <w:szCs w:val="28"/>
          <w:rtl w:val="true"/>
          <w:lang w:bidi="fa-IR"/>
        </w:rPr>
        <w:t xml:space="preserve">إذا وردت کلمة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ولم نعلم أنّ الحدیث ورد قبل نقل هذه اللّفظة إلی المعنی الشرعی أو بعد نقلها إلیه، فبناء علی الاحتمال الاوّل لابدّ من حملها علی معناها اللغوی، وعلی الثانی وجب حملها علی المعنی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الکلام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تارةً یکون تاریخ الاستعمال وتاریخ النقل کلاهما معلومین واخری یکون تاریخ الاستعمال معلوماً وتاریخ النقل مجهولًا أو بالعکس، وثالثةً یکون کلاهما مجهولین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کلام فی الصورة الاولی والثالثة فإنّ حکمهما واضح کما لا یخفی، إنّما الإشکال فی الصورة الثانیة، فهل یجری فیها أصل من الاصول العملیّة أو لا؟</w:t>
      </w:r>
    </w:p>
    <w:p>
      <w:pPr>
        <w:pStyle w:val="BookText"/>
        <w:rPr/>
      </w:pPr>
      <w:r>
        <w:rPr>
          <w:rFonts w:ascii="IRNazanin" w:hAnsi="IRNazanin" w:eastAsia="IRNazanin"/>
          <w:color w:val="111111"/>
          <w:sz w:val="28"/>
          <w:sz w:val="28"/>
          <w:szCs w:val="28"/>
          <w:rtl w:val="true"/>
          <w:lang w:bidi="fa-IR"/>
        </w:rPr>
        <w:t>لا شکّ فی عدم جریان استصحاب فی المجهول إلی زمان المعلوم فی کلا شقّیها؛ لأنّ الاستصحاب یجری فی الأحکام الشرعیّة وموضوعاتها، فإنّه من الاصول التعبّدیّة الّتی وضعها الشارع فیها، ولذلک لابدّ فی جریانها من أثر شرعی بلا واسطة، ولا ریب فی أنّ عدم الاستعمال أو عدم النقل فی ما نحن فیه لیس له أثر شرعی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تجری أصالة عدم النقل الّتی هی من الاصول اللّفظیّة العقلائیّة، وتکون من الأمارات فی صورة الجهل بالنقل والعلم بالاستعمال لا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عدم النقل یجری فیما إذا شککنا فی أصل النقل لا ما إذا کان أصل النقل معلوماً وکان تاریخه مجهولًا، فإنّ بناء العقلاء ثابت فی الأوّل دون الثانی، وعلی هذا فلا أصل عملی یجری فی المقام</w:t>
      </w:r>
      <w:r>
        <w:rPr>
          <w:rFonts w:eastAsia="IRNazanin" w:cs="IRNazanin"/>
          <w:color w:val="111111"/>
          <w:sz w:val="28"/>
          <w:szCs w:val="28"/>
          <w:rtl w:val="true"/>
          <w:lang w:bidi="fa-IR"/>
        </w:rPr>
        <w:t>.</w:t>
      </w:r>
    </w:p>
    <w:p>
      <w:pPr>
        <w:pStyle w:val="Heading4"/>
        <w:numPr>
          <w:ilvl w:val="3"/>
          <w:numId w:val="1"/>
        </w:numPr>
        <w:rPr/>
      </w:pPr>
      <w:bookmarkStart w:id="370" w:name="__RefHeading___Toc96198_3244359995"/>
      <w:bookmarkStart w:id="371" w:name="_Toc139"/>
      <w:bookmarkEnd w:id="370"/>
      <w:r>
        <w:rPr>
          <w:rtl w:val="true"/>
        </w:rPr>
        <w:t>الأمر الخامس</w:t>
      </w:r>
      <w:r>
        <w:rPr>
          <w:rtl w:val="true"/>
        </w:rPr>
        <w:t xml:space="preserve">: </w:t>
      </w:r>
      <w:r>
        <w:rPr>
          <w:rtl w:val="true"/>
        </w:rPr>
        <w:t>فی الصحیح والأعمّ</w:t>
      </w:r>
      <w:bookmarkEnd w:id="371"/>
    </w:p>
    <w:p>
      <w:pPr>
        <w:pStyle w:val="Heading5"/>
        <w:numPr>
          <w:ilvl w:val="4"/>
          <w:numId w:val="1"/>
        </w:numPr>
        <w:rPr/>
      </w:pPr>
      <w:bookmarkStart w:id="372" w:name="__RefHeading___Toc96200_3244359995"/>
      <w:bookmarkStart w:id="373" w:name="_Toc140"/>
      <w:bookmarkEnd w:id="372"/>
      <w:r>
        <w:rPr>
          <w:rtl w:val="true"/>
        </w:rPr>
        <w:t>اشارة</w:t>
      </w:r>
      <w:bookmarkEnd w:id="373"/>
    </w:p>
    <w:p>
      <w:pPr>
        <w:pStyle w:val="BookText"/>
        <w:rPr/>
      </w:pPr>
      <w:r>
        <w:rPr>
          <w:rFonts w:ascii="IRNazanin" w:hAnsi="IRNazanin" w:eastAsia="IRNazanin"/>
          <w:color w:val="111111"/>
          <w:sz w:val="28"/>
          <w:sz w:val="28"/>
          <w:szCs w:val="28"/>
          <w:rtl w:val="true"/>
          <w:lang w:bidi="fa-IR"/>
        </w:rPr>
        <w:t>الأولی فی عنوان هذه المسألة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ألفاظ العبادات والمعاملات وغیرهما بمقتضی الوضع الشرعی أو اللغوی أو القرینة العامّة هل هی للصحیح أو للأعمّ منه؟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ولابدّ قبل ذکر الأقوال و أدلّتها من تقدیم مقدّمات</w:t>
      </w:r>
      <w:r>
        <w:rPr>
          <w:rFonts w:eastAsia="IRNazanin" w:cs="IRNazanin"/>
          <w:color w:val="111111"/>
          <w:sz w:val="28"/>
          <w:szCs w:val="28"/>
          <w:rtl w:val="true"/>
          <w:lang w:bidi="fa-IR"/>
        </w:rPr>
        <w:t>:</w:t>
      </w:r>
      <w:bookmarkStart w:id="374" w:name="pg16918_187420"/>
    </w:p>
    <w:p>
      <w:pPr>
        <w:pStyle w:val="Heading5"/>
        <w:numPr>
          <w:ilvl w:val="4"/>
          <w:numId w:val="1"/>
        </w:numPr>
        <w:rPr/>
      </w:pPr>
      <w:bookmarkStart w:id="375" w:name="__RefHeading___Toc96202_3244359995"/>
      <w:bookmarkStart w:id="376" w:name="_Toc141"/>
      <w:bookmarkEnd w:id="374"/>
      <w:bookmarkEnd w:id="375"/>
      <w:r>
        <w:rPr/>
        <w:t>1</w:t>
      </w:r>
      <w:r>
        <w:rPr>
          <w:rtl w:val="true"/>
        </w:rPr>
        <w:t xml:space="preserve">. </w:t>
      </w:r>
      <w:r>
        <w:rPr>
          <w:rtl w:val="true"/>
        </w:rPr>
        <w:t>تحریر محلّ النزاع</w:t>
      </w:r>
      <w:bookmarkEnd w:id="376"/>
    </w:p>
    <w:p>
      <w:pPr>
        <w:pStyle w:val="BookText"/>
        <w:rPr/>
      </w:pPr>
      <w:r>
        <w:rPr>
          <w:rFonts w:ascii="IRNazanin" w:hAnsi="IRNazanin" w:eastAsia="IRNazanin"/>
          <w:color w:val="111111"/>
          <w:sz w:val="28"/>
          <w:sz w:val="28"/>
          <w:szCs w:val="28"/>
          <w:rtl w:val="true"/>
          <w:lang w:bidi="fa-IR"/>
        </w:rPr>
        <w:t>لا فرق فی جریان النزاع بین القول بثبوت الحقیقة الشرعیّة وعدمه وبین أن تکون الألفاظ مجازات فی المعانی الشرعیّة أو حقائق فیها أو فی المعانی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لأنّ المعنی الحقیقی أو المجازی هنا یشتمل علی أجزاء وشرائط علی کلّ حال ویتصوّر فیها الصحیح والفاسد، فیجری النزاع فیها حتّی علی القول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استعمالات الشرع مثلًا یراد منها الدعاء، فإنّه لا إشکال فی أنّ هذا الدعاء فی هذه الاستعمالات مقیّد بقیود خاصّة معتبرة فی الصلاة، فیتصوّر فیها الصحیح والأعمّ؛ أی الجامع للشرائط والأجزاء، والفاقد لبعضها</w:t>
      </w:r>
      <w:r>
        <w:rPr>
          <w:rFonts w:eastAsia="IRNazanin" w:cs="IRNazanin"/>
          <w:color w:val="111111"/>
          <w:sz w:val="28"/>
          <w:szCs w:val="28"/>
          <w:rtl w:val="true"/>
          <w:lang w:bidi="fa-IR"/>
        </w:rPr>
        <w:t>.</w:t>
      </w:r>
    </w:p>
    <w:p>
      <w:pPr>
        <w:pStyle w:val="Heading5"/>
        <w:numPr>
          <w:ilvl w:val="4"/>
          <w:numId w:val="1"/>
        </w:numPr>
        <w:rPr/>
      </w:pPr>
      <w:bookmarkStart w:id="377" w:name="__RefHeading___Toc96204_3244359995"/>
      <w:bookmarkStart w:id="378" w:name="_Toc142"/>
      <w:bookmarkEnd w:id="377"/>
      <w:r>
        <w:rPr/>
        <w:t>2</w:t>
      </w:r>
      <w:r>
        <w:rPr>
          <w:rtl w:val="true"/>
        </w:rPr>
        <w:t xml:space="preserve">. </w:t>
      </w:r>
      <w:r>
        <w:rPr>
          <w:rtl w:val="true"/>
        </w:rPr>
        <w:t>معنی الصحّة والفساد</w:t>
      </w:r>
      <w:bookmarkEnd w:id="378"/>
    </w:p>
    <w:p>
      <w:pPr>
        <w:pStyle w:val="BookText"/>
        <w:rPr/>
      </w:pPr>
      <w:r>
        <w:rPr>
          <w:rFonts w:ascii="IRNazanin" w:hAnsi="IRNazanin" w:eastAsia="IRNazanin"/>
          <w:color w:val="111111"/>
          <w:sz w:val="28"/>
          <w:sz w:val="28"/>
          <w:szCs w:val="28"/>
          <w:rtl w:val="true"/>
          <w:lang w:bidi="fa-IR"/>
        </w:rPr>
        <w:t>ونکتفی فیه ببیان معنی الصحّة حتّی یعرف منها معنی الفساد أیضاً؛ فإنّ الأشیاء تعرف بأضدادها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للصحّة معانٍ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 الإعادة والقضاء، وهذا منسوب إلی الفقهاء</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موافقة الأمر، وهو منسوب إلی المتکلّمین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عدم تمامیّة شی‌ء منهما، لأنّ کلّاً منهم أخذ بلوازم الصحة المطلوبة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التمامیّة کما ذکره المحقّق الخراسانی </w:t>
      </w:r>
      <w:r>
        <w:rPr>
          <w:rStyle w:val="FootnoteAnchor"/>
          <w:rtl w:val="true"/>
        </w:rPr>
        <w:footnoteReference w:id="292"/>
      </w:r>
      <w:r>
        <w:rPr>
          <w:rFonts w:ascii="IRNazanin" w:hAnsi="IRNazanin" w:eastAsia="IRNazanin"/>
          <w:color w:val="111111"/>
          <w:sz w:val="28"/>
          <w:sz w:val="28"/>
          <w:szCs w:val="28"/>
          <w:rtl w:val="true"/>
          <w:lang w:bidi="fa-IR"/>
        </w:rPr>
        <w:t>، وهو أیضاً غیر تامّ؛ لأنّه مبهم لم یعیّن فیه حیثیّة التمامیّة وجهتها، فهل المراد التمامیّة من ناحیة الأجزاء أو من جهة الأجزاء والشرائط، أو من جهات اخری؟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الجامعیة للأجزاء والشرائط، وهو المعروف بین من تأخّر عن المحقّق</w:t>
      </w:r>
      <w:bookmarkStart w:id="379" w:name="pg16918_187421"/>
    </w:p>
    <w:p>
      <w:pPr>
        <w:pStyle w:val="BookText"/>
        <w:rPr/>
      </w:pPr>
      <w:bookmarkEnd w:id="379"/>
      <w:r>
        <w:rPr>
          <w:rFonts w:ascii="IRNazanin" w:hAnsi="IRNazanin" w:eastAsia="IRNazanin"/>
          <w:color w:val="111111"/>
          <w:sz w:val="28"/>
          <w:sz w:val="28"/>
          <w:szCs w:val="28"/>
          <w:rtl w:val="true"/>
          <w:lang w:bidi="fa-IR"/>
        </w:rPr>
        <w:t>المذکور</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الصحیح هو ما یکون واجداً للأثر المترقّب منه، والفاسد هو ما یکون فاقداً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ما یترتّب علی ترکیب أجزائه وإنسجامها الأثر المطلوب المترقّب منه، فالصلاة المرکّبة من الرکوع والسجود والتکبیر والتسلیم مع الطهارة واستقبال القبلة أمر وحدانی فی نظر الشارع المقدّس یراد منه تحقیق أثر خاصّ عند اجتماعها؛ سواء کان النهی عن الفحشاء والمنکر أو غیره، وهکذا الصیام وغیره، فإذا ترتّب علیها هذا الأثر کان صحیحاً، وإلّا کان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مقام الثبوت، وأمّا فی مقام الإثبات فقد لا نعلم بذلک ولا طریق لنا إلیه إلّا من ناحیة الجامعیّة للأجزاء والشرائط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ینبغی أن یعلم، أنّ الصحّة والفساد أمران إضافیّان، فیختلف شی‌ء واحد صحّة وفساداً بحسب الحالات المختلفة الطارئة علیه، فیکون تامّاً بحسب حالة وفاسداً بالنسبة إلی حالة اخری کالصلاة الرباعیة، فإنّها صحیحة بالنسبة إلی الحاضر وفاسدة للمسافر، إلی غیر ذلک من الأمثلة</w:t>
      </w:r>
      <w:r>
        <w:rPr>
          <w:rFonts w:eastAsia="IRNazanin" w:cs="IRNazanin"/>
          <w:color w:val="111111"/>
          <w:sz w:val="28"/>
          <w:szCs w:val="28"/>
          <w:rtl w:val="true"/>
          <w:lang w:bidi="fa-IR"/>
        </w:rPr>
        <w:t>.</w:t>
      </w:r>
    </w:p>
    <w:p>
      <w:pPr>
        <w:pStyle w:val="Heading5"/>
        <w:numPr>
          <w:ilvl w:val="4"/>
          <w:numId w:val="1"/>
        </w:numPr>
        <w:rPr/>
      </w:pPr>
      <w:bookmarkStart w:id="380" w:name="__RefHeading___Toc96206_3244359995"/>
      <w:bookmarkStart w:id="381" w:name="_Toc143"/>
      <w:bookmarkEnd w:id="380"/>
      <w:r>
        <w:rPr/>
        <w:t>3</w:t>
      </w:r>
      <w:r>
        <w:rPr>
          <w:rtl w:val="true"/>
        </w:rPr>
        <w:t xml:space="preserve">. </w:t>
      </w:r>
      <w:r>
        <w:rPr>
          <w:rtl w:val="true"/>
        </w:rPr>
        <w:t>دخول الشرائط فی المسمّی وعدمه</w:t>
      </w:r>
      <w:bookmarkEnd w:id="381"/>
    </w:p>
    <w:p>
      <w:pPr>
        <w:pStyle w:val="BookText"/>
        <w:rPr/>
      </w:pPr>
      <w:r>
        <w:rPr>
          <w:rFonts w:ascii="IRNazanin" w:hAnsi="IRNazanin" w:eastAsia="IRNazanin"/>
          <w:color w:val="111111"/>
          <w:sz w:val="28"/>
          <w:sz w:val="28"/>
          <w:szCs w:val="28"/>
          <w:rtl w:val="true"/>
          <w:lang w:bidi="fa-IR"/>
        </w:rPr>
        <w:t>لا إشکال فی دخول الأجزاء فی المسمّی عند الصحیحی، بناءً علی تعریف الصحّة بالجامعیّة، وأمّا الشرائط فهی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اخذ فی المأمور به کالطهارة والاستقبال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یؤخذ فی المأمور به ولکن نفهمه من الخارج من دلیل العقل وإن کان أخذه فی المأمور به شرعاً أیضاً ممکناً ولکنّه لم یؤخذ، فلا یلزم من أخذه محذور، مثل شرط عدم ورود النهی وعدم الابتلاء بالضدّ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یمکن أخذه فی المأمور به شرعاً نحو قصد القربة علی القول المشهور من استلزام أخذه الدور المحال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حکی عن شیخنا الأعظم الأنصاری رحمه الله القول بعدم أخذ جمیع هذه الأقسام فی المأمور به عند الصحیحی، فالصحیح هو ما کان تامّ الأجزاء، ولا یلاحظ الشرائط مطلقاً، وذلک لتأخّرها عن الأجزاء رتبة، فإنّ الأجزاء بمنزلة المقتضی للأثر، والشرائط معدّات لها فلا یمکن أخذها فی المسمّی فی عرض الأجزاء</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ممّا لا یمکن المساعدة علیه، لأنّ تأخّر الشرائط عن الأجزاء بحسب الوجود لا ربط له بمقام التسمیة، فإنّه لا مانع فی هذا المقام من الجمع بین لحاظ المتقدّم فی الوجود ولحاظ المتأخّر فیه ثمّ وضع الاسم علیهما معاً کما لا یخفی، وهذا بالنسبة إلی القسم الأوّل من الشرائط أمر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حیث لم یؤخذ فی المأمور به فی لسان الشارع فلا یصحّ أخذه فی المسمّی أیضاً، لأنّ أخذه فی المسمّی مع عدم کونه مأموراً به یستلزم تعلّق أمر الشارع بما لیس مأموراً به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الأخذ فی المأمور به وإطلاقه بحسب الظاهر لا یلازم عدم الأخذ فی المسمّی والمأمور به بحسب الواقع، لأنّ إطلاقه الظاهری مقیّد فی الواقع بدلیل العقل، فالمأمور به واقعاً مقیّد بعدم ورود النهی عنه مثلًا، لعدم جواز اجتماع الأمر والنهی علی الفرض بحکم العقل، فالقسم الثانی یرجع إلی القسم الأوّل بحسب الواقع</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ذلک إنّ القسم الثانی والثالث فی الحقیقة یرجعان إلی القسم الأوّل،</w:t>
      </w:r>
      <w:bookmarkStart w:id="382" w:name="pg16918_187423"/>
    </w:p>
    <w:p>
      <w:pPr>
        <w:pStyle w:val="BookText"/>
        <w:rPr/>
      </w:pPr>
      <w:bookmarkEnd w:id="382"/>
      <w:r>
        <w:rPr>
          <w:rFonts w:ascii="IRNazanin" w:hAnsi="IRNazanin" w:eastAsia="IRNazanin"/>
          <w:color w:val="111111"/>
          <w:sz w:val="28"/>
          <w:sz w:val="28"/>
          <w:szCs w:val="28"/>
          <w:rtl w:val="true"/>
          <w:lang w:bidi="fa-IR"/>
        </w:rPr>
        <w:t>مثلًا إنّ قصد القربة فی القسم الثالث وإن کان لا یمکن أخذه فی المأمور به شرعاً علی مذاق القائلین به إلّاأنّه لا إشکال فی أنّه متبادر من العبادة وبه قوامها، فکیف لا یکون داخلًا فی مسمّاها؟ کما أنّ عدم المانع بمثل عدم الابتلاء بالمزاحم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إنکار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ورود النهی عنها فی القسم الثانی یرجعان إلی قصد القربة، فیحکم علیهما بحکمه</w:t>
      </w:r>
      <w:r>
        <w:rPr>
          <w:rFonts w:eastAsia="IRNazanin" w:cs="IRNazanin"/>
          <w:color w:val="111111"/>
          <w:sz w:val="28"/>
          <w:szCs w:val="28"/>
          <w:rtl w:val="true"/>
          <w:lang w:bidi="fa-IR"/>
        </w:rPr>
        <w:t>.</w:t>
      </w:r>
    </w:p>
    <w:p>
      <w:pPr>
        <w:pStyle w:val="Heading5"/>
        <w:numPr>
          <w:ilvl w:val="4"/>
          <w:numId w:val="1"/>
        </w:numPr>
        <w:rPr/>
      </w:pPr>
      <w:bookmarkStart w:id="383" w:name="__RefHeading___Toc96208_3244359995"/>
      <w:bookmarkStart w:id="384" w:name="_Toc144"/>
      <w:bookmarkEnd w:id="383"/>
      <w:r>
        <w:rPr/>
        <w:t>4</w:t>
      </w:r>
      <w:r>
        <w:rPr>
          <w:rtl w:val="true"/>
        </w:rPr>
        <w:t xml:space="preserve">. </w:t>
      </w:r>
      <w:r>
        <w:rPr>
          <w:rtl w:val="true"/>
        </w:rPr>
        <w:t>لزوم تصویر الجامع علی القولین</w:t>
      </w:r>
      <w:bookmarkEnd w:id="384"/>
    </w:p>
    <w:p>
      <w:pPr>
        <w:pStyle w:val="BookText"/>
        <w:rPr/>
      </w:pPr>
      <w:r>
        <w:rPr>
          <w:rFonts w:ascii="IRNazanin" w:hAnsi="IRNazanin" w:eastAsia="IRNazanin"/>
          <w:color w:val="111111"/>
          <w:sz w:val="28"/>
          <w:sz w:val="28"/>
          <w:szCs w:val="28"/>
          <w:rtl w:val="true"/>
          <w:lang w:bidi="fa-IR"/>
        </w:rPr>
        <w:t>لا إشکال فی أنّ ألفاظ العبادات والمعاملات کالصلاة والبیع لیست من المشترک اللّفظی بالنسبة إلی أفرادها ومصادیقها الکثیرة، بل من قبیل المشترک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لا یخفی لزوم تصوّر قدر جامع لأفرادها ومصادیقها حتّی یوضع اللّفظ بإزائه، کما لا إشکال فی أنّ الصحیحی والأعمّی فیه سیّان، لوجود إشکالین فی بیان القدر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أفراد العبادات والمعاملات واختلافها من حیث أجزائها وشرائطها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صدق کلّ واحد من أسامی العبادات والمعاملات علی کلّ فرد منها، فیصحّ إطلاق اسم الصلاة مثلًا علی فاقد کلّ جزء وعلی واجده، وهو یستلزم کون کلّ جزء جزءً عند وجوده، وعدم کونه جزءً عند فقدانه، فیستلزم کونه مقوّماً للصّلاة عند وجوده، غیر مقوّم لها عند عدمه، ولازم هذا تبدّل الماهیة، أی تفاوت الأفراد فی الماهیة، وهو مانع عن تصویر جامع بینها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الّتی یؤتی بها عن قیام أو مع الرکوع والسجود یکون القیام والرکوع والسجود أجزاءً لها، ولکن إذا أتی بها عن جلوس ومع الإیماء أو بلا إیماء عند عدم القدرة علیه لا تکون هذه الامور جزءً لها، وهذا ممّا لا یقبله العقل ولا یمکن معه أخذ الجامع بین هذه الأفراد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ذلک تصدّی کلّ من الفریقین لبیان القدر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الجامع علی قول الصحیحی</w:t>
      </w:r>
    </w:p>
    <w:p>
      <w:pPr>
        <w:pStyle w:val="BookText"/>
        <w:rPr/>
      </w:pPr>
      <w:r>
        <w:rPr>
          <w:rFonts w:ascii="IRNazanin" w:hAnsi="IRNazanin" w:eastAsia="IRNazanin"/>
          <w:color w:val="111111"/>
          <w:sz w:val="28"/>
          <w:sz w:val="28"/>
          <w:szCs w:val="28"/>
          <w:rtl w:val="true"/>
          <w:lang w:bidi="fa-IR"/>
        </w:rPr>
        <w:t xml:space="preserve">قد ذکروا عناوین مختلفة للقدر الجامع بین الأفراد الصحیحة، إلّاأنّه لا یمکن المساعدة علی ما ذکروه فی المقام، کما فصّلناه فی محلّه </w:t>
      </w:r>
      <w:r>
        <w:rPr>
          <w:rStyle w:val="FootnoteAnchor"/>
          <w:rtl w:val="true"/>
        </w:rPr>
        <w:footnoteReference w:id="297"/>
      </w:r>
      <w:r>
        <w:rPr>
          <w:rFonts w:ascii="IRNazanin" w:hAnsi="IRNazanin" w:eastAsia="IRNazanin"/>
          <w:color w:val="111111"/>
          <w:sz w:val="28"/>
          <w:sz w:val="28"/>
          <w:szCs w:val="28"/>
          <w:rtl w:val="true"/>
          <w:lang w:bidi="fa-IR"/>
        </w:rPr>
        <w:t>، ونکتفی هنا ببیان المختار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یصحّ أن تکون مناطاً لتشخیص القدر الجامع هو الرجوع إلی الآثار المترتّبة علی الماهیات فإنّها قطب الرحی الذی یدور علیه مدار التسمیة فی العرف والشرع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المرکّبات الشرعیّة والاعتباریّة تکون علی وزان المخترعات العرفیّة الخارجیّة، وهی تدور غالباً مدار الأثر، فالأثر المطلوب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إنّما هو تعیین الأوقات ولا دخل لمادّة خاصّة بل لهیئة خاصّة فی حصول هذا الأثر، ولذلک نری تغییرها من مادّة إلی مادّة وهیئة إلی هیئة، مع ثبات الأثر المترقّب منها، وهو تعیین الوقت وثبات الاسم الموضوع علیها أوّلًا وهو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والشارع أیضاً مع ملاحظته الآثار والخواصّ وضع الأسماء لمعانیها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نظر إلی أثر النهی عن الفحشاء والمنکر أو شی‌ء آخر وجعل لفظة الصلاة لکلّ مجموعة توجب هذا الأثر، سواء کانت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غیرها، فلا مانع من إطلاق الصلاة حتّی علی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تحقّق بها ذلک الأثر، ولا دخل للمعرفة بهذا الأثر بعینه والعلم به تفصیلًا، بل یکفی العلم إجمالًا بأنّ وضع هذه المرکّب من الشارع کان لأثر خاصّ ومصلحة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فالفرق بینها وبین المرکّبات العرفیّة أنّ الأثر الذی یدور علیه رحی التسمیة فی هذه المرکّبات معلوم غالباً، ولکن أثر العبادات لا علم لنا به إلّابمقدار ما بیّنه الشارع، فهو العالم بترتّبه علی أفرادها بما لها من السعة و الکثرة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یکون لهذا الأثر مراتب مختلفة نظیر مراتب النور فی الأفراد</w:t>
      </w:r>
    </w:p>
    <w:p>
      <w:pPr>
        <w:pStyle w:val="BookText"/>
        <w:rPr/>
      </w:pPr>
      <w:r>
        <w:rPr>
          <w:rFonts w:ascii="IRNazanin" w:hAnsi="IRNazanin" w:eastAsia="IRNazanin"/>
          <w:color w:val="111111"/>
          <w:sz w:val="28"/>
          <w:sz w:val="28"/>
          <w:szCs w:val="28"/>
          <w:rtl w:val="true"/>
          <w:lang w:bidi="fa-IR"/>
        </w:rPr>
        <w:t>المختلفة للمصباح، ولکن هذا التفاوت لا یضرّ بالإطلاق والتسمیة، فکلّ صلاة صحیحة یترتّب علیها بعض مراتب النهی عن الفحشاء یصحّ تسمیته باسم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ممّا ذکر أنّ القدر الجامع فی المقام یدور علی أساس وحدة الأثر، فهو فی کلّ عبادة مجموعة من الأجزاء والشرائط الّتی توجب الأثر المترقّب منها بنظر الشارع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الجامع بناءً علی القول بالأعمّ</w:t>
      </w:r>
    </w:p>
    <w:p>
      <w:pPr>
        <w:pStyle w:val="BookText"/>
        <w:rPr/>
      </w:pPr>
      <w:r>
        <w:rPr>
          <w:rFonts w:ascii="IRNazanin" w:hAnsi="IRNazanin" w:eastAsia="IRNazanin"/>
          <w:color w:val="111111"/>
          <w:sz w:val="28"/>
          <w:sz w:val="28"/>
          <w:szCs w:val="28"/>
          <w:rtl w:val="true"/>
          <w:lang w:bidi="fa-IR"/>
        </w:rPr>
        <w:t>ولا یمکن تصویر الجامع علی مسلک الأعمّی وهذا من أهمّ الإشکالات الواردة علی هذا القول، ومع ذلک نتعرّض للوجهین من الوجوه المذکورة لتصویر الجامع علی هذا المسلک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عبارة عن الأرکان، فالصلاة مثلًا وضعت لما اشتملت علی الأرکان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الوجدان فی مثل الصلاة، لأنّ التسمیة بالصلاة لا یدور مدار الأرکان بل قد یکون تمام الأرکان موجودة، ومعه لا یصحّ إطلاق الصلاة کما إذا أخلّ بجمیع الأجزاء والشرائط ما عدا الأرکان مثل القبلة والطهارة والتشهّد والسلام، فإنّه لا یطلق علیه حتّی الصلاة الفاسدة، کما أنّه قد لا یکون تمام الأرکان موجودة ولکن یطلق علی المأتی به عنوان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أخلّ مثلًا بالرکوع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یستلزم کون إطلاق الصلاة علی ما اشتملت علی جمیع الأجزاء والشرائط مجازاً من باب استعمال ما وضع للجزء فی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أخصّ من المدّعی لعدم تصوّر الأرکان فی بعض العبادات کالصوم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الجامع عبارة عن معظم الأجزاء الّتی تدور مدارها</w:t>
      </w:r>
      <w:bookmarkStart w:id="385" w:name="pg16918_187426"/>
    </w:p>
    <w:p>
      <w:pPr>
        <w:pStyle w:val="BookText"/>
        <w:rPr/>
      </w:pPr>
      <w:bookmarkEnd w:id="385"/>
      <w:r>
        <w:rPr>
          <w:rFonts w:ascii="IRNazanin" w:hAnsi="IRNazanin" w:eastAsia="IRNazanin"/>
          <w:color w:val="111111"/>
          <w:sz w:val="28"/>
          <w:sz w:val="28"/>
          <w:szCs w:val="28"/>
          <w:rtl w:val="true"/>
          <w:lang w:bidi="fa-IR"/>
        </w:rPr>
        <w:t xml:space="preserve">التسمیة عرفاً، ولا یخفی أنّ صدق الاسم عرفاً یکشف عن وجود المسمّی کما أنّ عدم صدقه عرفاً یکشف عن عدم وجود المسمّی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واورد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یستلزم کون الاستعمال فی المجموع مجازاً، وهو ممّا لا یرضی به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یستلزم أن یتبادل ما هو المعتبر فی المسمّی من أجزاء إلی أجزاء فیکون شی‌ء واحد داخلًا فیه تارةً وخارجاً عنه اخری، لأنّ معظم الأجزاء لیست أمراً ثابتاً فی جمیع أنواع الصلاة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أنّه لیس للقول بالأعمّ جامع یمکن وضع اللفظ له، وهذا من أهمّ الإشکالات الواردة علی هذا القول کما سیأتی إن شاء اللَّه تعالی</w:t>
      </w:r>
      <w:r>
        <w:rPr>
          <w:rFonts w:eastAsia="IRNazanin" w:cs="IRNazanin"/>
          <w:color w:val="111111"/>
          <w:sz w:val="28"/>
          <w:szCs w:val="28"/>
          <w:rtl w:val="true"/>
          <w:lang w:bidi="fa-IR"/>
        </w:rPr>
        <w:t>.</w:t>
      </w:r>
    </w:p>
    <w:p>
      <w:pPr>
        <w:pStyle w:val="Heading5"/>
        <w:numPr>
          <w:ilvl w:val="4"/>
          <w:numId w:val="1"/>
        </w:numPr>
        <w:rPr/>
      </w:pPr>
      <w:bookmarkStart w:id="386" w:name="__RefHeading___Toc96210_3244359995"/>
      <w:bookmarkStart w:id="387" w:name="_Toc145"/>
      <w:bookmarkEnd w:id="386"/>
      <w:r>
        <w:rPr/>
        <w:t>5</w:t>
      </w:r>
      <w:r>
        <w:rPr>
          <w:rtl w:val="true"/>
        </w:rPr>
        <w:t xml:space="preserve">. </w:t>
      </w:r>
      <w:r>
        <w:rPr>
          <w:rtl w:val="true"/>
        </w:rPr>
        <w:t>ثمرة المسألة</w:t>
      </w:r>
      <w:bookmarkEnd w:id="387"/>
    </w:p>
    <w:p>
      <w:pPr>
        <w:pStyle w:val="BookText"/>
        <w:rPr/>
      </w:pPr>
      <w:r>
        <w:rPr>
          <w:rFonts w:ascii="IRNazanin" w:hAnsi="IRNazanin" w:eastAsia="IRNazanin"/>
          <w:color w:val="111111"/>
          <w:sz w:val="28"/>
          <w:sz w:val="28"/>
          <w:szCs w:val="28"/>
          <w:rtl w:val="true"/>
          <w:lang w:bidi="fa-IR"/>
        </w:rPr>
        <w:t>ذکر الأعلام للمسألة ثمرتین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یمکن للصحیحی التمسّک بالإطلاق فی صورة الشکّ فی جزئیّة شی‌ء أو شرطیّته، لأنّ المسمّی بناءً علی مسلکه بسیط تحتمل دخالة الجزء المشکوک فیه، فلا یحرز صدق المسمّی علی المأتی به من دون إتیان ذلک الجزء، خلافاً للأعمّی لأنّ الصلاة مثلًا تصدق علی مسلکه وإن لم یأت ببعض الأجزاء والشرائط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مجرّد فرض فحسب ولا مصداق له فی الفقه، لعدم وجود لفظ مطلق فی باب العبادات یکون فی مقام البیان حتّی یمکن التمسّک به عند الشکّ فی الجزئیّة والشرطیّة، وأمّا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 وآتوا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مقام بیان أصل وجوب الصلاة والزکاة فی الشریعة المقدّسة لا فی مقام بیان حدودهما وأجزائهما وأحکامهما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الإطلاقات الواردة فی باب المعاملات فهی منصرفة إلی الصحیح عند</w:t>
      </w:r>
      <w:bookmarkStart w:id="388" w:name="pg16918_187427"/>
    </w:p>
    <w:p>
      <w:pPr>
        <w:pStyle w:val="BookText"/>
        <w:rPr/>
      </w:pPr>
      <w:bookmarkEnd w:id="388"/>
      <w:r>
        <w:rPr>
          <w:rFonts w:ascii="IRNazanin" w:hAnsi="IRNazanin" w:eastAsia="IRNazanin"/>
          <w:color w:val="111111"/>
          <w:sz w:val="28"/>
          <w:sz w:val="28"/>
          <w:szCs w:val="28"/>
          <w:rtl w:val="true"/>
          <w:lang w:bidi="fa-IR"/>
        </w:rPr>
        <w:t xml:space="preserve">العرف لا الصحیح عند الشرع؛ لعدم تأسیس فیها للشارع المقدّس، وحینئذٍ إذا شکّ الصحیحی فی اعتبار قید فیها عند الشارع زائداً علی القیود المعتبرة عند العرف والعقلاء یمکن له أیضاً أن یتمسّک لدفعه بإطلاق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r>
        <w:rPr>
          <w:rStyle w:val="FootnoteAnchor"/>
          <w:rtl w:val="true"/>
        </w:rPr>
        <w:footnoteReference w:id="300"/>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الثمرة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جزئیّة السورة مثلًا للصّلاة ولم یکن فی البین إطلاق یمکن التمسّک به لدفعها، أمکن للأعمّی الرجوع إلی أصل البراءة، لأنّ المفروض عنده أنّ الصلاة تصدق علی فاقد الجزء أیضاً، وأمّا الصحیحی فلا یمکن له التمسّک به لأنّ شکّه هذا یسری إلی مسمّی الصلاة وأنّ المسمّی صادق علیه أو لا؟ ولا إشکال فی أنّ المرجع حینئذٍ إنّما هو أصالة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مرّ أنّه علی المبنی المختار أیضاً یمکن الأخذ بالبراءة لما مرّ من أنّ الآثار المرغوبة من العبادات امور خفیة عنّا، وبطبیعة الحال لم نؤمر بها، بل اللازم علی المولی بیان الأجزاء والشرائط المؤثّرة فی هذا الأثر الخفیّ، فإذا لم یثبت أمره ببعض الأجزاء أو الشرائط فیمکن لنا الأخذ بالبراءة</w:t>
      </w:r>
      <w:r>
        <w:rPr>
          <w:rFonts w:eastAsia="IRNazanin" w:cs="IRNazanin"/>
          <w:color w:val="111111"/>
          <w:sz w:val="28"/>
          <w:szCs w:val="28"/>
          <w:rtl w:val="true"/>
          <w:lang w:bidi="fa-IR"/>
        </w:rPr>
        <w:t>.</w:t>
      </w:r>
    </w:p>
    <w:p>
      <w:pPr>
        <w:pStyle w:val="Heading5"/>
        <w:numPr>
          <w:ilvl w:val="4"/>
          <w:numId w:val="1"/>
        </w:numPr>
        <w:rPr/>
      </w:pPr>
      <w:bookmarkStart w:id="389" w:name="__RefHeading___Toc96212_3244359995"/>
      <w:bookmarkStart w:id="390" w:name="_Toc146"/>
      <w:bookmarkEnd w:id="389"/>
      <w:r>
        <w:rPr>
          <w:rtl w:val="true"/>
        </w:rPr>
        <w:t>أدلّة القول بالصحیح</w:t>
      </w:r>
      <w:bookmarkEnd w:id="390"/>
    </w:p>
    <w:p>
      <w:pPr>
        <w:pStyle w:val="Heading6"/>
        <w:numPr>
          <w:ilvl w:val="5"/>
          <w:numId w:val="1"/>
        </w:numPr>
        <w:rPr/>
      </w:pPr>
      <w:bookmarkStart w:id="391" w:name="__RefHeading___Toc96214_3244359995"/>
      <w:bookmarkStart w:id="392" w:name="_Toc147"/>
      <w:bookmarkEnd w:id="391"/>
      <w:r>
        <w:rPr>
          <w:rtl w:val="true"/>
        </w:rPr>
        <w:t>اشارة</w:t>
      </w:r>
      <w:bookmarkEnd w:id="392"/>
    </w:p>
    <w:p>
      <w:pPr>
        <w:pStyle w:val="BookText"/>
        <w:rPr/>
      </w:pPr>
      <w:r>
        <w:rPr>
          <w:rFonts w:ascii="IRNazanin" w:hAnsi="IRNazanin" w:eastAsia="IRNazanin"/>
          <w:color w:val="111111"/>
          <w:sz w:val="28"/>
          <w:sz w:val="28"/>
          <w:szCs w:val="28"/>
          <w:rtl w:val="true"/>
          <w:lang w:bidi="fa-IR"/>
        </w:rPr>
        <w:t>قد مرّ أنّ الحقّ فی المسألة وضع الألفاظ للصحیح، ویستدلّ له بوجوه</w:t>
      </w:r>
      <w:r>
        <w:rPr>
          <w:rFonts w:eastAsia="IRNazanin" w:cs="IRNazanin"/>
          <w:color w:val="111111"/>
          <w:sz w:val="28"/>
          <w:szCs w:val="28"/>
          <w:rtl w:val="true"/>
          <w:lang w:bidi="fa-IR"/>
        </w:rPr>
        <w:t>:</w:t>
      </w:r>
    </w:p>
    <w:p>
      <w:pPr>
        <w:pStyle w:val="Heading6"/>
        <w:numPr>
          <w:ilvl w:val="5"/>
          <w:numId w:val="1"/>
        </w:numPr>
        <w:rPr/>
      </w:pPr>
      <w:bookmarkStart w:id="393" w:name="__RefHeading___Toc96216_3244359995"/>
      <w:bookmarkStart w:id="394" w:name="_Toc148"/>
      <w:bookmarkEnd w:id="393"/>
      <w:r>
        <w:rPr>
          <w:rtl w:val="true"/>
        </w:rPr>
        <w:t>الوجه الأوّل</w:t>
      </w:r>
      <w:r>
        <w:rPr>
          <w:rtl w:val="true"/>
        </w:rPr>
        <w:t xml:space="preserve">: </w:t>
      </w:r>
      <w:r>
        <w:rPr>
          <w:rtl w:val="true"/>
        </w:rPr>
        <w:t>التبادر</w:t>
      </w:r>
      <w:bookmarkEnd w:id="394"/>
    </w:p>
    <w:p>
      <w:pPr>
        <w:pStyle w:val="BookText"/>
        <w:rPr/>
      </w:pPr>
      <w:r>
        <w:rPr>
          <w:rFonts w:ascii="IRNazanin" w:hAnsi="IRNazanin" w:eastAsia="IRNazanin"/>
          <w:color w:val="111111"/>
          <w:sz w:val="28"/>
          <w:sz w:val="28"/>
          <w:szCs w:val="28"/>
          <w:rtl w:val="true"/>
          <w:lang w:bidi="fa-IR"/>
        </w:rPr>
        <w:t>فإنّ المتبادر من الألفاظ عند إطلاقها هو الصحیح، فیکون إطلاقها علی الفاسد بنوع من المجاز والعنایة، ولا فرق فی ذلک بین المرکّبات الشرعیّة والعرفیّة، فالمعجون الفلانی لدفع بعض الأمراض ینصرف إلی الصحیح منه، لا الفاسد الذی لا أثر له، وکذا لفظ السراج والساعة وغیرهما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هاهنا مشکلتان لابدّ من حلّهما لکی یتمّ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أنّ التبادر فرع وجود معنی مبیّن للألفاظ، مع أنّ هذه الألفاظ علی القول بالصحیح مجملات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الواضح وقوع الشکّ فی جملة من أجزاء الصلاة وشروطها، فعلی هذا القول یکون معناها مجملًا مردّداً بین الأقلّ والأکثر، فکیف یدّعی الصحیحی تبادر الصحیح التامّ من ألفاظها؟</w:t>
      </w:r>
    </w:p>
    <w:p>
      <w:pPr>
        <w:pStyle w:val="BookText"/>
        <w:rPr/>
      </w:pPr>
      <w:r>
        <w:rPr>
          <w:rFonts w:ascii="IRNazanin" w:hAnsi="IRNazanin" w:eastAsia="IRNazanin"/>
          <w:color w:val="111111"/>
          <w:sz w:val="28"/>
          <w:sz w:val="28"/>
          <w:szCs w:val="28"/>
          <w:rtl w:val="true"/>
          <w:lang w:bidi="fa-IR"/>
        </w:rPr>
        <w:t>وأجاب عنها المحقّق الخراسانی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معانی هذه الألفاظ وإن کانت علی هذا القول مجملات ولکنّها مبیّنات من ناحیة بعض الخواصّ والآثار، فتکون الصلاة مثلًا هی الّتی تنهی عن الفحشاء، أو تکون معراجاً للمؤمن، وهذا یکفی فی صحّة التبادر</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الوجدان حاکم علی صحّة إطلاق الألفاظ فی المرکّبات الخارجیّة علی بعض الأفراد الناقصة من دون وجود عنایة وتسامح فی البین، نظیر إطلاق لفظ الإنسان علی الفاقد لعضو من الأعضاء من الید أو الرجل مثلًا، مع أنّ لازم دعوی تبادر المعنی الصحیح إلی الذهن کون هذه الاستعمالات 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واضح بناءً علی ما مرّ من أنّ الموضوع له إنّما هو المؤثّر للأثر ولا إشکال فی أنّ الأثر قد یکون أمراً ذا مراتب، مرتبة واجدة لتمام الأثر، ومرتبة واجدة لمعظمه، والإطلاق حقیقی بشهادة التبادر وصحّة السلب فیما إذا کان العمل واجداً لمعظم الأثر، ومجاز فیما یکون فاقداً له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أنّه کلّما کان إطلاق اللفظ علی الفاقد لجزء من الأجزاء أو لشرط من الشرائط حقیقیاً بلا عنایة ومجاز کشفنا منه وجود معظم الأثر، کما أنّه لا إشکال فی أنّ الأثر المترتّب علی الصلاة یکون ذا مراتب عدیدة، فإطلاق الصلاة علی صلاة المریض مثلًا حقیقی لتحقّق معظم أثر الصلاة بها وذلک لحکم الشارع بصحّتها؛ فإنّ حکمه بالصحّة فی کلّ مورد یکون کاشفاً عن وجود معظم الآثار کما أنّ حکمه بالفساد کاشف عن عدم وجودها</w:t>
      </w:r>
      <w:r>
        <w:rPr>
          <w:rFonts w:eastAsia="IRNazanin" w:cs="IRNazanin"/>
          <w:color w:val="111111"/>
          <w:sz w:val="28"/>
          <w:szCs w:val="28"/>
          <w:rtl w:val="true"/>
          <w:lang w:bidi="fa-IR"/>
        </w:rPr>
        <w:t>.</w:t>
      </w:r>
      <w:bookmarkStart w:id="395" w:name="pg16918_187429"/>
    </w:p>
    <w:p>
      <w:pPr>
        <w:pStyle w:val="Heading6"/>
        <w:numPr>
          <w:ilvl w:val="5"/>
          <w:numId w:val="1"/>
        </w:numPr>
        <w:rPr/>
      </w:pPr>
      <w:bookmarkStart w:id="396" w:name="__RefHeading___Toc96218_3244359995"/>
      <w:bookmarkStart w:id="397" w:name="_Toc149"/>
      <w:bookmarkEnd w:id="395"/>
      <w:bookmarkEnd w:id="396"/>
      <w:r>
        <w:rPr>
          <w:rtl w:val="true"/>
        </w:rPr>
        <w:t>الوجه الثانی</w:t>
      </w:r>
      <w:r>
        <w:rPr>
          <w:rtl w:val="true"/>
        </w:rPr>
        <w:t xml:space="preserve">: </w:t>
      </w:r>
      <w:r>
        <w:rPr>
          <w:rtl w:val="true"/>
        </w:rPr>
        <w:t>صحّة السلب عن الفاسد</w:t>
      </w:r>
      <w:bookmarkEnd w:id="397"/>
    </w:p>
    <w:p>
      <w:pPr>
        <w:pStyle w:val="BookText"/>
        <w:rPr/>
      </w:pPr>
      <w:r>
        <w:rPr>
          <w:rFonts w:ascii="IRNazanin" w:hAnsi="IRNazanin" w:eastAsia="IRNazanin"/>
          <w:color w:val="111111"/>
          <w:sz w:val="28"/>
          <w:sz w:val="28"/>
          <w:szCs w:val="28"/>
          <w:rtl w:val="true"/>
          <w:lang w:bidi="fa-IR"/>
        </w:rPr>
        <w:t>وهو وجه تامّ إلّامن ناحیة ما مرّ فی التبادر من الإشکال، والجواب هو الجواب</w:t>
      </w:r>
      <w:r>
        <w:rPr>
          <w:rFonts w:eastAsia="IRNazanin" w:cs="IRNazanin"/>
          <w:color w:val="111111"/>
          <w:sz w:val="28"/>
          <w:szCs w:val="28"/>
          <w:rtl w:val="true"/>
          <w:lang w:bidi="fa-IR"/>
        </w:rPr>
        <w:t>.</w:t>
      </w:r>
    </w:p>
    <w:p>
      <w:pPr>
        <w:pStyle w:val="Heading6"/>
        <w:numPr>
          <w:ilvl w:val="5"/>
          <w:numId w:val="1"/>
        </w:numPr>
        <w:rPr/>
      </w:pPr>
      <w:bookmarkStart w:id="398" w:name="__RefHeading___Toc96220_3244359995"/>
      <w:bookmarkStart w:id="399" w:name="_Toc150"/>
      <w:bookmarkEnd w:id="398"/>
      <w:r>
        <w:rPr>
          <w:rtl w:val="true"/>
        </w:rPr>
        <w:t>الوجه الثالث</w:t>
      </w:r>
      <w:r>
        <w:rPr>
          <w:rtl w:val="true"/>
        </w:rPr>
        <w:t xml:space="preserve">: </w:t>
      </w:r>
      <w:r>
        <w:rPr>
          <w:rtl w:val="true"/>
        </w:rPr>
        <w:t>وجود روایات تلائم مذهب الصحیحی فقط</w:t>
      </w:r>
      <w:bookmarkEnd w:id="399"/>
    </w:p>
    <w:p>
      <w:pPr>
        <w:pStyle w:val="BookText"/>
        <w:rPr/>
      </w:pPr>
      <w:r>
        <w:rPr>
          <w:rFonts w:ascii="IRNazanin" w:hAnsi="IRNazanin" w:eastAsia="IRNazanin"/>
          <w:color w:val="111111"/>
          <w:sz w:val="28"/>
          <w:sz w:val="28"/>
          <w:szCs w:val="28"/>
          <w:rtl w:val="true"/>
          <w:lang w:bidi="fa-IR"/>
        </w:rPr>
        <w:t>وهی الروایات الدالّة علی آثار الصلاة نحو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عمود الدین</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وقوله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الروایات الدالّة علی نفی ماهیة الصلاة عن فاقد بعض الأجزاء، نظیر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إلّابطهور</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إلّابفاتحة الکتاب</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فإنّ القول بالأعمّ یستلزم تقیید لفظة الصلاة فی هذه الروایات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خلاف ظواهرها، فإنّ ظاهرها ترتّب هذه الآثار علی نفس الصلاة بما لها من المعنی من دون أیّ قید، وحیث إنّها لا تترتّب علی الفاسد منها نستکشف أنّ الصلاة فی لسان الشارع وضعت للصحیح وما تترتّب علیه هذه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الطائفة الاولی، وکذلک بالنسبة إلی الطائفة الثانیة فإنّ ظاهرها أنّ الصلاة فاقدة الطهور أو فاقدة الفاتحة لیست بصلاة، لا أنّها لیست بصلاة صحیحة</w:t>
      </w:r>
      <w:r>
        <w:rPr>
          <w:rFonts w:eastAsia="IRNazanin" w:cs="IRNazanin"/>
          <w:color w:val="111111"/>
          <w:sz w:val="28"/>
          <w:szCs w:val="28"/>
          <w:rtl w:val="true"/>
          <w:lang w:bidi="fa-IR"/>
        </w:rPr>
        <w:t>.</w:t>
      </w:r>
    </w:p>
    <w:p>
      <w:pPr>
        <w:pStyle w:val="Heading5"/>
        <w:numPr>
          <w:ilvl w:val="4"/>
          <w:numId w:val="1"/>
        </w:numPr>
        <w:rPr/>
      </w:pPr>
      <w:bookmarkStart w:id="400" w:name="__RefHeading___Toc96222_3244359995"/>
      <w:bookmarkStart w:id="401" w:name="_Toc151"/>
      <w:bookmarkEnd w:id="400"/>
      <w:r>
        <w:rPr>
          <w:rtl w:val="true"/>
        </w:rPr>
        <w:t>أدلّة القول بالأعمّ</w:t>
      </w:r>
      <w:bookmarkEnd w:id="401"/>
    </w:p>
    <w:p>
      <w:pPr>
        <w:pStyle w:val="Heading6"/>
        <w:numPr>
          <w:ilvl w:val="5"/>
          <w:numId w:val="1"/>
        </w:numPr>
        <w:rPr/>
      </w:pPr>
      <w:bookmarkStart w:id="402" w:name="__RefHeading___Toc96224_3244359995"/>
      <w:bookmarkStart w:id="403" w:name="_Toc152"/>
      <w:bookmarkEnd w:id="402"/>
      <w:r>
        <w:rPr>
          <w:rtl w:val="true"/>
        </w:rPr>
        <w:t>اشارة</w:t>
      </w:r>
      <w:bookmarkEnd w:id="403"/>
    </w:p>
    <w:p>
      <w:pPr>
        <w:pStyle w:val="BookText"/>
        <w:rPr/>
      </w:pPr>
      <w:r>
        <w:rPr>
          <w:rFonts w:ascii="Amiri" w:hAnsi="Amiri" w:eastAsia="Amiri" w:cs="Amiri"/>
          <w:color w:val="111111"/>
          <w:sz w:val="28"/>
          <w:sz w:val="28"/>
          <w:szCs w:val="28"/>
          <w:rtl w:val="true"/>
          <w:lang w:bidi="ar-SA"/>
        </w:rPr>
        <w:t>واستدلّ له أیضاً بامور</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96226_3244359995"/>
      <w:bookmarkStart w:id="405" w:name="_Toc153"/>
      <w:bookmarkEnd w:id="404"/>
      <w:r>
        <w:rPr>
          <w:rtl w:val="true"/>
        </w:rPr>
        <w:t>الأوّل والثانی</w:t>
      </w:r>
      <w:r>
        <w:rPr>
          <w:rtl w:val="true"/>
        </w:rPr>
        <w:t xml:space="preserve">: </w:t>
      </w:r>
      <w:r>
        <w:rPr>
          <w:rtl w:val="true"/>
        </w:rPr>
        <w:t>التبادر وعدم صحّة السلب عن الفاسد</w:t>
      </w:r>
      <w:bookmarkEnd w:id="40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فرع تصوّر القدر الجامع وقد مرّ أنّه لا جامع للأعمّی،</w:t>
      </w:r>
      <w:bookmarkStart w:id="406" w:name="pg16918_187430"/>
    </w:p>
    <w:p>
      <w:pPr>
        <w:pStyle w:val="BookText"/>
        <w:rPr/>
      </w:pPr>
      <w:bookmarkEnd w:id="406"/>
      <w:r>
        <w:rPr>
          <w:rFonts w:ascii="IRNazanin" w:hAnsi="IRNazanin" w:eastAsia="IRNazanin"/>
          <w:color w:val="111111"/>
          <w:sz w:val="28"/>
          <w:sz w:val="28"/>
          <w:szCs w:val="28"/>
          <w:rtl w:val="true"/>
          <w:lang w:bidi="fa-IR"/>
        </w:rPr>
        <w:t>مضافاً إلی ما مرّ من أنّ الوجدان حاکم علی أنّ المتبادر إنّما هو الصحیح من الألفاظ لا الأعمّ، بل یصحّ سلب الاسم عن الفاسد، فلا یقال للسراج إذا کسر و لم یبق له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سراج حقیقة، بل یقال کان سراجاً وکذا غیره من أشباهه</w:t>
      </w:r>
      <w:r>
        <w:rPr>
          <w:rFonts w:eastAsia="IRNazanin" w:cs="IRNazanin"/>
          <w:color w:val="111111"/>
          <w:sz w:val="28"/>
          <w:szCs w:val="28"/>
          <w:rtl w:val="true"/>
          <w:lang w:bidi="fa-IR"/>
        </w:rPr>
        <w:t>.</w:t>
      </w:r>
    </w:p>
    <w:p>
      <w:pPr>
        <w:pStyle w:val="Heading6"/>
        <w:numPr>
          <w:ilvl w:val="5"/>
          <w:numId w:val="1"/>
        </w:numPr>
        <w:rPr/>
      </w:pPr>
      <w:bookmarkStart w:id="407" w:name="__RefHeading___Toc96228_3244359995"/>
      <w:bookmarkStart w:id="408" w:name="_Toc154"/>
      <w:bookmarkEnd w:id="407"/>
      <w:r>
        <w:rPr>
          <w:rtl w:val="true"/>
        </w:rPr>
        <w:t>الثالث</w:t>
      </w:r>
      <w:r>
        <w:rPr>
          <w:rtl w:val="true"/>
        </w:rPr>
        <w:t xml:space="preserve">: </w:t>
      </w:r>
      <w:r>
        <w:rPr>
          <w:rtl w:val="true"/>
        </w:rPr>
        <w:t>صحّة تقسیم الصلاة إلی صحیحها وفاسدها</w:t>
      </w:r>
      <w:bookmarkEnd w:id="408"/>
    </w:p>
    <w:p>
      <w:pPr>
        <w:pStyle w:val="BookText"/>
        <w:rPr/>
      </w:pPr>
      <w:r>
        <w:rPr>
          <w:rFonts w:ascii="IRNazanin" w:hAnsi="IRNazanin" w:eastAsia="IRNazanin"/>
          <w:color w:val="111111"/>
          <w:sz w:val="28"/>
          <w:sz w:val="28"/>
          <w:szCs w:val="28"/>
          <w:rtl w:val="true"/>
          <w:lang w:bidi="fa-IR"/>
        </w:rPr>
        <w:t>فإنّ الصلاة تنقسم إلی الصحیحة والفاسدة، والتقسیم یتوقّف علی وضع الصلاة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الصلاة فی الأعمّ عند ذکر المقسم أعمّ من الحقیقة والمجاز ولا یکون دلیلًا علی الحقیقة، والشاهد علیه صحّة سلب اسم الصلاة عن الفاسدة الفاقدة لمعظم الأجزاء والشرائط</w:t>
      </w:r>
      <w:r>
        <w:rPr>
          <w:rFonts w:eastAsia="IRNazanin" w:cs="IRNazanin"/>
          <w:color w:val="111111"/>
          <w:sz w:val="28"/>
          <w:szCs w:val="28"/>
          <w:rtl w:val="true"/>
          <w:lang w:bidi="fa-IR"/>
        </w:rPr>
        <w:t>.</w:t>
      </w:r>
    </w:p>
    <w:p>
      <w:pPr>
        <w:pStyle w:val="Heading6"/>
        <w:numPr>
          <w:ilvl w:val="5"/>
          <w:numId w:val="1"/>
        </w:numPr>
        <w:rPr/>
      </w:pPr>
      <w:bookmarkStart w:id="409" w:name="__RefHeading___Toc96230_3244359995"/>
      <w:bookmarkStart w:id="410" w:name="_Toc155"/>
      <w:bookmarkEnd w:id="409"/>
      <w:r>
        <w:rPr>
          <w:rtl w:val="true"/>
        </w:rPr>
        <w:t>الرابع</w:t>
      </w:r>
      <w:r>
        <w:rPr>
          <w:rtl w:val="true"/>
        </w:rPr>
        <w:t xml:space="preserve">: </w:t>
      </w:r>
      <w:r>
        <w:rPr>
          <w:rtl w:val="true"/>
        </w:rPr>
        <w:t>الروایات</w:t>
      </w:r>
      <w:bookmarkEnd w:id="410"/>
    </w:p>
    <w:p>
      <w:pPr>
        <w:pStyle w:val="BookText"/>
        <w:rPr/>
      </w:pPr>
      <w:r>
        <w:rPr>
          <w:rFonts w:ascii="IRNazanin" w:hAnsi="IRNazanin" w:eastAsia="IRNazanin"/>
          <w:color w:val="111111"/>
          <w:sz w:val="28"/>
          <w:sz w:val="28"/>
          <w:szCs w:val="28"/>
          <w:rtl w:val="true"/>
          <w:lang w:bidi="fa-IR"/>
        </w:rPr>
        <w:t>وقد اطلقت فی الروایات لفظة الصلاة علی الفاسد منها من دون نصب قرینة کقوله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الصلاة أیّام أقرائک</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فإنّ المراد من الصلاة فیه هو الصلاة الفاسدة قطعاً، لعدم کون إتیان الصلاة الصحیحة مقدوراً لها، فیلزم عدم صحّة النهی عنها بناءً علی الصحیح</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المستعمل فیه فی هذه الأخبار لیس هو المعنی الأعمّ، بل هو المعنی الصحیح لولا الحیض، فتکون هذه الأخبار حینئذٍ علی خلاف المقصود أدلّ؛ فکأنّه یقال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الصحیحة الّتی یؤتی بها فی غیر هذا الحال اترکیها، وهذا النهی إنّما هو لبیان الشرطیّة</w:t>
      </w:r>
      <w:r>
        <w:rPr>
          <w:rFonts w:eastAsia="IRNazanin" w:cs="IRNazanin"/>
          <w:color w:val="111111"/>
          <w:sz w:val="28"/>
          <w:szCs w:val="28"/>
          <w:rtl w:val="true"/>
          <w:lang w:bidi="fa-IR"/>
        </w:rPr>
        <w:t>.</w:t>
      </w:r>
      <w:bookmarkStart w:id="411" w:name="pg16918_187431"/>
    </w:p>
    <w:p>
      <w:pPr>
        <w:pStyle w:val="Heading5"/>
        <w:numPr>
          <w:ilvl w:val="4"/>
          <w:numId w:val="1"/>
        </w:numPr>
        <w:rPr/>
      </w:pPr>
      <w:bookmarkStart w:id="412" w:name="__RefHeading___Toc96232_3244359995"/>
      <w:bookmarkStart w:id="413" w:name="_Toc156"/>
      <w:bookmarkEnd w:id="411"/>
      <w:bookmarkEnd w:id="412"/>
      <w:r>
        <w:rPr>
          <w:rtl w:val="true"/>
        </w:rPr>
        <w:t>وهاهنا تنبیهان</w:t>
      </w:r>
      <w:r>
        <w:rPr>
          <w:rtl w:val="true"/>
        </w:rPr>
        <w:t>:</w:t>
      </w:r>
      <w:bookmarkEnd w:id="413"/>
    </w:p>
    <w:p>
      <w:pPr>
        <w:pStyle w:val="Heading6"/>
        <w:numPr>
          <w:ilvl w:val="5"/>
          <w:numId w:val="1"/>
        </w:numPr>
        <w:rPr/>
      </w:pPr>
      <w:bookmarkStart w:id="414" w:name="__RefHeading___Toc96234_3244359995"/>
      <w:bookmarkStart w:id="415" w:name="_Toc157"/>
      <w:bookmarkEnd w:id="414"/>
      <w:r>
        <w:rPr>
          <w:rtl w:val="true"/>
        </w:rPr>
        <w:t>الأوّل</w:t>
      </w:r>
      <w:r>
        <w:rPr>
          <w:rtl w:val="true"/>
        </w:rPr>
        <w:t xml:space="preserve">: </w:t>
      </w:r>
      <w:r>
        <w:rPr>
          <w:rtl w:val="true"/>
        </w:rPr>
        <w:t>فی دخول أسامی المعاملات فی محلّ النزاع وعدمه</w:t>
      </w:r>
      <w:bookmarkEnd w:id="415"/>
    </w:p>
    <w:p>
      <w:pPr>
        <w:pStyle w:val="BookText"/>
        <w:rPr/>
      </w:pPr>
      <w:r>
        <w:rPr>
          <w:rFonts w:ascii="IRNazanin" w:hAnsi="IRNazanin" w:eastAsia="IRNazanin"/>
          <w:color w:val="111111"/>
          <w:sz w:val="28"/>
          <w:sz w:val="28"/>
          <w:szCs w:val="28"/>
          <w:rtl w:val="true"/>
          <w:lang w:bidi="fa-IR"/>
        </w:rPr>
        <w:t>ذهب المحقّق الخراسانی رحمه الله إلی التفصیل بین ما إذا کانت أسامی المعاملات موضوعة للمسبّبات، وبین ما إذا کانت موضوعة للأسباب، وحاصل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کانت الأسامی موضوعة للمسبّبات فلا إشکال فی أنّها حینئذٍ امور بسیطة لا تتّصف بالصحّة والفساد، بل أمرها دائر بین الوجود والعدم، فجریان نزاع الصحیحی والأعمّی فی ألفاظ المعاملات متوقّف علی کونها موضوعة للأسباب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ذهب إلی أنّه لا یبعد دعوی کونها موضوعة للصحیحة أیضاً وأنّ الموضوع هو العقد المؤثّر لأثر کذا شرعاً وعرفاً، واختلاف الشرع والعرف فیما یعتبر فی تأثیر العقد لا یوجب الاختلاف فی المعنی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التفصیل متین لا غبار علیه، نعم أنّه ناظر إلی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مقام الإثبات فهل المراد من أسامی المعاملات الأسباب أو المسبّبات؟</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استعملت الألفاظ فی المعنی المصدری فلا إشکال فی أنّ المراد منها الأسباب، فهی الّتی تعلّق بها الإیجاد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استعملت فی المعنی اسم المصدری فیکون المراد منها المسبّبات، لأنّها هی النتائج الحاصلة من الأسباب وتناسب المعنی اسم المصدری، فلابدّ حینئذٍ من ملاحظة کیفیة الاستعمال، فتختلف أسامی المعاملات بحسب اختلاف کیفیة استعمالاتها فی لسان الشارع، فالتی استعملت فی الأسباب داخلة فی محلّ النزاع، والّتی استعملت فی المسبّبات خارجة عنه، وکلّ ذلک یدلّ علیه التبادر</w:t>
      </w:r>
      <w:r>
        <w:rPr>
          <w:rFonts w:eastAsia="IRNazanin" w:cs="IRNazanin"/>
          <w:color w:val="111111"/>
          <w:sz w:val="28"/>
          <w:szCs w:val="28"/>
          <w:rtl w:val="true"/>
          <w:lang w:bidi="fa-IR"/>
        </w:rPr>
        <w:t>.</w:t>
      </w:r>
    </w:p>
    <w:p>
      <w:pPr>
        <w:pStyle w:val="Heading6"/>
        <w:numPr>
          <w:ilvl w:val="5"/>
          <w:numId w:val="1"/>
        </w:numPr>
        <w:rPr/>
      </w:pPr>
      <w:bookmarkStart w:id="416" w:name="__RefHeading___Toc96236_3244359995"/>
      <w:bookmarkStart w:id="417" w:name="_Toc158"/>
      <w:bookmarkEnd w:id="416"/>
      <w:r>
        <w:rPr>
          <w:rtl w:val="true"/>
        </w:rPr>
        <w:t>الثانی</w:t>
      </w:r>
      <w:r>
        <w:rPr>
          <w:rtl w:val="true"/>
        </w:rPr>
        <w:t xml:space="preserve">: </w:t>
      </w:r>
      <w:r>
        <w:rPr>
          <w:rtl w:val="true"/>
        </w:rPr>
        <w:t>التمسّک بإطلاقات المعاملات</w:t>
      </w:r>
      <w:bookmarkEnd w:id="41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جریان النزاع فی باب المعاملات فهل تترتّب علیه أیضاً الثمرة</w:t>
      </w:r>
      <w:bookmarkStart w:id="418" w:name="pg16918_187432"/>
    </w:p>
    <w:p>
      <w:pPr>
        <w:pStyle w:val="BookText"/>
        <w:rPr/>
      </w:pPr>
      <w:bookmarkEnd w:id="418"/>
      <w:r>
        <w:rPr>
          <w:rFonts w:ascii="IRNazanin" w:hAnsi="IRNazanin" w:eastAsia="IRNazanin"/>
          <w:color w:val="111111"/>
          <w:sz w:val="28"/>
          <w:sz w:val="28"/>
          <w:szCs w:val="28"/>
          <w:rtl w:val="true"/>
          <w:lang w:bidi="fa-IR"/>
        </w:rPr>
        <w:t>المتقدّمة فی العبادات فیمکن التمسّک بإطلاقات المعاملات بناءً علی الوضع للأعمّ دون الوضع للأخصّ أو لا تترتّب؟</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ترتّبها لجواز التمسّک بالإطلاقات حتّی علی القول بالصحیح؛ لما مرّ من أنّ الصحیح فی باب المعاملات هو الصحیح عند العقلاء، وأنّ المعاملات امور عرفیّة عقلائیّة ولیست من الماهیات المخترعة من قبل الشارع المقدّس، إذن تکون تلک الإطلاقات مسوقة لإمضاء المعاملات العرفیّة العقلائیّة والمراد من الصحیح هنا هو الصحیح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فالصحیحی أیضاً إذا شکّ فی دخالة قید من جانب الشارع فی عقد من العقود، وکان ذلک العقد صحیحاً عند العرف والعقلاء بدون ذلک القید یمکن له أن یتمسّک بإطلاق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لنفی ذلک القید ویثبت به عدم اعتباره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لا مانع من التمسّک بالإطلاقات فی أبواب المعاملات، سواء قلنا بوضع الألفاظ للأسباب أو للمسبّبات، وسواء قلنا بوضعها للصحیح أو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فرض عدم وجود إطلاقات لفظیة فی البین أمکن التمسّک بالإطلاق المقامی، والمراد منه أنّ الشارع فی مقام التقنین والتشریع قد لاحظ المعاملات الرائجة بین العرف والعقلاء ثمّ شرّع أحکامه، وحینئذٍ لو کان لشی‌ء دخل فیها بعنوان الجزء أو الشرط فعلیه بیانه ولو بیّنه لوصل إلینا، وحیث إنّه لم یصل إلینا نستکشف عدم دخل 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عدم وجود إطلاق لا لفظی ولا مقامی أمکن التمسّک بالسیرة العقلائیّة الجاریة علی اعتبارهم للمعاملات الرائجة بینهم الّتی کانت بمرأی ومسمع من الشارع ویستکشف إمضاؤه لها من سکوته وعدم ردعه</w:t>
      </w:r>
      <w:r>
        <w:rPr>
          <w:rFonts w:eastAsia="IRNazanin" w:cs="IRNazanin"/>
          <w:color w:val="111111"/>
          <w:sz w:val="28"/>
          <w:szCs w:val="28"/>
          <w:rtl w:val="true"/>
          <w:lang w:bidi="fa-IR"/>
        </w:rPr>
        <w:t>.</w:t>
      </w:r>
    </w:p>
    <w:p>
      <w:pPr>
        <w:pStyle w:val="Heading4"/>
        <w:numPr>
          <w:ilvl w:val="3"/>
          <w:numId w:val="1"/>
        </w:numPr>
        <w:rPr/>
      </w:pPr>
      <w:bookmarkStart w:id="419" w:name="__RefHeading___Toc96238_3244359995"/>
      <w:bookmarkStart w:id="420" w:name="_Toc159"/>
      <w:bookmarkEnd w:id="419"/>
      <w:r>
        <w:rPr>
          <w:rtl w:val="true"/>
        </w:rPr>
        <w:t>الأمر السادس</w:t>
      </w:r>
      <w:r>
        <w:rPr>
          <w:rtl w:val="true"/>
        </w:rPr>
        <w:t xml:space="preserve">: </w:t>
      </w:r>
      <w:r>
        <w:rPr>
          <w:rtl w:val="true"/>
        </w:rPr>
        <w:t>فی الاشتراک واستعمال اللفظ فی أکثر من معنی</w:t>
      </w:r>
      <w:bookmarkEnd w:id="420"/>
    </w:p>
    <w:p>
      <w:pPr>
        <w:pStyle w:val="Heading5"/>
        <w:numPr>
          <w:ilvl w:val="4"/>
          <w:numId w:val="1"/>
        </w:numPr>
        <w:rPr/>
      </w:pPr>
      <w:bookmarkStart w:id="421" w:name="__RefHeading___Toc96240_3244359995"/>
      <w:bookmarkStart w:id="422" w:name="_Toc160"/>
      <w:bookmarkEnd w:id="421"/>
      <w:r>
        <w:rPr>
          <w:rtl w:val="true"/>
        </w:rPr>
        <w:t>اشارة</w:t>
      </w:r>
      <w:bookmarkEnd w:id="42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الاشتراک فیقع البحث فیه فی ضمن جهات</w:t>
      </w:r>
      <w:r>
        <w:rPr>
          <w:rFonts w:eastAsia="IRNazanin" w:cs="IRNazanin"/>
          <w:color w:val="111111"/>
          <w:sz w:val="28"/>
          <w:szCs w:val="28"/>
          <w:rtl w:val="true"/>
          <w:lang w:bidi="fa-IR"/>
        </w:rPr>
        <w:t>:</w:t>
      </w:r>
      <w:bookmarkStart w:id="423" w:name="pg16918_187433"/>
    </w:p>
    <w:p>
      <w:pPr>
        <w:pStyle w:val="Heading5"/>
        <w:numPr>
          <w:ilvl w:val="4"/>
          <w:numId w:val="1"/>
        </w:numPr>
        <w:rPr/>
      </w:pPr>
      <w:bookmarkStart w:id="424" w:name="__RefHeading___Toc96242_3244359995"/>
      <w:bookmarkStart w:id="425" w:name="_Toc161"/>
      <w:bookmarkEnd w:id="423"/>
      <w:bookmarkEnd w:id="424"/>
      <w:r>
        <w:rPr/>
        <w:t>1</w:t>
      </w:r>
      <w:r>
        <w:rPr>
          <w:rtl w:val="true"/>
        </w:rPr>
        <w:t xml:space="preserve">. </w:t>
      </w:r>
      <w:r>
        <w:rPr>
          <w:rtl w:val="true"/>
        </w:rPr>
        <w:t>إمکان وضع الألفاظ المشترکة</w:t>
      </w:r>
      <w:bookmarkEnd w:id="425"/>
    </w:p>
    <w:p>
      <w:pPr>
        <w:pStyle w:val="BookText"/>
        <w:rPr/>
      </w:pPr>
      <w:r>
        <w:rPr>
          <w:rFonts w:ascii="IRNazanin" w:hAnsi="IRNazanin" w:eastAsia="IRNazanin"/>
          <w:color w:val="111111"/>
          <w:sz w:val="28"/>
          <w:sz w:val="28"/>
          <w:szCs w:val="28"/>
          <w:rtl w:val="true"/>
          <w:lang w:bidi="fa-IR"/>
        </w:rPr>
        <w:t>وفیه مذاهب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الإمکان، والاستحالة، والوجوب</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أمّا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فاستدلّ له بوجوه أحسنها وقوع الاشتراک فی اللغة وأدلّ دلیل علی إمکان شی‌ء وقوعه، ووقوع الاشتراک أمر وجدانی وثابت بمثل التبادر ونحوه من سائر علائم الحقیقة، وقد تکلّف بعضهم لإرجاع جمیع الألفاظ المشترکة إلی معنی واحد، ولا وجه لهذا التکلّف بعد تعدّد الواضعین للألفاظ حتّی فی صقع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فاستدلّ له بأنّ الاشتراک مخالف لحکمة الوضع؛ لأنّه مانع عن التفهیم والتفهّم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حصول التفهّم بالقرینة ولا حاجة إلی کونها لفظیّة حتّی یستشکل بأنّه تطویل بلا طائل، بل یمکن کونها مقامیّة أو حالیّة، مضافاً إلی أنّه لیس من التطویل، بل قد یکون موافقاً للفصاحة والبلاغة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فاستدلّوا له بأنّ الألفاظ محدودة والمعانی غیر متناهیّة ولولا الألفاظ المشترکة لوقعنا فی ضیق وحرج بالنسبة إلی المعانی الّتی لم توضع بإزائها ألفاظ، فلابدّ لنا من المصیر إلی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عدم التناهی إن کان عدم التناهی حقیقة، فلا ترتفع الحاجة إلی غیر المتناهی بالمتناهی ولو من طریق الاشتراک فإنّه أیضاً متناهٍ، وإن کان المراد منه الکثرة، فالألفاظ أیضاً کثیرة بل تتجاوز مئات الملایین</w:t>
      </w:r>
      <w:r>
        <w:rPr>
          <w:rFonts w:eastAsia="IRNazanin" w:cs="IRNazanin"/>
          <w:color w:val="111111"/>
          <w:sz w:val="28"/>
          <w:szCs w:val="28"/>
          <w:rtl w:val="true"/>
          <w:lang w:bidi="fa-IR"/>
        </w:rPr>
        <w:t>.</w:t>
      </w:r>
    </w:p>
    <w:p>
      <w:pPr>
        <w:pStyle w:val="Heading5"/>
        <w:numPr>
          <w:ilvl w:val="4"/>
          <w:numId w:val="1"/>
        </w:numPr>
        <w:rPr/>
      </w:pPr>
      <w:bookmarkStart w:id="426" w:name="__RefHeading___Toc96244_3244359995"/>
      <w:bookmarkStart w:id="427" w:name="_Toc162"/>
      <w:bookmarkEnd w:id="426"/>
      <w:r>
        <w:rPr/>
        <w:t>2</w:t>
      </w:r>
      <w:r>
        <w:rPr>
          <w:rtl w:val="true"/>
        </w:rPr>
        <w:t xml:space="preserve">. </w:t>
      </w:r>
      <w:r>
        <w:rPr>
          <w:rtl w:val="true"/>
        </w:rPr>
        <w:t>علّة الاشتراک ومنشؤه</w:t>
      </w:r>
      <w:bookmarkEnd w:id="427"/>
    </w:p>
    <w:p>
      <w:pPr>
        <w:pStyle w:val="BookText"/>
        <w:rPr/>
      </w:pPr>
      <w:r>
        <w:rPr>
          <w:rFonts w:ascii="IRNazanin" w:hAnsi="IRNazanin" w:eastAsia="IRNazanin"/>
          <w:color w:val="111111"/>
          <w:sz w:val="28"/>
          <w:sz w:val="28"/>
          <w:szCs w:val="28"/>
          <w:rtl w:val="true"/>
          <w:lang w:bidi="fa-IR"/>
        </w:rPr>
        <w:t>إنّه من البعید جدّاً أن یکون منشأ اشتراک بعض الألفاظ وضع واضع واحد، فیضع لفظاً واحداً تارةً لمعنی واخری لمعنی آخر، بل یحتمل فیه وجهان آخران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المنشأ تعدّد الوضع التعیینی بسبب تعدّد القبائل</w:t>
      </w:r>
    </w:p>
    <w:p>
      <w:pPr>
        <w:pStyle w:val="BookText"/>
        <w:rPr/>
      </w:pPr>
      <w:r>
        <w:rPr>
          <w:rFonts w:ascii="IRNazanin" w:hAnsi="IRNazanin" w:eastAsia="IRNazanin"/>
          <w:color w:val="111111"/>
          <w:sz w:val="28"/>
          <w:sz w:val="28"/>
          <w:szCs w:val="28"/>
          <w:rtl w:val="true"/>
          <w:lang w:bidi="fa-IR"/>
        </w:rPr>
        <w:t>والطوائف فی لغة واحدة کأن تضع قبیلة لفظاً لمعنی، وتضع قبیلة اخری ذلک اللفظ بعینه لمعنی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التعیّنی، فوضع لفظ العین مثلًا فی بدو الأمر للعین الباکیة ثمّ استعمل فی الجاریة مجازاً، وصار بعد کثرة الاستعمال حقیقة، وکذلک بالنسبة إلی المتجسّس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بعلاقة النظر وکونه بمنزلة البصر علی الخصم، وهکذا بالنسبة إلی سائر معانیه، وأوضح من الجمیع وضع الأعلام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لعدّة أشخاص کثیرة یعرفون بإضافة آبائهم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لایخفی أنّه وإن قلنا بإمکان المشترک ووقوعه لا سیّما فی باب الأعلام إلّاأنّ کثیراً من الألفاظ الّتی یتوهّم کونها مشترکاً لفظیاً، مشترک معنوی أو من قبیل الحقیقة والمجاز،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المعروف کونه مشترکاً لفظیّاً</w:t>
      </w:r>
      <w:r>
        <w:rPr>
          <w:rStyle w:val="FootnoteAnchor"/>
          <w:rtl w:val="true"/>
        </w:rPr>
        <w:footnoteReference w:id="309"/>
      </w:r>
      <w:r>
        <w:rPr>
          <w:rFonts w:ascii="IRNazanin" w:hAnsi="IRNazanin" w:eastAsia="IRNazanin"/>
          <w:color w:val="111111"/>
          <w:sz w:val="28"/>
          <w:sz w:val="28"/>
          <w:szCs w:val="28"/>
          <w:rtl w:val="true"/>
          <w:lang w:bidi="fa-IR"/>
        </w:rPr>
        <w:t>وأنّه وضع للطهر تارةً وللحیض اخری، مع أنّه مشترک معنوی وضع لمعنی انتقال المرأة من حال إلی حال، والانتقال له فردان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الانتقال من الطهر إلی الحیض وبالعکس، ویشهد علیه استعماله فی مطلق الانتقال فی لسان القرآن </w:t>
      </w:r>
      <w:r>
        <w:rPr>
          <w:rStyle w:val="FootnoteAnchor"/>
          <w:rtl w:val="true"/>
        </w:rPr>
        <w:footnoteReference w:id="310"/>
      </w:r>
      <w:r>
        <w:rPr>
          <w:rFonts w:ascii="IRNazanin" w:hAnsi="IRNazanin" w:eastAsia="IRNazanin"/>
          <w:color w:val="111111"/>
          <w:sz w:val="28"/>
          <w:sz w:val="28"/>
          <w:szCs w:val="28"/>
          <w:rtl w:val="true"/>
          <w:lang w:bidi="fa-IR"/>
        </w:rPr>
        <w:t>وکلمات بعض أهل اللّغة</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معانیها الکثیرة أیضاً کذلک، کما یشهد له کلام الراغب فی ذیل البحث عن العین الجارحة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ویستعار العین لمعانٍ هی موجودة فی الجارحة بنظرات مختلفة، ویستعار للثُقب فی المزادة تشبیهاً بها فی الهیئة وفی سیلان الماء منها، فاشتقّ منها سقاءٌ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وللمتجسّس عین تشبیهاً بها فی نظرها، وقیل للذهب عین تشبیهاً بها فی کونها أفضل الجواهر، کما أنّ هذه</w:t>
      </w:r>
      <w:bookmarkStart w:id="428" w:name="pg16918_187435"/>
    </w:p>
    <w:p>
      <w:pPr>
        <w:pStyle w:val="BookText"/>
        <w:rPr/>
      </w:pPr>
      <w:bookmarkEnd w:id="428"/>
      <w:r>
        <w:rPr>
          <w:rFonts w:ascii="Amiri" w:hAnsi="Amiri" w:eastAsia="Amiri" w:cs="Amiri"/>
          <w:color w:val="111111"/>
          <w:sz w:val="28"/>
          <w:sz w:val="28"/>
          <w:szCs w:val="28"/>
          <w:rtl w:val="true"/>
          <w:lang w:bidi="ar-SA"/>
        </w:rPr>
        <w:t>الجارحة أفضل الجوارح</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هذه العبارة تنادی بأنّ العین لیس مشترکاً لفظیّاً، والظاهر عدم اختصاص هذا المعنی بهذه اللّفظة، بل یجری فی کثیر من الألفاظ الّتی یدّعی اشتراکها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هو بیان لوجه استعمال العین فی غیر الجارحة المعروفة، والعلاقة الموجودة بینهما، ولکن بعد کثرة الاستعمال صار حقیقة فیها کما هو حقیقة فی الجارحة المعروفة، فحصل الاشتراک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نحن وإن قلنا بأنّ کثیراً من الألفاظ الّتی یتصوّر اشتراکها لفظاً تکون من المشترک المعنوی واقعاً، ولکن ما قد یظهر من بعض من إرجاع جمیع الکلمات المشترکة الواردة فی القرآن الکریم أو غیره إلی أصل واحد ممّا لا دلیل علیه، بل یلزم منه تکلّفات کثیرة لا داعی لها کما مرّ</w:t>
      </w:r>
      <w:r>
        <w:rPr>
          <w:rFonts w:eastAsia="IRNazanin" w:cs="IRNazanin"/>
          <w:color w:val="111111"/>
          <w:sz w:val="28"/>
          <w:szCs w:val="28"/>
          <w:rtl w:val="true"/>
          <w:lang w:bidi="fa-IR"/>
        </w:rPr>
        <w:t>.</w:t>
      </w:r>
    </w:p>
    <w:p>
      <w:pPr>
        <w:pStyle w:val="Heading5"/>
        <w:numPr>
          <w:ilvl w:val="4"/>
          <w:numId w:val="1"/>
        </w:numPr>
        <w:rPr/>
      </w:pPr>
      <w:bookmarkStart w:id="429" w:name="__RefHeading___Toc96246_3244359995"/>
      <w:bookmarkStart w:id="430" w:name="_Toc163"/>
      <w:bookmarkEnd w:id="429"/>
      <w:r>
        <w:rPr/>
        <w:t>3</w:t>
      </w:r>
      <w:r>
        <w:rPr>
          <w:rtl w:val="true"/>
        </w:rPr>
        <w:t xml:space="preserve">. </w:t>
      </w:r>
      <w:r>
        <w:rPr>
          <w:rtl w:val="true"/>
        </w:rPr>
        <w:t>إمکان وقوعه فی کلام اللَّه تعالی</w:t>
      </w:r>
      <w:bookmarkEnd w:id="430"/>
    </w:p>
    <w:p>
      <w:pPr>
        <w:pStyle w:val="BookText"/>
        <w:rPr/>
      </w:pPr>
      <w:r>
        <w:rPr>
          <w:rFonts w:ascii="Amiri" w:hAnsi="Amiri" w:eastAsia="Amiri" w:cs="Amiri"/>
          <w:color w:val="111111"/>
          <w:sz w:val="28"/>
          <w:sz w:val="28"/>
          <w:szCs w:val="28"/>
          <w:rtl w:val="true"/>
          <w:lang w:bidi="ar-SA"/>
        </w:rPr>
        <w:t>ویدلّ علیه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مقتضی بلاغة الکلام؛ لأنّها تقتضی أحیاناً إطلاق الکلام مجملًا مردّداً، ولا إشکال فی أنّ کلام اللَّه تعالی أبلغ الکلمات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 الدلیل علی إمکان شی‌ء وقوعه، ولقد وقع استعمال المشترک فی القرآن نحو لفظ العین فإنّه تارةً استعمل فی العین الجاریة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الْمُتَّقِینَ فِی جَنَّاتٍ وَعُیُونٍ</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 واخری فی العین الباکیة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وَابْیَضَّتْ عَیْنَاهُ مِنَ الْحُزْنِ</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بعد الغضّ عمّا مرّ منّا فی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العین</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96248_3244359995"/>
      <w:bookmarkStart w:id="432" w:name="_Toc164"/>
      <w:bookmarkEnd w:id="431"/>
      <w:r>
        <w:rPr>
          <w:rtl w:val="true"/>
        </w:rPr>
        <w:t>استعمال اللفظ فی أکثر من معنی</w:t>
      </w:r>
      <w:bookmarkEnd w:id="43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المعلوم أنّ النزاع لیس فی استعمال اللفظ المشترک فی القدر الجامع بین</w:t>
      </w:r>
      <w:bookmarkStart w:id="433" w:name="pg16918_187436"/>
    </w:p>
    <w:p>
      <w:pPr>
        <w:pStyle w:val="BookText"/>
        <w:rPr/>
      </w:pPr>
      <w:bookmarkEnd w:id="433"/>
      <w:r>
        <w:rPr>
          <w:rFonts w:ascii="IRNazanin" w:hAnsi="IRNazanin" w:eastAsia="IRNazanin"/>
          <w:color w:val="111111"/>
          <w:sz w:val="28"/>
          <w:sz w:val="28"/>
          <w:szCs w:val="28"/>
          <w:rtl w:val="true"/>
          <w:lang w:bidi="fa-IR"/>
        </w:rPr>
        <w:t xml:space="preserve">المعنیین، فإنّه لا خلاف فیه </w:t>
      </w:r>
      <w:r>
        <w:rPr>
          <w:rStyle w:val="FootnoteAnchor"/>
          <w:rtl w:val="true"/>
        </w:rPr>
        <w:footnoteReference w:id="315"/>
      </w:r>
      <w:r>
        <w:rPr>
          <w:rFonts w:ascii="IRNazanin" w:hAnsi="IRNazanin" w:eastAsia="IRNazanin"/>
          <w:color w:val="111111"/>
          <w:sz w:val="28"/>
          <w:sz w:val="28"/>
          <w:szCs w:val="28"/>
          <w:rtl w:val="true"/>
          <w:lang w:bidi="fa-IR"/>
        </w:rPr>
        <w:t>، بل البحث فی استعمال لفظ واحد فی کلام واحد فی کلّ من المعنیین علی استقلالهما، کما أنّ النزاع یعمّ الحقیقة والمجاز أو الحقیقة والکنایة؛ أی استعمال لفظ واحد فی معناه الحقیقی والمجازی أو فی معناه الحقیقی والکنائی فی عرض واحد، لعدم کون النزاع مختصّاً بالألفاظ المشترکة، ولتداخل الجمیع فی کثیر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فالبحث یقع فی جواز استعمال لفظ واحد فی أکثر من معنی؛ سواء کان من باب الاشتراک أو الحقیقة والمجاز أو الحقیقة والکنایة</w:t>
      </w:r>
      <w:r>
        <w:rPr>
          <w:rFonts w:eastAsia="IRNazanin" w:cs="IRNazanin"/>
          <w:color w:val="111111"/>
          <w:sz w:val="28"/>
          <w:szCs w:val="28"/>
          <w:rtl w:val="true"/>
          <w:lang w:bidi="fa-IR"/>
        </w:rPr>
        <w:t>.</w:t>
      </w:r>
    </w:p>
    <w:p>
      <w:pPr>
        <w:pStyle w:val="Heading5"/>
        <w:numPr>
          <w:ilvl w:val="4"/>
          <w:numId w:val="1"/>
        </w:numPr>
        <w:rPr/>
      </w:pPr>
      <w:bookmarkStart w:id="434" w:name="__RefHeading___Toc96250_3244359995"/>
      <w:bookmarkStart w:id="435" w:name="_Toc165"/>
      <w:bookmarkEnd w:id="434"/>
      <w:r>
        <w:rPr>
          <w:rtl w:val="true"/>
        </w:rPr>
        <w:t>والأقوال فی المسألة کثیرة أهمّها أربعة</w:t>
      </w:r>
      <w:r>
        <w:rPr>
          <w:rtl w:val="true"/>
        </w:rPr>
        <w:t>:</w:t>
      </w:r>
      <w:bookmarkEnd w:id="43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الاستحالة عقلًا، وذهب إلیه کثیر من الأعاظم، بل هو المشهور بین المتأخّرین مثل المحقّق الخراسانی والمحقّق النائینی رحمهما الله وغیرهما</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عقلًا والاستحالة عرفاً ولغةً</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المفرد وبین التثنیة والجمع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مطلقاً، وهو المختار وقد ذهب إلیه فی التهذیب والمحاضرات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بالاستحالة العقلیّة</w:t>
      </w:r>
    </w:p>
    <w:p>
      <w:pPr>
        <w:pStyle w:val="BookText"/>
        <w:rPr/>
      </w:pPr>
      <w:r>
        <w:rPr>
          <w:rFonts w:ascii="IRNazanin" w:hAnsi="IRNazanin" w:eastAsia="IRNazanin"/>
          <w:color w:val="111111"/>
          <w:sz w:val="28"/>
          <w:sz w:val="28"/>
          <w:szCs w:val="28"/>
          <w:rtl w:val="true"/>
          <w:lang w:bidi="fa-IR"/>
        </w:rPr>
        <w:t>واستدلّ له بأنّ استعمال لفظ واحد فی المعنیین یستلزم الجمع بین اللحاظین فی آنٍ واحد وهو محال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الاستعمال لیست عبارة عن جعل اللفظ علامة للمعنی حتّی</w:t>
      </w:r>
    </w:p>
    <w:p>
      <w:pPr>
        <w:pStyle w:val="BookText"/>
        <w:rPr/>
      </w:pPr>
      <w:r>
        <w:rPr>
          <w:rFonts w:ascii="IRNazanin" w:hAnsi="IRNazanin" w:eastAsia="IRNazanin"/>
          <w:color w:val="111111"/>
          <w:sz w:val="28"/>
          <w:sz w:val="28"/>
          <w:szCs w:val="28"/>
          <w:rtl w:val="true"/>
          <w:lang w:bidi="fa-IR"/>
        </w:rPr>
        <w:t>یقال إنّه لا مانع من جعل لفظ واحد علامة لمعنیین أو الأکثر، بل هو فناء اللفظ فی المعنی وجعله وجهاً ومرآة وعنواناً للمعنی، کأنّ ما یجری علی اللسان هو نفس المعنی لا اللفظ، کما یشهد علیه سرایة قبح المعنی إلی اللفظ وبالعکس، واستعمال لفظ واحد فی معنیین یستلزم کونه فانیاً فی کلّ واحد مستقلًاّ، ومن المعلوم أنّ لحاظه کذلک فی معنی ینافی لحاظه فی معنی آخر فلا یکون وجهاً لمعنیین وفانیاً فی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بکون حقیقة الاستعمال فناء اللفظ فی المعنی کلام شعری لا دلیل علیه، بل هی عبارة عن جعل اللفظ علامة للمعنی کما عرفت بیانه فی محلّه، وأمّا قضیّة سرایة القبح والحسن فلیست من جهة الفناء، بل هی ناشئة من کثرة الاستعمال وحصول الانس أو المنافرة بالنسبة إلی المعنی، ولذا لا یحسّ متعلّم اللّغة الجدیدة قبحاً ولا حسناً فی الألفاظ لعدم حصول الانس بالنسبة إلی معانیها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کون اللفظ فانیاً فی المعنی لکن إنّما یستلزم المحال فیما إذا تحقّق اللحاظان فی آنٍ واحد، وأمّا ملاحظة المعنیین بلحاظین مستقلّین فی آنین مختلفین قبل وقوع الاستعمال ثمّ استعمال اللفظ فیهما ثانیاً فلا مانع منه ولا یلزم منه محذور ولا حاجة إلی لحاظ المعنیین فی آنٍ واحد، أی لا دلیل علی لزوم وحدة زمان اللحاظ فی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 دلیل علی إمکان شی‌ء وقوعه، ولاینبغی الإشکال فی وقوع استعمال اللفظ فی أکثر من معنی واحد فی کلمات الفصحاء والبلغاء، کما یقال فی جواب من شکی وجعاً فی عینه الباکیة وجفاف عینه الجاریة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 اللَّه 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ویراد منه کلا المعنیین، وهناک أشعار کثیرة من فصحاء العرب والفرس کلّها من قبیل استعمال اللفظ فی أکثر من معنی علی وجه یستحسنه الطبع والوجدان، یطول المقام بذکرها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الکثیره الواردة فی بیان أنّ للقرآن بطناً أو سبعة أبطن أو أکثر من ذلک ظاهرة فی أنّ اللفظ الواحد استعمل فی معانٍ متعدّدة</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بعدم الجواز لغة وعرفاً</w:t>
      </w:r>
    </w:p>
    <w:p>
      <w:pPr>
        <w:pStyle w:val="BookText"/>
        <w:rPr/>
      </w:pPr>
      <w:r>
        <w:rPr>
          <w:rFonts w:ascii="IRNazanin" w:hAnsi="IRNazanin" w:eastAsia="IRNazanin"/>
          <w:color w:val="111111"/>
          <w:sz w:val="28"/>
          <w:sz w:val="28"/>
          <w:szCs w:val="28"/>
          <w:rtl w:val="true"/>
          <w:lang w:bidi="fa-IR"/>
        </w:rPr>
        <w:t>والقائل به طائفتان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قالوا بعدم الجواز حقیقة والجواز مجازاً، وطائفة اخری قالوا بعدم الجواز حقیقة ومجازاً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الطائفة الاولی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الوحدة جزء للموضوع له؛ لأنّ اللفظ وضع للمعنی الواحد، فإذا استعمل فی المعنیین استعمل فی غیر ما وضع له فیصیر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اللفظ وضع للمعنی فی حال الوحدة، فکأنّ الواضع اشترط أن یستعمل اللفظ حال الوحدة، حیث إنّ اللغات توقیفیّة، فلابدّ لاستعمال اللفظ فی المتعدّد إلی إذن من الواضع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فاستدلّوا لعدم الجواز حقیقة بنفس ما استدلّ به الطائفة الاولی ولعدم‌الجواز مجازاً بعدم وجود علاقة بین‌الواحد والمتعدّد لأنّهما ضدّان، لکون أحدهما مأخوذاً بشرط شی‌ء والآخر بشرط لا، ولا إشکال فی أنّهما متباینان، وأمّا علاقة الکلّ والجزء فلا تتصوّر هنا؛ لأنّ الوحدة شرط للموضوع له ولیست بجزء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کلتا الطائفتین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من قید الوحدة أنّ اللفظ وضع لمعناه لأن یستعمل فیه باللحاظ الاستقلالی فإنّه حاصل فیما نحن فیه، لأنّ المراد من استعمال لفظ فی أکثر من معنی استعماله فی کلّ واحد بلحاظ مستقلّ، لا فی المجموع من حیث المجموع والقدر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المراد منها أنّ اللفظ وضع لأن یراد منه معنی واحد لا معنیان وإن کان یلاحظ کلّ واحد منهما مستقلًاّ فهو دعوی بلا دلیل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المراد أنّ اللفظ یستعمل فی الاستعمالات المتعارفة فی معنی واحد وهذا یوجب ظهور اللفظ فی معنی واحد، فهو حقّ ولکنّه ظهور انصرافی، أی ینصرف اللفظ إلی الوحدة لا ظهور حقیقی بحیث یکون فی غیره مجازاً، لأنّ منشأ الظهور هنا کثرة الاستعمال فی العرف من دون قرینة، لا التبادر الذی یکون من</w:t>
      </w:r>
    </w:p>
    <w:p>
      <w:pPr>
        <w:pStyle w:val="BookText"/>
        <w:rPr/>
      </w:pPr>
      <w:r>
        <w:rPr>
          <w:rFonts w:ascii="IRNazanin" w:hAnsi="IRNazanin" w:eastAsia="IRNazanin"/>
          <w:color w:val="111111"/>
          <w:sz w:val="28"/>
          <w:sz w:val="28"/>
          <w:szCs w:val="28"/>
          <w:rtl w:val="true"/>
          <w:lang w:bidi="fa-IR"/>
        </w:rPr>
        <w:t>علائم الوضع، فلیست الوحدة جزءاً للموضوع له، بل اللفظ ظاهر فی معنی واحد ولابدّ لاستعماله فی الأکثر من قرینة معیّنة للأکثر وصارفة عن المعنی الواحد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التفصیل بین المفرد وبین التثنیة والجمع</w:t>
      </w:r>
    </w:p>
    <w:p>
      <w:pPr>
        <w:pStyle w:val="BookText"/>
        <w:rPr/>
      </w:pPr>
      <w:r>
        <w:rPr>
          <w:rFonts w:ascii="IRNazanin" w:hAnsi="IRNazanin" w:eastAsia="IRNazanin"/>
          <w:color w:val="111111"/>
          <w:sz w:val="28"/>
          <w:sz w:val="28"/>
          <w:szCs w:val="28"/>
          <w:rtl w:val="true"/>
          <w:lang w:bidi="fa-IR"/>
        </w:rPr>
        <w:t xml:space="preserve">واستدلّ لعدم الجواز فی المفرد بما مرّ من اعتبار الوحدة وللجواز فی غیر المفرد بأنّ التثنیّة أو الجمع فی حکم تکرار اللفظ، فلا ینافیان قید الوحدة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بمعنی عین 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معنی التثنیة هو الفردان من معنی واحد، وکذلک الجمع فإنّه أفراد من کلّی واحد کما أنّ المفرد فرد واحد من ذلک المعنی فالتثنیّة والجمع فی حکم تکرار الفرد لا تکرار اللفظ، فلا ربط له بما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المفرد فیه جزئی لا یتصوّر فیه الأفراد، فالوجدان حاکم بأنّ المراد منه، فردان من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بزید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بالجواز</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ممّا ذکرنا فی الردّ علی الأقوال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یقتضیه التحقیق هو القول بالجواز وأنّ استعمال اللفظ فی أکثر من معنی لیس بمستحیل لا عقلًا ولا عرفاً، بل یجوز استعماله کذلک من غیر تفصیل، إلّاأنّه حیث کان مخالفاً لظاهر الکلام فیحتاج إلی القرینة المفیدة للمعانی المرادة، وبدونها لا یصحّ حمل اللفظ علی المعنیین أو أکثر، بل یحمل علی واحد من معانیه، فإن کان هناک قرینة معیّنة فیها فهو وإلّا یکون مجملًا</w:t>
      </w:r>
      <w:r>
        <w:rPr>
          <w:rFonts w:eastAsia="IRNazanin" w:cs="IRNazanin"/>
          <w:color w:val="111111"/>
          <w:sz w:val="28"/>
          <w:szCs w:val="28"/>
          <w:rtl w:val="true"/>
          <w:lang w:bidi="fa-IR"/>
        </w:rPr>
        <w:t>.</w:t>
      </w:r>
      <w:bookmarkStart w:id="436" w:name="pg16918_187440"/>
    </w:p>
    <w:p>
      <w:pPr>
        <w:pStyle w:val="Heading3"/>
        <w:numPr>
          <w:ilvl w:val="2"/>
          <w:numId w:val="1"/>
        </w:numPr>
        <w:rPr/>
      </w:pPr>
      <w:bookmarkStart w:id="437" w:name="__RefHeading___Toc96252_3244359995"/>
      <w:bookmarkStart w:id="438" w:name="_Toc166"/>
      <w:bookmarkEnd w:id="436"/>
      <w:bookmarkEnd w:id="437"/>
      <w:r>
        <w:rPr>
          <w:rtl w:val="true"/>
        </w:rPr>
        <w:t>الفصل الثالث</w:t>
      </w:r>
      <w:r>
        <w:rPr>
          <w:rtl w:val="true"/>
        </w:rPr>
        <w:t xml:space="preserve">: </w:t>
      </w:r>
      <w:r>
        <w:rPr>
          <w:rtl w:val="true"/>
        </w:rPr>
        <w:t>الأوامر</w:t>
      </w:r>
      <w:bookmarkEnd w:id="438"/>
    </w:p>
    <w:p>
      <w:pPr>
        <w:pStyle w:val="Heading4"/>
        <w:numPr>
          <w:ilvl w:val="3"/>
          <w:numId w:val="1"/>
        </w:numPr>
        <w:rPr/>
      </w:pPr>
      <w:bookmarkStart w:id="439" w:name="__RefHeading___Toc96254_3244359995"/>
      <w:bookmarkStart w:id="440" w:name="_Toc167"/>
      <w:bookmarkEnd w:id="439"/>
      <w:r>
        <w:rPr>
          <w:rtl w:val="true"/>
        </w:rPr>
        <w:t>اشارة</w:t>
      </w:r>
      <w:bookmarkEnd w:id="440"/>
    </w:p>
    <w:p>
      <w:pPr>
        <w:pStyle w:val="BookText"/>
        <w:rPr/>
      </w:pPr>
      <w:r>
        <w:rPr>
          <w:rFonts w:ascii="IRNazanin" w:hAnsi="IRNazanin" w:eastAsia="IRNazanin"/>
          <w:color w:val="111111"/>
          <w:sz w:val="28"/>
          <w:sz w:val="28"/>
          <w:szCs w:val="28"/>
          <w:rtl w:val="true"/>
          <w:lang w:bidi="fa-IR"/>
        </w:rPr>
        <w:t>والبحث عنها یقع فی ضمن جهات</w:t>
      </w:r>
      <w:r>
        <w:rPr>
          <w:rFonts w:eastAsia="IRNazanin" w:cs="IRNazanin"/>
          <w:color w:val="111111"/>
          <w:sz w:val="28"/>
          <w:szCs w:val="28"/>
          <w:rtl w:val="true"/>
          <w:lang w:bidi="fa-IR"/>
        </w:rPr>
        <w:t>:</w:t>
      </w:r>
    </w:p>
    <w:p>
      <w:pPr>
        <w:pStyle w:val="Heading4"/>
        <w:numPr>
          <w:ilvl w:val="3"/>
          <w:numId w:val="1"/>
        </w:numPr>
        <w:rPr/>
      </w:pPr>
      <w:bookmarkStart w:id="441" w:name="__RefHeading___Toc96256_3244359995"/>
      <w:bookmarkStart w:id="442" w:name="_Toc168"/>
      <w:bookmarkEnd w:id="441"/>
      <w:r>
        <w:rPr>
          <w:rtl w:val="true"/>
        </w:rPr>
        <w:t>الجهة الاولی فی معنی مادّة الأمر</w:t>
      </w:r>
      <w:bookmarkEnd w:id="442"/>
    </w:p>
    <w:p>
      <w:pPr>
        <w:pStyle w:val="Heading5"/>
        <w:numPr>
          <w:ilvl w:val="4"/>
          <w:numId w:val="1"/>
        </w:numPr>
        <w:rPr/>
      </w:pPr>
      <w:bookmarkStart w:id="443" w:name="__RefHeading___Toc96258_3244359995"/>
      <w:bookmarkStart w:id="444" w:name="_Toc169"/>
      <w:bookmarkEnd w:id="443"/>
      <w:r>
        <w:rPr>
          <w:rtl w:val="true"/>
        </w:rPr>
        <w:t>اشارة</w:t>
      </w:r>
      <w:bookmarkEnd w:id="444"/>
    </w:p>
    <w:p>
      <w:pPr>
        <w:pStyle w:val="BookText"/>
        <w:rPr/>
      </w:pPr>
      <w:r>
        <w:rPr>
          <w:rFonts w:ascii="IRNazanin" w:hAnsi="IRNazanin" w:eastAsia="IRNazanin"/>
          <w:color w:val="111111"/>
          <w:sz w:val="28"/>
          <w:sz w:val="28"/>
          <w:szCs w:val="28"/>
          <w:rtl w:val="true"/>
          <w:lang w:bidi="fa-IR"/>
        </w:rPr>
        <w:t>قد ذکر لکلمة الأمر معانٍ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طلب منه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الشأن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الأمر شغلنی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 فِرْعَوْنَ بِرَشِیدٍ</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 أی وما فعل فرعون برشید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العجیب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 أَمْرُنَا جَعَلْنَا عَالِیَهَا سَافِلَهَا</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الیوم أمراً عجیباً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الحادثة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حدث أمر؟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اضیف إلیها معانٍ اخری، ولکن المهمّ البحث فی أنّها هل ترجع إلی أصل واحد</w:t>
      </w:r>
      <w:r>
        <w:rPr>
          <w:rStyle w:val="FootnoteAnchor"/>
          <w:rtl w:val="true"/>
        </w:rPr>
        <w:footnoteReference w:id="323"/>
      </w:r>
      <w:r>
        <w:rPr>
          <w:rFonts w:ascii="IRNazanin" w:hAnsi="IRNazanin" w:eastAsia="IRNazanin"/>
          <w:color w:val="111111"/>
          <w:sz w:val="28"/>
          <w:sz w:val="28"/>
          <w:szCs w:val="28"/>
          <w:rtl w:val="true"/>
          <w:lang w:bidi="fa-IR"/>
        </w:rPr>
        <w:t>، أو أکثر</w:t>
      </w:r>
      <w:r>
        <w:rPr>
          <w:rStyle w:val="FootnoteAnchor"/>
          <w:rtl w:val="true"/>
        </w:rPr>
        <w:footnoteReference w:id="324"/>
      </w:r>
      <w:r>
        <w:rPr>
          <w:rFonts w:ascii="IRNazanin" w:hAnsi="IRNazanin" w:eastAsia="IRNazanin"/>
          <w:color w:val="111111"/>
          <w:sz w:val="28"/>
          <w:sz w:val="28"/>
          <w:szCs w:val="28"/>
          <w:rtl w:val="true"/>
          <w:lang w:bidi="fa-IR"/>
        </w:rPr>
        <w:t>أم لا؟ أی هل تکون مادّة الأمر من قبیل المشترک اللّفظی أو</w:t>
      </w:r>
    </w:p>
    <w:p>
      <w:pPr>
        <w:pStyle w:val="BookText"/>
        <w:rPr/>
      </w:pPr>
      <w:r>
        <w:rPr>
          <w:rFonts w:ascii="IRNazanin" w:hAnsi="IRNazanin" w:eastAsia="IRNazanin"/>
          <w:color w:val="111111"/>
          <w:sz w:val="28"/>
          <w:sz w:val="28"/>
          <w:szCs w:val="28"/>
          <w:rtl w:val="true"/>
          <w:lang w:bidi="fa-IR"/>
        </w:rPr>
        <w:t>المعنوی؟</w:t>
      </w:r>
    </w:p>
    <w:p>
      <w:pPr>
        <w:pStyle w:val="BookText"/>
        <w:rPr/>
      </w:pPr>
      <w:r>
        <w:rPr>
          <w:rFonts w:ascii="IRNazanin" w:hAnsi="IRNazanin" w:eastAsia="IRNazanin"/>
          <w:color w:val="111111"/>
          <w:sz w:val="28"/>
          <w:sz w:val="28"/>
          <w:szCs w:val="28"/>
          <w:rtl w:val="true"/>
          <w:lang w:bidi="fa-IR"/>
        </w:rPr>
        <w:t>وفی مثل هذه الموارد لابدّ من الرجوع إلی اللّغة والتبادر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اللغویون لمادّة الأمر أصلین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کما اشیر إلیه فی بعض الکلمات </w:t>
      </w:r>
      <w:r>
        <w:rPr>
          <w:rStyle w:val="FootnoteAnchor"/>
          <w:rtl w:val="true"/>
        </w:rPr>
        <w:footnoteReference w:id="325"/>
      </w:r>
      <w:r>
        <w:rPr>
          <w:rFonts w:ascii="IRNazanin" w:hAnsi="IRNazanin" w:eastAsia="IRNazanin"/>
          <w:color w:val="111111"/>
          <w:sz w:val="28"/>
          <w:sz w:val="28"/>
          <w:szCs w:val="28"/>
          <w:rtl w:val="true"/>
          <w:lang w:bidi="fa-IR"/>
        </w:rPr>
        <w:t>، فإنّه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أمر لا یعبأ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هذا شی‌ء لا یعبأ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ضدّ النهی، کما قال به فی لسان العرب </w:t>
      </w:r>
      <w:r>
        <w:rPr>
          <w:rStyle w:val="FootnoteAnchor"/>
          <w:rtl w:val="true"/>
        </w:rPr>
        <w:footnoteReference w:id="326"/>
      </w:r>
      <w:r>
        <w:rPr>
          <w:rFonts w:ascii="IRNazanin" w:hAnsi="IRNazanin" w:eastAsia="IRNazanin"/>
          <w:color w:val="111111"/>
          <w:sz w:val="28"/>
          <w:sz w:val="28"/>
          <w:szCs w:val="28"/>
          <w:rtl w:val="true"/>
          <w:lang w:bidi="fa-IR"/>
        </w:rPr>
        <w:t xml:space="preserve">، وأمّا الطلب فهو أعمّ من الأمر لشموله الطلب النفسانی أیضاً،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ضالّتی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یمکن وضع الأمر موضعه فلا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 ضالّتی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فالأمر مشترک لفظی بین المعنیین من دون أن یکون قدر جامع بینهما حتّی یصیر مشترکاً معنویاً، والدلیل علی عدم الجامع بینهما قول أرباب اللّغة وقد صرّح غیر واحد منهم من أنّ الأوّل یجمع علی فواعل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مصدراً ومبدءً للاشتقاق والثانی یجمع علی 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یشتقّ منه شی‌ء</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والتبادر أیضاً مساعد لما مرّ عن أهل اللغة، فإنّ المتبادر من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لهذا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الیوم أمراً عجیباً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الشی‌ء ولا یمکن تأویلها إلی الطلب لوجود التباین بینهما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وقوع الخلط بین المفهوم والمصداق بالنسبة إلی سائر المعانی وأنّها ترجع فی الواقع إلی هذین المعنیین کالمعنی الثالث وهو الفعل، فإنّ الأمر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أَمْرُ فِرْعَوْنَ بِرَشِیدٍ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بمعنی الفعل، بل إنّه عبارة عن أوامر فرعون وأحکامه فینطبق علی المعنی الأوّل، وهکذا المعنی الرابع، فإنّ الأمر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بمعنی الأمر التکوینی للَّه‌تعالی بالعذاب نظیر</w:t>
      </w:r>
      <w:bookmarkStart w:id="445" w:name="pg16918_187442"/>
    </w:p>
    <w:p>
      <w:pPr>
        <w:pStyle w:val="BookText"/>
        <w:rPr/>
      </w:pPr>
      <w:bookmarkEnd w:id="445"/>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أَتَی أَمْرُ اللَّه</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 أی أتی أمره التکوینی بالعذاب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فلنذکر حول مادّة الأمر بالمعنی الأوّل أمرین</w:t>
      </w:r>
      <w:r>
        <w:rPr>
          <w:rFonts w:eastAsia="IRNazanin" w:cs="IRNazanin"/>
          <w:color w:val="111111"/>
          <w:sz w:val="28"/>
          <w:szCs w:val="28"/>
          <w:rtl w:val="true"/>
          <w:lang w:bidi="fa-IR"/>
        </w:rPr>
        <w:t>:</w:t>
      </w:r>
    </w:p>
    <w:p>
      <w:pPr>
        <w:pStyle w:val="Heading5"/>
        <w:numPr>
          <w:ilvl w:val="4"/>
          <w:numId w:val="1"/>
        </w:numPr>
        <w:rPr/>
      </w:pPr>
      <w:bookmarkStart w:id="446" w:name="__RefHeading___Toc96260_3244359995"/>
      <w:bookmarkStart w:id="447" w:name="_Toc170"/>
      <w:bookmarkEnd w:id="446"/>
      <w:r>
        <w:rPr/>
        <w:t>1</w:t>
      </w:r>
      <w:r>
        <w:rPr>
          <w:rtl w:val="true"/>
        </w:rPr>
        <w:t xml:space="preserve">. </w:t>
      </w:r>
      <w:r>
        <w:rPr>
          <w:rtl w:val="true"/>
        </w:rPr>
        <w:t>هل العلوّ أو الاستعلاء فیه شرط؟</w:t>
      </w:r>
      <w:bookmarkEnd w:id="447"/>
    </w:p>
    <w:p>
      <w:pPr>
        <w:pStyle w:val="BookText"/>
        <w:rPr/>
      </w:pPr>
      <w:r>
        <w:rPr>
          <w:rFonts w:ascii="IRNazanin" w:hAnsi="IRNazanin" w:eastAsia="IRNazanin"/>
          <w:color w:val="111111"/>
          <w:sz w:val="28"/>
          <w:sz w:val="28"/>
          <w:szCs w:val="28"/>
          <w:rtl w:val="true"/>
          <w:lang w:bidi="fa-IR"/>
        </w:rPr>
        <w:t>والأقوال فیه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العلوّ فقط</w:t>
      </w:r>
      <w:r>
        <w:rPr>
          <w:rStyle w:val="FootnoteAnchor"/>
          <w:rtl w:val="true"/>
        </w:rPr>
        <w:footnoteReference w:id="329"/>
      </w:r>
      <w:r>
        <w:rPr>
          <w:rFonts w:ascii="IRNazanin" w:hAnsi="IRNazanin" w:eastAsia="IRNazanin"/>
          <w:color w:val="111111"/>
          <w:sz w:val="28"/>
          <w:sz w:val="28"/>
          <w:szCs w:val="28"/>
          <w:rtl w:val="true"/>
          <w:lang w:bidi="fa-IR"/>
        </w:rPr>
        <w:t>، اعتبار الاستعلاء فقط</w:t>
      </w:r>
      <w:r>
        <w:rPr>
          <w:rStyle w:val="FootnoteAnchor"/>
          <w:rtl w:val="true"/>
        </w:rPr>
        <w:footnoteReference w:id="330"/>
      </w:r>
      <w:r>
        <w:rPr>
          <w:rFonts w:ascii="IRNazanin" w:hAnsi="IRNazanin" w:eastAsia="IRNazanin"/>
          <w:color w:val="111111"/>
          <w:sz w:val="28"/>
          <w:sz w:val="28"/>
          <w:szCs w:val="28"/>
          <w:rtl w:val="true"/>
          <w:lang w:bidi="fa-IR"/>
        </w:rPr>
        <w:t>، اعتبار العلوّ والاستعلاء معاً</w:t>
      </w:r>
      <w:r>
        <w:rPr>
          <w:rStyle w:val="FootnoteAnchor"/>
          <w:rtl w:val="true"/>
        </w:rPr>
        <w:footnoteReference w:id="331"/>
      </w:r>
      <w:r>
        <w:rPr>
          <w:rFonts w:ascii="IRNazanin" w:hAnsi="IRNazanin" w:eastAsia="IRNazanin"/>
          <w:color w:val="111111"/>
          <w:sz w:val="28"/>
          <w:sz w:val="28"/>
          <w:szCs w:val="28"/>
          <w:rtl w:val="true"/>
          <w:lang w:bidi="fa-IR"/>
        </w:rPr>
        <w:t>، کفایة أحدهما</w:t>
      </w:r>
      <w:r>
        <w:rPr>
          <w:rStyle w:val="FootnoteAnchor"/>
          <w:rtl w:val="true"/>
        </w:rPr>
        <w:footnoteReference w:id="332"/>
      </w:r>
      <w:r>
        <w:rPr>
          <w:rFonts w:ascii="IRNazanin" w:hAnsi="IRNazanin" w:eastAsia="IRNazanin"/>
          <w:color w:val="111111"/>
          <w:sz w:val="28"/>
          <w:sz w:val="28"/>
          <w:szCs w:val="28"/>
          <w:rtl w:val="true"/>
          <w:lang w:bidi="fa-IR"/>
        </w:rPr>
        <w:t>، عدم اعتبار شی‌ء منهما</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من العلوّ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المتکلّم الآمر فی مقام عالٍ؛ إمّا ظاهریاً کما فی أوامر فرعون، أو معنویاً کما فی أوامر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الاستعلاء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التکلّم والأمر عن مقام عالٍ، والأمر أو النهی عن منصب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عن موضع الشفیع أو الناصح أو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له مقام عالٍ خارجاً أو لم یکن، فالعلوّ یغایر الاستعلاء، وربّ عالٍ لیس بمستعلٍ وبالعکس</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فی بادئ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کلیهما مأخوذان فی المعنی، فلذلک یقال لمن أمر من دون أن یکون له علوّ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شأنک حتّی تأمرنی وأنا أعلی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من القائل</w:t>
      </w:r>
      <w:bookmarkStart w:id="448" w:name="pg16918_187443"/>
    </w:p>
    <w:p>
      <w:pPr>
        <w:pStyle w:val="BookText"/>
        <w:rPr/>
      </w:pPr>
      <w:bookmarkEnd w:id="448"/>
      <w:r>
        <w:rPr>
          <w:rFonts w:ascii="IRNazanin" w:hAnsi="IRNazanin" w:eastAsia="IRNazanin"/>
          <w:color w:val="111111"/>
          <w:sz w:val="28"/>
          <w:sz w:val="28"/>
          <w:szCs w:val="28"/>
          <w:rtl w:val="true"/>
          <w:lang w:bidi="fa-IR"/>
        </w:rPr>
        <w:t>دفعاً لتوهّم استعلائه علی المخاطب الجواب بأنّ هذا لیس بأمرٍ، بل هو استدعاء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المتبادر من الأمر إنّما هو نوع من الإلزام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الاستدعاء الذی لیس فیه إلزام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یتصوّر فیمن کان مطاعاً بنحو من الأنحاء، أی یصدر الإلزام ممّن هو مطاع إمّا شرعاً أو عرفاً أو عقلًا، وحیث إنّ لزوم الطاعة یلازم غالباً العلو والاستعلاء فتوهّم من ذلک اعتبارهما فی المعنی الموضوع له الأمر، فالمتبادر من الأمر إنّما هو الإلزام، وأمّا العلوّ والاستعلاء فهما من اللوازم الغالبیّة له</w:t>
      </w:r>
      <w:r>
        <w:rPr>
          <w:rFonts w:eastAsia="IRNazanin" w:cs="IRNazanin"/>
          <w:color w:val="111111"/>
          <w:sz w:val="28"/>
          <w:szCs w:val="28"/>
          <w:rtl w:val="true"/>
          <w:lang w:bidi="fa-IR"/>
        </w:rPr>
        <w:t>.</w:t>
      </w:r>
    </w:p>
    <w:p>
      <w:pPr>
        <w:pStyle w:val="Heading5"/>
        <w:numPr>
          <w:ilvl w:val="4"/>
          <w:numId w:val="1"/>
        </w:numPr>
        <w:rPr/>
      </w:pPr>
      <w:bookmarkStart w:id="449" w:name="__RefHeading___Toc96262_3244359995"/>
      <w:bookmarkStart w:id="450" w:name="_Toc171"/>
      <w:bookmarkEnd w:id="449"/>
      <w:r>
        <w:rPr/>
        <w:t>2</w:t>
      </w:r>
      <w:r>
        <w:rPr>
          <w:rtl w:val="true"/>
        </w:rPr>
        <w:t xml:space="preserve">. </w:t>
      </w:r>
      <w:r>
        <w:rPr>
          <w:rtl w:val="true"/>
        </w:rPr>
        <w:t>دلالة مادّة الأمر علی الوجوب</w:t>
      </w:r>
      <w:bookmarkEnd w:id="450"/>
    </w:p>
    <w:p>
      <w:pPr>
        <w:pStyle w:val="BookText"/>
        <w:rPr/>
      </w:pPr>
      <w:r>
        <w:rPr>
          <w:rFonts w:ascii="IRNazanin" w:hAnsi="IRNazanin" w:eastAsia="IRNazanin"/>
          <w:color w:val="111111"/>
          <w:sz w:val="28"/>
          <w:sz w:val="28"/>
          <w:szCs w:val="28"/>
          <w:rtl w:val="true"/>
          <w:lang w:bidi="fa-IR"/>
        </w:rPr>
        <w:t>واستدلّ لها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والظهور العرفی، فإنّ المتبادر عرفاً من لفظ الأمر فیما إذا کان مجرّداً عن قرینة علی الاستحباب هو الطلب الإلزامی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مفاده البعث، والبعث یستدعی الانبعاث کما هو الحال فی البعث الفعلی بأن یأخذ بیده ویبعثه نحو العمل، فکما أنّ البعث الفعلی ظاهر فی الوجوب، فکذا البعث القولی یتبادر منه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استعماله فی المستحبّ لیس بمجاز، بل المتبادر من الإطلاق هو الوجوب، فإنّ الانصراف إلی بعض أفراد المطلق لیس بمعنی کونه مجازاً فی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فَلْیَحْذَرْ الَّذِینَ یُخَالِفُونَ عَنْ أَمْرِهِ أَنْ تُصِیبَهُمْ فِتْنَةٌ أَوْ یُصِیبَهُمْ عَذَابٌ أَلِیمٌ</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من جهة اشتماله علی تهدید من یخالف الأمر بالعذاب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أشقّ علی امّتی لأمرتهم بالسواک عند وضوء کلّ صلاة</w:t>
      </w:r>
      <w:r>
        <w:rPr>
          <w:rFonts w:eastAsia="IRNazanin" w:cs="IRNazanin"/>
          <w:color w:val="111111"/>
          <w:sz w:val="28"/>
          <w:szCs w:val="28"/>
          <w:rtl w:val="true"/>
          <w:lang w:bidi="fa-IR"/>
        </w:rPr>
        <w:t>»</w:t>
      </w:r>
      <w:r>
        <w:rPr>
          <w:rStyle w:val="FootnoteAnchor"/>
          <w:rtl w:val="true"/>
        </w:rPr>
        <w:footnoteReference w:id="33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إنّه صلی الله علیه و آله نفی الأمر مع ثبوت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غیر ذلک من الوجوه الّتی یمکن نقضها بموارد استعمال الأمر فی القدر الجامع بین الوجوب والاستحباب،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لاخَیْرَ فی کَثیرٍ مِنْ نَجْوَاهُمْ إِلَّا مَنْ أَمَرَ بِصَدَقَةٍ أَو مَعْرُوفٍ أَو إِصْلاحٍ بَیْنَ النَّاسِ</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 وقوله علیه السلام فی کتابه 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أمر</w:t>
      </w:r>
    </w:p>
    <w:p>
      <w:pPr>
        <w:pStyle w:val="BookText"/>
        <w:rPr/>
      </w:pPr>
      <w:r>
        <w:rPr>
          <w:rFonts w:ascii="IRNazanin" w:hAnsi="IRNazanin" w:eastAsia="IRNazanin"/>
          <w:color w:val="111111"/>
          <w:sz w:val="28"/>
          <w:sz w:val="28"/>
          <w:szCs w:val="28"/>
          <w:rtl w:val="true"/>
          <w:lang w:bidi="fa-IR"/>
        </w:rPr>
        <w:t>به عبداللَّه علی أمیر المؤمنین،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آمره بتقوی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آمره أن یکسر نفسه عند الشهوات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فلا إشکال فی استعماله فی القدر الجامع بین الوجوب والاستحباب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الأمثلة الّتی تبلغ حدّ الاطّراد، والاطّراد دلیل الحقیقة کما مرّ فی محلّه، وأمّا استعماله فی خصوص أحدهما فإنّما هو من باب تطبیق الکلّی علی الفرد، وهذا لا ینافی انصراف الإطلاق إلی خصوص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الدلیل الوحید علی کونه دالّاً علی الوجوب إنّما هو الوجه الأوّل، أی التبادر والظهور العرفی، وأمّا سائر الوجوه فهی علی حدّ التأیید للمدّعی لا أکثر، لأنّها استعمالات لهذه المادّة فی خصوص الوجوب، ومجرّد الاستعمال غیر دالّ علی الحقیقة ما لم یبلغ حدّ الاطّراد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لا کلام فی ظهوره فی الوجوب، إنّما الکلام فی منشأ هذا الظهور، فهل هو الوضع بحیث یکون الأمر بمادّته موضوعاً للطلب الوجوبی </w:t>
      </w:r>
      <w:r>
        <w:rPr>
          <w:rStyle w:val="FootnoteAnchor"/>
          <w:rtl w:val="true"/>
        </w:rPr>
        <w:footnoteReference w:id="338"/>
      </w:r>
      <w:r>
        <w:rPr>
          <w:rFonts w:ascii="IRNazanin" w:hAnsi="IRNazanin" w:eastAsia="IRNazanin"/>
          <w:color w:val="111111"/>
          <w:sz w:val="28"/>
          <w:sz w:val="28"/>
          <w:szCs w:val="28"/>
          <w:rtl w:val="true"/>
          <w:lang w:bidi="fa-IR"/>
        </w:rPr>
        <w:t>، أو المنشأ إنّما هو حکم العقل بوجوب طاعة المولی الآمر قضاءً لحقّ المولویّة والعبودیّة</w:t>
      </w:r>
      <w:r>
        <w:rPr>
          <w:rStyle w:val="FootnoteAnchor"/>
          <w:rtl w:val="true"/>
        </w:rPr>
        <w:footnoteReference w:id="339"/>
      </w:r>
      <w:r>
        <w:rPr>
          <w:rFonts w:ascii="IRNazanin" w:hAnsi="IRNazanin" w:eastAsia="IRNazanin"/>
          <w:color w:val="111111"/>
          <w:sz w:val="28"/>
          <w:sz w:val="28"/>
          <w:szCs w:val="28"/>
          <w:rtl w:val="true"/>
          <w:lang w:bidi="fa-IR"/>
        </w:rPr>
        <w:t>، أو أنّه قضیة الإطلاق ومقدّمات الحکمة</w:t>
      </w:r>
      <w:r>
        <w:rPr>
          <w:rStyle w:val="FootnoteAnchor"/>
          <w:rtl w:val="true"/>
        </w:rPr>
        <w:footnoteReference w:id="340"/>
      </w:r>
      <w:r>
        <w:rPr>
          <w:rFonts w:ascii="IRNazanin" w:hAnsi="IRNazanin" w:eastAsia="IRNazanin"/>
          <w:color w:val="111111"/>
          <w:sz w:val="28"/>
          <w:sz w:val="28"/>
          <w:szCs w:val="28"/>
          <w:rtl w:val="true"/>
          <w:lang w:bidi="fa-IR"/>
        </w:rPr>
        <w:t>؟</w:t>
      </w:r>
      <w:bookmarkStart w:id="451" w:name="pg16918_187445"/>
    </w:p>
    <w:p>
      <w:pPr>
        <w:pStyle w:val="BookText"/>
        <w:rPr/>
      </w:pPr>
      <w:bookmarkEnd w:id="451"/>
      <w:r>
        <w:rPr>
          <w:rFonts w:ascii="IRNazanin" w:hAnsi="IRNazanin" w:eastAsia="IRNazanin"/>
          <w:color w:val="111111"/>
          <w:sz w:val="28"/>
          <w:sz w:val="28"/>
          <w:szCs w:val="28"/>
          <w:rtl w:val="true"/>
          <w:lang w:bidi="fa-IR"/>
        </w:rPr>
        <w:t>وبعد عدم تمامیّة الوجه الأوّل؛ لصحّة الإطلاق علی الطلب غیر الإلزامی، وکذا الوجه الثانی؛ لأنّ العقل لایمکنه الحکم باللزوم مع ما یری من الأوامر الکثیرة الّتی أذن المولی فی ترکها، فالحقّ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منشأ هذا الظهور هو الإطلاق ومقدّمات الحکمة؛ لأنّ طبیعة الطلب تنافی الإذن فی الترک، فإنّ الطلب بعث إلی الشی‌ء، والبعث یقتضی الانبعاث کما فی البعث الفعلی، فلا سبیل لعدم الانبعاث فی ماهیته، فالإلزام والوجوب لازم لطبیعة الطلب وماهیّته، فما لم یصرّح المولی بالترخیص ولم یأذن بالترک ینصرف الطلب إلی الوجوب ویتبادر منه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علی ذلک أنّه إذا لم یمتثل العبد أمر المولی اعتذاراً بأنّی کنت احتمل الندب، لم یقبل عذره ویقال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قیل لک افعل 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قامت قرینة علی الاستحباب والترخیص لم یکن الاستعمال مجازاً؛ لأنّ الموضوع له عامّ یشمل الوجوب والاستحباب وإن کان إطلاقه ینصرف إلی الوجوب</w:t>
      </w:r>
      <w:r>
        <w:rPr>
          <w:rFonts w:eastAsia="IRNazanin" w:cs="IRNazanin"/>
          <w:color w:val="111111"/>
          <w:sz w:val="28"/>
          <w:szCs w:val="28"/>
          <w:rtl w:val="true"/>
          <w:lang w:bidi="fa-IR"/>
        </w:rPr>
        <w:t>.</w:t>
      </w:r>
    </w:p>
    <w:p>
      <w:pPr>
        <w:pStyle w:val="Heading4"/>
        <w:numPr>
          <w:ilvl w:val="3"/>
          <w:numId w:val="1"/>
        </w:numPr>
        <w:rPr/>
      </w:pPr>
      <w:bookmarkStart w:id="452" w:name="__RefHeading___Toc96264_3244359995"/>
      <w:bookmarkStart w:id="453" w:name="_Toc172"/>
      <w:bookmarkEnd w:id="452"/>
      <w:r>
        <w:rPr>
          <w:rtl w:val="true"/>
        </w:rPr>
        <w:t>الجهة الثانیة</w:t>
      </w:r>
      <w:r>
        <w:rPr>
          <w:rtl w:val="true"/>
        </w:rPr>
        <w:t xml:space="preserve">: </w:t>
      </w:r>
      <w:r>
        <w:rPr>
          <w:rtl w:val="true"/>
        </w:rPr>
        <w:t>فی صیغة الأمر</w:t>
      </w:r>
      <w:bookmarkEnd w:id="453"/>
    </w:p>
    <w:p>
      <w:pPr>
        <w:pStyle w:val="Heading5"/>
        <w:numPr>
          <w:ilvl w:val="4"/>
          <w:numId w:val="1"/>
        </w:numPr>
        <w:rPr/>
      </w:pPr>
      <w:bookmarkStart w:id="454" w:name="__RefHeading___Toc96266_3244359995"/>
      <w:bookmarkStart w:id="455" w:name="_Toc173"/>
      <w:bookmarkEnd w:id="454"/>
      <w:r>
        <w:rPr>
          <w:rtl w:val="true"/>
        </w:rPr>
        <w:t>اشارة</w:t>
      </w:r>
      <w:bookmarkEnd w:id="455"/>
    </w:p>
    <w:p>
      <w:pPr>
        <w:pStyle w:val="BookText"/>
        <w:rPr/>
      </w:pPr>
      <w:r>
        <w:rPr>
          <w:rFonts w:ascii="IRNazanin" w:hAnsi="IRNazanin" w:eastAsia="IRNazanin"/>
          <w:color w:val="111111"/>
          <w:sz w:val="28"/>
          <w:sz w:val="28"/>
          <w:szCs w:val="28"/>
          <w:rtl w:val="true"/>
          <w:lang w:bidi="fa-IR"/>
        </w:rPr>
        <w:t>ویبحث فیها فی أمرین</w:t>
      </w:r>
      <w:r>
        <w:rPr>
          <w:rFonts w:eastAsia="IRNazanin" w:cs="IRNazanin"/>
          <w:color w:val="111111"/>
          <w:sz w:val="28"/>
          <w:szCs w:val="28"/>
          <w:rtl w:val="true"/>
          <w:lang w:bidi="fa-IR"/>
        </w:rPr>
        <w:t>:</w:t>
      </w:r>
    </w:p>
    <w:p>
      <w:pPr>
        <w:pStyle w:val="Heading5"/>
        <w:numPr>
          <w:ilvl w:val="4"/>
          <w:numId w:val="1"/>
        </w:numPr>
        <w:rPr/>
      </w:pPr>
      <w:bookmarkStart w:id="456" w:name="__RefHeading___Toc96268_3244359995"/>
      <w:bookmarkStart w:id="457" w:name="_Toc174"/>
      <w:bookmarkEnd w:id="456"/>
      <w:r>
        <w:rPr/>
        <w:t>1</w:t>
      </w:r>
      <w:r>
        <w:rPr>
          <w:rtl w:val="true"/>
        </w:rPr>
        <w:t xml:space="preserve">. </w:t>
      </w:r>
      <w:r>
        <w:rPr>
          <w:rtl w:val="true"/>
        </w:rPr>
        <w:t>فی مفادها</w:t>
      </w:r>
      <w:bookmarkEnd w:id="457"/>
    </w:p>
    <w:p>
      <w:pPr>
        <w:pStyle w:val="BookText"/>
        <w:rPr/>
      </w:pPr>
      <w:r>
        <w:rPr>
          <w:rFonts w:ascii="IRNazanin" w:hAnsi="IRNazanin" w:eastAsia="IRNazanin"/>
          <w:color w:val="111111"/>
          <w:sz w:val="28"/>
          <w:sz w:val="28"/>
          <w:szCs w:val="28"/>
          <w:rtl w:val="true"/>
          <w:lang w:bidi="fa-IR"/>
        </w:rPr>
        <w:t xml:space="preserve">لا إشکال فی أنّها وضعت للطلب الإنشائی؛ وبتعبیر المحقّق الخراسانی رحمه الله لإنشاء الطلب </w:t>
      </w:r>
      <w:r>
        <w:rPr>
          <w:rStyle w:val="FootnoteAnchor"/>
          <w:rtl w:val="true"/>
        </w:rPr>
        <w:footnoteReference w:id="341"/>
      </w:r>
      <w:r>
        <w:rPr>
          <w:rFonts w:ascii="IRNazanin" w:hAnsi="IRNazanin" w:eastAsia="IRNazanin"/>
          <w:color w:val="111111"/>
          <w:sz w:val="28"/>
          <w:sz w:val="28"/>
          <w:szCs w:val="28"/>
          <w:rtl w:val="true"/>
          <w:lang w:bidi="fa-IR"/>
        </w:rPr>
        <w:t>، وعلی تعبیر بعض الأعاظم وضعت لنفس البعث والإغراء</w:t>
      </w:r>
      <w:r>
        <w:rPr>
          <w:rStyle w:val="FootnoteAnchor"/>
          <w:rtl w:val="true"/>
        </w:rPr>
        <w:footnoteReference w:id="342"/>
      </w:r>
      <w:r>
        <w:rPr>
          <w:rFonts w:ascii="IRNazanin" w:hAnsi="IRNazanin" w:eastAsia="IRNazanin"/>
          <w:color w:val="111111"/>
          <w:sz w:val="28"/>
          <w:sz w:val="28"/>
          <w:szCs w:val="28"/>
          <w:rtl w:val="true"/>
          <w:lang w:bidi="fa-IR"/>
        </w:rPr>
        <w:t>فإنّها تعابیر مختلفة عن أمر واحد، فإنّ الإنسان تارةً یطلب شیئاً بنفسه مباشرة فیتحرّک نحو الماء مثلًا لرفع العطش بنفسه، واخری یطلبه بالتسبیب، والثانی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یحرّک الإنسان الشخص المأمور نحو المأمور به بحرکة تکوینیّة فیبعثه نحو العمل بعثاً خارجیاً ویدفعه بقوّة یده مثلًا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واخری یحرّکه ویبعثه نحو العمل بإبراز إرادته وطلبه النفسانی بلفظ خاصّ، ومن</w:t>
      </w:r>
      <w:bookmarkStart w:id="458" w:name="pg16918_187446"/>
    </w:p>
    <w:p>
      <w:pPr>
        <w:pStyle w:val="BookText"/>
        <w:rPr/>
      </w:pPr>
      <w:bookmarkEnd w:id="458"/>
      <w:r>
        <w:rPr>
          <w:rFonts w:ascii="IRNazanin" w:hAnsi="IRNazanin" w:eastAsia="IRNazanin"/>
          <w:color w:val="111111"/>
          <w:sz w:val="28"/>
          <w:sz w:val="28"/>
          <w:szCs w:val="28"/>
          <w:rtl w:val="true"/>
          <w:lang w:bidi="fa-IR"/>
        </w:rPr>
        <w:t>الألفاظ الّتی یستعملها الإنسان فی القسم الثانی صیغة الأمر، فإنّها لفظ ینشئ بها الطلب، ویتوسّل به إلی مطلوبه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دواعی هذا البعث والإنشاء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الداعی فیه الإیجاد فی الخارج جدّاً، فیکون الطلب جدّیاً، واخری لا یکون بداعی الجدّ بل بداعی التعجیز أو التهدید أو التمنّی أو غیرها، ولکنّه لا یوجب الاختلاف فی المستعمل فیه، بل مفاد الأمر فی جمیع هذه الموارد واحد، وهو البعث والطلب، والتفاوت إنّما هو فی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یختلف عن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المستعمل فی کلیهما هو الطلب الإنشائی، والفرق بینهما إنّما هو فی أنّ الداعی فی الأوّل إنّما هو الجدّ وإیجاد العمل فی الخارج حقیقة، وفی الثانی التهدید وإیجاد الخوف الرادع عن العمل، وهذا ممّا یشهد علیه الوجدان ویعضده التبادر، وحینئذٍ یکون الاستعمال فی جمیعها حقیقیاً ولا مجاز فی البین أصلًا</w:t>
      </w:r>
      <w:r>
        <w:rPr>
          <w:rFonts w:eastAsia="IRNazanin" w:cs="IRNazanin"/>
          <w:color w:val="111111"/>
          <w:sz w:val="28"/>
          <w:szCs w:val="28"/>
          <w:rtl w:val="true"/>
          <w:lang w:bidi="fa-IR"/>
        </w:rPr>
        <w:t>.</w:t>
      </w:r>
    </w:p>
    <w:p>
      <w:pPr>
        <w:pStyle w:val="Heading5"/>
        <w:numPr>
          <w:ilvl w:val="4"/>
          <w:numId w:val="1"/>
        </w:numPr>
        <w:rPr/>
      </w:pPr>
      <w:bookmarkStart w:id="459" w:name="__RefHeading___Toc96270_3244359995"/>
      <w:bookmarkStart w:id="460" w:name="_Toc175"/>
      <w:bookmarkEnd w:id="459"/>
      <w:r>
        <w:rPr/>
        <w:t>2</w:t>
      </w:r>
      <w:r>
        <w:rPr>
          <w:rtl w:val="true"/>
        </w:rPr>
        <w:t xml:space="preserve">. </w:t>
      </w:r>
      <w:r>
        <w:rPr>
          <w:rtl w:val="true"/>
        </w:rPr>
        <w:t>فی دلالتها علی الوجوب</w:t>
      </w:r>
      <w:bookmarkEnd w:id="460"/>
    </w:p>
    <w:p>
      <w:pPr>
        <w:pStyle w:val="BookText"/>
        <w:rPr/>
      </w:pPr>
      <w:r>
        <w:rPr>
          <w:rFonts w:ascii="IRNazanin" w:hAnsi="IRNazanin" w:eastAsia="IRNazanin"/>
          <w:color w:val="111111"/>
          <w:sz w:val="28"/>
          <w:sz w:val="28"/>
          <w:szCs w:val="28"/>
          <w:rtl w:val="true"/>
          <w:lang w:bidi="fa-IR"/>
        </w:rPr>
        <w:t>لا ینبغی الإشکال فی أنّه إذا وردت صیغة الأمر مطلقة ومن دون القرینة فانّه یفهم منها الوجوب کما علیه سیرة الفقهاء فی مقام الاستنباط، فإنّهم یعدّون صیغة الأمر حجّة علی الوجوب إذا استعملت فی الکلام مجرّدة عن القرینة، وعلیه بناء العقلاء عموماً فی أوامر الموالی والرؤساء</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اختلفوا فی منشأ هذا الظهور من أنّه هل یکون بمقتضی الوضع </w:t>
      </w:r>
      <w:r>
        <w:rPr>
          <w:rStyle w:val="FootnoteAnchor"/>
          <w:rtl w:val="true"/>
        </w:rPr>
        <w:footnoteReference w:id="343"/>
      </w:r>
      <w:r>
        <w:rPr>
          <w:rFonts w:ascii="IRNazanin" w:hAnsi="IRNazanin" w:eastAsia="IRNazanin"/>
          <w:color w:val="111111"/>
          <w:sz w:val="28"/>
          <w:sz w:val="28"/>
          <w:szCs w:val="28"/>
          <w:rtl w:val="true"/>
          <w:lang w:bidi="fa-IR"/>
        </w:rPr>
        <w:t xml:space="preserve">أو حکم العقل </w:t>
      </w:r>
      <w:r>
        <w:rPr>
          <w:rStyle w:val="FootnoteAnchor"/>
          <w:rtl w:val="true"/>
        </w:rPr>
        <w:footnoteReference w:id="344"/>
      </w:r>
      <w:r>
        <w:rPr>
          <w:rFonts w:ascii="IRNazanin" w:hAnsi="IRNazanin" w:eastAsia="IRNazanin"/>
          <w:color w:val="111111"/>
          <w:sz w:val="28"/>
          <w:sz w:val="28"/>
          <w:szCs w:val="28"/>
          <w:rtl w:val="true"/>
          <w:lang w:bidi="fa-IR"/>
        </w:rPr>
        <w:t>أو بناء العقلاء</w:t>
      </w:r>
      <w:r>
        <w:rPr>
          <w:rStyle w:val="FootnoteAnchor"/>
          <w:rtl w:val="true"/>
        </w:rPr>
        <w:footnoteReference w:id="345"/>
      </w:r>
      <w:r>
        <w:rPr>
          <w:rFonts w:ascii="IRNazanin" w:hAnsi="IRNazanin" w:eastAsia="IRNazanin"/>
          <w:color w:val="111111"/>
          <w:sz w:val="28"/>
          <w:sz w:val="28"/>
          <w:szCs w:val="28"/>
          <w:rtl w:val="true"/>
          <w:lang w:bidi="fa-IR"/>
        </w:rPr>
        <w:t>أو الإطلاق ومقدّمات الحکمة؟</w:t>
      </w:r>
      <w:r>
        <w:rPr>
          <w:rStyle w:val="FootnoteAnchor"/>
          <w:rtl w:val="true"/>
        </w:rPr>
        <w:footnoteReference w:id="346"/>
      </w:r>
      <w:bookmarkStart w:id="461" w:name="pg16918_187447"/>
    </w:p>
    <w:p>
      <w:pPr>
        <w:pStyle w:val="BookText"/>
        <w:rPr/>
      </w:pPr>
      <w:bookmarkEnd w:id="461"/>
      <w:r>
        <w:rPr>
          <w:rFonts w:ascii="IRNazanin" w:hAnsi="IRNazanin" w:eastAsia="IRNazanin"/>
          <w:color w:val="111111"/>
          <w:sz w:val="28"/>
          <w:sz w:val="28"/>
          <w:szCs w:val="28"/>
          <w:rtl w:val="true"/>
          <w:lang w:bidi="fa-IR"/>
        </w:rPr>
        <w:t>والکلام فی الوضع و حکم العقل أو العقلاء نفس ما مرّ من الکلام فی مادّة الأمر، فإنّا لا نری فی استعمال صیغة الأمر فی الندب عنایة ولا رعایة علاقة من علاقات المجاز، ففی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کَما أَحسَنَ اللَّهُ إلَیکَ</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لا یصحّ سلب معنی الأمر منه وجداناً، فلا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بأمر مع أنّ المجازیة تستلزم صحّة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حکم العقل أو العقلاء بوجوب الانبعاث فی مقابل مطلق بعث المولی أوّل الکلام، فإنّ وجوب الانبعاث أو استحبابه متفرّع علی کیفیة إرادة المولی واستعماله لصیغة الأمر، فإن استعملها فی الوجوب یحکم العقل أو العقلاء بوجوب الانبعاث وإن استعملها فی الندب یحکمان باستحبابه، فوجوب الإطاعة والعمل علی وفق مراد المولی مسلّم، إنّما الکلام فی مراد المولی من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صیغة الأمر تدعو إلی إیجاد الفعل فی الخارج من دون أن یتطرّق إلیه احتمال جواز الترک، أی أنّ طبیعة الطلب لا یتطرّق إلیها الإذن فی الترک فهی بظاهرها تقتضی الانبعاث، ولا سبیل لعدم الانبعاث إلیها ما لم یصرّح المولی الآمر بالترخیص فتنصرف حینئذٍ إلی الوجوب واللزوم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منشأ انصراف صیغة الأمر إلی الوجوب ودلالتها علیه إنّما هو طبیعة الطلب الظاهرة فی سدّ جمیع أبواب عدم الطلب فیها، وإن هو إلّانظیر الدفع بالید نحو الخروج، فإذا دفعتَ انساناً بیدک نحو الخروج لا مجال فیه لاحتمال استحبابه وجواز ترکه، وکذا البعث بصیغة الأمر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کالبعث التکوینی، أی الدفع بالید</w:t>
      </w:r>
      <w:r>
        <w:rPr>
          <w:rFonts w:eastAsia="IRNazanin" w:cs="IRNazanin"/>
          <w:color w:val="111111"/>
          <w:sz w:val="28"/>
          <w:szCs w:val="28"/>
          <w:rtl w:val="true"/>
          <w:lang w:bidi="fa-IR"/>
        </w:rPr>
        <w:t>.</w:t>
      </w:r>
    </w:p>
    <w:p>
      <w:pPr>
        <w:pStyle w:val="Heading4"/>
        <w:numPr>
          <w:ilvl w:val="3"/>
          <w:numId w:val="1"/>
        </w:numPr>
        <w:rPr/>
      </w:pPr>
      <w:bookmarkStart w:id="462" w:name="__RefHeading___Toc96272_3244359995"/>
      <w:bookmarkStart w:id="463" w:name="_Toc176"/>
      <w:bookmarkEnd w:id="462"/>
      <w:r>
        <w:rPr>
          <w:rtl w:val="true"/>
        </w:rPr>
        <w:t>الجهة الثالثة</w:t>
      </w:r>
      <w:r>
        <w:rPr>
          <w:rtl w:val="true"/>
        </w:rPr>
        <w:t xml:space="preserve">: </w:t>
      </w:r>
      <w:r>
        <w:rPr>
          <w:rtl w:val="true"/>
        </w:rPr>
        <w:t>فی الجمل الخبریّة</w:t>
      </w:r>
      <w:bookmarkEnd w:id="46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64" w:name="__RefHeading___Toc96274_3244359995"/>
      <w:bookmarkStart w:id="465" w:name="_Toc177"/>
      <w:bookmarkEnd w:id="464"/>
      <w:r>
        <w:rPr>
          <w:rtl w:val="true"/>
        </w:rPr>
        <w:t>اشارة</w:t>
      </w:r>
      <w:bookmarkStart w:id="466" w:name="pg16918_187448"/>
      <w:bookmarkEnd w:id="465"/>
    </w:p>
    <w:p>
      <w:pPr>
        <w:pStyle w:val="BookText"/>
        <w:rPr/>
      </w:pPr>
      <w:bookmarkEnd w:id="466"/>
      <w:r>
        <w:rPr>
          <w:rFonts w:ascii="Amiri" w:hAnsi="Amiri" w:eastAsia="Amiri" w:cs="Amiri"/>
          <w:color w:val="111111"/>
          <w:sz w:val="28"/>
          <w:sz w:val="28"/>
          <w:szCs w:val="28"/>
          <w:rtl w:val="true"/>
          <w:lang w:bidi="ar-SA"/>
        </w:rPr>
        <w:t>لا إشکال فی أنّه کثیراً ما تستعمل الجملة الخبریة موضع الإنشاء ویراد منها الطلب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یَتَرَبَّصْنَ بِأنفُسِهِنَّ ثَلاثَةَ قُروءٍ</w:t>
      </w:r>
      <w:r>
        <w:rPr>
          <w:rFonts w:eastAsia="Amiri" w:cs="Amiri" w:ascii="Amiri" w:hAnsi="Amiri"/>
          <w:color w:val="111111"/>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 وقوله علیه السلام فی من ترک تکبیرة الافتتاح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وینبغی البحث فی ذلک فی مقامین</w:t>
      </w:r>
      <w:r>
        <w:rPr>
          <w:rFonts w:eastAsia="IRNazanin" w:cs="IRNazanin"/>
          <w:color w:val="111111"/>
          <w:sz w:val="28"/>
          <w:szCs w:val="28"/>
          <w:rtl w:val="true"/>
          <w:lang w:bidi="fa-IR"/>
        </w:rPr>
        <w:t>:</w:t>
      </w:r>
    </w:p>
    <w:p>
      <w:pPr>
        <w:pStyle w:val="Heading5"/>
        <w:numPr>
          <w:ilvl w:val="4"/>
          <w:numId w:val="1"/>
        </w:numPr>
        <w:rPr/>
      </w:pPr>
      <w:bookmarkStart w:id="467" w:name="__RefHeading___Toc96276_3244359995"/>
      <w:bookmarkStart w:id="468" w:name="_Toc178"/>
      <w:bookmarkEnd w:id="467"/>
      <w:r>
        <w:rPr/>
        <w:t>1</w:t>
      </w:r>
      <w:r>
        <w:rPr>
          <w:rtl w:val="true"/>
        </w:rPr>
        <w:t xml:space="preserve">. </w:t>
      </w:r>
      <w:r>
        <w:rPr>
          <w:rtl w:val="true"/>
        </w:rPr>
        <w:t>کیفیة استعمالها فی الطلب الإنشائی</w:t>
      </w:r>
      <w:bookmarkEnd w:id="468"/>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مجاز لاستعمال ما وضع للإخبار فی غیر ما وضع له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بعید؛ لأنّ المجاز لابدّ فیه من العلاقة، ومن الواضح أنّه لا علاقة بین الإخبار والإنشاء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أنّه کنایة عن الطلب والإنشاء ببیان اللازم وإرادة الملزوم؛ فإنّ المولی إذا رأی عبده مطیعاً لأوامره، یفترض أوّلًا إمتثاله واطاعته فی الخارج وأنّه یتصدّی للعمل فی الخارج بمجرّد علمه بطلب المولی وإرادته، ثمّ یخبر عن إمتثاله کنایة عن طلبه، أی یذکر اللازم وهو انبعاث العبد وحرکته نحو العمل ویرید منه ملزومه وهو الطلب لذلک العمل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وحینئذٍ لا فرق بین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فی مقام الإخبار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الإنشاء فی أنّ کلًاّ منهما استعمل فی الإخبار والحکایة عن الخارج، إلّاأن الأوّل یکون بداعی الإخبار حقیقة، والثانی یکون کنایة عن الطلب النفسانی للعمل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bookmarkStart w:id="469" w:name="pg16918_187449"/>
    </w:p>
    <w:p>
      <w:pPr>
        <w:pStyle w:val="Heading5"/>
        <w:numPr>
          <w:ilvl w:val="4"/>
          <w:numId w:val="1"/>
        </w:numPr>
        <w:rPr/>
      </w:pPr>
      <w:bookmarkStart w:id="470" w:name="__RefHeading___Toc96278_3244359995"/>
      <w:bookmarkStart w:id="471" w:name="_Toc179"/>
      <w:bookmarkEnd w:id="469"/>
      <w:bookmarkEnd w:id="470"/>
      <w:r>
        <w:rPr/>
        <w:t>2</w:t>
      </w:r>
      <w:r>
        <w:rPr>
          <w:rtl w:val="true"/>
        </w:rPr>
        <w:t xml:space="preserve">. </w:t>
      </w:r>
      <w:r>
        <w:rPr>
          <w:rtl w:val="true"/>
        </w:rPr>
        <w:t>حول دلالتها علی الوجوب</w:t>
      </w:r>
      <w:bookmarkEnd w:id="471"/>
    </w:p>
    <w:p>
      <w:pPr>
        <w:pStyle w:val="BookText"/>
        <w:rPr/>
      </w:pPr>
      <w:r>
        <w:rPr>
          <w:rFonts w:ascii="IRNazanin" w:hAnsi="IRNazanin" w:eastAsia="IRNazanin"/>
          <w:color w:val="111111"/>
          <w:sz w:val="28"/>
          <w:sz w:val="28"/>
          <w:szCs w:val="28"/>
          <w:rtl w:val="true"/>
          <w:lang w:bidi="fa-IR"/>
        </w:rPr>
        <w:t>والکلام فیه هو الکلام فی صیغة الأمر من جهة الظهور عند العقلاء وأهل العرف، فلا إشکال هنا أیضاً فی أصل الدلالة علی الوجوب، کما أنّ منشأها أیضاً ما یرجع إلی طبیعة الطلب وما تقتضیه ماهیة البعث، وأنّ جواز الترک قید زائد وهو یحتاج إلی البیان ونصب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اشتهر أنّ دلالة الجمل الخبریّة علی الوجوب آکد من دلالة صیغة الأمر، ببیان أنّها فی الحقیقة إخبار عن تحقّق الفعل بإدّعاء أنّ وقوع الإمتثال من المکلّف، أمر مفروغ عنه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یمکن المناقشة فیه بأنّ الجملة الخبریة حیث إنّها فی مقام الکنایة عن الطلب تکون أبلغ فی الدلالة علی الإنشاء کما فی سائر الکنایات فإنّها أبلغ فی بیان المقصود والدلالة علی المطلوب من غیرها، لا أنّها آکد وأنّ الطلب المنشأ بها یکون أقوی وأشدّ، کما یشهد علیه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المراد کونه أبلغ فی الدلالة علی الوجوب فإنّه لا بأس به</w:t>
      </w:r>
      <w:r>
        <w:rPr>
          <w:rFonts w:eastAsia="IRNazanin" w:cs="IRNazanin"/>
          <w:color w:val="111111"/>
          <w:sz w:val="28"/>
          <w:szCs w:val="28"/>
          <w:rtl w:val="true"/>
          <w:lang w:bidi="fa-IR"/>
        </w:rPr>
        <w:t>.</w:t>
      </w:r>
    </w:p>
    <w:p>
      <w:pPr>
        <w:pStyle w:val="Heading4"/>
        <w:numPr>
          <w:ilvl w:val="3"/>
          <w:numId w:val="1"/>
        </w:numPr>
        <w:rPr/>
      </w:pPr>
      <w:bookmarkStart w:id="472" w:name="__RefHeading___Toc96280_3244359995"/>
      <w:bookmarkStart w:id="473" w:name="_Toc180"/>
      <w:bookmarkEnd w:id="472"/>
      <w:r>
        <w:rPr>
          <w:rtl w:val="true"/>
        </w:rPr>
        <w:t>الجهة الرابعة</w:t>
      </w:r>
      <w:r>
        <w:rPr>
          <w:rtl w:val="true"/>
        </w:rPr>
        <w:t xml:space="preserve">: </w:t>
      </w:r>
      <w:r>
        <w:rPr>
          <w:rtl w:val="true"/>
        </w:rPr>
        <w:t>حول سائر مدالیل الأمر والطلب الإنشائی</w:t>
      </w:r>
      <w:bookmarkEnd w:id="473"/>
    </w:p>
    <w:p>
      <w:pPr>
        <w:pStyle w:val="Heading5"/>
        <w:numPr>
          <w:ilvl w:val="4"/>
          <w:numId w:val="1"/>
        </w:numPr>
        <w:rPr/>
      </w:pPr>
      <w:bookmarkStart w:id="474" w:name="__RefHeading___Toc96282_3244359995"/>
      <w:bookmarkStart w:id="475" w:name="_Toc181"/>
      <w:bookmarkEnd w:id="474"/>
      <w:r>
        <w:rPr>
          <w:rtl w:val="true"/>
        </w:rPr>
        <w:t>اشارة</w:t>
      </w:r>
      <w:bookmarkEnd w:id="475"/>
    </w:p>
    <w:p>
      <w:pPr>
        <w:pStyle w:val="BookText"/>
        <w:rPr/>
      </w:pPr>
      <w:r>
        <w:rPr>
          <w:rFonts w:ascii="IRNazanin" w:hAnsi="IRNazanin" w:eastAsia="IRNazanin"/>
          <w:color w:val="111111"/>
          <w:sz w:val="28"/>
          <w:sz w:val="28"/>
          <w:szCs w:val="28"/>
          <w:rtl w:val="true"/>
          <w:lang w:bidi="fa-IR"/>
        </w:rPr>
        <w:t>قد تبیّن أنّ الأمر بمادّته وهیئته، ظاهر فی الوجوب والطلب الإلزامی ما لم یقم قرینة علی الاستحباب وجواز الترک، ویلحق به فی هذه الخصوصیّة بعض الکنایات کالجمل الخبریة المستعملة لإنشاء الطلب، وقد فرغنا عن ذلک فی الجهات السابقة وینبغی هنا أن نبحث عن بعض ما له صلة بخصوصیّات الطلب الإنشائی</w:t>
      </w:r>
      <w:r>
        <w:rPr>
          <w:rFonts w:eastAsia="IRNazanin" w:cs="IRNazanin"/>
          <w:color w:val="111111"/>
          <w:sz w:val="28"/>
          <w:szCs w:val="28"/>
          <w:rtl w:val="true"/>
          <w:lang w:bidi="fa-IR"/>
        </w:rPr>
        <w:t>:</w:t>
      </w:r>
    </w:p>
    <w:p>
      <w:pPr>
        <w:pStyle w:val="Heading5"/>
        <w:numPr>
          <w:ilvl w:val="4"/>
          <w:numId w:val="1"/>
        </w:numPr>
        <w:rPr/>
      </w:pPr>
      <w:bookmarkStart w:id="476" w:name="__RefHeading___Toc96284_3244359995"/>
      <w:bookmarkStart w:id="477" w:name="_Toc182"/>
      <w:bookmarkEnd w:id="476"/>
      <w:r>
        <w:rPr/>
        <w:t>1</w:t>
      </w:r>
      <w:r>
        <w:rPr>
          <w:rtl w:val="true"/>
        </w:rPr>
        <w:t xml:space="preserve">. </w:t>
      </w:r>
      <w:r>
        <w:rPr>
          <w:rtl w:val="true"/>
        </w:rPr>
        <w:t>الأمر بالأمر</w:t>
      </w:r>
      <w:bookmarkEnd w:id="47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الأمر المتعلّق بالأمر بفعل، أمر بذلک الفعل حتّی یجب علی المکلّف إمتثاله</w:t>
      </w:r>
    </w:p>
    <w:p>
      <w:pPr>
        <w:pStyle w:val="BookText"/>
        <w:rPr/>
      </w:pPr>
      <w:r>
        <w:rPr>
          <w:rFonts w:ascii="IRNazanin" w:hAnsi="IRNazanin" w:eastAsia="IRNazanin"/>
          <w:color w:val="111111"/>
          <w:sz w:val="28"/>
          <w:sz w:val="28"/>
          <w:szCs w:val="28"/>
          <w:rtl w:val="true"/>
          <w:lang w:bidi="fa-IR"/>
        </w:rPr>
        <w:t>إذا علم به وإن لم یصل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أمر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أو لا یکون أمراً بذلک الفعل ولا یجب علی المکلّف الإمتثال ما لم یصل إلیه من طریق الواسطة؟</w:t>
      </w:r>
    </w:p>
    <w:p>
      <w:pPr>
        <w:pStyle w:val="BookText"/>
        <w:rPr/>
      </w:pPr>
      <w:r>
        <w:rPr>
          <w:rFonts w:ascii="IRNazanin" w:hAnsi="IRNazanin" w:eastAsia="IRNazanin"/>
          <w:color w:val="111111"/>
          <w:sz w:val="28"/>
          <w:sz w:val="28"/>
          <w:szCs w:val="28"/>
          <w:rtl w:val="true"/>
          <w:lang w:bidi="fa-IR"/>
        </w:rPr>
        <w:t>لا إشکال فی أنّ أمثلة الأمر بالأمر کثیرة فی الآیات والروایات نظیر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لِلْمُؤْمِنِینَ یَغُضُّوا مِنْ أَبْصَارِهِمْ </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أهْلَکَ بِالصَلاة</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 xml:space="preserve">، وفی الروایات نظیر الوصایا الّتی تصدر من جانب المعصومین علیهم السلام إلی شیعتهم </w:t>
      </w:r>
      <w:r>
        <w:rPr>
          <w:rStyle w:val="FootnoteAnchor"/>
          <w:rtl w:val="true"/>
        </w:rPr>
        <w:footnoteReference w:id="355"/>
      </w:r>
      <w:r>
        <w:rPr>
          <w:rFonts w:ascii="IRNazanin" w:hAnsi="IRNazanin" w:eastAsia="IRNazanin"/>
          <w:color w:val="111111"/>
          <w:sz w:val="28"/>
          <w:sz w:val="28"/>
          <w:szCs w:val="28"/>
          <w:rtl w:val="true"/>
          <w:lang w:bidi="fa-IR"/>
        </w:rPr>
        <w:t>، وعند العرف نظیر ما إذا قال المولی لابنه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زیداً أن یفعل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أمر بذاک الفعل بحیث إذا علم زید بالأمر من قبل أن یأمره ابن المولی کان الإتیان به واجباً علیه، أو لا یکون أمراً به فلا یجب الإتیان ما لم یأمره ابن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الثبوت</w:t>
      </w:r>
    </w:p>
    <w:p>
      <w:pPr>
        <w:pStyle w:val="BookText"/>
        <w:rPr/>
      </w:pPr>
      <w:r>
        <w:rPr>
          <w:rFonts w:ascii="IRNazanin" w:hAnsi="IRNazanin" w:eastAsia="IRNazanin"/>
          <w:color w:val="111111"/>
          <w:sz w:val="28"/>
          <w:sz w:val="28"/>
          <w:szCs w:val="28"/>
          <w:rtl w:val="true"/>
          <w:lang w:bidi="fa-IR"/>
        </w:rPr>
        <w:t>فإنّه تارةً تکون الواسطة مجرّد طریق لوصول أمر المولی إلی المکلّف، فلا إشکال فی وجوب الإمتثال علی المکلّف إذا علم به وإن لم یصل إلیه من جانب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یکون وصول أمر المولی من ناحیة أمر الواسطة تمام الموضوع فی الوجوب، فأراد المولی مثلًا توقیره وتعظیمه وإثبات رفعة شأنه عنده، فلا إشکال أیضاً فی عدم وجوب الإمتثال علی العبد ما لم یصل الأمر من طریق الواسطة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وثالثة یکون وصول الأمر من ناحیة أمر الواسطة جزء للموضوع کما هو الغالب فی الأوامر القانونیّة العقلائیّة، فلابدّ لوجوب امتثالها من إبلاغها بطریق خاصّ، ولا یجب الإمتثال إلّاإذا بلغ الحکم من ذلک الطریق</w:t>
      </w:r>
      <w:r>
        <w:rPr>
          <w:rFonts w:eastAsia="IRNazanin" w:cs="IRNazanin"/>
          <w:color w:val="111111"/>
          <w:sz w:val="28"/>
          <w:szCs w:val="28"/>
          <w:rtl w:val="true"/>
          <w:lang w:bidi="fa-IR"/>
        </w:rPr>
        <w:t>.</w:t>
      </w:r>
      <w:bookmarkStart w:id="478" w:name="pg16918_187451"/>
    </w:p>
    <w:p>
      <w:pPr>
        <w:pStyle w:val="BookText"/>
        <w:rPr/>
      </w:pPr>
      <w:bookmarkEnd w:id="478"/>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الإثبات</w:t>
      </w:r>
    </w:p>
    <w:p>
      <w:pPr>
        <w:pStyle w:val="BookText"/>
        <w:rPr/>
      </w:pPr>
      <w:r>
        <w:rPr>
          <w:rFonts w:ascii="IRNazanin" w:hAnsi="IRNazanin" w:eastAsia="IRNazanin"/>
          <w:color w:val="111111"/>
          <w:sz w:val="28"/>
          <w:sz w:val="28"/>
          <w:szCs w:val="28"/>
          <w:rtl w:val="true"/>
          <w:lang w:bidi="fa-IR"/>
        </w:rPr>
        <w:t xml:space="preserve">إنّ الذی یستظهر من الآیات والروایات هو القسم الأوّل فیکون الرسول الأعظم صلی الله علیه و آله فی الآیات المذکورة فی أوّل البحث مجرّد مبلّغ لإیصال الأوامر الإلهیّة إلی العباد، بل هو المتبادر من نفس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یجب علی العباد الإطاعة وإمتثال الأوامر الشرعیّة وإن لم تصل إلیهم من جانب شخص الرسول بل وصلت إلیهم من طرق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ثمرة البحث تظهر فی آیة الغضّ مثلًا إذا فرضنا عدم وصول أمر بغضّ البصر من جانب النّبی صلی الله علیه و آله إلینا، فیمکن حینئذٍ الاستدلال بهذه الآیة بناءً علی أن یکون الأمر بالأمر بشی‌ء أمراً بذلک الشی‌ء کما مرّ أنّه کذلک، والفقهاء لا یزالون یستدلّون لحرمة النظر إلی الأجنبی وفروع هذه المسألة بإطلاق هذه الآیة، وقد لا یکون فی هذه الفروع دلیل إلّاإطلاق هذه الآیة</w:t>
      </w:r>
      <w:r>
        <w:rPr>
          <w:rFonts w:eastAsia="IRNazanin" w:cs="IRNazanin"/>
          <w:color w:val="111111"/>
          <w:sz w:val="28"/>
          <w:szCs w:val="28"/>
          <w:rtl w:val="true"/>
          <w:lang w:bidi="fa-IR"/>
        </w:rPr>
        <w:t>.</w:t>
      </w:r>
    </w:p>
    <w:p>
      <w:pPr>
        <w:pStyle w:val="Heading5"/>
        <w:numPr>
          <w:ilvl w:val="4"/>
          <w:numId w:val="1"/>
        </w:numPr>
        <w:rPr/>
      </w:pPr>
      <w:bookmarkStart w:id="479" w:name="__RefHeading___Toc96286_3244359995"/>
      <w:bookmarkStart w:id="480" w:name="_Toc183"/>
      <w:bookmarkEnd w:id="479"/>
      <w:r>
        <w:rPr/>
        <w:t>2</w:t>
      </w:r>
      <w:r>
        <w:rPr>
          <w:rtl w:val="true"/>
        </w:rPr>
        <w:t xml:space="preserve">. </w:t>
      </w:r>
      <w:r>
        <w:rPr>
          <w:rtl w:val="true"/>
        </w:rPr>
        <w:t>الأمر عقیب الحظر</w:t>
      </w:r>
      <w:bookmarkEnd w:id="48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ورد أمر عقیب الحظر أو عقیب توهّم الحظر فهل یدلّ علی الإباحة أو علی الوجوب؟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ورد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غَیْرَ مُحِلِّی الصَّیْدِ وَأَنْتُمْ حُرُمٌ</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فهل الأمر یدلّ علی وجوب الصید بعد الاستحلال أو یدلّ علی جوازه فقط؟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عَنْ المحِیضِ قُلْ هُوَ أَذیً فاعْتَزِلُوا النِّساءَ فی المحیضِ ولا تَقْرَبوهُنَّ حَتَّی یَطْهُرْنَ فإِذا تَطَهَّرْنَ فَأتُوهُنَّ مِنْ حَیْثُ أَمَرَکُمْ اللَّه</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فما هو مقتضی القاعدة عند الشکّ فیما إذا دار الأمر بین الإباحة والوجوب مع فقدان القرینة علی أحد الأمرین؟</w:t>
      </w:r>
      <w:bookmarkStart w:id="481" w:name="pg16918_187452"/>
    </w:p>
    <w:p>
      <w:pPr>
        <w:pStyle w:val="BookText"/>
        <w:rPr/>
      </w:pPr>
      <w:bookmarkEnd w:id="481"/>
      <w:r>
        <w:rPr>
          <w:rFonts w:ascii="IRNazanin" w:hAnsi="IRNazanin" w:eastAsia="IRNazanin"/>
          <w:color w:val="111111"/>
          <w:sz w:val="28"/>
          <w:sz w:val="28"/>
          <w:szCs w:val="28"/>
          <w:rtl w:val="true"/>
          <w:lang w:bidi="fa-IR"/>
        </w:rPr>
        <w:t>فیه أقوال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دلالته علی الإباحة، وهو منسوب إلی المشهور</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دلالته علی الوجوب کسائر الموارد، وهو المنقول عن بعض العامّة</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دلالته علی رجوع الحکم السابق من الوجوب والندب والإباحة</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دلالته علی شی‌ء إلّارفع الحظر فمع عدم وجود القرینة علی الوجوب أو الإباحة فالمرجع هو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هو الأخیر کما ذهب إلیه جمع من المحقّقین </w:t>
      </w:r>
      <w:r>
        <w:rPr>
          <w:rStyle w:val="FootnoteAnchor"/>
          <w:rtl w:val="true"/>
        </w:rPr>
        <w:footnoteReference w:id="361"/>
      </w:r>
      <w:r>
        <w:rPr>
          <w:rFonts w:ascii="IRNazanin" w:hAnsi="IRNazanin" w:eastAsia="IRNazanin"/>
          <w:color w:val="111111"/>
          <w:sz w:val="28"/>
          <w:sz w:val="28"/>
          <w:szCs w:val="28"/>
          <w:rtl w:val="true"/>
          <w:lang w:bidi="fa-IR"/>
        </w:rPr>
        <w:t xml:space="preserve">لما قرّر فی محلّه من أنّه إذا کان الکلام محفوفاً بما یحتمل القرینیّة فهو یوجب الإجمال </w:t>
      </w:r>
      <w:r>
        <w:rPr>
          <w:rStyle w:val="FootnoteAnchor"/>
          <w:rtl w:val="true"/>
        </w:rPr>
        <w:footnoteReference w:id="362"/>
      </w:r>
      <w:r>
        <w:rPr>
          <w:rFonts w:ascii="IRNazanin" w:hAnsi="IRNazanin" w:eastAsia="IRNazanin"/>
          <w:color w:val="111111"/>
          <w:sz w:val="28"/>
          <w:sz w:val="28"/>
          <w:szCs w:val="28"/>
          <w:rtl w:val="true"/>
          <w:lang w:bidi="fa-IR"/>
        </w:rPr>
        <w:t xml:space="preserve">، وما نحن فیه من هذا القبیل، لأنّ فیه أمر وهو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وفی جنبه یوجد ما یحتمل القرینیة وهو المنع والحظر السابق، فیحتمل أن یکون قرینة علی مطلق الجواز والإباحة، أی یوجب عدم انعقاد ظهور للأمر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الأمر والحظر فی کلام واحد کالمثال المذکور، وأمّا إذا کانا فی کلامین مثل الأمر بالصید والحظر عنه الواردین فی آیتین مختلفتین فیمکن أن یقال أیضاً بأنّ العرف بعد ملاحظة النهی لا یری ظهوراً للأمر فی الوجوب، فیکون کالقرینة المنفصلة علی عدم الوجوب فقط</w:t>
      </w:r>
      <w:r>
        <w:rPr>
          <w:rFonts w:eastAsia="IRNazanin" w:cs="IRNazanin"/>
          <w:color w:val="111111"/>
          <w:sz w:val="28"/>
          <w:szCs w:val="28"/>
          <w:rtl w:val="true"/>
          <w:lang w:bidi="fa-IR"/>
        </w:rPr>
        <w:t>.</w:t>
      </w:r>
    </w:p>
    <w:p>
      <w:pPr>
        <w:pStyle w:val="Heading5"/>
        <w:numPr>
          <w:ilvl w:val="4"/>
          <w:numId w:val="1"/>
        </w:numPr>
        <w:rPr/>
      </w:pPr>
      <w:bookmarkStart w:id="482" w:name="__RefHeading___Toc96288_3244359995"/>
      <w:bookmarkStart w:id="483" w:name="_Toc184"/>
      <w:bookmarkEnd w:id="482"/>
      <w:r>
        <w:rPr/>
        <w:t>3</w:t>
      </w:r>
      <w:r>
        <w:rPr>
          <w:rtl w:val="true"/>
        </w:rPr>
        <w:t xml:space="preserve">. </w:t>
      </w:r>
      <w:r>
        <w:rPr>
          <w:rtl w:val="true"/>
        </w:rPr>
        <w:t>إذا نسخ الوجوب فهل یبقی الجواز أو لا؟</w:t>
      </w:r>
      <w:bookmarkEnd w:id="48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التعبیر عنه بأنّه إذا نسخ الوجوب فهل یبقی الجواز علی حدّ الاستحباب،</w:t>
      </w:r>
    </w:p>
    <w:p>
      <w:pPr>
        <w:pStyle w:val="BookText"/>
        <w:rPr/>
      </w:pPr>
      <w:r>
        <w:rPr>
          <w:rFonts w:ascii="IRNazanin" w:hAnsi="IRNazanin" w:eastAsia="IRNazanin"/>
          <w:color w:val="111111"/>
          <w:sz w:val="28"/>
          <w:sz w:val="28"/>
          <w:szCs w:val="28"/>
          <w:rtl w:val="true"/>
          <w:lang w:bidi="fa-IR"/>
        </w:rPr>
        <w:t>أو لا؟</w:t>
      </w:r>
    </w:p>
    <w:p>
      <w:pPr>
        <w:pStyle w:val="BookText"/>
        <w:rPr/>
      </w:pPr>
      <w:r>
        <w:rPr>
          <w:rFonts w:ascii="Amiri" w:hAnsi="Amiri" w:eastAsia="Amiri" w:cs="Amiri"/>
          <w:color w:val="111111"/>
          <w:sz w:val="28"/>
          <w:sz w:val="28"/>
          <w:szCs w:val="28"/>
          <w:rtl w:val="true"/>
          <w:lang w:bidi="ar-SA"/>
        </w:rPr>
        <w:t>واعلم أنّه لم یذکر فی کلمات القوم مثالًا من الأمثلة الفقهیّة للمقام ولکن یمکن التمثیل له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حَرِّضْ الْمُؤْمِنِینَ عَلَی الْقِتَالِ إِنْ یَکُنْ مِنْکُمْ عِشْرُونَ صَابِرُونَ یَغْلِبُوا مِائَتَیْنِ وَإِنْ یَکُنْ مِنْکُمْ مِائَةٌ یَغْلِبُوا أَلْفاً مِنْ الَّذِینَ کَفَرُوا بِأَنَّهُمْ قَوْمٌ لَا یَفْقَهُون</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حیث یمکن أن یقال بأنّه یدلّ علی وجوب الجهاد وإن کان المسلمون من حیث العدد عُشر عدد الکفّار ولکنّه نسخ بقوله تعالی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خَفَّفَ اللَّه عَنکُمْ وَعَلِمَ أَنَّ فِیکُمْ ضَعْفاً فَإِنْ یَکُنْ مِنْکُمْ مِائَةٌ صَابِرَةٌ یَغْلِبُوا مِائَتَیْنِ وَإِنْ یَکُنْ مِنْکُمْ أَلْفٌ یَغْلِبُوا أَلْفَیْنِ بِإِذْنِ اللَّه وَاللَّه مَعَ الصَّابِرِین</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یدلّ علی تخفیفه تعالی عن المسلمین ورفع وجوب الجهاد إلّافیما إذا کان عدد المسلمین نصف عدد الکفّار علی الأقلّ، فیبحث حینئذٍ فی بقاء جواز الجهاد أو استحبابه إذا کان عدد المسلمین عُشر عدد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المعروف بین المحقّقین عدم بقاء حکم الجواز فضلًا عن الاستحباب </w:t>
      </w:r>
      <w:r>
        <w:rPr>
          <w:rStyle w:val="FootnoteAnchor"/>
          <w:rtl w:val="true"/>
        </w:rPr>
        <w:footnoteReference w:id="365"/>
      </w:r>
      <w:r>
        <w:rPr>
          <w:rFonts w:ascii="IRNazanin" w:hAnsi="IRNazanin" w:eastAsia="IRNazanin"/>
          <w:color w:val="111111"/>
          <w:sz w:val="28"/>
          <w:sz w:val="28"/>
          <w:szCs w:val="28"/>
          <w:rtl w:val="true"/>
          <w:lang w:bidi="fa-IR"/>
        </w:rPr>
        <w:t>، وهو الصحیح، وذلک لأنّ بقاء الجواز إمّا یستفاد من دلیل الناسخ أو من دلیل المنسوخ أو من دلیل آخر خارج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الدلیل الناسخ فلا إشکال فی عدم دلالته علیه حیث إنّه دالّ علی مجرّد نسخ الوجوب السابق فقط لا أکثر وهذا واضح؛ لإنّ لسانه لسان الرفع لا الوضع والإثبات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دلیل المنسوخ فقد یقال بدلالته علی بقاء الجواز ببیان أنّ الوجوب الذی یکون مدلولًا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من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الفعل والمنع من الترک، والمنفی بدلیل</w:t>
      </w:r>
    </w:p>
    <w:p>
      <w:pPr>
        <w:pStyle w:val="BookText"/>
        <w:rPr/>
      </w:pPr>
      <w:r>
        <w:rPr>
          <w:rFonts w:ascii="IRNazanin" w:hAnsi="IRNazanin" w:eastAsia="IRNazanin"/>
          <w:color w:val="111111"/>
          <w:sz w:val="28"/>
          <w:sz w:val="28"/>
          <w:szCs w:val="28"/>
          <w:rtl w:val="true"/>
          <w:lang w:bidi="fa-IR"/>
        </w:rPr>
        <w:t xml:space="preserve">الناسخ إنّما هو الجزء الثانی أی المنع من الترک، وأمّا الجزء الأوّل وهو طلب الفعل واستحبابه فهو باقٍ علی حاله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لیس أمراً مرکّباً بل أنّ حقیقته أمر بسیط، والتعبیر بترکیبه من طلب الفعل والمنع عن الترک تعبیر تسامحی، فإنّ الوجوب عبارة عن البعث الشدید إلی الفعل، بخلاف الاستحباب الذی عبارة عن البعث 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الإباحة فهی إرسال تشریعی وترخیص إنشائی اعتباری من جانب الشارع نظیر الترخیص التکوینی فیما إذا فتحت باب دارک مثلًا ورفعت الموانع عن الدخول فیها، فکما أنّ الإباحة التکوینیة عبارة عن رفع المانع وإطلاق السراح والترخیص کذلک الإباحة الإنشائیّة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الأمر فی الحرمة الّتی هی الزجر الشدید عن الفعل فی قبال الکراهة الّتی حقیقتها هی الزجر الخفیف عن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فالأحکام التکلیفیة متباینات فی نظر العرف وإرتکازهم، حتّی مع قطع النظر عن بیان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الدلیل من الخارج فلا یتصوّر فی البین إلّااستصحاب کلّی الجواز، وهو فیما نحن فیه یکون من قبیل القسم الثالث من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ما إذا کان کلّی الإنسان موجوداً فی الدار مثلًا ضمن وجود زید وبعد خروجه عن الدار نشکّ فی بقاء کلّی الإنسان بدخول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فی محلّه عدم حجّیته، إلّاإذا کان الفرد الزائل والفرد المحتمل وجوده من مراتب شی‌ء واحد فی نظر العرف کالسواد الشدید والسواد الخفیف، حیث إنّهما وإن کانا متباینین بالدقّة العقلیّة إلّاأنّهما عند العرف یعدّان من المراتب الوجودیة لشی‌ء واحد، فیستصحب کلّی السواد إذا علمنا بزوال الفرد الشدید واحتملنا بقاء الفرد الخفیف</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 لا ینفع فیما نحن فیه؛ حیث إنّ الأحکام الخمسة متباینات عند العرف،</w:t>
      </w:r>
      <w:bookmarkStart w:id="484" w:name="pg16918_187455"/>
    </w:p>
    <w:p>
      <w:pPr>
        <w:pStyle w:val="BookText"/>
        <w:rPr/>
      </w:pPr>
      <w:bookmarkEnd w:id="484"/>
      <w:r>
        <w:rPr>
          <w:rFonts w:ascii="IRNazanin" w:hAnsi="IRNazanin" w:eastAsia="IRNazanin"/>
          <w:color w:val="111111"/>
          <w:sz w:val="28"/>
          <w:sz w:val="28"/>
          <w:szCs w:val="28"/>
          <w:rtl w:val="true"/>
          <w:lang w:bidi="fa-IR"/>
        </w:rPr>
        <w:t>والمیزان فی باب الاستصحاب والحکم بتعدّد المتیقّن والمشکوک أو اتّحادهما إنّما هو العرف</w:t>
      </w:r>
      <w:r>
        <w:rPr>
          <w:rFonts w:eastAsia="IRNazanin" w:cs="IRNazanin"/>
          <w:color w:val="111111"/>
          <w:sz w:val="28"/>
          <w:szCs w:val="28"/>
          <w:rtl w:val="true"/>
          <w:lang w:bidi="fa-IR"/>
        </w:rPr>
        <w:t>.</w:t>
      </w:r>
    </w:p>
    <w:p>
      <w:pPr>
        <w:pStyle w:val="Heading5"/>
        <w:numPr>
          <w:ilvl w:val="4"/>
          <w:numId w:val="1"/>
        </w:numPr>
        <w:rPr/>
      </w:pPr>
      <w:bookmarkStart w:id="485" w:name="__RefHeading___Toc96290_3244359995"/>
      <w:bookmarkStart w:id="486" w:name="_Toc185"/>
      <w:bookmarkEnd w:id="485"/>
      <w:r>
        <w:rPr/>
        <w:t>4</w:t>
      </w:r>
      <w:r>
        <w:rPr>
          <w:rtl w:val="true"/>
        </w:rPr>
        <w:t xml:space="preserve">. </w:t>
      </w:r>
      <w:r>
        <w:rPr>
          <w:rtl w:val="true"/>
        </w:rPr>
        <w:t>هل الأمر متعلّق بالطبائع أو بالأفراد؟</w:t>
      </w:r>
      <w:bookmarkEnd w:id="486"/>
    </w:p>
    <w:p>
      <w:pPr>
        <w:pStyle w:val="BookText"/>
        <w:rPr/>
      </w:pPr>
      <w:r>
        <w:rPr>
          <w:rFonts w:ascii="IRNazanin" w:hAnsi="IRNazanin" w:eastAsia="IRNazanin"/>
          <w:color w:val="111111"/>
          <w:sz w:val="28"/>
          <w:sz w:val="28"/>
          <w:szCs w:val="28"/>
          <w:rtl w:val="true"/>
          <w:lang w:bidi="fa-IR"/>
        </w:rPr>
        <w:t>قد أعطی المحقّق الإصفهانی قدس سره لهذه المسألة شکلًا فلسفیاً ببیانات عدیدة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الکلّی الطبیعی هل یکون بنفسه موجوداً فی الخارج أو أنّه موجود بوجود أفراده؟</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و لکنّ الظاهر أنّها مسألة عرفیّة عقلائیّة کغالب المسائل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کلّ طبیعة إذا وجدت فی الخارج یکون لها لوازم قهریّة خارجیّة بحسب الزمان والمکان أو الکمّ والکیف، کالجهر والإخفات والوقوع فی زمان ومکان خاصّ، بالنسبة إلی طبیعة الصلاة الّتی هی عبارة عن الرکوع والسجود والقیام والتکبیر والقراءة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وحقیقة البحث فی المقام هی أنّه هل تکون هذه اللوازم القهریة والخصوصیّات الخارجیّة داخلة تحت الطلب، أو أنّ متعلّق الطلب هو طبیعة الصلاة مجرّدة عن هذه اللوازم، ولا ریب أنّه بحث عرفی عقلائی، ویکون عنوان البحث حینئذٍ أنّ الخصوصیّات الفردیّة الّتی لا تنفکّ عن الطبیعة فی الخارج هل هی داخلة تحت الطلب، أو لا؟</w:t>
      </w:r>
    </w:p>
    <w:p>
      <w:pPr>
        <w:pStyle w:val="BookText"/>
        <w:rPr/>
      </w:pPr>
      <w:r>
        <w:rPr>
          <w:rFonts w:ascii="IRNazanin" w:hAnsi="IRNazanin" w:eastAsia="IRNazanin"/>
          <w:color w:val="111111"/>
          <w:sz w:val="28"/>
          <w:sz w:val="28"/>
          <w:szCs w:val="28"/>
          <w:rtl w:val="true"/>
          <w:lang w:bidi="fa-IR"/>
        </w:rPr>
        <w:t>ولا یخفی أنّ النزاع یکون فیما إذا لم یصرّح المولی بخصوصیّة فردیّة فی کلامه، وإلّا فلا إشکال فی أنّها داخلة تحت الطلب کما إذا قال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 أوّل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ثمرة المسألة تظهر فی موارد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اجتماع الأمر والنهی کالصلاة فی الدار المغصوبة فإنّه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تعلّق الأمر بالطبائع کانت النتیجة جواز الاجتماع، لأنّ الأمر المتعلّق بالصلاة لا یسری إلی الخصوصیّات الفردیّة کغصبیة الدار فی المثال، وإن قلنا بتعلّقه بالأفراد</w:t>
      </w:r>
    </w:p>
    <w:p>
      <w:pPr>
        <w:pStyle w:val="BookText"/>
        <w:rPr/>
      </w:pPr>
      <w:r>
        <w:rPr>
          <w:rFonts w:ascii="IRNazanin" w:hAnsi="IRNazanin" w:eastAsia="IRNazanin"/>
          <w:color w:val="111111"/>
          <w:sz w:val="28"/>
          <w:sz w:val="28"/>
          <w:szCs w:val="28"/>
          <w:rtl w:val="true"/>
          <w:lang w:bidi="fa-IR"/>
        </w:rPr>
        <w:t>کانت النتیجة الامتناع، لأنّ الغصبیّة تصیر منهیاً عنها ویستحیل تعلّق الأمر بما هو مبغوض عند الآمر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الضمائم المباحة فی الوضوء وغیره من أبواب العبادات کالوضوء بالماء الحارّ فی الشتاء والبارد فی الصیف، فلو توضّأ مثلًا بالماء البارد مع قصد التبرید وقلنا بتعلّق الأمر بالطبیعة، فلا إشکال فی صحّة الوضوء لأنّ المأمور به إنّما هو مجرّد الطبیعة، وقد وقعت بقصد القربة، وأمّا إن قلنا بتعلّق الأمر بالأفراد یقع الوضوء باطلًا، لأنّ الخصوصیّة أیضاً وقعت متعلّقة للأمر العبادی فلابدّ من إتیانها أیضاً بقصد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المحقّقون إلی أنّ الأوامر متعلّقة بالطبائع لوجوه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الوجدان، فإنّ الإنسان لا غرض له فی مطلوباته إلّانفس الطبائع من دون نظر إلی خصوصیّاتها الخارجیّة، بحیث لا یضرّه الإنفکاک عنها بأسرها لو فرض إمکانه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الطلب سعة وضیقاً تابع للغرض فیدخل فیه ما یکون دخیلًا فی الغرض، ولا ریب أنّ الغرض قائم بطبیعة الصلاة مثلًا فحسب، لا خصوصیّاتها الزمانیّة أو المکانیّة</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الوجه فی الواقع تصویر برهانی لدلیل الوجدان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التبادر فإنّ المتبادر من الأوامر والنواهی إنّما هو طلب إیجاد الطبیعة أو ترکها فقط، وهذا کافٍ فی إثبات المقصود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لتعلّقها بالأفراد بوجهین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الموجود فی الخارج هو الفرد لا الطبیعة، وحینئذٍ یکون تعلّق الأمر</w:t>
      </w:r>
      <w:bookmarkStart w:id="487" w:name="pg16918_187457"/>
    </w:p>
    <w:p>
      <w:pPr>
        <w:pStyle w:val="BookText"/>
        <w:rPr/>
      </w:pPr>
      <w:bookmarkEnd w:id="487"/>
      <w:r>
        <w:rPr>
          <w:rFonts w:ascii="IRNazanin" w:hAnsi="IRNazanin" w:eastAsia="IRNazanin"/>
          <w:color w:val="111111"/>
          <w:sz w:val="28"/>
          <w:sz w:val="28"/>
          <w:szCs w:val="28"/>
          <w:rtl w:val="true"/>
          <w:lang w:bidi="fa-IR"/>
        </w:rPr>
        <w:t>بالطبیعة بلحاظ أنّها مرآة إلی الخارج لا بلحاظ نفسها، وینتقل الأمر من طریق الطبیعة إلی الأفراد، وهو المقصود</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مبنی علی عدم وجود الکلّی الطبیعی فی الخارج مع أنّه قد قرّر فی محلّه أنّ الطبیعی موجود فی الخارج ضمن أفراده، فیکون وجود الطبیعة متعلّقاً للأمر دون ضمائمه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المتلازمین فی الوجود لا یختلفان فی الحکم، وحیث إنّ اللوازم الخارجیّة والخصوصیّات الفردیّة تکون من لوازم الوجود فی الخارج فیسری الحکم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یقتضیه التلازم إنّما هو عدم اختلاف المتلازمین فی الحکم بأن یکون أحدهما محکوماً بالوجوب والآخر محکوماً بالحرمة مثلًا، لا اتّحادهما فی الحکم أیضاً فإنّه لا دلیل علیه البتّة</w:t>
      </w:r>
      <w:r>
        <w:rPr>
          <w:rFonts w:eastAsia="IRNazanin" w:cs="IRNazanin"/>
          <w:color w:val="111111"/>
          <w:sz w:val="28"/>
          <w:szCs w:val="28"/>
          <w:rtl w:val="true"/>
          <w:lang w:bidi="fa-IR"/>
        </w:rPr>
        <w:t>.</w:t>
      </w:r>
    </w:p>
    <w:p>
      <w:pPr>
        <w:pStyle w:val="Heading5"/>
        <w:numPr>
          <w:ilvl w:val="4"/>
          <w:numId w:val="1"/>
        </w:numPr>
        <w:rPr/>
      </w:pPr>
      <w:bookmarkStart w:id="488" w:name="__RefHeading___Toc96292_3244359995"/>
      <w:bookmarkStart w:id="489" w:name="_Toc186"/>
      <w:bookmarkEnd w:id="488"/>
      <w:r>
        <w:rPr/>
        <w:t>5</w:t>
      </w:r>
      <w:r>
        <w:rPr>
          <w:rtl w:val="true"/>
        </w:rPr>
        <w:t xml:space="preserve">. </w:t>
      </w:r>
      <w:r>
        <w:rPr>
          <w:rtl w:val="true"/>
        </w:rPr>
        <w:t>المرّة والتکرار</w:t>
      </w:r>
      <w:bookmarkEnd w:id="489"/>
    </w:p>
    <w:p>
      <w:pPr>
        <w:pStyle w:val="BookText"/>
        <w:rPr/>
      </w:pPr>
      <w:r>
        <w:rPr>
          <w:rFonts w:ascii="IRNazanin" w:hAnsi="IRNazanin" w:eastAsia="IRNazanin"/>
          <w:color w:val="111111"/>
          <w:sz w:val="28"/>
          <w:sz w:val="28"/>
          <w:szCs w:val="28"/>
          <w:rtl w:val="true"/>
          <w:lang w:bidi="fa-IR"/>
        </w:rPr>
        <w:t>المشهور أنّ هیئة الأمر لا تدلّ علی المرّة أو التکرار، بل تدلّ علی صرف الطبیعة فقط، غایة الأمر أنّها تحصل بفرد واحد</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واستدلّوا لدلالتها علی مجرّد الطبیعة بالتبادر، فالمتبادر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طلب طبیعة الغسل الّتی تحصل بإتیان مصداق واحد وإن کانت نتیجته هی 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أنّها تدلّ علی المرّة ولکنّها لیس من جهة دلالة اللفظ، بل من باب مقدّمات الحکمة، لأنّ المولی کان فی مقام البیان، فلو کان مطلوبه إتیان الطبیعة أکثر من مرّة واحدة لکان علیه البیان، لأنّ القدر المتیقّن من مدلول اللفظ إنّما هو المرّة، وأمّا التکرار فهو یحتاج إلی مؤونة زائدة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إنّ المفروض کون المولی فی مقام البیان ولا إهمال فی مقام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w:t>
      </w:r>
    </w:p>
    <w:p>
      <w:pPr>
        <w:pStyle w:val="BookText"/>
        <w:rPr/>
      </w:pPr>
      <w:r>
        <w:rPr>
          <w:rFonts w:ascii="IRNazanin" w:hAnsi="IRNazanin" w:eastAsia="IRNazanin"/>
          <w:color w:val="111111"/>
          <w:sz w:val="28"/>
          <w:sz w:val="28"/>
          <w:szCs w:val="28"/>
          <w:rtl w:val="true"/>
          <w:lang w:bidi="fa-IR"/>
        </w:rPr>
        <w:t>إرادة المولی إمّا أن تتعلّق بالمرّة أو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لم یأت فی مقام الإثبات بما یدلّ علی التکرار فنستکشف أنّ مطلوبه إنّما هو إتیان العمل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یکفی فی إمتثاله إتیان فرد واحد، بینما لابدّ لإمتثال النهی من ترک جمیع الأفراد مع أنّ المتعلّق فی کلیهما هو الطبیعة، والطبیعی موجود بوجود أفراده، ونسبة الطبیعی إلی أفراده نسبة الآباء إلی الأبناء لا نسبة أب واحد إلی الأبناء، فکما أنّه یتحقّق بفرد واحد منه وبصرف وجوده فی الأمر فلیتحقّق ترکه أیضاً بصرف ترکه ولو بترک فرد واحد مع أنّه لیس کذلک، بل لابدّ فی النهی من ترک جمیع أفراد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اجیب عن ذلک بوجوه، والأوجه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یرجع فی الواقع إلی الفرق الموجود بین طبیعة المصلحة وطبیعة المفسدة، فإنّ تحصیل المصالح یقتضی الإکتفاء بالمرّة بخلاف دفع المفاسد فإنّه لا یتحقّق إلّابترک جمیع الأفراد، فإنّ مفسدة الخمر أو السمّ مثلًا إنّما تترک فیما إذا ترکنا جمیع أفراد الخمر أو السمّ مع أنّ المصلحة الموجودة فی شرب دواء خاصّ یتحقّق بفرد واحد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قرینة عقلیّة خارجیّة توجب أن یکون المتعلّق فی الأوامر صرف وجود الطبیعة وفی النواهی ترک جمیع الأفراد، فإنّ الأوامر کاشفة عن مصالح فی المتعلّق، والنواهی کاشفة عن مفاسد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ثبوت عدم دلالة الأمر علی التکرار، اختلفوا فی جواز التکرار وعدمه أی جواز الإمتثال بعد الإمتثال علی أقوال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الجواز 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الجواز مطلقاً</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التفصیل بین ما إذا کان الإمتثال علّة تامّة لحصول الغرض الأقصی، کما إذا أمر المولی بغسل یده فغسله، فلا یجوز التکرار لحصول الغرض، وما إذا لم یکن الإمتثال علّة تامّة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أمر بالماء لیشربه فأتی به ولم یشربه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له الإمتثال بإتیان فرد آخر علی أن یتحقّق به الإمتثال أیضاً لا بخصوص الفرد الأوّل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التفصیل متین؛ فإنّه وإن حصل الغرض من فعل العبد بإتیان الفرد الأوّل، ولکن حیث إنّ الغرض الأقصی للآمر لم یحصل بعدُ یجوز عند العرف والعقلاء إتیان فرد آخر، فإنّهم یعدّونه إمتثالًا آخر لأمر المولی ویمدحون فاعله فی بعض الأحوال، ولعلّ جواز إتیان الصلاة جماعة بعد إتیانها فرادی فی الشرع من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هو إمکان تبدیل الإمتثال أو تکراره فی مقام الثبوت، فلو دلّ دلیل علیه فی مقام الإثبات نعمل به من دون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المراد من المرّة والتکرار هو الفرد والأفراد، أو الدفعة والدفعات؟</w:t>
      </w:r>
    </w:p>
    <w:p>
      <w:pPr>
        <w:pStyle w:val="BookText"/>
        <w:rPr/>
      </w:pPr>
      <w:r>
        <w:rPr>
          <w:rFonts w:ascii="IRNazanin" w:hAnsi="IRNazanin" w:eastAsia="IRNazanin"/>
          <w:color w:val="111111"/>
          <w:sz w:val="28"/>
          <w:sz w:val="28"/>
          <w:szCs w:val="28"/>
          <w:rtl w:val="true"/>
          <w:lang w:bidi="fa-IR"/>
        </w:rPr>
        <w:t>والفرق بینهما واضح حیث إنّه إذا کان المراد منهما هو الأوّل فبناءً علی دلالة صیغة الأمر علی المرّة لابدّ فی مقام الإمتثال من إتیان فرد واحد ولا یجوز إتیان أکثر من الواحد ولو فی دفعة واحدة، بینما إذا کان المراد هو الدفعة والدفعات فبناءً علی دلالة صیغة الأمر علی المرّة یمکن إتیان أفراد عدیدة دفعة واحدة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صاحب الفصول إلی الثانی، واستدلّ بأنّه لو کان المراد هو الأوّل کان الأنسب، بل اللازم أن یجعل هذا المبحث تتمّة للبحث عن تعلّق الأوامر بالطبائع، فإنّ المبحوث عنه هناک أنّ الأمر متعلّق بالطبیعة أو بالفرد وعلی القول بتعلّقه بالفرد</w:t>
      </w:r>
      <w:bookmarkStart w:id="490" w:name="pg16918_187460"/>
    </w:p>
    <w:p>
      <w:pPr>
        <w:pStyle w:val="BookText"/>
        <w:rPr/>
      </w:pPr>
      <w:bookmarkEnd w:id="490"/>
      <w:r>
        <w:rPr>
          <w:rFonts w:ascii="IRNazanin" w:hAnsi="IRNazanin" w:eastAsia="IRNazanin"/>
          <w:color w:val="111111"/>
          <w:sz w:val="28"/>
          <w:sz w:val="28"/>
          <w:szCs w:val="28"/>
          <w:rtl w:val="true"/>
          <w:lang w:bidi="fa-IR"/>
        </w:rPr>
        <w:t>هل یقتضی الفرد الواحد أو الأفراد؟ فیکون البحث هنا جاریاً علی أحد القولین فی تلک المسألة</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 جریان النزاع حتّی علی القول بتعلّق الأمر بالطبیعة؛ لأنّه وإن کان متعلّق الأمر هو الطبیعة مع ذلک لا یجب إتیان أکثر من فرد واحد ولو فی دفعة واحدة بنفس ما مرّ من اقتضاء مقدّمات الحکمة ذلک، فلو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عتق رقاب متعدّدة ولو فی دفعة واحدة بعنوان إمتثال واحد، نعم یجوز ذلک بناءً علی ما مرّ من جواز تبدیل الإمتثال أو تکراره فیما إذا لم یحصل الغرض الأقصی للمولی</w:t>
      </w:r>
      <w:r>
        <w:rPr>
          <w:rFonts w:eastAsia="IRNazanin" w:cs="IRNazanin"/>
          <w:color w:val="111111"/>
          <w:sz w:val="28"/>
          <w:szCs w:val="28"/>
          <w:rtl w:val="true"/>
          <w:lang w:bidi="fa-IR"/>
        </w:rPr>
        <w:t>.</w:t>
      </w:r>
    </w:p>
    <w:p>
      <w:pPr>
        <w:pStyle w:val="Heading5"/>
        <w:numPr>
          <w:ilvl w:val="4"/>
          <w:numId w:val="1"/>
        </w:numPr>
        <w:rPr/>
      </w:pPr>
      <w:bookmarkStart w:id="491" w:name="__RefHeading___Toc96294_3244359995"/>
      <w:bookmarkStart w:id="492" w:name="_Toc187"/>
      <w:bookmarkEnd w:id="491"/>
      <w:r>
        <w:rPr/>
        <w:t>6</w:t>
      </w:r>
      <w:r>
        <w:rPr>
          <w:rtl w:val="true"/>
        </w:rPr>
        <w:t xml:space="preserve">. </w:t>
      </w:r>
      <w:r>
        <w:rPr>
          <w:rtl w:val="true"/>
        </w:rPr>
        <w:t>الأمر بعد الأمر</w:t>
      </w:r>
      <w:bookmarkEnd w:id="492"/>
    </w:p>
    <w:p>
      <w:pPr>
        <w:pStyle w:val="BookText"/>
        <w:rPr/>
      </w:pPr>
      <w:r>
        <w:rPr>
          <w:rFonts w:ascii="IRNazanin" w:hAnsi="IRNazanin" w:eastAsia="IRNazanin"/>
          <w:color w:val="111111"/>
          <w:sz w:val="28"/>
          <w:sz w:val="28"/>
          <w:szCs w:val="28"/>
          <w:rtl w:val="true"/>
          <w:lang w:bidi="fa-IR"/>
        </w:rPr>
        <w:t>إذا ورد أمر بعد الأمر قبل إمتثال الأمر الأوّل فهل یدلّ علی التأکید حتّی یکون المطلوب واحداً ویکفی إمتثال واحد، أو یدلّ علی التأسیس وتعدّد المطلوب فلابدّ من الإمتثال الثانی وإتیان العمل مرّة اخری؟</w:t>
      </w:r>
    </w:p>
    <w:p>
      <w:pPr>
        <w:pStyle w:val="BookText"/>
        <w:rPr/>
      </w:pPr>
      <w:r>
        <w:rPr>
          <w:rFonts w:ascii="Amiri" w:hAnsi="Amiri" w:eastAsia="Amiri" w:cs="Amiri"/>
          <w:color w:val="111111"/>
          <w:sz w:val="28"/>
          <w:sz w:val="28"/>
          <w:szCs w:val="28"/>
          <w:rtl w:val="true"/>
          <w:lang w:bidi="ar-SA"/>
        </w:rPr>
        <w:t>وللمسألة 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للمتعلّق أو المادّة قید یستفاد منه التأسیس وتعدّد المطلوب،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صلاة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اعطنی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اعطنی درهماً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ریب فی أنّ المأمور به حینئذٍ یکون متعدّداً، بل إنّه خارج عن محلّ النزاع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تکون الهیئة مقیّدة، فصدرت القضیّة مثلًا علی نهج القضیّة الشرطیّة کما إذا قال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ظاهرت فأعتق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قتلت نفساً خطأً فأعتق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إشکال أیضاً فی أنّ ظاهرهما تعدّد المطلوب والمأمور به، وإنّما الکلام فی تداخل الأسباب وعدمه فیما إذا کانت الأسباب متعدّدة مع وحدة المسبّب وسیوافیک البحث</w:t>
      </w:r>
      <w:bookmarkStart w:id="493" w:name="pg16918_187461"/>
    </w:p>
    <w:p>
      <w:pPr>
        <w:pStyle w:val="BookText"/>
        <w:rPr/>
      </w:pPr>
      <w:bookmarkEnd w:id="493"/>
      <w:r>
        <w:rPr>
          <w:rFonts w:ascii="IRNazanin" w:hAnsi="IRNazanin" w:eastAsia="IRNazanin"/>
          <w:color w:val="111111"/>
          <w:sz w:val="28"/>
          <w:sz w:val="28"/>
          <w:szCs w:val="28"/>
          <w:rtl w:val="true"/>
          <w:lang w:bidi="fa-IR"/>
        </w:rPr>
        <w:t>عنه فی البحث عن مفهوم الشرط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 یکون قیداً لا للمادّة ولا للهیئة حتّی یستفاد منه التعدّد، کما إذا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مرّة 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الصورة هی محلّ الکلام، وقال المحقّق الخراسانی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مقتضی إطلاق المادّة کون الأمر الثانی تأکیداً ومقتضی إطلاق الهیئة کونه تأسیساً، لأنّ کلّ أمر وکلّ هیئة تدلّ علی طلب علی حدة، فیدعو إلی مطلوب یخصّه، وحینئذٍ یقع التعارض بین الإطلاقین</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والإنصاف أنّ الهیئة فی حدّ ذاتها لا تدلّ علی التأکید أو التأسیس، بل هما من شؤون المادّة، فإذا کانت المادّة مطلقة کانت قضیّة إطلاقها التأکید، فالهیئة هنا تابعة للمادّة، فإن کانت عین الأوّل کانت تأکیداً، وإن کانت غیره کانت تأسیساً</w:t>
      </w:r>
      <w:r>
        <w:rPr>
          <w:rFonts w:eastAsia="IRNazanin" w:cs="IRNazanin"/>
          <w:color w:val="111111"/>
          <w:sz w:val="28"/>
          <w:szCs w:val="28"/>
          <w:rtl w:val="true"/>
          <w:lang w:bidi="fa-IR"/>
        </w:rPr>
        <w:t>.</w:t>
      </w:r>
    </w:p>
    <w:p>
      <w:pPr>
        <w:pStyle w:val="Heading5"/>
        <w:numPr>
          <w:ilvl w:val="4"/>
          <w:numId w:val="1"/>
        </w:numPr>
        <w:rPr/>
      </w:pPr>
      <w:bookmarkStart w:id="494" w:name="__RefHeading___Toc96296_3244359995"/>
      <w:bookmarkStart w:id="495" w:name="_Toc188"/>
      <w:bookmarkEnd w:id="494"/>
      <w:r>
        <w:rPr/>
        <w:t>7</w:t>
      </w:r>
      <w:r>
        <w:rPr>
          <w:rtl w:val="true"/>
        </w:rPr>
        <w:t xml:space="preserve">. </w:t>
      </w:r>
      <w:r>
        <w:rPr>
          <w:rtl w:val="true"/>
        </w:rPr>
        <w:t>الفور والتراخی</w:t>
      </w:r>
      <w:bookmarkEnd w:id="495"/>
    </w:p>
    <w:p>
      <w:pPr>
        <w:pStyle w:val="BookText"/>
        <w:rPr/>
      </w:pPr>
      <w:r>
        <w:rPr>
          <w:rFonts w:ascii="IRNazanin" w:hAnsi="IRNazanin" w:eastAsia="IRNazanin"/>
          <w:color w:val="111111"/>
          <w:sz w:val="28"/>
          <w:sz w:val="28"/>
          <w:szCs w:val="28"/>
          <w:rtl w:val="true"/>
          <w:lang w:bidi="fa-IR"/>
        </w:rPr>
        <w:t>هل الأمر یدلّ علی الفور</w:t>
      </w:r>
      <w:r>
        <w:rPr>
          <w:rStyle w:val="FootnoteAnchor"/>
          <w:rtl w:val="true"/>
        </w:rPr>
        <w:footnoteReference w:id="376"/>
      </w:r>
      <w:r>
        <w:rPr>
          <w:rFonts w:ascii="IRNazanin" w:hAnsi="IRNazanin" w:eastAsia="IRNazanin"/>
          <w:color w:val="111111"/>
          <w:sz w:val="28"/>
          <w:sz w:val="28"/>
          <w:szCs w:val="28"/>
          <w:rtl w:val="true"/>
          <w:lang w:bidi="fa-IR"/>
        </w:rPr>
        <w:t xml:space="preserve">، أو التراخی </w:t>
      </w:r>
      <w:r>
        <w:rPr>
          <w:rStyle w:val="FootnoteAnchor"/>
          <w:rtl w:val="true"/>
        </w:rPr>
        <w:footnoteReference w:id="377"/>
      </w:r>
      <w:r>
        <w:rPr>
          <w:rFonts w:ascii="IRNazanin" w:hAnsi="IRNazanin" w:eastAsia="IRNazanin"/>
          <w:color w:val="111111"/>
          <w:sz w:val="28"/>
          <w:sz w:val="28"/>
          <w:szCs w:val="28"/>
          <w:rtl w:val="true"/>
          <w:lang w:bidi="fa-IR"/>
        </w:rPr>
        <w:t xml:space="preserve">، أو علیهما بالاشتراک اللفظی </w:t>
      </w:r>
      <w:r>
        <w:rPr>
          <w:rStyle w:val="FootnoteAnchor"/>
          <w:rtl w:val="true"/>
        </w:rPr>
        <w:footnoteReference w:id="378"/>
      </w:r>
      <w:r>
        <w:rPr>
          <w:rFonts w:ascii="IRNazanin" w:hAnsi="IRNazanin" w:eastAsia="IRNazanin"/>
          <w:color w:val="111111"/>
          <w:sz w:val="28"/>
          <w:sz w:val="28"/>
          <w:szCs w:val="28"/>
          <w:rtl w:val="true"/>
          <w:lang w:bidi="fa-IR"/>
        </w:rPr>
        <w:t>، أو لا یدلّ إلّاعلی الطبیعة المجرّدة؟</w:t>
      </w:r>
    </w:p>
    <w:p>
      <w:pPr>
        <w:pStyle w:val="BookText"/>
        <w:rPr/>
      </w:pPr>
      <w:r>
        <w:rPr>
          <w:rFonts w:ascii="IRNazanin" w:hAnsi="IRNazanin" w:eastAsia="IRNazanin"/>
          <w:color w:val="111111"/>
          <w:sz w:val="28"/>
          <w:sz w:val="28"/>
          <w:szCs w:val="28"/>
          <w:rtl w:val="true"/>
          <w:lang w:bidi="fa-IR"/>
        </w:rPr>
        <w:t>فیه وجوه، والمشهور هو الوجه الأخیر؛ لأنّ مفاد صیغة الأمر ومادّته بحکم التبادر لیس إلّاطلب إیجاد الطبیعة الّتی لیس فیها مرّة ولا تکرار ولا فور ولا تراخی أبداً، بل تستفاد هذه الخصوصیّات من دلیل آخر</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الصحیح أنّها تدلّ علی الفور أیضاً کما تدلّ علی المرّة، وذلک لأنّ العرف والعقلاء لا یعدّون العبد معذوراً إذا أخّر الإمتثال</w:t>
      </w:r>
      <w:r>
        <w:rPr>
          <w:rFonts w:eastAsia="IRNazanin" w:cs="IRNazanin"/>
          <w:color w:val="111111"/>
          <w:sz w:val="28"/>
          <w:szCs w:val="28"/>
          <w:rtl w:val="true"/>
          <w:lang w:bidi="fa-IR"/>
        </w:rPr>
        <w:t>.</w:t>
      </w:r>
      <w:bookmarkStart w:id="496" w:name="pg16918_187462"/>
    </w:p>
    <w:p>
      <w:pPr>
        <w:pStyle w:val="BookText"/>
        <w:rPr/>
      </w:pPr>
      <w:bookmarkEnd w:id="496"/>
      <w:r>
        <w:rPr>
          <w:rFonts w:ascii="IRNazanin" w:hAnsi="IRNazanin" w:eastAsia="IRNazanin"/>
          <w:color w:val="111111"/>
          <w:sz w:val="28"/>
          <w:sz w:val="28"/>
          <w:szCs w:val="28"/>
          <w:rtl w:val="true"/>
          <w:lang w:bidi="fa-IR"/>
        </w:rPr>
        <w:t>مضافاً إلی أنّ البعث التشریعی یطلب الانبعاث فوراً عند العقل، کما فی البعث التکوینی ولا معنی لأن یکون البعث فی الحال والانبعاث فی المستقبل، فکما أنّ طبیعة الأمر والطلب تقتضی الوجوب، کذلک تقتضی الفوریة إلّاأن یثبت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مع عدم إمتثال المأمور به من جانب المکلّف فوراً، فبناءً علی القول بالفوریة هل یجب علیه الإتیان فوراً ففوراً، أو یسقط الحکم بالمرّة، أو تسقط فوریته؟</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مبنیة علی أنّ مفاد الصیغة علی القول بالفور هو وحدة المطلوب أو تعدّده، فإن کان الإتیان بالمأمور به مطلوباً وإتیانه علی الفور مطلوباً آخر، فالواجب الإتیان به لو عصی الفوریة، وأمّا لو کان المجموع مطلوباً واحداً سقط الوجوب بعد عصیان الفوریة</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قد ظهر ممّا مرّ أنّ طبیعة البعث تقتضی الفوریة بحیث لا یسقط المطلوب بعصیان الفوریة فی زمان، إلّاأن یدلّ دلیل خاصّ علی سقوط الطلب عند عصیانه، ولا ربط لها بمسألة تعدّد المطلوب کما یظهر من أوامر الموالی العرفیّة</w:t>
      </w:r>
      <w:r>
        <w:rPr>
          <w:rFonts w:eastAsia="IRNazanin" w:cs="IRNazanin"/>
          <w:color w:val="111111"/>
          <w:sz w:val="28"/>
          <w:szCs w:val="28"/>
          <w:rtl w:val="true"/>
          <w:lang w:bidi="fa-IR"/>
        </w:rPr>
        <w:t>.</w:t>
      </w:r>
    </w:p>
    <w:p>
      <w:pPr>
        <w:pStyle w:val="Heading4"/>
        <w:numPr>
          <w:ilvl w:val="3"/>
          <w:numId w:val="1"/>
        </w:numPr>
        <w:rPr/>
      </w:pPr>
      <w:bookmarkStart w:id="497" w:name="__RefHeading___Toc96298_3244359995"/>
      <w:bookmarkStart w:id="498" w:name="_Toc189"/>
      <w:bookmarkEnd w:id="497"/>
      <w:r>
        <w:rPr>
          <w:rtl w:val="true"/>
        </w:rPr>
        <w:t>الجهة الخامسة</w:t>
      </w:r>
      <w:r>
        <w:rPr>
          <w:rtl w:val="true"/>
        </w:rPr>
        <w:t xml:space="preserve">: </w:t>
      </w:r>
      <w:r>
        <w:rPr>
          <w:rtl w:val="true"/>
        </w:rPr>
        <w:t>فی تقسیمات الواجب</w:t>
      </w:r>
      <w:bookmarkEnd w:id="498"/>
    </w:p>
    <w:p>
      <w:pPr>
        <w:pStyle w:val="Heading5"/>
        <w:numPr>
          <w:ilvl w:val="4"/>
          <w:numId w:val="1"/>
        </w:numPr>
        <w:rPr/>
      </w:pPr>
      <w:bookmarkStart w:id="499" w:name="__RefHeading___Toc96300_3244359995"/>
      <w:bookmarkStart w:id="500" w:name="_Toc190"/>
      <w:bookmarkEnd w:id="499"/>
      <w:r>
        <w:rPr>
          <w:rtl w:val="true"/>
        </w:rPr>
        <w:t>اشارة</w:t>
      </w:r>
      <w:bookmarkEnd w:id="500"/>
    </w:p>
    <w:p>
      <w:pPr>
        <w:pStyle w:val="BookText"/>
        <w:rPr/>
      </w:pPr>
      <w:r>
        <w:rPr>
          <w:rFonts w:ascii="IRNazanin" w:hAnsi="IRNazanin" w:eastAsia="IRNazanin"/>
          <w:color w:val="111111"/>
          <w:sz w:val="28"/>
          <w:sz w:val="28"/>
          <w:szCs w:val="28"/>
          <w:rtl w:val="true"/>
          <w:lang w:bidi="fa-IR"/>
        </w:rPr>
        <w:t>إنّ الطلب الإلزامی والوجوب یتصوّر علی أنحاء رئیسیّة من جهة القیود المأخوذة بالنسبة إلی نفس التکلیف أو المکلّف أو المکلّف به</w:t>
      </w:r>
      <w:r>
        <w:rPr>
          <w:rFonts w:eastAsia="IRNazanin" w:cs="IRNazanin"/>
          <w:color w:val="111111"/>
          <w:sz w:val="28"/>
          <w:szCs w:val="28"/>
          <w:rtl w:val="true"/>
          <w:lang w:bidi="fa-IR"/>
        </w:rPr>
        <w:t>:</w:t>
      </w:r>
    </w:p>
    <w:p>
      <w:pPr>
        <w:pStyle w:val="Heading5"/>
        <w:numPr>
          <w:ilvl w:val="4"/>
          <w:numId w:val="1"/>
        </w:numPr>
        <w:rPr/>
      </w:pPr>
      <w:bookmarkStart w:id="501" w:name="__RefHeading___Toc96302_3244359995"/>
      <w:bookmarkStart w:id="502" w:name="_Toc191"/>
      <w:bookmarkEnd w:id="501"/>
      <w:r>
        <w:rPr>
          <w:rtl w:val="true"/>
        </w:rPr>
        <w:t>فأمّا من جهة نفس التکلیف</w:t>
      </w:r>
      <w:r>
        <w:rPr>
          <w:rtl w:val="true"/>
        </w:rPr>
        <w:t>:</w:t>
      </w:r>
      <w:bookmarkEnd w:id="502"/>
    </w:p>
    <w:p>
      <w:pPr>
        <w:pStyle w:val="BookText"/>
        <w:rPr/>
      </w:pPr>
      <w:r>
        <w:rPr>
          <w:rFonts w:ascii="Amiri" w:hAnsi="Amiri" w:eastAsia="Amiri" w:cs="Amiri"/>
          <w:color w:val="111111"/>
          <w:sz w:val="28"/>
          <w:sz w:val="28"/>
          <w:szCs w:val="28"/>
          <w:rtl w:val="true"/>
          <w:lang w:bidi="ar-SA"/>
        </w:rPr>
        <w:t>فتارةً یکون مطلقاً أو مشروطاً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واخری یکون معلقاً أو منجزاً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وثالثةً یکون نفسیاً أو غیریاً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یکون أصلیاً أو تبعیاً</w:t>
      </w:r>
      <w:r>
        <w:rPr>
          <w:rFonts w:eastAsia="IRNazanin" w:cs="IRNazanin"/>
          <w:color w:val="111111"/>
          <w:sz w:val="28"/>
          <w:szCs w:val="28"/>
          <w:rtl w:val="true"/>
          <w:lang w:bidi="fa-IR"/>
        </w:rPr>
        <w:t>.</w:t>
      </w:r>
      <w:bookmarkStart w:id="503" w:name="pg16918_187463"/>
    </w:p>
    <w:p>
      <w:pPr>
        <w:pStyle w:val="Heading5"/>
        <w:numPr>
          <w:ilvl w:val="4"/>
          <w:numId w:val="1"/>
        </w:numPr>
        <w:rPr/>
      </w:pPr>
      <w:bookmarkStart w:id="504" w:name="__RefHeading___Toc96304_3244359995"/>
      <w:bookmarkStart w:id="505" w:name="_Toc192"/>
      <w:bookmarkEnd w:id="503"/>
      <w:bookmarkEnd w:id="504"/>
      <w:r>
        <w:rPr>
          <w:rtl w:val="true"/>
        </w:rPr>
        <w:t>وأمّا من جهة المتعلّق والمکلّف به</w:t>
      </w:r>
      <w:r>
        <w:rPr>
          <w:rtl w:val="true"/>
        </w:rPr>
        <w:t>:</w:t>
      </w:r>
      <w:bookmarkEnd w:id="505"/>
    </w:p>
    <w:p>
      <w:pPr>
        <w:pStyle w:val="BookText"/>
        <w:rPr/>
      </w:pPr>
      <w:r>
        <w:rPr>
          <w:rFonts w:ascii="IRNazanin" w:hAnsi="IRNazanin" w:eastAsia="IRNazanin"/>
          <w:color w:val="111111"/>
          <w:sz w:val="28"/>
          <w:sz w:val="28"/>
          <w:szCs w:val="28"/>
          <w:rtl w:val="true"/>
          <w:lang w:bidi="fa-IR"/>
        </w:rPr>
        <w:t>فتارةً یکون المکلّف به ممّا یجب إتیانه بوجهٍ قربی تعبّدی وقد لا یکون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وثانیةً یکون مقیداً بوقت موسّع أو مضیّق وقد لا یکون مقیّداً بوقت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وثالثةً یکون له عدل وبدیل فیکون المکلّف مخیّراً فی إتیانهما، وقد لا یکون کذلک، فالأوّل واجب تخییری، والأخیر واجب تعیینی</w:t>
      </w:r>
      <w:r>
        <w:rPr>
          <w:rFonts w:eastAsia="IRNazanin" w:cs="IRNazanin"/>
          <w:color w:val="111111"/>
          <w:sz w:val="28"/>
          <w:szCs w:val="28"/>
          <w:rtl w:val="true"/>
          <w:lang w:bidi="fa-IR"/>
        </w:rPr>
        <w:t>.</w:t>
      </w:r>
    </w:p>
    <w:p>
      <w:pPr>
        <w:pStyle w:val="Heading5"/>
        <w:numPr>
          <w:ilvl w:val="4"/>
          <w:numId w:val="1"/>
        </w:numPr>
        <w:rPr/>
      </w:pPr>
      <w:bookmarkStart w:id="506" w:name="__RefHeading___Toc96306_3244359995"/>
      <w:bookmarkStart w:id="507" w:name="_Toc193"/>
      <w:bookmarkEnd w:id="506"/>
      <w:r>
        <w:rPr>
          <w:rtl w:val="true"/>
        </w:rPr>
        <w:t>وأمّا من جهة المکلّف</w:t>
      </w:r>
      <w:r>
        <w:rPr>
          <w:rtl w:val="true"/>
        </w:rPr>
        <w:t>:</w:t>
      </w:r>
      <w:bookmarkEnd w:id="507"/>
    </w:p>
    <w:p>
      <w:pPr>
        <w:pStyle w:val="Heading6"/>
        <w:numPr>
          <w:ilvl w:val="5"/>
          <w:numId w:val="1"/>
        </w:numPr>
        <w:rPr/>
      </w:pPr>
      <w:bookmarkStart w:id="508" w:name="__RefHeading___Toc96308_3244359995"/>
      <w:bookmarkStart w:id="509" w:name="_Toc194"/>
      <w:bookmarkEnd w:id="508"/>
      <w:r>
        <w:rPr>
          <w:rtl w:val="true"/>
        </w:rPr>
        <w:t>اشارة</w:t>
      </w:r>
      <w:bookmarkEnd w:id="509"/>
    </w:p>
    <w:p>
      <w:pPr>
        <w:pStyle w:val="BookText"/>
        <w:rPr/>
      </w:pPr>
      <w:r>
        <w:rPr>
          <w:rFonts w:ascii="IRNazanin" w:hAnsi="IRNazanin" w:eastAsia="IRNazanin"/>
          <w:color w:val="111111"/>
          <w:sz w:val="28"/>
          <w:sz w:val="28"/>
          <w:szCs w:val="28"/>
          <w:rtl w:val="true"/>
          <w:lang w:bidi="fa-IR"/>
        </w:rPr>
        <w:t>فقد یکون إمتثال بعض المکلّفین کافیاً عن غیره وقد لا یکفی إلّاإمتثال کلّ فرد بعینه، فالأوّل واجب کفائی، والأخیر واجب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قد تجب فیه المباشرة، فلا یقبل النیابة وقد یکفی إتیانه تسبیبا أو تبرّعا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واللازم هنا البحث عن کیفیة تصویر هذه الأقسام وخصوصیّاتها و تشخیص ما هو الأصل فی مقام الشکّ ودوران الأمر بینها</w:t>
      </w:r>
      <w:r>
        <w:rPr>
          <w:rFonts w:eastAsia="IRNazanin" w:cs="IRNazanin"/>
          <w:color w:val="111111"/>
          <w:sz w:val="28"/>
          <w:szCs w:val="28"/>
          <w:rtl w:val="true"/>
          <w:lang w:bidi="fa-IR"/>
        </w:rPr>
        <w:t>.</w:t>
      </w:r>
    </w:p>
    <w:p>
      <w:pPr>
        <w:pStyle w:val="Heading6"/>
        <w:numPr>
          <w:ilvl w:val="5"/>
          <w:numId w:val="1"/>
        </w:numPr>
        <w:rPr/>
      </w:pPr>
      <w:bookmarkStart w:id="510" w:name="__RefHeading___Toc96310_3244359995"/>
      <w:bookmarkStart w:id="511" w:name="_Toc195"/>
      <w:bookmarkEnd w:id="510"/>
      <w:r>
        <w:rPr/>
        <w:t>1</w:t>
      </w:r>
      <w:r>
        <w:rPr>
          <w:rtl w:val="true"/>
        </w:rPr>
        <w:t xml:space="preserve">. </w:t>
      </w:r>
      <w:r>
        <w:rPr>
          <w:rtl w:val="true"/>
        </w:rPr>
        <w:t>المطلق والمشروط</w:t>
      </w:r>
      <w:bookmarkEnd w:id="511"/>
    </w:p>
    <w:p>
      <w:pPr>
        <w:pStyle w:val="BookText"/>
        <w:rPr/>
      </w:pPr>
      <w:r>
        <w:rPr>
          <w:rFonts w:ascii="IRNazanin" w:hAnsi="IRNazanin" w:eastAsia="IRNazanin"/>
          <w:color w:val="111111"/>
          <w:sz w:val="28"/>
          <w:sz w:val="28"/>
          <w:szCs w:val="28"/>
          <w:rtl w:val="true"/>
          <w:lang w:bidi="fa-IR"/>
        </w:rPr>
        <w:t xml:space="preserve">والمطلق نظیر الصلاة بالنسبة إلی الوضوء، والمشروط کالحجّ بالنسبة إلی الاستطاعة، وقد عرّف کلّ منهما بتعاریف فی ألسنة الاصولیین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المطلق ما لا یتوقّف وجوبه علی ما یتوقّف علیه وجوده، والمشروط ما یتوقّف وجوبه علی ما یتوقّف علیه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 المطلق ماأوجبه الشارع من غیر تعلیق علی أمر آخر کالصلاة، والمشروط ما علّق وجوبه علی حصول أمر آخر کالحجّ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القواعد،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مطارح الأنظار، ص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والظاهر کما أفاد المحقّق الخراسانی رحمه الله أنّه لیس لهم اصطلاح جدید فی لفظ المطلق والمشروط، بل یطلق کلّ منهما بما له من معناه العرفی، کما أنّهما وصفان إضافیان وإلّا لم یکد</w:t>
      </w:r>
    </w:p>
    <w:p>
      <w:pPr>
        <w:pStyle w:val="BookText"/>
        <w:rPr/>
      </w:pPr>
      <w:r>
        <w:rPr>
          <w:rFonts w:ascii="IRNazanin" w:hAnsi="IRNazanin" w:eastAsia="IRNazanin"/>
          <w:color w:val="111111"/>
          <w:sz w:val="28"/>
          <w:sz w:val="28"/>
          <w:szCs w:val="28"/>
          <w:rtl w:val="true"/>
          <w:lang w:bidi="fa-IR"/>
        </w:rPr>
        <w:t xml:space="preserve">یوجد واجب مطلق، ضرورة اشتراط وجوب کلّ واجب ببعض الامور، کالبلوغ والعقل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القید إلی الهیئة أو المادّة</w:t>
      </w:r>
    </w:p>
    <w:p>
      <w:pPr>
        <w:pStyle w:val="BookText"/>
        <w:rPr/>
      </w:pPr>
      <w:r>
        <w:rPr>
          <w:rFonts w:ascii="IRNazanin" w:hAnsi="IRNazanin" w:eastAsia="IRNazanin"/>
          <w:color w:val="111111"/>
          <w:sz w:val="28"/>
          <w:sz w:val="28"/>
          <w:szCs w:val="28"/>
          <w:rtl w:val="true"/>
          <w:lang w:bidi="fa-IR"/>
        </w:rPr>
        <w:t xml:space="preserve">اختلفوا فی أنّ القیود المأخوذة فی لسان الأدلّة بعنوان الشرط هل هی راجعة إلی الهیئة أو المادّة؟ مع تسالم الکلّ علی أنّ ظاهر القضیّة الشرطیّة رجوعها إلی الهیئة، بل هو معنی الاشتراط وتعلیق الجزاء علی الشرط، 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أنّ وجوب الإکرام مقیّد بمجی‌ء زید ومعلّق علیه، لا نفس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اعترف بهذا الظهور العرفی من هو مخالف للمشهور فی المسألة وهو الشّیخ الأعظم الأنصاری رحمه الله، إلّاأنّه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رفع الید عن هذا الظهور لمحذور عقلی ویجب إرجاع القید إلی المادّة، فیکون معنی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استطعت یجب علیک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یجب علیک من الآن إتیان الحجّ عند تحقّق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القید وهو الاستطاعة فی المثال من قیود الواجب وهو الحجّ، مع أنّ ظاهر القضیّة أنّه من قیود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قید الواجب الذی یستفاد من القضیّة الشرطیّة وسائر قیود الواجب، فإنّه یجب تحصیل القید وإیجاده فی الخارج فی الثانی دون الأوّل قضاء لحقّ القضیّة الشرطیّة</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لمقالة الشّیخ الأعظم رحمه الله أو یمکن أن یستدلّ لها بامور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الهیئة من المعانی الحرفیّة، وقد قرّر فی محلّه أنّ الوضع فیها عامّ والموضوع له خاصّ، أی المعنی الحرفی جزئی حقیقی، ومن البدیهی أنّ الجزئی لا یقبل الإطلاق والتقیید</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المعانی الحرفیّة إیجادیّة بأسرها، ولو لم یکن الجمیع کذلک فلا أقلّ من خصوص مفاد هیئة الأمر، أی الطلب، فلا إشکال فی کونه إیجادیاً، والمعنی الإیجادی جزئی حقیقی، فإنّ الإیجاد هو الوجود، ولا ریب فی أنّ الوجود الخارجی عین التشخّص والجزئیّة فلا یقبل التقیید والإطلاق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الموضوع له فی الحروف والهیئات خاصّاً لیس معناه کونه جزئیاً حقیقیاً، بل إنّه بمعنی الجزئی الإضافی، فمعنی الابتداء المستفاد من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کلّی تتصوّر له أفراد کثیرة، فالإمتثال لهذا الأمر له مصادیق کثیرة، وکلّ ما کان له مصادیق کثیرة کان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کونها إیجادیّة وأنّ الإیجاد جزئی حقیقی فیمکن الجواب عنه بأنّ الإیجاد جزئی حقیقی، ولکن البحث هنا لیس بحثاً عن التقیید بمعنی التضییق والتخصیص، بل إنّه بحث عن التقیید بمعنی التعلیق، وحیث إنّ التعلیق إیجاد علی فرض خاصّ، فیمکن تعلیق الإیجاد أو الوجود علی شی‌ء مفروض الوجود وإن لم یمکن تقییده، فلا مانع مثلًا من تعلیق وجود إکرام زید ولو بنحو خاصّ علی مجیئه، وسیأتی شرحه إن شاء اللَّه فی معنی القضیّة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یستفاد من کلمات بعض الأعاظم من أنّ المعنی الحرفی وإن کان کلّیاً إلّا أنّه ملحوظ باللحاظ الآلی ولا یلحظ استقلالًا حتّی یمکن تقییده، حیث إنّ التقیید أو الإطلاق من شؤون المعانی الملحوظة باللحاظ الاستقلالی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نقبل کون المعانی الحرفیة معانی مرآتیة آلیة بمعنی کونها مغفولًا عنها، بل قد ذکرنا هناک أنّه ربّما یکون المعنی الحرفی مستقلًاّ فی اللحاظ بهذا المعنی، بل یکون تمام الإلتفات والتوجّه إلیه کما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الطائر فی الدار أو علی الدار؟ ومرادک السؤال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الطائر الذی</w:t>
      </w:r>
    </w:p>
    <w:p>
      <w:pPr>
        <w:pStyle w:val="BookText"/>
        <w:rPr/>
      </w:pPr>
      <w:r>
        <w:rPr>
          <w:rFonts w:ascii="IRNazanin" w:hAnsi="IRNazanin" w:eastAsia="IRNazanin"/>
          <w:color w:val="111111"/>
          <w:sz w:val="28"/>
          <w:sz w:val="28"/>
          <w:szCs w:val="28"/>
          <w:rtl w:val="true"/>
          <w:lang w:bidi="fa-IR"/>
        </w:rPr>
        <w:t>تعلم بوجود نسبة بینه وبین‌الدار، لکن لاتدری أنّ هذه النسبة هی‌الظرفیة أو الاستعلاء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المعانی الحرفیّة تابعة للمعانی الإسمیّة فی الوجود الخارجی والذهنی، ولا إشکال فی أنّ التبعیّة فی الوجود لا تلازم کون المعنی الحرفی مغفولًا عنه، فقد وقع الخلط هنا بین التبعیّة فی الوجود الذهنی وعدم قیام المفهوم بنفسه وبین الغفلة عنه، مع أنّ بینهما بوناً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اللغویّة حیث إنّه إذا کان الوجوب استقبالیاً، فلا ثمرة للإیجاب والإنشاء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أحکام الشارع أحکام کلّیة تصدر علی نهج القضایا الحقیقیة وشاملة لجمیع المکلّفین الواجدین منهم للشرائط المذکورة فیها وغیرهم، فوجوب الحجّ مثلًا یشمل المستطیع فعلًا ومن سیستطیع، وعندئذٍ لابدّ من صدور الخطاب بشکل القضیّة الشرطیّة حتّی یکون فعلیاً بالنسبة إلی من کان الشرط محقّقاً له الآن، واستقبالیاً بالنسبة إلی غیره، أی یکون الخطاب الواحد بالنسبه إلی بعض فعلیاً وبالنسبة إلی آخر مشروطاً تقدیریاً، والغفلة عن هذه الحقیقة أوجبت الإیراد باللغویّة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رجوع الشرط إلی الهیئة دون المادّة یوجب تفکیک الإنشاء عن المنشأ، فالإنشاء یکون فعلیاً والمنشأ وهو وجوب الإکرام فی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استقبالیاً حاصلًا بعد المجی‌ء، وهذا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یرد علیه یظهر من تحلیل معنی الاشتراط، والتأمّل فی حقیقة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وما یسمّی فی اللّغة 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فنقول لا إشکال فی أنّ مفاد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یساوق تقریباً 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الإنسان یفرض أوّلًا وجود شی‌ء فی الخارج ثمّ یحکم علیه بحکم ویرتّب علیه آثاراً، فیفرض مثلًا طلوع الشمس أوّلًا ثمّ یرتّب علیه وجود النهار، فالقضیّة الشرطیّة حینئذٍ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علی فرض</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ما إذا تصوّر المولی عطشه واشتاقت نفسه بعد ذلک الفرض والتصوّر إلی</w:t>
      </w:r>
    </w:p>
    <w:p>
      <w:pPr>
        <w:pStyle w:val="BookText"/>
        <w:rPr/>
      </w:pPr>
      <w:r>
        <w:rPr>
          <w:rFonts w:ascii="IRNazanin" w:hAnsi="IRNazanin" w:eastAsia="IRNazanin"/>
          <w:color w:val="111111"/>
          <w:sz w:val="28"/>
          <w:sz w:val="28"/>
          <w:szCs w:val="28"/>
          <w:rtl w:val="true"/>
          <w:lang w:bidi="fa-IR"/>
        </w:rPr>
        <w:t xml:space="preserve">الماء، فأمر عبده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عطشاناً فاسقنی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فاشتیاقه إلی الماء ثمّ بعثه إلی إتیان الماء وجد فی الخارج ولکنّه مترتّب علی فرض عطشه، فبعثه متوقّف علی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الإیجاب موجود من جهة وغیر موجود من جهة، فهو موجود بعد فرض وجود الشرط فی افق الذهن وغیر موجود من دون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إنّه فرض ولا وجود له فی الخارج فعلًا فیمکن أن یقال بأنّه لا إیجاب ولا وجوب کما ذهب إلیه المشهور، بل إیجاب علی فرض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ثمرة النزاع فی المسألة</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ثمرة هذا النزاع فی تحصیل المقدّمات المفوّتة کتهیئة الزاد والراحلة وأخذ الجوازات بالنسبة إلی الحجّ، فبناءً علی مذاق المشهور لا دلیل علی وجوبها لعدم وجوب ذی المقدّمة علی الفرض، وأمّا علی مبنی الشّیخ الأعظم رحمه الله فتحصیلها واجب قبل مجی‌ء زمان الواجب، فیجب مثلًا حفظ الماء قبل مجی‌ء وقت الصلاة إذا کان تحصیل الطهارة بعد مجی‌ء وقت الصلاة متوقّفاً علیه، وکذلک تحصیل مقدّمات السفر إلی الحجّ بعد حصول الاستطاعة وقبل الموسم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القول بوجوب تحصیل المقدّمات حتّی علی مبنی المشهور، وهو ما إذا علمنا بفوت غرض المولی فی صورة عدم تحصیل المقدّمات، فإنّ العقل یحکم حینئذٍ بحفظ غرض المولی لمکان حقّ الطاعة والمولویّة نظیر ما إذا علمنا بسبب بعض القرائن مثلًا باهتمام الشارع بالصلاة مع الطهارة المائیة وأنّ غرضه منها لا یحصل بغیرها، فیحکم العقل بحفظ الماء ولو قبل مجی‌ء زمان وجوب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العلم من الشرائط العامّة للتکلیف؟</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أنّ العلم من الشرائط العامّة للتکلیف، ولکن مع ذلک وقع البحث</w:t>
      </w:r>
    </w:p>
    <w:p>
      <w:pPr>
        <w:pStyle w:val="BookText"/>
        <w:rPr/>
      </w:pPr>
      <w:r>
        <w:rPr>
          <w:rFonts w:ascii="IRNazanin" w:hAnsi="IRNazanin" w:eastAsia="IRNazanin"/>
          <w:color w:val="111111"/>
          <w:sz w:val="28"/>
          <w:sz w:val="28"/>
          <w:szCs w:val="28"/>
          <w:rtl w:val="true"/>
          <w:lang w:bidi="fa-IR"/>
        </w:rPr>
        <w:t>فی وجوب تحصیله وعدمه، وأنّه هل یکون تحصیله غیر واجب کسائر شرائط التکلیف، أو له خصوصیّة من بینها فیجب تحصیله؟ وهکذا بالنسبة إلی العلم بالمکلّف به، فإذا علمنا بأصل وجوب الحجّ مثلًا وعلمنا أیضاً بحصول الاستطاعة فی السنة اللاحقة فهل یجب تحصیل العلم بمسائل الحجّ أو لا؟ المعروف والمشهور وجوب تحصیل العلم فی القسم الأوّل، أی العلم بأصل التکلیف، ویمکن أن یستدلّ له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تحصیل العلم واجب نفسی، فهو واجب مع قطع النظر عن کونه مقدّمة لواجب آخر، ویدلّ علیه ما ورد 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السیاط علی رؤوس أصحابی حتّی یتفقّهوا فی الدین</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وما ورد فی بعض الأخبار من أنّ اللَّه تعالی یقول للعبد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أکنت عالماً؟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عملت بما علمت؟</w:t>
      </w:r>
    </w:p>
    <w:p>
      <w:pPr>
        <w:pStyle w:val="BookText"/>
        <w:rPr/>
      </w:pPr>
      <w:r>
        <w:rPr>
          <w:rFonts w:ascii="IRNazanin" w:hAnsi="IRNazanin" w:eastAsia="IRNazanin"/>
          <w:color w:val="111111"/>
          <w:sz w:val="28"/>
          <w:sz w:val="28"/>
          <w:szCs w:val="28"/>
          <w:rtl w:val="true"/>
          <w:lang w:bidi="fa-IR"/>
        </w:rPr>
        <w:t>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جاهلًا، قال له أفلا تعلّمت حتّی تعمل؟</w:t>
      </w:r>
      <w:r>
        <w:rPr>
          <w:rStyle w:val="FootnoteAnchor"/>
          <w:rtl w:val="true"/>
        </w:rPr>
        <w:footnoteReference w:id="387"/>
      </w:r>
      <w:r>
        <w:rPr>
          <w:rFonts w:ascii="IRNazanin" w:hAnsi="IRNazanin" w:eastAsia="IRNazanin"/>
          <w:color w:val="111111"/>
          <w:sz w:val="28"/>
          <w:sz w:val="28"/>
          <w:szCs w:val="28"/>
          <w:rtl w:val="true"/>
          <w:lang w:bidi="fa-IR"/>
        </w:rPr>
        <w:t>ونظیر آیة النفر</w:t>
      </w:r>
      <w:r>
        <w:rPr>
          <w:rStyle w:val="FootnoteAnchor"/>
          <w:rtl w:val="true"/>
        </w:rPr>
        <w:footnoteReference w:id="388"/>
      </w:r>
      <w:r>
        <w:rPr>
          <w:rFonts w:ascii="IRNazanin" w:hAnsi="IRNazanin" w:eastAsia="IRNazanin"/>
          <w:color w:val="111111"/>
          <w:sz w:val="28"/>
          <w:sz w:val="28"/>
          <w:szCs w:val="28"/>
          <w:rtl w:val="true"/>
          <w:lang w:bidi="fa-IR"/>
        </w:rPr>
        <w:t>الّتی تدلّ علی وجوب تحصیل العلم ووجوب تعلیمه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فی أمثال المقام طریقی لا موضوعی، ولذا لو أتی بالواقع من طریق الاحتیاط أجزأه قطعاً ولا یؤاخذ علی ترک تحصیل العلم مع أنّه لو کان واجباً نفسیاً لم یکفی العمل بالاحتیاط فی موارد الجهل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بوجود تکالیف فی الشریعة حیث یقتضی تحصیل العلم التفصیلی بها للإمتثال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النقاش فیه بأنّ لازمه عدم وجوب الفحص وتحصیل العلم بالتکلیف إذا علم بالمقدار المعلوم إجمالًا وانحلّ العلم الإجمالی بسبب ذلک، مع أنّ الفحص واجب مطلقاً حتّی مع الشکّ البدوی فی وجوب التکلیف</w:t>
      </w:r>
      <w:r>
        <w:rPr>
          <w:rFonts w:eastAsia="IRNazanin" w:cs="IRNazanin"/>
          <w:color w:val="111111"/>
          <w:sz w:val="28"/>
          <w:szCs w:val="28"/>
          <w:rtl w:val="true"/>
          <w:lang w:bidi="fa-IR"/>
        </w:rPr>
        <w:t>.</w:t>
      </w:r>
      <w:bookmarkStart w:id="512" w:name="pg16918_187469"/>
    </w:p>
    <w:p>
      <w:pPr>
        <w:pStyle w:val="BookText"/>
        <w:rPr/>
      </w:pPr>
      <w:bookmarkEnd w:id="512"/>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وهو العمدة، فإنّه یجب علی العبد لحقّ العبودیة وطاعة المولی أن یفحص عن تکالیفه فی مظانّها، نعم له العمل بالاحتیاط وترک تحصیل هذا العلم، وأمّا الأخذ بالبراءة من دون فحص فهو أمر غیر جائز، کما یتّضح ذلک بالرجوع إلی أهل العرف فی مناسبات الموالی مع عبیدهم، والرؤساء مع أتباعهم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الفحص بالمقدار المتعارف بین العقلاء یجوز التمسّک بالبراءة لعدم العلم بتحقّق التکلیف مع أنّه لو کان من شرائط الوجود لکان الأصل فیه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العلم بالمکلّف به فکذلک یمکن القول بوجوب تحصیله فی الجملة، وهو ما إذا علم بحصول الاستطاعة وعدم إمکان تحصیل العلم بالمناسک فی الموسم، فلا یبعد حینئذٍ القول بوجوب تحصیل العلم بها من باب حفظ غرض المولی مع أنّه لیس الحجّ واجباً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سیأتی الکلام عمّا إذا شککنا فی أنّ الواجب مطلق أو مشروط فی ذیل البحث عن الواجب المعلّق</w:t>
      </w:r>
      <w:r>
        <w:rPr>
          <w:rFonts w:eastAsia="IRNazanin" w:cs="IRNazanin"/>
          <w:color w:val="111111"/>
          <w:sz w:val="28"/>
          <w:szCs w:val="28"/>
          <w:rtl w:val="true"/>
          <w:lang w:bidi="fa-IR"/>
        </w:rPr>
        <w:t>.</w:t>
      </w:r>
    </w:p>
    <w:p>
      <w:pPr>
        <w:pStyle w:val="Heading6"/>
        <w:numPr>
          <w:ilvl w:val="5"/>
          <w:numId w:val="1"/>
        </w:numPr>
        <w:rPr/>
      </w:pPr>
      <w:bookmarkStart w:id="513" w:name="__RefHeading___Toc96312_3244359995"/>
      <w:bookmarkStart w:id="514" w:name="_Toc196"/>
      <w:bookmarkEnd w:id="513"/>
      <w:r>
        <w:rPr/>
        <w:t>2</w:t>
      </w:r>
      <w:r>
        <w:rPr>
          <w:rtl w:val="true"/>
        </w:rPr>
        <w:t xml:space="preserve">. </w:t>
      </w:r>
      <w:r>
        <w:rPr>
          <w:rtl w:val="true"/>
        </w:rPr>
        <w:t>المنجّز والمعلّق</w:t>
      </w:r>
      <w:bookmarkEnd w:id="514"/>
    </w:p>
    <w:p>
      <w:pPr>
        <w:pStyle w:val="BookText"/>
        <w:rPr/>
      </w:pPr>
      <w:r>
        <w:rPr>
          <w:rFonts w:ascii="IRNazanin" w:hAnsi="IRNazanin" w:eastAsia="IRNazanin"/>
          <w:color w:val="111111"/>
          <w:sz w:val="28"/>
          <w:sz w:val="28"/>
          <w:szCs w:val="28"/>
          <w:rtl w:val="true"/>
          <w:lang w:bidi="fa-IR"/>
        </w:rPr>
        <w:t>وقد عرّف الواجب المنجّز فی کلام صاحب الفصول المبتکر لهذا التقسیم بما یتعلّق وجوبه بالمکلّف ولا یتوقّف حصوله علی أمر غیر مقدور له کالمعرفة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وعرّف الواجب المعلّق بما یتعلّق وجوبه به ویتوقّف حصوله علی أمر غیر مقدور کالحجّ، فإنّ وجوبه یتعلّق بالمکلّف من أوّل زمن الاستطاعة أو خروج الرفقة، ویتوقّف فعله علی مجی‌ء وقته وهو غیر مقدور له </w:t>
      </w:r>
      <w:r>
        <w:rPr>
          <w:rStyle w:val="FootnoteAnchor"/>
          <w:rtl w:val="true"/>
        </w:rPr>
        <w:footnoteReference w:id="389"/>
      </w:r>
      <w:r>
        <w:rPr>
          <w:rFonts w:ascii="IRNazanin" w:hAnsi="IRNazanin" w:eastAsia="IRNazanin"/>
          <w:color w:val="111111"/>
          <w:sz w:val="28"/>
          <w:sz w:val="28"/>
          <w:szCs w:val="28"/>
          <w:rtl w:val="true"/>
          <w:lang w:bidi="fa-IR"/>
        </w:rPr>
        <w:t>لأنّ الزمان لیس تحت اختیاره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أنّه عمّم المعلّق فی ذیل کلامه إلی ما یتوقّف علی أمر مقدور أیضاً، ویمکن</w:t>
      </w:r>
    </w:p>
    <w:p>
      <w:pPr>
        <w:pStyle w:val="BookText"/>
        <w:rPr/>
      </w:pPr>
      <w:r>
        <w:rPr>
          <w:rFonts w:ascii="IRNazanin" w:hAnsi="IRNazanin" w:eastAsia="IRNazanin"/>
          <w:color w:val="111111"/>
          <w:sz w:val="28"/>
          <w:sz w:val="28"/>
          <w:szCs w:val="28"/>
          <w:rtl w:val="true"/>
          <w:lang w:bidi="fa-IR"/>
        </w:rPr>
        <w:t>التمثیل له بأمر مقدور لا یترشّح إلیه الوجوب، 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عند ما تتطهّر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 وجوب الصلاة فعلًا مع أنّ وجود الصلاة متوقّف علی حصول الطهارة اتّفاقاً مع کونها أمراً مقدوراً للمکلّف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الواجب المشروط علی مبنی الشّیخ الأعظم رحمه الله والواجب المعلّق علی التعریف المزبور حیث إنّه أخذ فی الواجب المعلّق جمیع ما أخذه الشّیخ فی الواجب المشروط من کون القید فیه راجعاً إلی المادّة لا الهیئة وکونه ممّا لا یترشّح علیه الوجوب، مع أنّه شرط للوجود لا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الواجب المعلّق والواجب المشروط علی مبنی المشهور واضح، فإنّ القید عندهم فی الواجب المشروط راجع إلی الهیئة والوجوب لا الواجب والوجود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ذهب جماعة من الأعلام إلی استحالة الواجب المعلّق، واستدلّوا بامور لایخلو من إشکال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 فی ردّه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المعلّق مستبطن لنوع من التناقض فی إنشائه حیث إنّ المولی یقول یوم الاثنین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غسل یوم الجمعة أو صیامه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إمّا أن یکون کنایة عن وجوب تهیئة المقدّمات، فلا بأس به کما سیأتی، ولکن حینئذٍ لا یکون الواجب معلّقاً، بل إنّه من مصادیق الواجب المشروط، لأنّ المفروض عدم وجوب ذی المقدّمة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وإمّا یکون دالًاّ علی أنّ غسل یوم الجمعة أو صیامه واجب من یوم الاثنین مع أنّ ظرف إمتثاله هو یوم الجمعة، وهو متضمّن لنحو من التناقض، لأنّ کلّ بعثٍ یطلب انبعاثاً وکلّ طلب یتعقّب إمتثالًا، فلو کان الوجوب فعلیاً یوم الاثنین کان معناه وجوب الإمتثال فی ذلک الیوم مع أنّ المفروض أنّ زمان الإمتثال هو یوم الجمعة فلازم وجود الطلب یوم الاثنین هو فعلیّة الوجوب فی ذلک الیوم، ولازم</w:t>
      </w:r>
      <w:bookmarkStart w:id="515" w:name="pg16918_187471"/>
    </w:p>
    <w:p>
      <w:pPr>
        <w:pStyle w:val="BookText"/>
        <w:rPr/>
      </w:pPr>
      <w:bookmarkEnd w:id="515"/>
      <w:r>
        <w:rPr>
          <w:rFonts w:ascii="IRNazanin" w:hAnsi="IRNazanin" w:eastAsia="IRNazanin"/>
          <w:color w:val="111111"/>
          <w:sz w:val="28"/>
          <w:sz w:val="28"/>
          <w:szCs w:val="28"/>
          <w:rtl w:val="true"/>
          <w:lang w:bidi="fa-IR"/>
        </w:rPr>
        <w:t>عدم وجوب إمتثاله یوم الاثنین عدم فعلیّة الوجوب فی ذلک الیوم، ولیس هذا إلّا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 المعلّق أمر غیر معقول</w:t>
      </w:r>
      <w:r>
        <w:rPr>
          <w:rFonts w:eastAsia="IRNazanin" w:cs="IRNazanin"/>
          <w:color w:val="111111"/>
          <w:sz w:val="28"/>
          <w:szCs w:val="28"/>
          <w:rtl w:val="true"/>
          <w:lang w:bidi="fa-IR"/>
        </w:rPr>
        <w:t>.</w:t>
      </w:r>
    </w:p>
    <w:p>
      <w:pPr>
        <w:pStyle w:val="Heading6"/>
        <w:numPr>
          <w:ilvl w:val="5"/>
          <w:numId w:val="1"/>
        </w:numPr>
        <w:rPr/>
      </w:pPr>
      <w:bookmarkStart w:id="516" w:name="__RefHeading___Toc96314_3244359995"/>
      <w:bookmarkStart w:id="517" w:name="_Toc197"/>
      <w:bookmarkEnd w:id="516"/>
      <w:r>
        <w:rPr>
          <w:rtl w:val="true"/>
        </w:rPr>
        <w:t>ثمرة المسألة</w:t>
      </w:r>
      <w:r>
        <w:rPr>
          <w:rtl w:val="true"/>
        </w:rPr>
        <w:t>:</w:t>
      </w:r>
      <w:bookmarkEnd w:id="517"/>
    </w:p>
    <w:p>
      <w:pPr>
        <w:pStyle w:val="BookText"/>
        <w:rPr/>
      </w:pPr>
      <w:r>
        <w:rPr>
          <w:rFonts w:ascii="IRNazanin" w:hAnsi="IRNazanin" w:eastAsia="IRNazanin"/>
          <w:color w:val="111111"/>
          <w:sz w:val="28"/>
          <w:sz w:val="28"/>
          <w:szCs w:val="28"/>
          <w:rtl w:val="true"/>
          <w:lang w:bidi="fa-IR"/>
        </w:rPr>
        <w:t>والثمرة الّتی تتصوّر فی المسألة وهی الّتی دعت صاحب الفصول إلی هذا القول إنّما هی حلّ فتاوی الأصحاب فی الفقه الّتی لم یکن لها توجیه عنده إلّاکونها من قبیل الواجب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فتواهم بوجوب تهیئة مقدّمات الحجّ قبل الموسم وبعد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فتواهم بوجوب الأغسال فی اللیل للجنب والحائض والمستحاضة فی شهر رمضان قبل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فتواهم بوجوب تعلّم أحکام الصلاة قبل مجی‌ء وقتها إذا علم بعدم القدرة علی التعلّم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 صاحب الفصول لم یجد طریقاً للتخلّص عن هذه الفتاوی إلّابتصویر الواجب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الطریق لحلّ هذه الفتاوی لیس منحصراً فیه، بل هناک طرق اخری لتوجیهها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قام علی وجوب هذه الامور وجوباً نفسیاً تهیّؤیاً، أمّا کونه نفسیاً فلعدم إمکان ترشّحه من وجوب ذی المقدّمة بناءً علی أنّ المفروض عدم کون ذی المقدّمة واجباً فعلًا، وأمّا کونه تهیّؤیاً فلأنّ الوجوب وإن لم یترشّح من وجوب ذی المقدّمة ولکن الحکمة فیه هی التهیّؤ لإتیان ذی المقدّمة فی زمانه، فلا یتصوّر لترکه عقاب مستقلّ، بل حیث إنّ ترکه یؤدّی إلی ترک ذی المقدّمة فی ظرفه یکون العقاب مترتّباً علی خصوص ترک ذی المقدّمة فحسب</w:t>
      </w:r>
      <w:r>
        <w:rPr>
          <w:rFonts w:eastAsia="IRNazanin" w:cs="IRNazanin"/>
          <w:color w:val="111111"/>
          <w:sz w:val="28"/>
          <w:szCs w:val="28"/>
          <w:rtl w:val="true"/>
          <w:lang w:bidi="fa-IR"/>
        </w:rPr>
        <w:t>.</w:t>
      </w:r>
      <w:bookmarkStart w:id="518" w:name="pg16918_187472"/>
    </w:p>
    <w:p>
      <w:pPr>
        <w:pStyle w:val="BookText"/>
        <w:rPr/>
      </w:pPr>
      <w:bookmarkEnd w:id="518"/>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حفظ أغراض المولی یقتضی عقلًا وجوب الإتیان بالمقدّمات المزبورة قبل حلول زمان الواجب؛ أی العقل یکشف عن وجوبها شرعاً، فإذا علمنا أنّ غرض الشارع تعلّق بالحجّ مثلًا علی أیّ حال وأنّه لا یرضی بترکه، فلابدّ من إیجاب الشارع تحصیل المقدّمات قبل الموسم من جهة أنّ عدم الإیجاب یساوق تعطیل الحجّ غالباً، بل هو نقض للغرض، وهو قبیح</w:t>
      </w:r>
      <w:r>
        <w:rPr>
          <w:rFonts w:eastAsia="IRNazanin" w:cs="IRNazanin"/>
          <w:color w:val="111111"/>
          <w:sz w:val="28"/>
          <w:szCs w:val="28"/>
          <w:rtl w:val="true"/>
          <w:lang w:bidi="fa-IR"/>
        </w:rPr>
        <w:t>.</w:t>
      </w:r>
    </w:p>
    <w:p>
      <w:pPr>
        <w:pStyle w:val="Heading6"/>
        <w:numPr>
          <w:ilvl w:val="5"/>
          <w:numId w:val="1"/>
        </w:numPr>
        <w:rPr/>
      </w:pPr>
      <w:bookmarkStart w:id="519" w:name="__RefHeading___Toc96316_3244359995"/>
      <w:bookmarkStart w:id="520" w:name="_Toc198"/>
      <w:bookmarkEnd w:id="519"/>
      <w:r>
        <w:rPr>
          <w:rtl w:val="true"/>
        </w:rPr>
        <w:t>حکم الشکّ فی رجوع القید إلی المادّة أو الهیئة</w:t>
      </w:r>
      <w:bookmarkEnd w:id="520"/>
    </w:p>
    <w:p>
      <w:pPr>
        <w:pStyle w:val="BookText"/>
        <w:rPr/>
      </w:pPr>
      <w:r>
        <w:rPr>
          <w:rFonts w:ascii="IRNazanin" w:hAnsi="IRNazanin" w:eastAsia="IRNazanin"/>
          <w:color w:val="111111"/>
          <w:sz w:val="28"/>
          <w:sz w:val="28"/>
          <w:szCs w:val="28"/>
          <w:rtl w:val="true"/>
          <w:lang w:bidi="fa-IR"/>
        </w:rPr>
        <w:t>إذا شککنا فی أنّ القید یرجع إلی الوجوب أو إلی الوجود، وبتعبیر آخر یرجع إلی الهیئة أو إلی المادّة، فما هو مقتضی الأصل اللّفظی والعملی؟</w:t>
      </w:r>
    </w:p>
    <w:p>
      <w:pPr>
        <w:pStyle w:val="BookText"/>
        <w:rPr/>
      </w:pPr>
      <w:r>
        <w:rPr>
          <w:rFonts w:ascii="IRNazanin" w:hAnsi="IRNazanin" w:eastAsia="IRNazanin"/>
          <w:color w:val="111111"/>
          <w:sz w:val="28"/>
          <w:sz w:val="28"/>
          <w:szCs w:val="28"/>
          <w:rtl w:val="true"/>
          <w:lang w:bidi="fa-IR"/>
        </w:rPr>
        <w:t>أمّا الأصل العملی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فیه من التفصیل بین الشرط المشکوک رجوعه إلی المادّة أو الهیئة وبین مشروطه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کالاستطاعة بالنسبة إلی الحجّ، فلا إشکال فی رجوع الشکّ فیه إلی الشکّ فی وجوب تحصیله وعدمه، والأصل حینئذٍ هو البراءة، وقد أفتی بعض الفقهاء بإنّ إقامة صلاة الجمعة من شرائط الوجوب لا الواجب لظاهر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نُودِی لِلصَّلاةِ مِن یَومِ الجُمُعَةِ فَاسعَوا إلی ذِکرِ اللَّهِ</w:t>
      </w:r>
      <w:r>
        <w:rPr>
          <w:rFonts w:eastAsia="Amiri" w:cs="Amiri" w:ascii="Amiri" w:hAnsi="Amiri"/>
          <w:color w:val="111111"/>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 حیث إنّ ظاهرها أنّ السعی إلی ذکر اللَّه وحضور الجمعة متوقّف علی إقامتها والنداء إلیها وبدونه لا یجب الحضور، ولو فرض الشکّ فی ذلک فالأصل هو البراءة عن وجوب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کالحجّ بالنسبة إلی الاستطاعة، فیتصوّر فیه ثلاث حالات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یحصل الشرط فلا تتحقّق الاستطاعة فلا إشکال أیضاً فی أنّ الأصل هو البراءة عن وجوب الحجّ، لأنّ الشکّ فی کون الاستطاعة شرطاً للوجوب أو للواجب یسری إلی المشروط، ونتیجته الشکّ فی أصل وجوب الحجّ والأصل فیه البراءة</w:t>
      </w:r>
      <w:r>
        <w:rPr>
          <w:rFonts w:eastAsia="IRNazanin" w:cs="IRNazanin"/>
          <w:color w:val="111111"/>
          <w:sz w:val="28"/>
          <w:szCs w:val="28"/>
          <w:rtl w:val="true"/>
          <w:lang w:bidi="fa-IR"/>
        </w:rPr>
        <w:t>.</w:t>
      </w:r>
      <w:bookmarkStart w:id="521" w:name="pg16918_187473"/>
    </w:p>
    <w:p>
      <w:pPr>
        <w:pStyle w:val="BookText"/>
        <w:rPr/>
      </w:pPr>
      <w:bookmarkEnd w:id="521"/>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الشرط فتتحقّق الاستطاعة، فلا کلام فی وجوب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تحقّق الشرط ثمّ زال، فیتصوّر له أیضاً ثلاث صور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إذا علمنا أنّ الشرط قد شُرط حدوثاً وبقاءً فلا إشکال فی عدم وجوب الحجّ من دون حاجة إلی جریان البراءة، للعلم بعدم وجوبه حینئذٍ، وذلک نظیر صحّة البدن بالنسبة إلی الصیام فإنّه شرط له حدوثاً وبقاءً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إذا علمنا أنّ الشرط هو شرط حدوثٍ فحسب، فلا کلام أیضاً فی وجوب المشروط لحصول شرطه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إذا شککنا فی أنّه شرط حدوث وبقاء معاً أو حدوث فقط، فالأصل هو الاستصحاب؛ لثبوت وجوب المشروط بحدوث الشرط، فإذا شککنا فی بقائه من جهة الشکّ فی شرطیّة بقاء الشرط کان الأصل هو استصحاب بقاء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فی الاستصحاب من وحدة الموضوع، وهی مفقودة فی المقام لأنّ الموضوع فی القضیّة المتیقّنة إنّما هو عنوان المستطیع، والمفروض زواله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للقضیّة المتیقّنة إنّما هو عنوان المکلّف، وأمّا الاستطاعة فهی تعدّ من حالات الموضوع لا مقوّماته، وعنوان المکلّف باقٍ علی الفرض، وسیأتی فی مباحث الاستصحاب تعیین الملاک فی کون شی‌ء من حالات الموضوع أو مقوّماته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الأصل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فیدور الأمر فیه فی الواقع مدار إطلاق المادّة وإطلاق الهیئة وأنّه هل یقدّم إطلاق الهیئة علی إطلاق المادّة حتّی تکون نتیجته رجوع القید إلی المادّة وکون الشرط شرطاً للواجب، أو یکون المقدّم إطلاق المادّة فیرجع القید إلی الهیئة ونتیجته کون الشرط شرطاً للوجوب؟</w:t>
      </w:r>
    </w:p>
    <w:p>
      <w:pPr>
        <w:pStyle w:val="Heading6"/>
        <w:numPr>
          <w:ilvl w:val="5"/>
          <w:numId w:val="1"/>
        </w:numPr>
        <w:rPr/>
      </w:pPr>
      <w:bookmarkStart w:id="522" w:name="__RefHeading___Toc96318_3244359995"/>
      <w:bookmarkStart w:id="523" w:name="_Toc199"/>
      <w:bookmarkEnd w:id="522"/>
      <w:r>
        <w:rPr/>
        <w:t>3</w:t>
      </w:r>
      <w:r>
        <w:rPr>
          <w:rtl w:val="true"/>
        </w:rPr>
        <w:t xml:space="preserve">. </w:t>
      </w:r>
      <w:r>
        <w:rPr>
          <w:rtl w:val="true"/>
        </w:rPr>
        <w:t>النفسی والغیری</w:t>
      </w:r>
      <w:bookmarkEnd w:id="52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 الأصحاب الواجب النفسی بأنّه ما امر به لنفسه، والغیری ما امر به لغیره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وهاهنا إشکال معروف وهو أنّ هذا التعریف یوجب کون جلّ الواجبات غیریّة لأنّها إنّما وجبت لغیرها وهو المصالح الّتی تترتّب علیها، فینحصر الواجب النفسی فی مثل معرفة اللَّه تعالی حیث إنّها مطلوبة لذاتها</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تصدّی الأعلام لحلّه بوجوه، والمختار فیه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المصالح الّتی تترتّب علی الأفعال امور خارجة عن دائرة علم المکلّفین بتفاصیلها، وبالتبع خارجة عن دائرة قدرتهم وتکلیفهم، بل إنّها معلومة للمولی وتکون داعیة لأوامره، وحینئذٍ لا یعقل تکلیف العباد بتحصیلها ولا محالة تکون فوق دائرة الأمر لا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لما ذکرنا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اشیر إلیه من أنّ العبد غالباً یکون جاهلًا بتفاصیل المصالح الّتی تترتّب علی الأحکام، فهو یعلم إجمالًا بوجود رابطة بین الصلاة مثلًا والنهی عن الفحشاء وأنّ الصیام جنّة من النار، وأمّا الجزئیّات والخصوصیّات فهی مجهولة له، بل قد لا یعلم بعض المصالح لا تفصیلًا ولا إجمالًا کجعل صلاة الصبح رکعتین، هذا مضافاً إلی کون المصلحة فی کثیر من مواردها لیست دائمیّة وبمنزلة العلّة بل بصورة الأغلبیة وبمثابة الحکمة کعدم اختلاط المیاه فی وجوب الأخذ بالعدّة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المصلحة قد تکون فی نفس أمر المولی وإنشائه ولا مصلحة فی متعلّقه کما فی الأوامر الامتحانیّة فی الشرع، ونظیر الأوامر الّتی تصدر من جانب الموالی العرفیّة أو الامراء عند نصبهم لمجرّد تثبیت المولویّة أو الأمارة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المصلحة قد لا تترتّب علی فعل مکلّف خاصّ حتّی یؤمر بتحصیلها بل إنّها تترتّب علی أفعال جماعة من المکلّفین، بل قد تترتّب علی أفعال أجیال منهم نظیر أمر الإمام علیه السلام بکتابة الأحادیث للأجیال القادمة،</w:t>
      </w:r>
      <w:r>
        <w:rPr>
          <w:rStyle w:val="FootnoteAnchor"/>
          <w:rtl w:val="true"/>
        </w:rPr>
        <w:footnoteReference w:id="394"/>
      </w:r>
      <w:r>
        <w:rPr>
          <w:rFonts w:ascii="Amiri" w:hAnsi="Amiri" w:eastAsia="Amiri" w:cs="Amiri"/>
          <w:color w:val="111111"/>
          <w:sz w:val="28"/>
          <w:sz w:val="28"/>
          <w:szCs w:val="28"/>
          <w:rtl w:val="true"/>
          <w:lang w:bidi="ar-SA"/>
        </w:rPr>
        <w:t>فإنّ المصلحة</w:t>
      </w:r>
      <w:bookmarkStart w:id="524" w:name="pg16918_187475"/>
    </w:p>
    <w:p>
      <w:pPr>
        <w:pStyle w:val="BookText"/>
        <w:rPr/>
      </w:pPr>
      <w:bookmarkEnd w:id="524"/>
      <w:r>
        <w:rPr>
          <w:rFonts w:ascii="IRNazanin" w:hAnsi="IRNazanin" w:eastAsia="IRNazanin"/>
          <w:color w:val="111111"/>
          <w:sz w:val="28"/>
          <w:sz w:val="28"/>
          <w:szCs w:val="28"/>
          <w:rtl w:val="true"/>
          <w:lang w:bidi="fa-IR"/>
        </w:rPr>
        <w:t>الّتی تترتّب علی هذا الأمر تظهر بعد مضیّ مدّة طویلة من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مع ذلک کلّه قد یبیّن المولی شیئاً من المصالح لترغیب الناس إلی إتیان التکالیف نظیر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تَنْهی عَنِ الفَحشَاءِ وَالمُنْکَرِ</w:t>
      </w:r>
      <w:r>
        <w:rPr>
          <w:rFonts w:eastAsia="Amiri" w:cs="Amiri" w:ascii="Amiri" w:hAnsi="Amiri"/>
          <w:color w:val="111111"/>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 وما وردت فی علل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ظهر أنّ تعریف المشهور للواجب النفسی والغیری ممّا لا غبار علیه، وأنّ ما اورد علیه من الإشکال لیس بوارد، فالواجب النفسی هو ما امر به لنفسه، والغیری ما امر به للتوصّل إلی واجب آخر</w:t>
      </w:r>
      <w:r>
        <w:rPr>
          <w:rFonts w:eastAsia="IRNazanin" w:cs="IRNazanin"/>
          <w:color w:val="111111"/>
          <w:sz w:val="28"/>
          <w:szCs w:val="28"/>
          <w:rtl w:val="true"/>
          <w:lang w:bidi="fa-IR"/>
        </w:rPr>
        <w:t>.</w:t>
      </w:r>
    </w:p>
    <w:p>
      <w:pPr>
        <w:pStyle w:val="Heading6"/>
        <w:numPr>
          <w:ilvl w:val="5"/>
          <w:numId w:val="1"/>
        </w:numPr>
        <w:rPr/>
      </w:pPr>
      <w:bookmarkStart w:id="525" w:name="__RefHeading___Toc96320_3244359995"/>
      <w:bookmarkStart w:id="526" w:name="_Toc200"/>
      <w:bookmarkEnd w:id="525"/>
      <w:r>
        <w:rPr>
          <w:rtl w:val="true"/>
        </w:rPr>
        <w:t>حکم الشکّ فی النفسیّة والغیریّة</w:t>
      </w:r>
      <w:bookmarkEnd w:id="526"/>
    </w:p>
    <w:p>
      <w:pPr>
        <w:pStyle w:val="BookText"/>
        <w:rPr/>
      </w:pPr>
      <w:r>
        <w:rPr>
          <w:rFonts w:ascii="IRNazanin" w:hAnsi="IRNazanin" w:eastAsia="IRNazanin"/>
          <w:color w:val="111111"/>
          <w:sz w:val="28"/>
          <w:sz w:val="28"/>
          <w:szCs w:val="28"/>
          <w:rtl w:val="true"/>
          <w:lang w:bidi="fa-IR"/>
        </w:rPr>
        <w:t>إذا شکّ فی واجب أنّه نفسی أو غیری کما إذا شکّ فی أنّ غسل الجنابة واجب نفسی مطلوب لنفسه أو أنّه واجب لأجل واجب آخر کالصلاة والصیام، فما هو مقتضی الأصل اللّفظی والعملی؟</w:t>
      </w:r>
    </w:p>
    <w:p>
      <w:pPr>
        <w:pStyle w:val="BookText"/>
        <w:rPr/>
      </w:pPr>
      <w:r>
        <w:rPr>
          <w:rFonts w:ascii="IRNazanin" w:hAnsi="IRNazanin" w:eastAsia="IRNazanin"/>
          <w:color w:val="111111"/>
          <w:sz w:val="28"/>
          <w:sz w:val="28"/>
          <w:szCs w:val="28"/>
          <w:rtl w:val="true"/>
          <w:lang w:bidi="fa-IR"/>
        </w:rPr>
        <w:t xml:space="preserve">أمّا الأصل اللّفظی فقد ذهب کثیر من الاصولیین إلی أنّ مقتضی إطلاق الصیغة کون الواجب نفسیاً لا غیریاً، لأنّه لو کان شرطاً لغیره لوجب التنبیه علیه علی المتکلّم الحکیم فی مقام البیان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اورد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الصیغة موضوعة لمصادیق الطلب الحقیقی المنقدح فی نفس الطالب لا لمفهوم الطلب، فإنّ الفعل لا یتّصف بالمطلوبیة إلّابواسطة تعلّق واقع الإرادة وحقیقتها علیه لا بواسطة مفهومها، ومن المعلوم أنّ الفرد من الطلب الحقیقی المنقدح فی نفس الطالب جزئی لا یعقل فیه التقیید والإطلاق، فلا معنی للتمسّک</w:t>
      </w:r>
    </w:p>
    <w:p>
      <w:pPr>
        <w:pStyle w:val="BookText"/>
        <w:rPr/>
      </w:pPr>
      <w:r>
        <w:rPr>
          <w:rFonts w:ascii="Amiri" w:hAnsi="Amiri" w:eastAsia="Amiri" w:cs="Amiri"/>
          <w:color w:val="111111"/>
          <w:sz w:val="28"/>
          <w:sz w:val="28"/>
          <w:szCs w:val="28"/>
          <w:rtl w:val="true"/>
          <w:lang w:bidi="ar-SA"/>
        </w:rPr>
        <w:t>بإطلاق الصیغة لکون الواجب نفسیّاً لا غیریّاً</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الجزئی وإن استحال تقییده بعد تحقّقه فی الخارج إلّاأنّه لا ریب فی إمکان تقییده وتضییقه قبل الإیجاد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فم الرکّیة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المعانی الحرفیّة وإن کانت کلّیة إلّاأنّها ملحوظة بتبع لحاظ متعلّقاتها أعنی المعانی الإسمیّة؛ لکونها قد اتّخذت آلة لملاحظة أحوال المعانی الإسمیّة، وما کان هذا شأنه فهو دائماً مغفول عن ملاحظته بخصوصه، وعلیه فکیف یعقل توجّه الإطلاق والتقیید إلیه؟ لاستلزامه الالتفات إلیه بخصوصه فی حال کونه مغفولًا عنه بخصوصه وهذا خلف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 واضح أیضاً، وذلک لما مرّ من أنّ المعانی الحرفیة تابعة للمعانی الإسمیّة فی الوجود الذهنی والخارجی، وهو لا یلازم کونها مغفولًا عنها، بل إنّها قد تصیر ملحوظة وملتفتاً إلیها بتمام اللحاظ والتوجّه، نظیر ما نقل عن المحقّق نصیر الدین الطوسی رحمه الله حیثما حضر فی درس المحقّق الحلّی رحمه الله وأفتی باستحباب التیاسر فی القبلة لأهل العراق فسأله المحقّق الطوسی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التیاسر من القبلة أو إلی القبلة؟</w:t>
      </w:r>
    </w:p>
    <w:p>
      <w:pPr>
        <w:pStyle w:val="BookText"/>
        <w:rPr/>
      </w:pPr>
      <w:r>
        <w:rPr>
          <w:rFonts w:ascii="IRNazanin" w:hAnsi="IRNazanin" w:eastAsia="IRNazanin"/>
          <w:color w:val="111111"/>
          <w:sz w:val="28"/>
          <w:sz w:val="28"/>
          <w:szCs w:val="28"/>
          <w:rtl w:val="true"/>
          <w:lang w:bidi="fa-IR"/>
        </w:rPr>
        <w:t>فأجاب المحقّق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القبلة إلی القبلة</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فلا مانع من إطلاق المعنی الحرفی وتقییده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الأصل العملی فیما إذا لم یکن هناک إطلاق فیتصوّر له ثلاث صور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شککنا فی النفسیّة والغیریّة قبل مجی‌ء وقت ما یحتمل کون المشکوک مقدّمة له، کما إذا شککنا قبل الظهر فی أنّ غسل الجنابة واجب نفسی أو غیری للصّلاة، فلا إشکال فی أنّ الأصل فی هذه الصورة إنّما هو البراءة، فإنّه إن کان غیریاً لم یجب الإتیان به لعدم وجوب ذی المقدّمة فعلًا</w:t>
      </w:r>
      <w:r>
        <w:rPr>
          <w:rFonts w:eastAsia="IRNazanin" w:cs="IRNazanin"/>
          <w:color w:val="111111"/>
          <w:sz w:val="28"/>
          <w:szCs w:val="28"/>
          <w:rtl w:val="true"/>
          <w:lang w:bidi="fa-IR"/>
        </w:rPr>
        <w:t>.</w:t>
      </w:r>
      <w:bookmarkStart w:id="527" w:name="pg16918_187477"/>
    </w:p>
    <w:p>
      <w:pPr>
        <w:pStyle w:val="BookText"/>
        <w:rPr/>
      </w:pPr>
      <w:bookmarkEnd w:id="527"/>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شککنا فیها بعد مجی‌ء وقت ما یحتمل کون المشکوک مقدّمة له وبعد فعلیة وجوبه، وحینئذٍ یجب الإتیان بهذا الواجب علی کلّ حال للعلم بوجوبه حینئذٍ، إمّا لنفسه أو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جاء وقت ما یحتمل کونه ذا المقدّمة ومضیّ وقته کما إذا صارت المرأة حائضاً بعد دخول وقت الصلاة بعد أن کانت جنباً، فلا نعلم أنّ غسل الجنابة واجب غیری حتّی یظهر سقوط وجوبه بسقوط وجوب الصلاة أو أنّه واجب نفسی حتّی یکون باقیاً علی وجوبه، ولا إشکال فی أنّ الأصل هو الاستصحاب حیث إنّ الشکّ هنا یرجع إلی الشکّ فی سقوط وجوب ثبت من قبل والأصل بقاؤه، لکنّه مبنی علی جریان الاستصحاب فی الشبهات الحکمیّة وقد أشکلنا علیه فی محلّه</w:t>
      </w:r>
      <w:r>
        <w:rPr>
          <w:rFonts w:eastAsia="IRNazanin" w:cs="IRNazanin"/>
          <w:color w:val="111111"/>
          <w:sz w:val="28"/>
          <w:szCs w:val="28"/>
          <w:rtl w:val="true"/>
          <w:lang w:bidi="fa-IR"/>
        </w:rPr>
        <w:t>.</w:t>
      </w:r>
    </w:p>
    <w:p>
      <w:pPr>
        <w:pStyle w:val="Heading6"/>
        <w:numPr>
          <w:ilvl w:val="5"/>
          <w:numId w:val="1"/>
        </w:numPr>
        <w:rPr/>
      </w:pPr>
      <w:bookmarkStart w:id="528" w:name="__RefHeading___Toc96322_3244359995"/>
      <w:bookmarkStart w:id="529" w:name="_Toc201"/>
      <w:bookmarkEnd w:id="528"/>
      <w:r>
        <w:rPr>
          <w:rtl w:val="true"/>
        </w:rPr>
        <w:t>ترتّب الثواب علی الواجب الغیری وعدمه</w:t>
      </w:r>
      <w:bookmarkEnd w:id="529"/>
    </w:p>
    <w:p>
      <w:pPr>
        <w:pStyle w:val="BookText"/>
        <w:rPr/>
      </w:pPr>
      <w:r>
        <w:rPr>
          <w:rFonts w:ascii="IRNazanin" w:hAnsi="IRNazanin" w:eastAsia="IRNazanin"/>
          <w:color w:val="111111"/>
          <w:sz w:val="28"/>
          <w:sz w:val="28"/>
          <w:szCs w:val="28"/>
          <w:rtl w:val="true"/>
          <w:lang w:bidi="fa-IR"/>
        </w:rPr>
        <w:t xml:space="preserve">وینبغی أوّلًا تنقیح الکلام حول معنی الثواب و حقیقته علی نحو کلّی، وأنّه هل هو من باب الاستحقاق أو التفضّل؟ والمشهور أنّه من باب الاستحقاق </w:t>
      </w:r>
      <w:r>
        <w:rPr>
          <w:rStyle w:val="FootnoteAnchor"/>
          <w:rtl w:val="true"/>
        </w:rPr>
        <w:footnoteReference w:id="400"/>
      </w:r>
      <w:r>
        <w:rPr>
          <w:rFonts w:ascii="IRNazanin" w:hAnsi="IRNazanin" w:eastAsia="IRNazanin"/>
          <w:color w:val="111111"/>
          <w:sz w:val="28"/>
          <w:sz w:val="28"/>
          <w:szCs w:val="28"/>
          <w:rtl w:val="true"/>
          <w:lang w:bidi="fa-IR"/>
        </w:rPr>
        <w:t xml:space="preserve">، ولکن ذهب المفید رحمه الله وجماعة إلی أنّه من باب التفضّل من اللَّه سبحانه </w:t>
      </w:r>
      <w:r>
        <w:rPr>
          <w:rStyle w:val="FootnoteAnchor"/>
          <w:rtl w:val="true"/>
        </w:rPr>
        <w:footnoteReference w:id="401"/>
      </w:r>
      <w:r>
        <w:rPr>
          <w:rFonts w:ascii="IRNazanin" w:hAnsi="IRNazanin" w:eastAsia="IRNazanin"/>
          <w:color w:val="111111"/>
          <w:sz w:val="28"/>
          <w:sz w:val="28"/>
          <w:szCs w:val="28"/>
          <w:rtl w:val="true"/>
          <w:lang w:bidi="fa-IR"/>
        </w:rPr>
        <w:t>، ولا إشکال فی أنّ الظاهر من آیات الکتاب هو الأوّل حیث تعبّر عن الثواب بالأجر فی عدد کثیر منها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أنّ الاستحقاق هنا لیس من قبیل استحقاق الأجیر لُاجرة عمله، فإنّ المکلّفین هم العبید واللَّه تعالی هو المولی، ومن المعلوم أنّه یجب علی العبد إطاعة المولی لحقّ المولویّة والطاعة لا للأجر، فإنّ العبد بجمیع شؤونه ملک للمولی، فلا اختیار له فی مقابله حتّی یطلب منه شیئاً بإزاء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التکالیف الشرعیّة مشتملة علی مصالح ترجع إلی العباد أنفسهم، فکیف یستحقّون بإطاعتهم وإمتثالهم الأجر والاجرة، بل الاستحقاق هنا بمعنی اللیاقة لقبول التفضّل من جانب الباری تعالی، أی أنّ العبد المطیع یلیق بإنعام اللَّه تعالی وتفضّله علیه بمقتضی حکمته، فإنّ التسویة بین المطیع والعاصی مخالف للحکمة، ولعلّ هذا هو مراد من ذهب إلی أنّه من باب التفضّل لا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الاجرة والاستعداد لها؛ بحیث یعدّ عدم إعطائها ظلماً شی‌ء، واللیاقة للتفضّل شی‌ء آخر، والاستحقاق فیما نحن فیه بالمعنی الثانی لا الأوّل، فلا یعدّ ترک الثواب حینئذٍ من مصادیق الظلم، نعم إنّه ینافی حکمة الباری الحکیم لأنّ لازمه التسویة بین المطیع والعاصی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فالاستحقاق فی المقام لا ینافی التفضّل، بل یکون بحسب الحقیقة من مصادیقه، نعم قد یجتمع مع تفضّل أکثر یعبّر عنه فی لسان الآیات بالفضل کما یعبرّ عن الأوّل بالأجر، ویدلّ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لِیُوَفّیَهُم أُجُورَهُم وَیَزیدَهُم مِن فَضْلِه</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 واختلاف التعبیر ناظر إلی اختلاف مراتب الفضل، فالتعبیر بالأجر مخصوص بمرتبة من التفضّل یعطی علی أساس الکسب والعمل ولیاقة اکتسبها العبد بالطاعة وترک المعصیة، والتعبیر بالفضل مختصّ بمرتبة اخری ولیس علی أساس العمل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الفراغ عن بیان حقیقة الثواب، یقع الکلام فی ترتّب الثواب علی الواجب الغیری وقد ذکر فیه وجوه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ترتّب الثواب مطلقاً، وهو ما ذهب إلیه المحقّق الخراسانی رحمه الله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 بین ما تعلّق به الأمر الأصلی وما تعلّق به الأمر التبعی، فیترتّب الثواب علی الأوّل دون الثانی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التفصیل بین ما إذا أتی بالمقدّمات بشرط قصد التوصّل به إلی الواجب النفسی، وما إذا أتی بها لا بهذا القصد، فیترتّب الثواب علی الأوّل دون 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 فی المسألة هو ترتّب الثواب علی المقدّمة بشرط قصد التوصّل بها إلی ذیها مضافاً إلی إشتراط الوصول الفعلی إلی ذی المقدّمة لولا المانع، أی یترتّب الثواب علی خصوص المقدّمة الموصلة مع قصد التوصّل بها، بل یترتّب الثواب أیضاً حتّی لو لم یصل إلی ذی المقدّمة لحدوث مانع غیر إختیاری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أصل ترتّب الثواب علی المقدّمة فی مقابل من ینکره علی الإطلاق فلما مرّ من أنّ الاستحقاق فیما نحن فیه إنّما هو بمعنی لیاقة یکتسبها العبد بطاعته وتقرّبه، وأنّ حکمة المولی الحکیم تقتضی عدم التسویة بین المطیع والعاصی، فإنّه لا إشکال أیضاً فی أنّ هذه اللیاقة وهذا التقرّب یحصل وجداناً لمن أتی بالمقدّمات بقصد التوصّل إلی ذی المقدّمة حیث إنّ العبد بإتیانه المقدّمات یتقرّب إلی الواجب، والوجدان حاکم بأنّ المتقرّب إلی ما أوجبه اللَّه تعالی متقرّب إلی اللَّه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ویدلّ علیه ما ورد من ترتّب الثواب علی المقدّمات، نظیر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بِأَنَّهُمْ لَایُصیبُهُمْ ظَمَأٌ وَلَا نَصَبٌ وَلَا مَخْمَصَةٌ فِی سَبیلِ اللَّه وَلَا یَطَئُونَ مَوْطِئاً یَغِیظُ الْکُفَّارَ وَلا یَنَالُونَ مِنْ عَدُوٍّ نَیْلًا إِلَّا کُتِبَ لَهُمْ بِهِ عَمَلٌ صَالِحٌ إِنَّ اللَّه لَایُضِیعُ أَجْرَ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یُنفِقُونَ نَفَقَةً صَغِیرَةً وَلا کَبِیرَةً وَلا یَقْطَعُونَ وَادِیاً إِلَّا کُتِبَ لَهُمْ لِیَجْزیَهُمْ اللَّه أَحْسَنَ مَا کَانُوا یَعْمَلُون</w:t>
      </w:r>
      <w:r>
        <w:rPr>
          <w:rFonts w:eastAsia="Amiri" w:cs="Amiri" w:ascii="Amiri" w:hAnsi="Amiri"/>
          <w:color w:val="111111"/>
          <w:sz w:val="28"/>
          <w:szCs w:val="28"/>
          <w:rtl w:val="true"/>
          <w:lang w:bidi="ar-SA"/>
        </w:rPr>
        <w:t>»</w:t>
      </w:r>
      <w:r>
        <w:rPr>
          <w:rStyle w:val="FootnoteAnchor"/>
          <w:rtl w:val="true"/>
        </w:rPr>
        <w:footnoteReference w:id="405"/>
      </w:r>
      <w:r>
        <w:rPr>
          <w:rFonts w:ascii="IRNazanin" w:hAnsi="IRNazanin" w:eastAsia="IRNazanin"/>
          <w:color w:val="111111"/>
          <w:sz w:val="28"/>
          <w:sz w:val="28"/>
          <w:szCs w:val="28"/>
          <w:rtl w:val="true"/>
          <w:lang w:bidi="fa-IR"/>
        </w:rPr>
        <w:t xml:space="preserve">، ونظیر ما ورد بالنسبة إلی زیارة قبر الإمام أبی عبداللَّه الحسین علیه السلام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ترتّبه علی خصوص ما إذا قصد بإتیان المقدّمة الوصول إلی ذی المقدّمة فلأنّ التقرّب المزبور إنّما یحصل فیما إذا قصد بالمقدّمة إمتثال التکلیف والوصول إلیه</w:t>
      </w:r>
      <w:r>
        <w:rPr>
          <w:rFonts w:eastAsia="IRNazanin" w:cs="IRNazanin"/>
          <w:color w:val="111111"/>
          <w:sz w:val="28"/>
          <w:szCs w:val="28"/>
          <w:rtl w:val="true"/>
          <w:lang w:bidi="fa-IR"/>
        </w:rPr>
        <w:t>.</w:t>
      </w:r>
      <w:bookmarkStart w:id="530" w:name="pg16918_187480"/>
    </w:p>
    <w:p>
      <w:pPr>
        <w:pStyle w:val="BookText"/>
        <w:rPr/>
      </w:pPr>
      <w:bookmarkEnd w:id="530"/>
      <w:r>
        <w:rPr>
          <w:rFonts w:ascii="IRNazanin" w:hAnsi="IRNazanin" w:eastAsia="IRNazanin"/>
          <w:color w:val="111111"/>
          <w:sz w:val="28"/>
          <w:sz w:val="28"/>
          <w:szCs w:val="28"/>
          <w:rtl w:val="true"/>
          <w:lang w:bidi="fa-IR"/>
        </w:rPr>
        <w:t>وأمّا ترتّبه علی خصوص المقدّمة الموصلة بالوصول الفعلی عند عدم المانع، فلأنّه لو شرع فی المقدّمات ثمّ انصرف عنها من دون عذر لم یحصل له التقرّب المزبور</w:t>
      </w:r>
      <w:r>
        <w:rPr>
          <w:rFonts w:eastAsia="IRNazanin" w:cs="IRNazanin"/>
          <w:color w:val="111111"/>
          <w:sz w:val="28"/>
          <w:szCs w:val="28"/>
          <w:rtl w:val="true"/>
          <w:lang w:bidi="fa-IR"/>
        </w:rPr>
        <w:t>.</w:t>
      </w:r>
    </w:p>
    <w:p>
      <w:pPr>
        <w:pStyle w:val="Heading6"/>
        <w:numPr>
          <w:ilvl w:val="5"/>
          <w:numId w:val="1"/>
        </w:numPr>
        <w:rPr/>
      </w:pPr>
      <w:bookmarkStart w:id="531" w:name="__RefHeading___Toc96324_3244359995"/>
      <w:bookmarkStart w:id="532" w:name="_Toc202"/>
      <w:bookmarkEnd w:id="531"/>
      <w:r>
        <w:rPr>
          <w:rtl w:val="true"/>
        </w:rPr>
        <w:t>کلمة حول الطهارات الثلاث</w:t>
      </w:r>
      <w:bookmarkEnd w:id="532"/>
    </w:p>
    <w:p>
      <w:pPr>
        <w:pStyle w:val="BookText"/>
        <w:rPr/>
      </w:pPr>
      <w:r>
        <w:rPr>
          <w:rFonts w:ascii="IRNazanin" w:hAnsi="IRNazanin" w:eastAsia="IRNazanin"/>
          <w:color w:val="111111"/>
          <w:sz w:val="28"/>
          <w:sz w:val="28"/>
          <w:szCs w:val="28"/>
          <w:rtl w:val="true"/>
          <w:lang w:bidi="fa-IR"/>
        </w:rPr>
        <w:t>وقد استشکل فیها من جوانب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تعدّ من العبادات ویترتّب علیها الثواب، فکیف یجتمع مع القول بعدم ترتّب الثواب علیه لأجل مقدّمیتها؟</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یشترط فیها قصد التقرّب مع عدم إمکان التقرّب بالأمر الغیری المقدّمی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عبادیة هذه الطهارات متوقّفة علی قصد أمرها الغیری مع أنّ قصد الأمر فیها أیضاً متوقّف علی عبادیتها، لأنّ قصد الأمر متفرّع علی تعلّق أمر بالمقدّمة بما هی مقدّمة، والمقدّمة فی المقام هی الطهارات الثلاث بوصف أنّها عبادة، فیلزم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والمختار فی الجواب عن الأوّل والثانی ما مرّ من إمکان التقرّب بالمقدّمة وترتّب الثواب علیها إذا أتی بها بقصد التوصّل إلی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 فإنّا نسلّم کون عبادیة الطهارات متوقّفة علی قصد الأمر، ولکن توقّف قصد الأمر علی عبادیة الطهارات إنّما یوجب الدور فیما إذا کان المتوقّف علیه عبادیتها فی الرتبة السابقة علی الأمر أو المقارنة معه، مع أنّه عبارة عن اجتماع شرائط العبادة حین الإمتثال، أی أنّ تعلّق أمر المولی بها لا یحتاج إلی کونها عبادة حین الأمر بل إنّه یأمر بها لاجتماع شرائط العبادة فیها حین الإمتثال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نظیر توقّف الأمر علی قدرة المکلّف، فإنّه لیس معناه لزوم القدرة علی الفعل حین الأمر، بل تکفی حین الإمتثال، فلو کان العاجز یقدر علی العمل بعد</w:t>
      </w:r>
      <w:bookmarkStart w:id="533" w:name="pg16918_187481"/>
    </w:p>
    <w:p>
      <w:pPr>
        <w:pStyle w:val="BookText"/>
        <w:rPr/>
      </w:pPr>
      <w:bookmarkEnd w:id="533"/>
      <w:r>
        <w:rPr>
          <w:rFonts w:ascii="IRNazanin" w:hAnsi="IRNazanin" w:eastAsia="IRNazanin"/>
          <w:color w:val="111111"/>
          <w:sz w:val="28"/>
          <w:sz w:val="28"/>
          <w:szCs w:val="28"/>
          <w:rtl w:val="true"/>
          <w:lang w:bidi="fa-IR"/>
        </w:rPr>
        <w:t>الأمر وحین الإمتثال کان للمولی أن یأمره، ولذلک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القدرة شرط للإمتثال لا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شرطیة قصد الأمر فی عبادیة العبادة، وأمّا بناءً علی ما سیأتی فی مبحث التعبّدی والتوصّلی من أنّها لیست منوطة بقصد الأمر فالأمر أوضح</w:t>
      </w:r>
      <w:r>
        <w:rPr>
          <w:rFonts w:eastAsia="IRNazanin" w:cs="IRNazanin"/>
          <w:color w:val="111111"/>
          <w:sz w:val="28"/>
          <w:szCs w:val="28"/>
          <w:rtl w:val="true"/>
          <w:lang w:bidi="fa-IR"/>
        </w:rPr>
        <w:t>.</w:t>
      </w:r>
    </w:p>
    <w:p>
      <w:pPr>
        <w:pStyle w:val="Heading6"/>
        <w:numPr>
          <w:ilvl w:val="5"/>
          <w:numId w:val="1"/>
        </w:numPr>
        <w:rPr/>
      </w:pPr>
      <w:bookmarkStart w:id="534" w:name="__RefHeading___Toc96326_3244359995"/>
      <w:bookmarkStart w:id="535" w:name="_Toc203"/>
      <w:bookmarkEnd w:id="534"/>
      <w:r>
        <w:rPr/>
        <w:t>4</w:t>
      </w:r>
      <w:r>
        <w:rPr>
          <w:rtl w:val="true"/>
        </w:rPr>
        <w:t xml:space="preserve">. </w:t>
      </w:r>
      <w:r>
        <w:rPr>
          <w:rtl w:val="true"/>
        </w:rPr>
        <w:t>الأصلی والتبعی</w:t>
      </w:r>
      <w:bookmarkEnd w:id="535"/>
    </w:p>
    <w:p>
      <w:pPr>
        <w:pStyle w:val="BookText"/>
        <w:rPr/>
      </w:pPr>
      <w:r>
        <w:rPr>
          <w:rFonts w:ascii="IRNazanin" w:hAnsi="IRNazanin" w:eastAsia="IRNazanin"/>
          <w:color w:val="111111"/>
          <w:sz w:val="28"/>
          <w:sz w:val="28"/>
          <w:szCs w:val="28"/>
          <w:rtl w:val="true"/>
          <w:lang w:bidi="fa-IR"/>
        </w:rPr>
        <w:t xml:space="preserve">إنّ الأصالة والتبعیّة تارةً تلحظان بالنسبة إلی مقام الدلالة والإثبات کما لاحظهما المحقّق القمّی وصاحب الفصول، فعرّفهما المحقّق القمّی بأنّ الواجب الأصلی ما یکون مقصوداً بالإفادة من الکلام، والواجب التبعی ما لا یکون مقصوداً بالإفادة من الکلام، وإن استفید تبعاً، کدلالة الآیتین علی أقلّ الحمل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وعرّفهما المحقّق صاحب الفصول بأنّ الأصلی ما فهم وجوبه بخطاب مستقلّ، أی غیر لازم لخطاب آخر وإن کان وجوبه تابعاً لوجوب غیره، والتبعی بخلافه، وهو ما فهم وجوبه تبعاً لخطاب آخر وإن کان وجوبه مستقلًاّ کما فی المفاهیم، فالمناط فی الأصالة والتبعیة هو الاستقلال بالخطاب وعدمه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مقام الثبوت کما فی تقریرات شیخنا الأعظم رحمه الله </w:t>
      </w:r>
      <w:r>
        <w:rPr>
          <w:rStyle w:val="FootnoteAnchor"/>
          <w:rtl w:val="true"/>
        </w:rPr>
        <w:footnoteReference w:id="409"/>
      </w:r>
      <w:r>
        <w:rPr>
          <w:rFonts w:ascii="IRNazanin" w:hAnsi="IRNazanin" w:eastAsia="IRNazanin"/>
          <w:color w:val="111111"/>
          <w:sz w:val="28"/>
          <w:sz w:val="28"/>
          <w:szCs w:val="28"/>
          <w:rtl w:val="true"/>
          <w:lang w:bidi="fa-IR"/>
        </w:rPr>
        <w:t>فالأصلی حینئذٍ عبارة عمّا تعلّقت به إرادة مستقلّة من جهة الالتفات إلیه بما هو علیه من المصلحة، والتبعی عبارة عمّا لم تتعلّق به إرادة مستقلّة لعدم الالتفات إلیه بما یوجب إرادته کذلک، وإن تعلّقت به إرادة إجمالیة تبعاً لإرادة غیره کما فی الواجبات الغیریّة الترشّحیة</w:t>
      </w:r>
      <w:r>
        <w:rPr>
          <w:rFonts w:eastAsia="IRNazanin" w:cs="IRNazanin"/>
          <w:color w:val="111111"/>
          <w:sz w:val="28"/>
          <w:szCs w:val="28"/>
          <w:rtl w:val="true"/>
          <w:lang w:bidi="fa-IR"/>
        </w:rPr>
        <w:t>.</w:t>
      </w:r>
      <w:bookmarkStart w:id="536" w:name="pg16918_187482"/>
    </w:p>
    <w:p>
      <w:pPr>
        <w:pStyle w:val="BookText"/>
        <w:rPr/>
      </w:pPr>
      <w:bookmarkEnd w:id="536"/>
      <w:r>
        <w:rPr>
          <w:rFonts w:ascii="IRNazanin" w:hAnsi="IRNazanin" w:eastAsia="IRNazanin"/>
          <w:color w:val="111111"/>
          <w:sz w:val="28"/>
          <w:sz w:val="28"/>
          <w:szCs w:val="28"/>
          <w:rtl w:val="true"/>
          <w:lang w:bidi="fa-IR"/>
        </w:rPr>
        <w:t>ولکن لا یهمّنا البحث عنه، لعدم ترتّب ثمرة اصولیة أو فقهیة علیه، فإنّه مجرّد اصطلاح ولا مشاحّة فی الاصطلاح</w:t>
      </w:r>
      <w:r>
        <w:rPr>
          <w:rFonts w:eastAsia="IRNazanin" w:cs="IRNazanin"/>
          <w:color w:val="111111"/>
          <w:sz w:val="28"/>
          <w:szCs w:val="28"/>
          <w:rtl w:val="true"/>
          <w:lang w:bidi="fa-IR"/>
        </w:rPr>
        <w:t>.</w:t>
      </w:r>
    </w:p>
    <w:p>
      <w:pPr>
        <w:pStyle w:val="Heading6"/>
        <w:numPr>
          <w:ilvl w:val="5"/>
          <w:numId w:val="1"/>
        </w:numPr>
        <w:rPr/>
      </w:pPr>
      <w:bookmarkStart w:id="537" w:name="__RefHeading___Toc96328_3244359995"/>
      <w:bookmarkStart w:id="538" w:name="_Toc204"/>
      <w:bookmarkEnd w:id="537"/>
      <w:r>
        <w:rPr/>
        <w:t>5</w:t>
      </w:r>
      <w:r>
        <w:rPr>
          <w:rtl w:val="true"/>
        </w:rPr>
        <w:t xml:space="preserve">. </w:t>
      </w:r>
      <w:r>
        <w:rPr>
          <w:rtl w:val="true"/>
        </w:rPr>
        <w:t>التعبّدی والتوصّلی</w:t>
      </w:r>
      <w:bookmarkEnd w:id="538"/>
    </w:p>
    <w:p>
      <w:pPr>
        <w:pStyle w:val="Heading6"/>
        <w:numPr>
          <w:ilvl w:val="5"/>
          <w:numId w:val="1"/>
        </w:numPr>
        <w:rPr/>
      </w:pPr>
      <w:bookmarkStart w:id="539" w:name="__RefHeading___Toc96330_3244359995"/>
      <w:bookmarkStart w:id="540" w:name="_Toc205"/>
      <w:bookmarkEnd w:id="539"/>
      <w:r>
        <w:rPr>
          <w:rtl w:val="true"/>
        </w:rPr>
        <w:t>اشارة</w:t>
      </w:r>
      <w:bookmarkEnd w:id="540"/>
    </w:p>
    <w:p>
      <w:pPr>
        <w:pStyle w:val="BookText"/>
        <w:rPr/>
      </w:pPr>
      <w:r>
        <w:rPr>
          <w:rFonts w:ascii="IRNazanin" w:hAnsi="IRNazanin" w:eastAsia="IRNazanin"/>
          <w:color w:val="111111"/>
          <w:sz w:val="28"/>
          <w:sz w:val="28"/>
          <w:szCs w:val="28"/>
          <w:rtl w:val="true"/>
          <w:lang w:bidi="fa-IR"/>
        </w:rPr>
        <w:t>المشهور أنّ الواجب التوصّلی ما لا یتوقّف حصول الإمتثال أو حصول الغرض فیه علی قصد القربة نظیر تطهیر المسجد، فإنّ الغرض فیه یحصل وبتبعه یسقط الأمر بمجرّد التطهیر من دون قصد القربة أو قصد الأمر وبأیّ طریق حصل التطهیر، وأمّا الواجب التعبّدی فهو ما یتوقّف حصول الغرض والإمتثال فیه علی قصد القربة</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تعریف ببعض اللوازم ولیس بیاناً لماهیّة الواجب التعبّدی والتوصّلی، فإنّ اعتبار قصد القربة أو عدمه ینشأ من خصوصیة فی ماهیة الواجب التعبّدی أو لتوصّلی وإنّهما مع قطع النظر عن قصد القربة مفترقان ماهیة وذاتاً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الأفعال الاختیاریّة للإنسان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یأتی بها لرفع حاجاته الیومیّة کالتجارة والبیع والنکاح وغیرها، وما یأتی بها لإظهار العبودیّة والخضوع فی مقابل ربّه ومولاه، وهی أیضاً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بذاته تعظیماً ویعدّ خضوعاً وعبودیّة کالسجدة فإنّها تعدّ بذاتها عبودیّة ولو مع عدم قصد القربة ووقوعها فی مقابل أیّ شخص أو أیّ شی‌ء، وهی عبادة ولو وقعت فی مقابل الصنم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عبادة ولکن لا بذاته وماهیّته بل باعتبار جعل المولی کالطواف، والسعی وغیر ذلک من أشباهها من العبادات الشرعیّة، فإنّها امور وضعت للخضوع والتعظیم فی مقابل المولی الحکیم، فإنّه جعلها للعبادة والعبودیّة ووسیلة للتقرّب</w:t>
      </w:r>
      <w:bookmarkStart w:id="541" w:name="pg16918_187483"/>
    </w:p>
    <w:p>
      <w:pPr>
        <w:pStyle w:val="BookText"/>
        <w:rPr/>
      </w:pPr>
      <w:bookmarkEnd w:id="541"/>
      <w:r>
        <w:rPr>
          <w:rFonts w:ascii="IRNazanin" w:hAnsi="IRNazanin" w:eastAsia="IRNazanin"/>
          <w:color w:val="111111"/>
          <w:sz w:val="28"/>
          <w:sz w:val="28"/>
          <w:szCs w:val="28"/>
          <w:rtl w:val="true"/>
          <w:lang w:bidi="fa-IR"/>
        </w:rPr>
        <w:t>إلیه، ولا إشکال فی أنّ هذا القسم أیضاً تعدّ من العبادات بالجعل والاعتبار مع قطع النظر عن قصد القربة والتعظیم وقصد العبادة، ولکنّ العبادة المطلوبة تتحقّق بقصد القربة لا بذات العمل</w:t>
      </w:r>
      <w:r>
        <w:rPr>
          <w:rFonts w:eastAsia="IRNazanin" w:cs="IRNazanin"/>
          <w:color w:val="111111"/>
          <w:sz w:val="28"/>
          <w:szCs w:val="28"/>
          <w:rtl w:val="true"/>
          <w:lang w:bidi="fa-IR"/>
        </w:rPr>
        <w:t>.</w:t>
      </w:r>
    </w:p>
    <w:p>
      <w:pPr>
        <w:pStyle w:val="Heading6"/>
        <w:numPr>
          <w:ilvl w:val="5"/>
          <w:numId w:val="1"/>
        </w:numPr>
        <w:rPr/>
      </w:pPr>
      <w:bookmarkStart w:id="542" w:name="__RefHeading___Toc96332_3244359995"/>
      <w:bookmarkStart w:id="543" w:name="_Toc206"/>
      <w:bookmarkEnd w:id="542"/>
      <w:r>
        <w:rPr>
          <w:rtl w:val="true"/>
        </w:rPr>
        <w:t>الفرق بین التعبّدی والتوصّلی</w:t>
      </w:r>
      <w:bookmarkEnd w:id="543"/>
    </w:p>
    <w:p>
      <w:pPr>
        <w:pStyle w:val="BookText"/>
        <w:rPr/>
      </w:pPr>
      <w:r>
        <w:rPr>
          <w:rFonts w:ascii="IRNazanin" w:hAnsi="IRNazanin" w:eastAsia="IRNazanin"/>
          <w:color w:val="111111"/>
          <w:sz w:val="28"/>
          <w:sz w:val="28"/>
          <w:szCs w:val="28"/>
          <w:rtl w:val="true"/>
          <w:lang w:bidi="fa-IR"/>
        </w:rPr>
        <w:t>لا ینحصر الفرق بین التعبّدی والتوصّلی فی قصد القربة وعدمه فقط، بل إنّهما تفترقان فی الماهیة أیضاً، فماهیّة العمل التعبّدی تفترق عن ماهیة العمل التوصّلی، فإنّ للعبادة الّتی توجب التقرّب إلی المولی رکنین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فاعلی وهو أن یکون العبد فی مقام الإطاعة والتقرّب إلی المولی، وحسن فعلی وهو أن یکون ذات العمل مطلوباً 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ذکر أنحاء أربعة لقصد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الأمر،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المحبوبیّة،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المصلحة، 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کون العمل للّه وأنّه أهل للعبادة</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یتصوّر فیما تکون عبادیته بالجعل والاعتبار؛ حیث إنّ هذا القسم من الامور العبادیّة تحتاج فی تحدیدها وتعیین نوعها وکیفیتها إلی أمر واعتبار من ناحیة الشارع، وأمّا ما تکون عبادیته ذاتیة کالسجود فلا حاجة فیها إلی قصد الأمر لیکون عبادة لأنّها خضوع ذاتاً، و لابدّ من قصد الأمر فیما إذا تصوّر لعمل واحد دواعٍ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فیه حیث إنّ قصد المحبوبیّة أیضاً یمکن أن یصیر داعیاً؛ احترازاً عن سائر الدواعی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المقصود من المصلحة ما یترتّب علی العبادة من الکمال المعنوی، فهو یرجع إلی قصد المحبوبیّة، وإن کان المراد منها المصالح المادیّة</w:t>
      </w:r>
      <w:bookmarkStart w:id="544" w:name="pg16918_187484"/>
    </w:p>
    <w:p>
      <w:pPr>
        <w:pStyle w:val="BookText"/>
        <w:rPr/>
      </w:pPr>
      <w:bookmarkEnd w:id="544"/>
      <w:r>
        <w:rPr>
          <w:rFonts w:ascii="IRNazanin" w:hAnsi="IRNazanin" w:eastAsia="IRNazanin"/>
          <w:color w:val="111111"/>
          <w:sz w:val="28"/>
          <w:sz w:val="28"/>
          <w:szCs w:val="28"/>
          <w:rtl w:val="true"/>
          <w:lang w:bidi="fa-IR"/>
        </w:rPr>
        <w:t>کالصحّة فی الصیام، فلا إشکال فی عدم إمکان التقرّب بقصدها، فإنّ هذه المصالح لیست اموراً قربیّة إلّاإذا لوحظ کونها مقدّمة للعبادة والإطاعة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أیضاً، لأنّ التقرّب بعمل خاصّ متفرّع علی عبادیّته فی الرتبة السابقة إمّا ذاتاً أو بالجعل والاعتبار، فإن کان عبادة ذاتاً فهو وإلّا فلابدّ لصیرورته عبادة من أن یقصد محبوبیّته عند اللَّه أو کونه مأموراً به حتّی یمتاز عن أشباهه ونظائره، وأمّا مجرّد إتیانه لأنّ اللَّه تعالی أهل للعبادة لا یوجب عبادیّته، فإنّه أهل للعبادة بلا ریب، ولکن لابدّ أن یکون العمل أهلًا لمقامه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من الأنحاء الأربعة فی العبادات المجعولة من جانب الشارع إنّما هو القسم الأوّل والثانی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حاجة إلی شی‌ء من ذلک فی العبادات الذاتیّة، نعم إذا أتی بالسجدة بقصد کونها للَّه‌تکون عبادة للَّه، وإن أراد بها الصنم تکون عبادة للصنم، فهی عبادة علی کلّ حال ذاتاً من دون حاجة إلی جعل واعتبار</w:t>
      </w:r>
      <w:r>
        <w:rPr>
          <w:rFonts w:eastAsia="IRNazanin" w:cs="IRNazanin"/>
          <w:color w:val="111111"/>
          <w:sz w:val="28"/>
          <w:szCs w:val="28"/>
          <w:rtl w:val="true"/>
          <w:lang w:bidi="fa-IR"/>
        </w:rPr>
        <w:t>.</w:t>
      </w:r>
    </w:p>
    <w:p>
      <w:pPr>
        <w:pStyle w:val="Heading6"/>
        <w:numPr>
          <w:ilvl w:val="5"/>
          <w:numId w:val="1"/>
        </w:numPr>
        <w:rPr/>
      </w:pPr>
      <w:bookmarkStart w:id="545" w:name="__RefHeading___Toc96334_3244359995"/>
      <w:bookmarkStart w:id="546" w:name="_Toc207"/>
      <w:bookmarkEnd w:id="545"/>
      <w:r>
        <w:rPr>
          <w:rtl w:val="true"/>
        </w:rPr>
        <w:t>إمکان أخذ قصد الأمر فی المأمور به</w:t>
      </w:r>
      <w:bookmarkEnd w:id="546"/>
    </w:p>
    <w:p>
      <w:pPr>
        <w:pStyle w:val="BookText"/>
        <w:rPr/>
      </w:pPr>
      <w:r>
        <w:rPr>
          <w:rFonts w:ascii="IRNazanin" w:hAnsi="IRNazanin" w:eastAsia="IRNazanin"/>
          <w:color w:val="111111"/>
          <w:sz w:val="28"/>
          <w:sz w:val="28"/>
          <w:szCs w:val="28"/>
          <w:rtl w:val="true"/>
          <w:lang w:bidi="fa-IR"/>
        </w:rPr>
        <w:t xml:space="preserve">قد وقع الخلاف بین الأعلام فی أنّه، هل یجوز أخذ قصد الأمر فی متعلّقه شرعاً أو لا؟ ذهب جماعة منهم إلی عدم الإمکان وأنّ قصد الأمر ممّا یعتبر فی العبادات عقلًا لا شرعاً ولهم بیانات مختلفة فی امتناعه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الوجدان أصدق شاهد علی إمکان أخذ قصد الأمر فی المأمور به کأن یقول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کبّر واسجد وارکع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قصد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 ما ذکر من الإشکال شبهة فی مقابل الوجدان لا یعتنی به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سلّمنا استحالة أخذ قصد الأمر فی متعلّق الأمر، ولکن الطریق فی جعل عبادیة العبادات وأخذ قصد التقرّب بها فی المتعلّق لیس منحصراً فی أخذ قصد</w:t>
      </w:r>
    </w:p>
    <w:p>
      <w:pPr>
        <w:pStyle w:val="BookText"/>
        <w:rPr/>
      </w:pPr>
      <w:r>
        <w:rPr>
          <w:rFonts w:ascii="IRNazanin" w:hAnsi="IRNazanin" w:eastAsia="IRNazanin"/>
          <w:color w:val="111111"/>
          <w:sz w:val="28"/>
          <w:sz w:val="28"/>
          <w:szCs w:val="28"/>
          <w:rtl w:val="true"/>
          <w:lang w:bidi="fa-IR"/>
        </w:rPr>
        <w:t>الأمر فیه، بل یکفی أخذ قصد المحبوبیّة أو قصد المصلحة المعنویّة فی المتعلّق فیقال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بقصد المحبوبیّة أو بقصد المصلحة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یأخذه المولی فی المتعلّق وأطلقه نتمسّک بإطلاقه لعدم اعتبار قصد القربة وعدم کون الواجب تعبّدیاً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ذُکر هاهنا طریق آخر لأخذ قصد الأمر فی المأمور به، وهو ما أفاده الشّیخ الأعظم رحمه الله علی ما فی تقریراته، من تصحیح اعتبار قصد الأمر فی المأمور به من طریق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یتعلّق بذات العمل والآخر بإتیانه بداعی أمره، فلو لم یعتبر المولی قصد القربة بواسطة أمر ثانٍ وکان هو فی مقام البیان نستکشف عدم اعتباره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 علیه المحقّق الخراسانی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نقطع بأنّه لیس فی العبادات إلّاأمر واحد کما فی الواجبات التوصّلیّة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الأمر الأوّل المتعلّق بأصل الفعل إن کان توصّلیاً یسقط بمجرّد الإتیان بالفعل ولو بغیر داعی أمره فلا یکاد یبقی مجال لموافقة الأمر الثانی، لسقوط الأمر الأوّل بمجرّد الإتیان بالفعل لا بداعی أمره، وإن کان تعبّدیاً لا یسقط بمجرّد الإتیان بالفعل بغیر داعی أمره، فلا وجه لعدم السقوط إلّاکون الواجب عبادیاً لا یحصل الغرض منه إلّامع الإتیان به بداعی أمره، ومع کون الواجب کذلک یستقلّ العقل لا محالة بوجوب إتیانه علی نحو یحصل به الغرض أی بداعی أمره وعلی وجه التقرّب به من دون حاجة إلی أمر آخر بإتیانه کذلک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یرد علی جوابه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یوجد فی باب العبادات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متعلّق بذات العمل، والآخر بإتیانه بداعی أمره، وهو ما یستفاد من إجماع الفقهاء علی اعتبار قصد القربة</w:t>
      </w:r>
      <w:r>
        <w:rPr>
          <w:rStyle w:val="FootnoteAnchor"/>
          <w:rtl w:val="true"/>
        </w:rPr>
        <w:footnoteReference w:id="415"/>
      </w:r>
      <w:r>
        <w:rPr>
          <w:rFonts w:ascii="IRNazanin" w:hAnsi="IRNazanin" w:eastAsia="IRNazanin"/>
          <w:color w:val="111111"/>
          <w:sz w:val="28"/>
          <w:sz w:val="28"/>
          <w:szCs w:val="28"/>
          <w:rtl w:val="true"/>
          <w:lang w:bidi="fa-IR"/>
        </w:rPr>
        <w:t>فإنّه کدلیل منفصل وارد بعد الأوامر العبادیة، فإنّ المقصود من</w:t>
      </w:r>
    </w:p>
    <w:p>
      <w:pPr>
        <w:pStyle w:val="BookText"/>
        <w:rPr/>
      </w:pPr>
      <w:r>
        <w:rPr>
          <w:rFonts w:ascii="IRNazanin" w:hAnsi="IRNazanin" w:eastAsia="IRNazanin"/>
          <w:color w:val="111111"/>
          <w:sz w:val="28"/>
          <w:sz w:val="28"/>
          <w:szCs w:val="28"/>
          <w:rtl w:val="true"/>
          <w:lang w:bidi="fa-IR"/>
        </w:rPr>
        <w:t>الأمر إنّما هو الدلیل الکاشف عن قول المعصوم علیه السلام ولا إشکال فی أنّ الإجماع دلیل شرعی یوجب القطع بصدور أمر من المعصوم علیه السلام یدلّ علی اعتبار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جوابه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نختار الشقّ الثانی وهو کون الأمر الأوّل تعبّدیاً لا یسقط بمجرّد الإتیان بالفعل بغیر داعی أمره، ولکن مع ذلک لا یکون الأمر الثانی لغواً، لأنّ الکاشف عن تعبّدیة الأمر الأوّل وعدم حصول الغرض منه إلّابداعی أمره إنّما هو الأمر الثانی، ولیس هناک دلیل آخر فی مقام الإثبات إلّاالأمر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فرضنا استحالة أخذ قصد الأمر فی المأمور به بأمر واحد وانحصار طریق أخذه بأمرین، فلا إشکال فی أنّ الإطلاق الذی یتمسّک به فی صورة عدم أخذ قصد الأمر بأمر ثانٍ لیس إطلاقاً لفظیّاً؛ لأنّ المفروض عدم إمکان تقیید الأمر الأوّل بقصد الأمر حتّی یتصوّر فیه الإطلاق، بل هو إطلاق مقامی، وهو عبارة عن کون المولی فی مقام بیان حکم أفراد کثیرة من دون أن یصوغه فی صیاغ واحد شامل لجمیع الأفراد، بل یذکر حکم کلّ فرد فرد بصیغة خاصّة فیقول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کبّر، اسجد، ارکع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لو شککنا فی وجوب جزء خاصّ أو قید خاصّ فلیس هنا لفظ یمکن أن یقیّده بذلک الجزء، کأن یسأل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الأغسال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غسل الجنابة والحیض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ذکر غسل الجمعة، فیعلم منه بمقتضی الإطلاق المقامی عدم وجوبه، فإنّ المولی لو تعلّق غرضه بجزء آخر لذکره، وحیث إنّه لم یذکره مع کونه فی مقام البیان ولم یقل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عرض سائر أجزاء الصلاة نعلم منه عدم وجوب القنوت وجزئیّته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مّما ذکرنا أنّه یمکن أخذ قصد القربة فی المأمور به بثلاثة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قصد الأمر فی متعلّق الأمر الأوّل، وأخذه فی الأمر الثانی، وأخذ مطلق قصد القربة فی المتعلّق الأعمّ من قصد الأمر وقصد المحبوبیّة وغیرهما، علی ما عرفت تفصیله</w:t>
      </w:r>
      <w:r>
        <w:rPr>
          <w:rFonts w:eastAsia="IRNazanin" w:cs="IRNazanin"/>
          <w:color w:val="111111"/>
          <w:sz w:val="28"/>
          <w:szCs w:val="28"/>
          <w:rtl w:val="true"/>
          <w:lang w:bidi="fa-IR"/>
        </w:rPr>
        <w:t>.</w:t>
      </w:r>
      <w:bookmarkStart w:id="547" w:name="pg16918_187487"/>
    </w:p>
    <w:p>
      <w:pPr>
        <w:pStyle w:val="Heading6"/>
        <w:numPr>
          <w:ilvl w:val="5"/>
          <w:numId w:val="1"/>
        </w:numPr>
        <w:rPr/>
      </w:pPr>
      <w:bookmarkStart w:id="548" w:name="__RefHeading___Toc96336_3244359995"/>
      <w:bookmarkStart w:id="549" w:name="_Toc208"/>
      <w:bookmarkEnd w:id="547"/>
      <w:bookmarkEnd w:id="548"/>
      <w:r>
        <w:rPr>
          <w:rtl w:val="true"/>
        </w:rPr>
        <w:t>هل الأصل فی الأوامر هو التعبّدیّة أو التوصّلیّة؟</w:t>
      </w:r>
      <w:bookmarkEnd w:id="549"/>
    </w:p>
    <w:p>
      <w:pPr>
        <w:pStyle w:val="BookText"/>
        <w:rPr/>
      </w:pPr>
      <w:r>
        <w:rPr>
          <w:rFonts w:ascii="IRNazanin" w:hAnsi="IRNazanin" w:eastAsia="IRNazanin"/>
          <w:color w:val="111111"/>
          <w:sz w:val="28"/>
          <w:sz w:val="28"/>
          <w:szCs w:val="28"/>
          <w:rtl w:val="true"/>
          <w:lang w:bidi="fa-IR"/>
        </w:rPr>
        <w:t>فیه أقوال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الأصل هو التوصّلیّة وهو المختار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الأصل هو التعبّدیّة وهو المنقول من الکلباسی صاحب الإشارات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الأصل اللّفظی فلابدّ من الرجوع إلی الاصول العملیّة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أنّه یمکن للمولی أخذ قصد الأمر ضمن أمر واحد أو أمرین فحیث لم یأخذه وکان فی مقام البیان نتمسّک بالإطلاق، ونثبت به عدم اعتباره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فاستدلّ له بامور، أهمّها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غرض المولی من الأمر هو إیجاد الداعی فی المکلّف للعمل والشعور بالمسؤولیّة أمام المولی، وکلّما حصل هذا الغرض حصل قصد القربة طبعاً؛ لأنّه لیس إلّاإحساس المکلّف بالمسؤولیّة أمام المولی وانبعاثه من بعثه، فالأصل الأوّلی فی الأوامر أن تکون تعبّدیّة، والتوصّلیّة تحتاج إلی دلیل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دلیل علی أنّ غرض المولی فی أوامره هو تحریک العبد مطلقاً، حیث یمکن أن یکون غرضه تحریک العبد فیما إذا لم یکن متحرّکاً بنفسه، فلو علم المولی بتحرّک العبد بنفسه وحرکته إلی الماء مثلًا لرفع عطش المولی لم یأمره بإتیان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وظیفة العبد إنّما هو تحصیل غرض المولی من المأمور به لا قصد التقرّب</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امِرُوا إلّالِیَعْبُدُوا اللَّه مُخْلِصِینَ لَهُ الدِّینَ حُنَفَاءَ وَیُقِیمُوا الصَّلَاةَ وَیُؤْتُوا الزَّکَاةَ وَذَلِکَ دِینُ الْقَیِّمَةِ</w:t>
      </w:r>
      <w:r>
        <w:rPr>
          <w:rFonts w:eastAsia="Amiri" w:cs="Amiri" w:ascii="Amiri" w:hAnsi="Amiri"/>
          <w:color w:val="111111"/>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 ببیان أنّها تدلّ علی أنّ جمیع الأوامر صدر</w:t>
      </w:r>
      <w:bookmarkStart w:id="550" w:name="pg16918_187488"/>
    </w:p>
    <w:p>
      <w:pPr>
        <w:pStyle w:val="BookText"/>
        <w:rPr/>
      </w:pPr>
      <w:bookmarkEnd w:id="550"/>
      <w:r>
        <w:rPr>
          <w:rFonts w:ascii="IRNazanin" w:hAnsi="IRNazanin" w:eastAsia="IRNazanin"/>
          <w:color w:val="111111"/>
          <w:sz w:val="28"/>
          <w:sz w:val="28"/>
          <w:szCs w:val="28"/>
          <w:rtl w:val="true"/>
          <w:lang w:bidi="fa-IR"/>
        </w:rPr>
        <w:t>من جانب الباری تعالی للعبادة مخلصاً والإخلاص عبارة عن قصد التقرّب فی العمل، ولازمه أن تکون جمیع الأوامر الشرعیّة تعبّدیّة إلّاما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الآیة إنّما تکون فی مقام نفی الشرک وإثبات التوحید کما یشهد علیه سائر آیات هذه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فاستدلّ له بأنّ التقابل بین الإطلاق والتقیید تقابل العدم والملکة فیتصوّر الإطلاق فیما یتصوّر التقیید فیه، وحیث إنّ التقیید ممتنع هنا یکون الإطلاق أیضاً ممتنعاً، فیکون الحقّ حینئذٍ هو الإهمال وعدم الإطلاق مطلقاً</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وجوابه یظهر ممّا سبق من إمکان أخذ قصد الأمر فی المتعلّق فلا نلتزم بالإهمال</w:t>
      </w:r>
      <w:r>
        <w:rPr>
          <w:rFonts w:eastAsia="IRNazanin" w:cs="IRNazanin"/>
          <w:color w:val="111111"/>
          <w:sz w:val="28"/>
          <w:szCs w:val="28"/>
          <w:rtl w:val="true"/>
          <w:lang w:bidi="fa-IR"/>
        </w:rPr>
        <w:t>.</w:t>
      </w:r>
    </w:p>
    <w:p>
      <w:pPr>
        <w:pStyle w:val="Heading6"/>
        <w:numPr>
          <w:ilvl w:val="5"/>
          <w:numId w:val="1"/>
        </w:numPr>
        <w:rPr/>
      </w:pPr>
      <w:bookmarkStart w:id="551" w:name="__RefHeading___Toc96338_3244359995"/>
      <w:bookmarkStart w:id="552" w:name="_Toc209"/>
      <w:bookmarkEnd w:id="551"/>
      <w:r>
        <w:rPr>
          <w:rtl w:val="true"/>
        </w:rPr>
        <w:t>الأصل العملی فی المقام</w:t>
      </w:r>
      <w:bookmarkEnd w:id="552"/>
    </w:p>
    <w:p>
      <w:pPr>
        <w:pStyle w:val="BookText"/>
        <w:rPr/>
      </w:pPr>
      <w:r>
        <w:rPr>
          <w:rFonts w:ascii="IRNazanin" w:hAnsi="IRNazanin" w:eastAsia="IRNazanin"/>
          <w:color w:val="111111"/>
          <w:sz w:val="28"/>
          <w:sz w:val="28"/>
          <w:szCs w:val="28"/>
          <w:rtl w:val="true"/>
          <w:lang w:bidi="fa-IR"/>
        </w:rPr>
        <w:t>لو أنکرنا وجود الأصل اللّفظی إمّا من جهة عدم إمکان أخذ قصد الأمر فی المأمور به، أو عدم کون المولی فی مقام البیان، فما هو مقتضی الأصل العملی فی المقام؟</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جریان البراءة العقلیّة والشرعیّة، فالمرجع الاشتغال وأصالة التعبّدیّة</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لعدم جریان البراءة العقلیّة بأنّ الشکّ فی المقام واقع فی الخروج عن عهدة التکلیف المعلوم، والعقل یستقلّ بلزوم الخروج عن عهدته، فإذا علمنا أنّ شیئاً خاصّاً کالعتق مثلًا واجب قطعاً، ولم نعلم أنّه تعبّدی یعتبر فیه قصد القربة، أم توصّلی لا یعتبر فیه ذلک، فما لم یؤت به بقصد القربة لم یعلم الخروج عن عهدة التکلیف المعلوم تعلّقه به، فإذا لم یؤت به کذلک وقد صادف کونه تعبّدیاً یعتبر فیه</w:t>
      </w:r>
      <w:bookmarkStart w:id="553" w:name="pg16918_187489"/>
    </w:p>
    <w:p>
      <w:pPr>
        <w:pStyle w:val="BookText"/>
        <w:rPr/>
      </w:pPr>
      <w:bookmarkEnd w:id="553"/>
      <w:r>
        <w:rPr>
          <w:rFonts w:ascii="IRNazanin" w:hAnsi="IRNazanin" w:eastAsia="IRNazanin"/>
          <w:color w:val="111111"/>
          <w:sz w:val="28"/>
          <w:sz w:val="28"/>
          <w:szCs w:val="28"/>
          <w:rtl w:val="true"/>
          <w:lang w:bidi="fa-IR"/>
        </w:rPr>
        <w:t>قصد القربة، فلا یکون العقاب حینئذٍ عقاباً بلا بیان والمؤاخذة بلا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لعدم جریان البراءة الشرعیّة بأنّه لابدّ فی جریان أدلّة البراءة الشرعیّة کحدیث الرفع وأمثاله من شی‌ء قابل للرفع والوضع، وما نحن فیه لیس کذلک حیث إنّ دخل قصد القربة ونحوها فی الغرض لیس بشرعی بل واقعی فلا یقبل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مرّ إمکان أخذ قصد الأمر فی المتعلّق بطرقه الثلاثة، مضافاً إلی أنّه لا دلیل علی وجوب تحصیل غرض المولی، بل علی العبد أن یؤتی بمتعلّقات التکالیف الموجّهة إلیه فقط حتّی لو کانت نسبة المصالح والملاکات إلی متعلّقات التکالیف من قبیل المسبّبات التولیدیة إلی أسبابها أو من قبیل العلّة والمعلول التکوینیین، لأنّ الواجب فی الحقیقة إنّما هو ذات المتعلّق لا بما أنّه سبب أو علّة لأمر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الغسلتان والمسحتان فی باب الوضوء واجبتان بذاتهما لا بما أنّهما موجبتان للطهارة الباطنیة، لأنّ هذا أمر خفی علینا لابدّ للشارع من بیان أسبابه، فإذا شکّ فی مدخلیة شی‌ء فی تمامیّة علّیته أو سببیته ولم یکن دلیل علی أخذه فی متعلّق التکلیف فلا دلیل علی لزوم الإتیان به علی العبد فیکون الشکّ شکّاً فی ثبوت التکلیف وموجباً لجریان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لو سلّمنا وجوب تحصیل الغرض علی العبد، لکن تجری قاعدة قبح العقاب بلا بیان بالنسبة إلی الغرض أیضاً کما تجری بالنسبة إلی المأمور به؛ لأنّه یمکن للمولی أن یبیّن مقدار غرضه، فکما أنّ المأمور به أمره دائر بین الأقلّ والأکثر کذلک الغرض، فإنّه أیضاً مقول بالتشکیک، نعم لو کان الغرض أمراً بسیطاً وکان أمره دائراً بین الوجود والعدم فالأصل هو الاشتغال مع قطع النظر عمّا مرّ آنفاً</w:t>
      </w:r>
      <w:r>
        <w:rPr>
          <w:rFonts w:eastAsia="IRNazanin" w:cs="IRNazanin"/>
          <w:color w:val="111111"/>
          <w:sz w:val="28"/>
          <w:szCs w:val="28"/>
          <w:rtl w:val="true"/>
          <w:lang w:bidi="fa-IR"/>
        </w:rPr>
        <w:t>.</w:t>
      </w:r>
    </w:p>
    <w:p>
      <w:pPr>
        <w:pStyle w:val="Heading6"/>
        <w:numPr>
          <w:ilvl w:val="5"/>
          <w:numId w:val="1"/>
        </w:numPr>
        <w:rPr/>
      </w:pPr>
      <w:bookmarkStart w:id="554" w:name="__RefHeading___Toc96340_3244359995"/>
      <w:bookmarkStart w:id="555" w:name="_Toc210"/>
      <w:bookmarkEnd w:id="554"/>
      <w:r>
        <w:rPr/>
        <w:t>6</w:t>
      </w:r>
      <w:r>
        <w:rPr>
          <w:rtl w:val="true"/>
        </w:rPr>
        <w:t xml:space="preserve">. </w:t>
      </w:r>
      <w:r>
        <w:rPr>
          <w:rtl w:val="true"/>
        </w:rPr>
        <w:t>الموقّت وغیر الموقّت</w:t>
      </w:r>
      <w:bookmarkEnd w:id="555"/>
    </w:p>
    <w:p>
      <w:pPr>
        <w:pStyle w:val="Heading6"/>
        <w:numPr>
          <w:ilvl w:val="5"/>
          <w:numId w:val="1"/>
        </w:numPr>
        <w:rPr/>
      </w:pPr>
      <w:bookmarkStart w:id="556" w:name="__RefHeading___Toc96342_3244359995"/>
      <w:bookmarkStart w:id="557" w:name="_Toc211"/>
      <w:bookmarkEnd w:id="556"/>
      <w:r>
        <w:rPr>
          <w:rtl w:val="true"/>
        </w:rPr>
        <w:t>اشارة</w:t>
      </w:r>
      <w:bookmarkEnd w:id="55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یتصوّر الواجب من حیث الزمان علی ثلاث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له أیّ تقیّد بالزمان ولا یکون للزمان أیّ دخل فی تحقّق مصلحته وإن کان تحقّقه فی الخارج محتاجاً إلی الزمان، نظیر الأمر بالمعروف والنهی عن المنکر ونظیر أداء الدین، فإنّ مقوّم المصلحة فیهما إنّما هو نفس طبیعة الأمر بالمعروف والنهی عن المنکر ونفس طبیعة أداء الدین بحیث لو أمکن انفکاکهما عن الزمان لما وقع خلل فی تحقّق المقصود ووقوع المصلحة فیکون واجباً مطلقاً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للزمان دخل فی المصلحة ولکنّه أوسع من مقدار الواجب فیسمّی موقّتاً موسّعاً کما فی الصلوات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للزمان دخل أیضاً فی تحقّق المصلحة ولکنّه یکون بقدر الواجب فیسمّی موقّتاً مضیّقاً کما فی صیام شهر رمضان والوقوف فی العرفات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استشکل بعضهم فی تصویر کلّ واحد من المضیّق والموسّع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فبالنسبة إلی الواجب المضیّق،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إشکال فی أنّ زمان الانبعاث متأخّر عن زمان البعث ولو آناًما، فلو فرضنا أنّه بمجرّد طلوع الفجر مثلًا وقع الإیجاب فی لحظة بعد الطلوع، وأنّ إرادة المکلّف وعزمه علی الفعل أیضاً یحتاج إلی لحظة من الزمان فلا أقلّ من أن یتأخّر الانبعاث عن البعث بمقدار لحظتین من الزمان، ولازمه خروج کلّ واجب مضیّق عن کونه مضیّقاً ودخوله فی الواجب الموسّع، وأن یکون کلّ واجب موقّت موسّعاً</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 إشکال واهٍ، فإنّ المفروض أنّ القضایا الشرعیّة کقضایا شرطیة حقیقة صدرت من جانب الشارع قبل مجی‌ء زمان الواجب، والمکلّف یطّلع علیها قبل دخول الوقت، فهو یعلم مثلًا أنّ وجوب الصیام یصیر فعلیاً بالنسبة إلیه بمجرّد طلوع الفجر، وأنّ علیه أن یمسک عن الأکل والشرب من أوّل طلوع الفجر، فهو یرید</w:t>
      </w:r>
      <w:bookmarkStart w:id="558" w:name="pg16918_187491"/>
    </w:p>
    <w:p>
      <w:pPr>
        <w:pStyle w:val="BookText"/>
        <w:rPr/>
      </w:pPr>
      <w:bookmarkEnd w:id="558"/>
      <w:r>
        <w:rPr>
          <w:rFonts w:ascii="IRNazanin" w:hAnsi="IRNazanin" w:eastAsia="IRNazanin"/>
          <w:color w:val="111111"/>
          <w:sz w:val="28"/>
          <w:sz w:val="28"/>
          <w:szCs w:val="28"/>
          <w:rtl w:val="true"/>
          <w:lang w:bidi="fa-IR"/>
        </w:rPr>
        <w:t>الإمساک ویعزم علیه قبل الطلوع من باب المقدّمة العلمیّة، وبناءً علیه یکون زمان البعث منطبقاً علی زمان الانبعاث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ستشکل فی الواجب الموسّع بأنّ لازمه جواز ترک الواجب فی زمان وجوبه وهذا ینافی معنی الوجوب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 أیضاً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متعلّق الواجب إنّما هو طبیعة الصلاة الواقعة بین الحدّین من الزمان، ولیس المتعلّق أفرادها الطولیّة کما لا یکون المتعلّق أفرادها العرضیّة کإتیانها فی المسجد أو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الساعات الواقعة بین الحدّین إنّما هی بمنزلة الأفراد والمصادیق لتلک الطبیعة الّتی یکون المکلّف مخیّراً بینها تخییراً عقلیاً، ولا إشکال فی أنّ اختیار المکلّف فرداً من أفراد الواجب التخییری أی طرفاً من أطرافه لا یستلزم ترکه للواجب، بل یتحقّق ترک الواجب بترک جمیع الأفراد</w:t>
      </w:r>
      <w:r>
        <w:rPr>
          <w:rFonts w:eastAsia="IRNazanin" w:cs="IRNazanin"/>
          <w:color w:val="111111"/>
          <w:sz w:val="28"/>
          <w:szCs w:val="28"/>
          <w:rtl w:val="true"/>
          <w:lang w:bidi="fa-IR"/>
        </w:rPr>
        <w:t>.</w:t>
      </w:r>
    </w:p>
    <w:p>
      <w:pPr>
        <w:pStyle w:val="Heading6"/>
        <w:numPr>
          <w:ilvl w:val="5"/>
          <w:numId w:val="1"/>
        </w:numPr>
        <w:rPr/>
      </w:pPr>
      <w:bookmarkStart w:id="559" w:name="__RefHeading___Toc96344_3244359995"/>
      <w:bookmarkStart w:id="560" w:name="_Toc212"/>
      <w:bookmarkEnd w:id="559"/>
      <w:r>
        <w:rPr>
          <w:rtl w:val="true"/>
        </w:rPr>
        <w:t>هل القضاء تابع للأداء، أو بأمر جدید؟</w:t>
      </w:r>
      <w:bookmarkEnd w:id="560"/>
    </w:p>
    <w:p>
      <w:pPr>
        <w:pStyle w:val="BookText"/>
        <w:rPr/>
      </w:pPr>
      <w:r>
        <w:rPr>
          <w:rFonts w:ascii="IRNazanin" w:hAnsi="IRNazanin" w:eastAsia="IRNazanin"/>
          <w:color w:val="111111"/>
          <w:sz w:val="28"/>
          <w:sz w:val="28"/>
          <w:szCs w:val="28"/>
          <w:rtl w:val="true"/>
          <w:lang w:bidi="fa-IR"/>
        </w:rPr>
        <w:t>ثمّ إنّ هاهنا بحثاً معروفاً من أنّه هل یجب القضاء بمجرّد ترک الواجب فی الوقت أو یحتاج وجوبه إلی دلیل خاصّ وأمر جدید؟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هذه المسألة تعدّ من القواعد الفقهیّة، لأنّ النزاع إنّما هو فی وجوب قضاء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واجب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 فی وقته، فیکون الحکم فیه کلّیاً لا یختصّ بباب دون باب، فینطبق علیه تعریف القاعدة الفقهیّة وهو الحکم الکلّی الشرعی الذی لا یختصّ بباب دون باب، فلا تکون من المسائل الفرعیة الفقهیّة، کما أنّها لیست من المسائل الاصولیّة لأنّ ملاکها وقوعها فی طریق الحکم الشرعی، والحال أنّ هذه المسألة بنفسها حکم شرعی</w:t>
      </w:r>
      <w:r>
        <w:rPr>
          <w:rFonts w:eastAsia="IRNazanin" w:cs="IRNazanin"/>
          <w:color w:val="111111"/>
          <w:sz w:val="28"/>
          <w:szCs w:val="28"/>
          <w:rtl w:val="true"/>
          <w:lang w:bidi="fa-IR"/>
        </w:rPr>
        <w:t>.</w:t>
      </w:r>
      <w:bookmarkStart w:id="561" w:name="pg16918_187492"/>
    </w:p>
    <w:p>
      <w:pPr>
        <w:pStyle w:val="BookText"/>
        <w:rPr/>
      </w:pPr>
      <w:bookmarkEnd w:id="561"/>
      <w:r>
        <w:rPr>
          <w:rFonts w:ascii="IRNazanin" w:hAnsi="IRNazanin" w:eastAsia="IRNazanin"/>
          <w:color w:val="111111"/>
          <w:sz w:val="28"/>
          <w:sz w:val="28"/>
          <w:szCs w:val="28"/>
          <w:rtl w:val="true"/>
          <w:lang w:bidi="fa-IR"/>
        </w:rPr>
        <w:t>وعلیه ینبغی البحث عنها فی محلّه، ولنشر هنا إلی إجمال ما هو التحقیق فی المسألة،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التقیّد بالوقت علی نحو وحدة المطلوب، أی کان المطلوب الصلاة المأتیّ بها فی الوقت مثلًا، فلابدّ لوجوب القضاء فی خارج الوقت من أمر جدید، لأنّه بعد مضیّ الوقت یرتفع الطلب، وأمّا مع تعدّد الطلب، أی کان أصل الصلاة مطلوباً وإتیانه فی الوقت مطلوباً آخر، فلا إشکال فی بقاء وجوب الصلاة بعد الوقت، أی بقاء المطلوب الأوّل علی وجوبه بعد عدم الإتیان بالمطلوب الثانی، فإن فهمنا من لسان الدلیل وحدة المطلوب یسقط الأمر الأوّل بعد إتمام الوقت، وإن فهمنا منه تعدّده کان الطلب باقیاً بالنسبة إلی أصل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وطریق استکشاف تعدّد المطلوب تارةً یکون إطلاق دلیل الوجوب وفهم التوقیت من دلیل منفصل مع عدم إطلاق له علی التقیید بالوقت، واخری من مناسبات الحکم والموضوع 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القرآن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القرآن بالصوت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أنّ مقتضی مناسبة الحکم والموضوع أنّ مطلق قراءة القرآن مطلوب، وقراءته یوم الجمعة أو بالصوت الحسن مطلوب آخر، ولکن ظاهر الأوامر المقیّدة بالزمان هو وحدة المطلوب، فبعد مضیّ الوقت لا یبقی وجوب إلّابأمر جدید</w:t>
      </w:r>
      <w:r>
        <w:rPr>
          <w:rFonts w:eastAsia="IRNazanin" w:cs="IRNazanin"/>
          <w:color w:val="111111"/>
          <w:sz w:val="28"/>
          <w:szCs w:val="28"/>
          <w:rtl w:val="true"/>
          <w:lang w:bidi="fa-IR"/>
        </w:rPr>
        <w:t>.</w:t>
      </w:r>
    </w:p>
    <w:p>
      <w:pPr>
        <w:pStyle w:val="Heading6"/>
        <w:numPr>
          <w:ilvl w:val="5"/>
          <w:numId w:val="1"/>
        </w:numPr>
        <w:rPr/>
      </w:pPr>
      <w:bookmarkStart w:id="562" w:name="__RefHeading___Toc96346_3244359995"/>
      <w:bookmarkStart w:id="563" w:name="_Toc213"/>
      <w:bookmarkEnd w:id="562"/>
      <w:r>
        <w:rPr/>
        <w:t>7</w:t>
      </w:r>
      <w:r>
        <w:rPr>
          <w:rtl w:val="true"/>
        </w:rPr>
        <w:t xml:space="preserve">. </w:t>
      </w:r>
      <w:r>
        <w:rPr>
          <w:rtl w:val="true"/>
        </w:rPr>
        <w:t>التخییری والتعیینی</w:t>
      </w:r>
      <w:bookmarkEnd w:id="563"/>
    </w:p>
    <w:p>
      <w:pPr>
        <w:pStyle w:val="Heading6"/>
        <w:numPr>
          <w:ilvl w:val="5"/>
          <w:numId w:val="1"/>
        </w:numPr>
        <w:rPr/>
      </w:pPr>
      <w:bookmarkStart w:id="564" w:name="__RefHeading___Toc96348_3244359995"/>
      <w:bookmarkStart w:id="565" w:name="_Toc214"/>
      <w:bookmarkEnd w:id="564"/>
      <w:r>
        <w:rPr>
          <w:rtl w:val="true"/>
        </w:rPr>
        <w:t>اشارة</w:t>
      </w:r>
      <w:bookmarkEnd w:id="565"/>
    </w:p>
    <w:p>
      <w:pPr>
        <w:pStyle w:val="BookText"/>
        <w:rPr/>
      </w:pPr>
      <w:r>
        <w:rPr>
          <w:rFonts w:ascii="IRNazanin" w:hAnsi="IRNazanin" w:eastAsia="IRNazanin"/>
          <w:color w:val="111111"/>
          <w:sz w:val="28"/>
          <w:sz w:val="28"/>
          <w:szCs w:val="28"/>
          <w:rtl w:val="true"/>
          <w:lang w:bidi="fa-IR"/>
        </w:rPr>
        <w:t>لا إشکال فی أنّ الواجب التخییری موجود فی القوانین الشرعیّة والعقلائیّة نظیر التخییر فی باب الکفّارات بین إطعام ستّین مسکیناً وکسوتهم وتحریر الرقبة، وفی القوانین العقلائیّة نظیر التخییر بین المجازاة بالمال والمجازاة بالحبس، إنّما الإشکال فی بیان حقیقته وتوجیه ماهیّته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ولتحقیق الحال لابدّ من الرجوع إلی العرف والعقلاء لتحلیل ما یوجد عندهم من</w:t>
      </w:r>
    </w:p>
    <w:p>
      <w:pPr>
        <w:pStyle w:val="BookText"/>
        <w:rPr/>
      </w:pPr>
      <w:r>
        <w:rPr>
          <w:rFonts w:ascii="IRNazanin" w:hAnsi="IRNazanin" w:eastAsia="IRNazanin"/>
          <w:color w:val="111111"/>
          <w:sz w:val="28"/>
          <w:sz w:val="28"/>
          <w:szCs w:val="28"/>
          <w:rtl w:val="true"/>
          <w:lang w:bidi="fa-IR"/>
        </w:rPr>
        <w:t>المصالح، فإنّ المصالح الموجودة فی الأشیاء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المصلحة بشی‌ء لا یقوم مقامه شی‌ء آخر، کما إذا انحصر علاج مرض بدواء خاصّ ولم یوجد دواء آخر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مصلحة واحدة بأمرین یقوم أحدهما مقام الآخر مع کونهما من طبیعة واحدة ولهما جامع حقیقی، فیکون مثلًا لمرض خاصّ طریقان من العلاج من سنخ واحد، کشرب هذا النوع من المسهل أو ذاک النوع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مصلحة واحدة بأمرین مختلفین یقوم أحدهما مقام الآخر أیضاً، ولکن لا من طبیعة واحدة، فیفرض لهما جامع انتزاعی 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مرض خاصّ یمکن علاجه بطریقین کشرب الدواء والعملیّة الجراحیّة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 فی الصورة الاولی واجب تعیینی، کما أنّ الواجب فی الصورة الثانیة هو الجامع الحقیقی فیکون التخییر فیها عقلیاً، وفی الثالثة یکون متعلّق الطلب عنوان أحدهما، أی الجامع الإنتزاعی، لأنّ المفروض أنّه لیس فی البین جامع حقیقی حتّی یکون هو متعلّق الغرض والطلب، بل یکون الغرض قائماً بأحدهما، فلیکن الطلب أیضاً متعلّقاً بعنوان أحدهما الذی یکون عنواناً مشیراً إلی أحد الفردین فی الخارج، ویکون التخییر فی هذه الصورة تخییراً مولویاً</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وبذلک یظهر أنّ فی موارد العطف بکلمة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المتعلّق فی الواقع إنّما 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المتبادر عرفاً من هذه الکلمة وکلّ ما یؤدّی معناها أنّ الخصوصیّات الفردیة لا دخل لها فی الحکم وأنّ الحکم تعلّق بأحد الشیئین أو أحد الأشیاء، نظیر ما ورد فی قوله تعالی فی باب الکفّارات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فَکَفَّارَتُهُ إِطْعَامُ عَشَرَةِ مَسَاکِینَ مِنْ أَوْسَطِ مَا تُطْعِمُونَ أَهْلِیکُمْ أَوْ کِسْوَتُهُمْ أَوْ تَحْرِیرُ رَقَبَةٍ</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bookmarkStart w:id="566" w:name="pg16918_187494"/>
    </w:p>
    <w:p>
      <w:pPr>
        <w:pStyle w:val="BookText"/>
        <w:rPr/>
      </w:pPr>
      <w:bookmarkEnd w:id="566"/>
      <w:r>
        <w:rPr>
          <w:rFonts w:ascii="IRNazanin" w:hAnsi="IRNazanin" w:eastAsia="IRNazanin"/>
          <w:color w:val="111111"/>
          <w:sz w:val="28"/>
          <w:sz w:val="28"/>
          <w:szCs w:val="28"/>
          <w:rtl w:val="true"/>
          <w:lang w:bidi="fa-IR"/>
        </w:rPr>
        <w:t>نعم، الظاهر تعدّد الغرض فی أمثاله؛ لأنّه لو کان الغرض واحداً وهو ما یقوم بالقدر الجامع کان الأولی أن یتعلّق الخطاب به، فإنّ المتبادر من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زیداً أو عمراً صدیقاً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الخصوصیّات الفردیة لزید وعمرو تکون دخیلة فی الغرض، وإلّا کان الأولی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إنساناً صدیقاً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فظاهر العطف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التخییر عقلیاً إلّاإذا قامت قرینة علی الخلاف</w:t>
      </w:r>
      <w:r>
        <w:rPr>
          <w:rFonts w:eastAsia="IRNazanin" w:cs="IRNazanin"/>
          <w:color w:val="111111"/>
          <w:sz w:val="28"/>
          <w:szCs w:val="28"/>
          <w:rtl w:val="true"/>
          <w:lang w:bidi="fa-IR"/>
        </w:rPr>
        <w:t>.</w:t>
      </w:r>
    </w:p>
    <w:p>
      <w:pPr>
        <w:pStyle w:val="Heading6"/>
        <w:numPr>
          <w:ilvl w:val="5"/>
          <w:numId w:val="1"/>
        </w:numPr>
        <w:rPr/>
      </w:pPr>
      <w:bookmarkStart w:id="567" w:name="__RefHeading___Toc96350_3244359995"/>
      <w:bookmarkStart w:id="568" w:name="_Toc215"/>
      <w:bookmarkEnd w:id="567"/>
      <w:r>
        <w:rPr>
          <w:rtl w:val="true"/>
        </w:rPr>
        <w:t>التخییر بین الأقلّ والأکثر</w:t>
      </w:r>
      <w:bookmarkEnd w:id="568"/>
    </w:p>
    <w:p>
      <w:pPr>
        <w:pStyle w:val="BookText"/>
        <w:rPr/>
      </w:pPr>
      <w:r>
        <w:rPr>
          <w:rFonts w:ascii="IRNazanin" w:hAnsi="IRNazanin" w:eastAsia="IRNazanin"/>
          <w:color w:val="111111"/>
          <w:sz w:val="28"/>
          <w:sz w:val="28"/>
          <w:szCs w:val="28"/>
          <w:rtl w:val="true"/>
          <w:lang w:bidi="fa-IR"/>
        </w:rPr>
        <w:t>قد فرغنا عن تصویر الواجب التخییری فی المتباینین وقد یقال بجواز وقوع التخییر بین الأقلّ والأکثر فی لسان الشرع نظیر التخییر بین الواحد والثلاث فی التسبیحات الأربعة، واورد علیه بعدم إمکانه عقلًا؛ لأنّه مع تحقّق الأقلّ فی الخارج وحصول الغرض به، یکون الأمر بالأکثر لغواً لا یمکن صدوره من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إذا کان حصول الأقلّ ضمن الأکثر فی دفعة واحدة، کما إذا أمر المولی بإدخال ثلاثة رجال أو خمسة فی الدار فأدخل العبد الخمسة دفعةً وبین ما إذا کان حصول الأقلّ ضمن الأکثر تدریجیاً کما فی التسبیحات الأربعة، فإنّ اللغویة لا تتصوّر فی القسم الأوّل؛ لأنّ الغرض فیه لا یحصل بخصوص الأقلّ إذا إختار المکلّف الأکثر، بل یکون المحصّل للغرض حینئذٍ تمام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فالتخییر بین الواحد والثلاث فی مثل التسبیحات الأربعة ممّا لا یمکن المساعدة علیه؛ لأنّ الأقلّ یتحقّق ضمن الأکثر تدریجاً، فلابدّ أن یقال إنّ الواجب فیها هو الأقلّ، وأمّا الأکثر فیحمل علی الاستحباب</w:t>
      </w:r>
      <w:r>
        <w:rPr>
          <w:rFonts w:eastAsia="IRNazanin" w:cs="IRNazanin"/>
          <w:color w:val="111111"/>
          <w:sz w:val="28"/>
          <w:szCs w:val="28"/>
          <w:rtl w:val="true"/>
          <w:lang w:bidi="fa-IR"/>
        </w:rPr>
        <w:t>.</w:t>
      </w:r>
    </w:p>
    <w:p>
      <w:pPr>
        <w:pStyle w:val="Heading6"/>
        <w:numPr>
          <w:ilvl w:val="5"/>
          <w:numId w:val="1"/>
        </w:numPr>
        <w:rPr/>
      </w:pPr>
      <w:bookmarkStart w:id="569" w:name="__RefHeading___Toc96352_3244359995"/>
      <w:bookmarkStart w:id="570" w:name="_Toc216"/>
      <w:bookmarkEnd w:id="569"/>
      <w:r>
        <w:rPr/>
        <w:t>8</w:t>
      </w:r>
      <w:r>
        <w:rPr>
          <w:rtl w:val="true"/>
        </w:rPr>
        <w:t xml:space="preserve">. </w:t>
      </w:r>
      <w:r>
        <w:rPr>
          <w:rtl w:val="true"/>
        </w:rPr>
        <w:t>العینی والکفائی</w:t>
      </w:r>
      <w:bookmarkEnd w:id="57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وجود الواجب الکفائی فی العرف والشرع، ففی لسان الشرع نظیر وجوب الأمر بالمعروف والنهی عن المنکر، وتجهیز المیّت، وفی العرف نظیر ما إذا</w:t>
      </w:r>
    </w:p>
    <w:p>
      <w:pPr>
        <w:pStyle w:val="BookText"/>
        <w:rPr/>
      </w:pPr>
      <w:r>
        <w:rPr>
          <w:rFonts w:ascii="IRNazanin" w:hAnsi="IRNazanin" w:eastAsia="IRNazanin"/>
          <w:color w:val="111111"/>
          <w:sz w:val="28"/>
          <w:sz w:val="28"/>
          <w:szCs w:val="28"/>
          <w:rtl w:val="true"/>
          <w:lang w:bidi="fa-IR"/>
        </w:rPr>
        <w:t>أمر المولی عبیده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لیفتح أحدکم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اختلفوا فی کیفیّة تصویره ولابدّ فی تحقیق ذلک من تبیین أقسام المصالح الّتی تترتّب علی الأشیاء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فقسم منها لا تحصل إلّاباجتماع جماعة، کحمل جسم ثقیل مثلًا من مکان إلی مکان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وقسم منها تکون المصالح فیه متعدّدة یحصل کلّ واحدة منها بید فرد واحد من الأفراد سواء کانت المصالح متّحدة فی النوع أو مختلفة کالصلاة، وکالعلوم الّتی تحتاج إلیها نظام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وقسم ثالث منها تکون المصلحة فیه واحدة ویکفی فی تحصیله قیام فرد واحد کفتح الباب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إشکال فی أنّ الوجوب یکون علی نهج العامّ المجموعی فی القسم الأوّل، وعلی نهج العامّ الأفرادی فی القسم الثانی مع کونه وجوباً عینیاً فی کلیهما، کما لا إشکال فی کون الوجوب فی القسم الثالث کفائیاً وأنّ متعلّقه إنّما هو عنوان أحد المکلّفین مشیراً إلی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متعلّق الوجوب فیه صدور الفعل من صرف وجود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الواجب التخییری؛ حیث إنّ متعلّق الوجوب فیه أیضاً کان صرف وجود الطبیعة المأمور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کان المتعلّق فی القسمین الأوّلین صدور الفعل من مطلق وجود المکلّف، ولیس متعلّق الوجوب فی الواجب الکفائی جمیع المکلّفین علی نحو من الوجوب غیر الوجوب العینی؛ لأنّ الوجوب عبارة عن البعث إنشاءً کالبعث التکوینی ویکون له سنخ واحد، ولا یعقل أن یکون له أنحاء مختلفة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والقرائن الموجودة فی الواجبات الکفائیة الواردة فی لسان الشارع ومناسبات الحکم والموضوع فیها ترشدنا إلی أنّ المکلّف فیها لیس جمیع المکلّفین، بل إنّما هو عنوان أحد المکلّفین أو طائفة منهم، نظیر ما ورد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السَّارِقُ</w:t>
      </w:r>
    </w:p>
    <w:p>
      <w:pPr>
        <w:pStyle w:val="BookText"/>
        <w:rPr/>
      </w:pPr>
      <w:r>
        <w:rPr>
          <w:rFonts w:ascii="Amiri" w:hAnsi="Amiri" w:eastAsia="Amiri" w:cs="Amiri"/>
          <w:color w:val="111111"/>
          <w:sz w:val="28"/>
          <w:sz w:val="28"/>
          <w:szCs w:val="28"/>
          <w:rtl w:val="true"/>
          <w:lang w:bidi="ar-SA"/>
        </w:rPr>
        <w:t>وَالسَّارِقَةُ فَاقْطَعُوا أَیْدِیَهُمَا</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xml:space="preserve">، فإنّ مقتضی مناسبة الحکم والموضوع أنّ متعلّق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فاقطعوا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المکلّفین لا جمیعهم، کما أنّ مقتضی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وَلْتَکُنْ مِنْکُمْ أُمَّةٌ یَدْعُونَ إِلَی الْخَیْرِ وَیَأْمُرُونَ بِالْمَعْرُوفِ وَیَنْهَوْنَ عَنْ الْمُنْکَرِ</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 xml:space="preserve">أیضاً ذلک،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التبعیضیة قرینة حتمیة علی أنّ المتعلّق فیها لیس جمیع المکلّفین، بل المتعلّق إنّما هو عنوان بعض المکلّفین المشیر إلی الخارج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وَلْیَشْهَدْ عَذابَهُمَا طَائِفَةٌ مِنَ المُؤْمِنِینَ</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العقاب فی ترک الواجب الکفائی واحد ولکنّه یوزّع علی جمیع المکلّفین الذین حضروا الواجب، وذلک لأنّ غرض المولی یکون واحداً، أی المصلحة الّتی تترتّب علی العمل واحد، وحیث إنّ متعلّق الخطاب کان عنوان بعض المکلّفین یعدّ کلّ واحد منهم مصداقاً لهذا العنوان فاللازم توزیع العقاب علی جمیعهم، عند تخلّف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یصیر الواجب الکفائی عینیاً کما أنّ الواجب التخییری أیضاً قد یصیر تعیینیاً، وهو فیما إذا لم یقم للواجب الکفائی قدر الکفایة کما إذا لم یقم لتحصیل العلوم الدینیّة من به الکفایة، وفی الواجب التخییری ما إذا لم یمکن إتیان أحد الطرفین کتحریر الرقبة فی زماننا هذا مثلًا، فیصیر الطرف الآخر واجباً تعیینیاً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التخییر بین الأقلّ والأکثر فی الواجب التخییری لا یکون معقولًا فیما إذا أتی المکلّف بالأکثر تدریجاً کذلک لا یعقل فی الواجب الکفائی، نظیر ما إذا خاطب المولی عبیده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أن یفعل العمل الفلانی عشرة منکم أو عشرون</w:t>
      </w:r>
      <w:r>
        <w:rPr>
          <w:rFonts w:eastAsia="IRNazanin" w:cs="IRNazanin"/>
          <w:color w:val="111111"/>
          <w:sz w:val="28"/>
          <w:szCs w:val="28"/>
          <w:rtl w:val="true"/>
          <w:lang w:bidi="fa-IR"/>
        </w:rPr>
        <w:t>»</w:t>
      </w:r>
      <w:bookmarkStart w:id="571" w:name="pg16918_187497"/>
    </w:p>
    <w:p>
      <w:pPr>
        <w:pStyle w:val="BookText"/>
        <w:rPr/>
      </w:pPr>
      <w:bookmarkEnd w:id="571"/>
      <w:r>
        <w:rPr>
          <w:rFonts w:ascii="IRNazanin" w:hAnsi="IRNazanin" w:eastAsia="IRNazanin"/>
          <w:color w:val="111111"/>
          <w:sz w:val="28"/>
          <w:sz w:val="28"/>
          <w:szCs w:val="28"/>
          <w:rtl w:val="true"/>
          <w:lang w:bidi="fa-IR"/>
        </w:rPr>
        <w:t>فإن أتی العشرون بالعمل دفعةً فلا إشکال فی أنّ جمیعهم ممتثلون للتکلیف وإن أتوا به تدریجاً فبعد إتیان العشرة یتحقّق المطلوب، ویکون إتیان الأکثر تحصیلًا للحاصل کما مرّ بیانه فی الواجب التخییری</w:t>
      </w:r>
      <w:r>
        <w:rPr>
          <w:rFonts w:eastAsia="IRNazanin" w:cs="IRNazanin"/>
          <w:color w:val="111111"/>
          <w:sz w:val="28"/>
          <w:szCs w:val="28"/>
          <w:rtl w:val="true"/>
          <w:lang w:bidi="fa-IR"/>
        </w:rPr>
        <w:t>.</w:t>
      </w:r>
    </w:p>
    <w:p>
      <w:pPr>
        <w:pStyle w:val="Heading6"/>
        <w:numPr>
          <w:ilvl w:val="5"/>
          <w:numId w:val="1"/>
        </w:numPr>
        <w:rPr/>
      </w:pPr>
      <w:bookmarkStart w:id="572" w:name="__RefHeading___Toc96354_3244359995"/>
      <w:bookmarkStart w:id="573" w:name="_Toc217"/>
      <w:bookmarkEnd w:id="572"/>
      <w:r>
        <w:rPr/>
        <w:t>9</w:t>
      </w:r>
      <w:r>
        <w:rPr>
          <w:rtl w:val="true"/>
        </w:rPr>
        <w:t xml:space="preserve">. </w:t>
      </w:r>
      <w:r>
        <w:rPr>
          <w:rtl w:val="true"/>
        </w:rPr>
        <w:t>المباشری والتسبیبی</w:t>
      </w:r>
      <w:bookmarkEnd w:id="573"/>
    </w:p>
    <w:p>
      <w:pPr>
        <w:pStyle w:val="BookText"/>
        <w:rPr/>
      </w:pPr>
      <w:r>
        <w:rPr>
          <w:rFonts w:ascii="IRNazanin" w:hAnsi="IRNazanin" w:eastAsia="IRNazanin"/>
          <w:color w:val="111111"/>
          <w:sz w:val="28"/>
          <w:sz w:val="28"/>
          <w:szCs w:val="28"/>
          <w:rtl w:val="true"/>
          <w:lang w:bidi="fa-IR"/>
        </w:rPr>
        <w:t>إنّ الأفعال الشرعیّة بالنسبة إلی قبول النیابة و التسبیب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یقبل النیابة قطعاً ولابدّ فیه من المباشرة کالصلاة فی حیاة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یقبل النیابة والتسبیب قطعاً کأداء الدین، بل یسقط بالأداء تبرّعاً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الأمر فیه دائراً بین الأمرین فلا نعلم هل تکفی فیه النیابة أو التبرّع أو لا؟ کوجوب قضاء صلوات الأب المیّت علی ولده الأکبر، فهل یجب علیه القضاء بالمباشرة أو یکفی التسبیب بغیره أو التبرّع من ناحیة متبرّع، ونظیر بعض مناسک الحجّ کالطواف ورمی الجمرات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کلام فی القسمین الأوّلین وأمّا القسم الأخیر فالحقّ أنّ الإطلاق یقتضی المباشرة؛ لأنّه إذا تعلّق خطاب المولی بعبده فما لم یحصل له الیقین بإمکان التسبیب فلا یجوز له التسبیب بالغیر؛ لأنّ مقتضی ظاهر الخطاب کون المأمور هو العبد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ما لم یثبت انتفاء موضوع الأمر أو حصول المطلوب کانت دعوة المکلّف إلی الإمتثال باقیة، وما لم یثبت التخییر بین المباشرة والتسبیب کان مقتضی الإطلاق هو المباشرة، فلا یجوز الاکتفاء بفعل الغیر ما لم یقم علیه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فرض عدم کون المولی فی مقام البیان أو کان الدلیل لبّیاً تصل النوبة إلی الأصل العملی، والاحتمالات فیه 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البراءة ونتیجتها کفایة فعل الغیر کما ذهب إلیه المحقّق العراقی رحمه الله فإنّ المکلّف یعلم أنّه مخاطب بالفعل المزبور فی حال ترک غیره له ویشکّ بوجوبه علیه فی حال</w:t>
      </w:r>
    </w:p>
    <w:p>
      <w:pPr>
        <w:pStyle w:val="BookText"/>
        <w:rPr/>
      </w:pPr>
      <w:r>
        <w:rPr>
          <w:rFonts w:ascii="IRNazanin" w:hAnsi="IRNazanin" w:eastAsia="IRNazanin"/>
          <w:color w:val="111111"/>
          <w:sz w:val="28"/>
          <w:sz w:val="28"/>
          <w:szCs w:val="28"/>
          <w:rtl w:val="true"/>
          <w:lang w:bidi="fa-IR"/>
        </w:rPr>
        <w:t>إتیان الغیر به فیصحّ له الرجوع إلی البراءة فی مقام الشکّ المذکور</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الاشتغال، وذلک لدوران الأمر بین التعیین والتخییر، والأصل فیه هو التعیین، ولازمه الاشتغال وعدم سقوط الفعل بفعل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التفصیل بین ما إذا کان التکلیف دائراً بین فعل نفسه وفعل غیره تبرّعاً، فالأصل هو البراءة؛ لأنّ فعل الغیر لیس عدلًا لفعل المکلّف حتّی یتصوّر التخییر، وفی ما إذا کان التکلیف دائراً بین فعل نفسه والاستنابة فالأصل هو الاشتغال، حیث إنّ الاستنابة أیضاً تکون من فعل المکلّف، فیدور الأمر بین التعیین والتخییر، والأصل فیه هو التعیین الذی لازمه الاشتغال بناءً علی وجوب الاحتیاط فیه</w:t>
      </w:r>
      <w:r>
        <w:rPr>
          <w:rFonts w:eastAsia="IRNazanin" w:cs="IRNazanin"/>
          <w:color w:val="111111"/>
          <w:sz w:val="28"/>
          <w:szCs w:val="28"/>
          <w:rtl w:val="true"/>
          <w:lang w:bidi="fa-IR"/>
        </w:rPr>
        <w:t>.</w:t>
      </w:r>
      <w:bookmarkStart w:id="574" w:name="pg16918_187500"/>
    </w:p>
    <w:p>
      <w:pPr>
        <w:pStyle w:val="Heading3"/>
        <w:numPr>
          <w:ilvl w:val="2"/>
          <w:numId w:val="1"/>
        </w:numPr>
        <w:rPr/>
      </w:pPr>
      <w:bookmarkStart w:id="575" w:name="__RefHeading___Toc96356_3244359995"/>
      <w:bookmarkStart w:id="576" w:name="_Toc218"/>
      <w:bookmarkEnd w:id="574"/>
      <w:bookmarkEnd w:id="575"/>
      <w:r>
        <w:rPr>
          <w:rtl w:val="true"/>
        </w:rPr>
        <w:t>الفصل الرابع</w:t>
      </w:r>
      <w:r>
        <w:rPr>
          <w:rtl w:val="true"/>
        </w:rPr>
        <w:t xml:space="preserve">: </w:t>
      </w:r>
      <w:r>
        <w:rPr>
          <w:rtl w:val="true"/>
        </w:rPr>
        <w:t>النواهی</w:t>
      </w:r>
      <w:bookmarkEnd w:id="576"/>
    </w:p>
    <w:p>
      <w:pPr>
        <w:pStyle w:val="Heading4"/>
        <w:numPr>
          <w:ilvl w:val="3"/>
          <w:numId w:val="1"/>
        </w:numPr>
        <w:rPr/>
      </w:pPr>
      <w:bookmarkStart w:id="577" w:name="__RefHeading___Toc96358_3244359995"/>
      <w:bookmarkStart w:id="578" w:name="_Toc219"/>
      <w:bookmarkEnd w:id="577"/>
      <w:r>
        <w:rPr>
          <w:rtl w:val="true"/>
        </w:rPr>
        <w:t>اشارة</w:t>
      </w:r>
      <w:bookmarkEnd w:id="578"/>
    </w:p>
    <w:p>
      <w:pPr>
        <w:pStyle w:val="BookText"/>
        <w:rPr/>
      </w:pPr>
      <w:r>
        <w:rPr>
          <w:rFonts w:ascii="IRNazanin" w:hAnsi="IRNazanin" w:eastAsia="IRNazanin"/>
          <w:color w:val="111111"/>
          <w:sz w:val="28"/>
          <w:sz w:val="28"/>
          <w:szCs w:val="28"/>
          <w:rtl w:val="true"/>
          <w:lang w:bidi="fa-IR"/>
        </w:rPr>
        <w:t>والبحث عنها یقع فی جهات</w:t>
      </w:r>
      <w:r>
        <w:rPr>
          <w:rFonts w:eastAsia="IRNazanin" w:cs="IRNazanin"/>
          <w:color w:val="111111"/>
          <w:sz w:val="28"/>
          <w:szCs w:val="28"/>
          <w:rtl w:val="true"/>
          <w:lang w:bidi="fa-IR"/>
        </w:rPr>
        <w:t>:</w:t>
      </w:r>
    </w:p>
    <w:p>
      <w:pPr>
        <w:pStyle w:val="Heading4"/>
        <w:numPr>
          <w:ilvl w:val="3"/>
          <w:numId w:val="1"/>
        </w:numPr>
        <w:rPr/>
      </w:pPr>
      <w:bookmarkStart w:id="579" w:name="__RefHeading___Toc96360_3244359995"/>
      <w:bookmarkStart w:id="580" w:name="_Toc220"/>
      <w:bookmarkEnd w:id="579"/>
      <w:r>
        <w:rPr>
          <w:rtl w:val="true"/>
        </w:rPr>
        <w:t>الجهة الاولی</w:t>
      </w:r>
      <w:r>
        <w:rPr>
          <w:rtl w:val="true"/>
        </w:rPr>
        <w:t xml:space="preserve">: </w:t>
      </w:r>
      <w:r>
        <w:rPr>
          <w:rtl w:val="true"/>
        </w:rPr>
        <w:t>فی حقیقة النهی ومدلول صیغته</w:t>
      </w:r>
      <w:bookmarkEnd w:id="580"/>
    </w:p>
    <w:p>
      <w:pPr>
        <w:pStyle w:val="Heading5"/>
        <w:numPr>
          <w:ilvl w:val="4"/>
          <w:numId w:val="1"/>
        </w:numPr>
        <w:rPr/>
      </w:pPr>
      <w:bookmarkStart w:id="581" w:name="__RefHeading___Toc96362_3244359995"/>
      <w:bookmarkStart w:id="582" w:name="_Toc221"/>
      <w:bookmarkEnd w:id="581"/>
      <w:r>
        <w:rPr>
          <w:rtl w:val="true"/>
        </w:rPr>
        <w:t>اشارة</w:t>
      </w:r>
      <w:bookmarkEnd w:id="582"/>
    </w:p>
    <w:p>
      <w:pPr>
        <w:pStyle w:val="BookText"/>
        <w:rPr/>
      </w:pPr>
      <w:r>
        <w:rPr>
          <w:rFonts w:ascii="IRNazanin" w:hAnsi="IRNazanin" w:eastAsia="IRNazanin"/>
          <w:color w:val="111111"/>
          <w:sz w:val="28"/>
          <w:sz w:val="28"/>
          <w:szCs w:val="28"/>
          <w:rtl w:val="true"/>
          <w:lang w:bidi="fa-IR"/>
        </w:rPr>
        <w:t>المعروف بین القدماء</w:t>
      </w:r>
      <w:r>
        <w:rPr>
          <w:rStyle w:val="FootnoteAnchor"/>
          <w:rtl w:val="true"/>
        </w:rPr>
        <w:footnoteReference w:id="429"/>
      </w:r>
      <w:r>
        <w:rPr>
          <w:rFonts w:ascii="IRNazanin" w:hAnsi="IRNazanin" w:eastAsia="IRNazanin"/>
          <w:color w:val="111111"/>
          <w:sz w:val="28"/>
          <w:sz w:val="28"/>
          <w:szCs w:val="28"/>
          <w:rtl w:val="true"/>
          <w:lang w:bidi="fa-IR"/>
        </w:rPr>
        <w:t xml:space="preserve">وکثیر من المتأخّرین </w:t>
      </w:r>
      <w:r>
        <w:rPr>
          <w:rStyle w:val="FootnoteAnchor"/>
          <w:rtl w:val="true"/>
        </w:rPr>
        <w:footnoteReference w:id="430"/>
      </w:r>
      <w:r>
        <w:rPr>
          <w:rFonts w:ascii="IRNazanin" w:hAnsi="IRNazanin" w:eastAsia="IRNazanin"/>
          <w:color w:val="111111"/>
          <w:sz w:val="28"/>
          <w:sz w:val="28"/>
          <w:szCs w:val="28"/>
          <w:rtl w:val="true"/>
          <w:lang w:bidi="fa-IR"/>
        </w:rPr>
        <w:t xml:space="preserve">أنّ مفاد النهی متّحد مع مفاد الأمر فی دلالتهما علی الطلب وإنّما الفرق فی متعلّقهما، فمتعلّق النهی هو الترک، ومتعلّق الأمر هو الفعل، وذهب جماعة من المحقّقین المعاصرین إلی أنّ متعلّق الأمر والنهی واحد ومدلولهما مختلف، فمدلول النهی هو الزجر عن الفعل، ومدلول الأمر هو البعث إلیه </w:t>
      </w:r>
      <w:r>
        <w:rPr>
          <w:rStyle w:val="FootnoteAnchor"/>
          <w:rtl w:val="true"/>
        </w:rPr>
        <w:footnoteReference w:id="431"/>
      </w:r>
      <w:r>
        <w:rPr>
          <w:rFonts w:ascii="IRNazanin" w:hAnsi="IRNazanin" w:eastAsia="IRNazanin"/>
          <w:color w:val="111111"/>
          <w:sz w:val="28"/>
          <w:sz w:val="28"/>
          <w:szCs w:val="28"/>
          <w:rtl w:val="true"/>
          <w:lang w:bidi="fa-IR"/>
        </w:rPr>
        <w:t>، وهذا هو المختار ویدلّ علیه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التبادر فإنّ المتبادر من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الزجر والمنع عن الفعل لا طلب ترکه، لأنّ النهی التشریعی کالنهی التکوینی، فکما أنّ الناهی عن فعل تکویناً وخارجاً یمنع المنهی ویزجره عن الفعل ویأخذه بیده مثلًا، لا أنّه یطلب ترکه، کذلک الناهی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النواهی لا تصدر من جانب الناهی إلّالوجود مفاسد فی الأفعال المنهی عنها کما أنّ الأوامر تصدر من جانب الآمر لأجل مصالح موجودة فی الأفعال المأمور بها، فالنهی عن شرب الخمر لا یکون إلّالأجل مفسدة فیه، کما أنّ الأمر بالصلاة لا یکون إلّالأجل مصلحة موجودة فی الصلاة، لا أنّ النهی عن شرب الخمر یکون لأجل مصلحة فی ترکه حتّی یکون النهی طلباً للترک، کما أنّ الأمر بالصلاة لا یکون لأجل مفسدة فی ترک الصلاة، بل لمصلحة فی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المراد من الترک هل هو عبارة عن مجرّد الترک، أو یکون بمعنی کفّ النفس عن الفعل، ذهب جمع إلی الأوّل </w:t>
      </w:r>
      <w:r>
        <w:rPr>
          <w:rStyle w:val="FootnoteAnchor"/>
          <w:rtl w:val="true"/>
        </w:rPr>
        <w:footnoteReference w:id="432"/>
      </w:r>
      <w:r>
        <w:rPr>
          <w:rFonts w:ascii="IRNazanin" w:hAnsi="IRNazanin" w:eastAsia="IRNazanin"/>
          <w:color w:val="111111"/>
          <w:sz w:val="28"/>
          <w:sz w:val="28"/>
          <w:szCs w:val="28"/>
          <w:rtl w:val="true"/>
          <w:lang w:bidi="fa-IR"/>
        </w:rPr>
        <w:t>، ویمکن أن یستدلّ له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هو المتبادر إلی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الترک أمر عدمی، وهو یحصل بمجرّد ترک الفعل، والتکلیف بالکفّ تکلیف بأمر وجودی زائد علی مطلق الترک فیحتاج إلی مؤونة زائدة من الدلیل وهی مفقودة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والقائلون بأنّ المراد من الترک هو الکفّ استدلّوا بأنّ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عدمی والعدم خارج عن تحت القدرة والاختیار فلا یمکن أن یتعلّق به البعث والطلب </w:t>
      </w:r>
      <w:r>
        <w:rPr>
          <w:rStyle w:val="FootnoteAnchor"/>
          <w:rtl w:val="true"/>
        </w:rPr>
        <w:footnoteReference w:id="433"/>
      </w:r>
      <w:r>
        <w:rPr>
          <w:rFonts w:ascii="IRNazanin" w:hAnsi="IRNazanin" w:eastAsia="IRNazanin"/>
          <w:color w:val="111111"/>
          <w:sz w:val="28"/>
          <w:sz w:val="28"/>
          <w:szCs w:val="28"/>
          <w:rtl w:val="true"/>
          <w:lang w:bidi="fa-IR"/>
        </w:rPr>
        <w:t>، والشاهد علی ذلک أزلیّة العدم بمعنی أنّه کان قبل أن یکون المکلّف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کان وجود شی‌ء تحت القدرة والاختیار کان عدمه أیضاً کذلک لاستحالة الانفکاک بین وجود شی‌ء وعدمه من هذه الجهة، فإنّ الجبر فی جانب العدم یستلزم الجبر فی جانب الوجود وهذا خلف، وأمّا کون العدم خارجاً عن تحت الاختیار من الأزل فهو لا ینافی کونه اختیاریاً فی البقاء والاستمرار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بقی هنا شی‌ء وهو أنّه من البعید جدّاً أن یکون مراد القائلین بالکفّ الکفّ</w:t>
      </w:r>
      <w:bookmarkStart w:id="583" w:name="pg16918_187502"/>
    </w:p>
    <w:p>
      <w:pPr>
        <w:pStyle w:val="BookText"/>
        <w:rPr/>
      </w:pPr>
      <w:bookmarkEnd w:id="583"/>
      <w:r>
        <w:rPr>
          <w:rFonts w:ascii="IRNazanin" w:hAnsi="IRNazanin" w:eastAsia="IRNazanin"/>
          <w:color w:val="111111"/>
          <w:sz w:val="28"/>
          <w:sz w:val="28"/>
          <w:szCs w:val="28"/>
          <w:rtl w:val="true"/>
          <w:lang w:bidi="fa-IR"/>
        </w:rPr>
        <w:t>بالفعل، فإنّه یستلزم أن یکون هناک میل نفسانی بالنسبه إلی إتیان العمل المنهی عنه حتّی یتحقّق کفّ النفس عنه خارجاً، مع أنّه ممّا لا یتفوّه به أحد، بل المراد منه الکفّ التقدیری، ولا إشکال فی أنّه یرجع حینئذٍ إلی المعنی الأوّل للترک، فیصیر النزاع لفظیّاً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البحث یجری بعینه أیضاً بالنسبة إلی المذهب المختار، أی کون النهی بمعنی الزجر عن الفعل؛ حیث إنّه لابدّ من أن یبحث فی أنّه هل المراد من الزجر الزجر بالفعل أو الزجر التقدیری وبالقوّة؟ ولا إشکال فی أنّ المراد منه أیضاً هو الزجر بالقوّة، لأنّه لا معنی للزجر الفعلی بالنسبة إلی من یکون منزجراً بنفسه ولیس له میل نفسانی إلی الفعل المنهیّ عنه</w:t>
      </w:r>
      <w:r>
        <w:rPr>
          <w:rFonts w:eastAsia="IRNazanin" w:cs="IRNazanin"/>
          <w:color w:val="111111"/>
          <w:sz w:val="28"/>
          <w:szCs w:val="28"/>
          <w:rtl w:val="true"/>
          <w:lang w:bidi="fa-IR"/>
        </w:rPr>
        <w:t>.</w:t>
      </w:r>
    </w:p>
    <w:p>
      <w:pPr>
        <w:pStyle w:val="Heading5"/>
        <w:numPr>
          <w:ilvl w:val="4"/>
          <w:numId w:val="1"/>
        </w:numPr>
        <w:rPr/>
      </w:pPr>
      <w:bookmarkStart w:id="584" w:name="__RefHeading___Toc96364_3244359995"/>
      <w:bookmarkStart w:id="585" w:name="_Toc222"/>
      <w:bookmarkEnd w:id="584"/>
      <w:r>
        <w:rPr>
          <w:rtl w:val="true"/>
        </w:rPr>
        <w:t>تنبیه</w:t>
      </w:r>
      <w:r>
        <w:rPr>
          <w:rtl w:val="true"/>
        </w:rPr>
        <w:t xml:space="preserve">: </w:t>
      </w:r>
      <w:r>
        <w:rPr>
          <w:rtl w:val="true"/>
        </w:rPr>
        <w:t>اختلاف الأمر والنهی فی کیفیّة الإمتثال</w:t>
      </w:r>
      <w:bookmarkEnd w:id="585"/>
    </w:p>
    <w:p>
      <w:pPr>
        <w:pStyle w:val="BookText"/>
        <w:rPr/>
      </w:pPr>
      <w:r>
        <w:rPr>
          <w:rFonts w:ascii="IRNazanin" w:hAnsi="IRNazanin" w:eastAsia="IRNazanin"/>
          <w:color w:val="111111"/>
          <w:sz w:val="28"/>
          <w:sz w:val="28"/>
          <w:szCs w:val="28"/>
          <w:rtl w:val="true"/>
          <w:lang w:bidi="fa-IR"/>
        </w:rPr>
        <w:t xml:space="preserve">إنّ النهی یدلّ علی وجوب ترک جمیع الأفراد العرضیّة مع کفایة تحقّق صرف الوجود للإمتثال فی الأمر وقد ذهب جمع إلی أنّ منشأ هذا الاختلاف هو خصوصیّة فی الأمور الوجودیّة والعدمیّة، فإنّ وجود الطبیعة یکون بوجود فرد واحد، وعدمها لا یکون إلّابعدم الجمیع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فی غیر محلّه، لأنّ الوجود والعدم متقابلان تقابل النقیضین وأنّ أحدهما بدیل للآخر، فالطبیعی یوجد بوجود أفراده ویتعدّد بتعدّدها، کما أنّه ینعدم بتعداد إعدام أفراده، فإنّ العدم یتصوّر بتعداد وجودات الأفراد ویکون بإزاء کلّ وجودٍ عدمٌ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منشأ هذا التفاوت أمران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طبیعة المصلحة وطبیعة المفسدة اللتین هما الغایتان الأصلیتان فی البعث والزجر، فإنّ المصلحة بمقتضی طبیعتها وذاتها تحصل بصرف</w:t>
      </w:r>
    </w:p>
    <w:p>
      <w:pPr>
        <w:pStyle w:val="BookText"/>
        <w:rPr/>
      </w:pPr>
      <w:r>
        <w:rPr>
          <w:rFonts w:ascii="IRNazanin" w:hAnsi="IRNazanin" w:eastAsia="IRNazanin"/>
          <w:color w:val="111111"/>
          <w:sz w:val="28"/>
          <w:sz w:val="28"/>
          <w:szCs w:val="28"/>
          <w:rtl w:val="true"/>
          <w:lang w:bidi="fa-IR"/>
        </w:rPr>
        <w:t>الوجود، أی تحصل الغایة منها بصرف الوجود، من دون فرق بین الامور الشرعیّة والعرفیّة، وأمّا المفسدة فلا یکفی فیها صرف الترک ولو فی مورد واحد؛ حیث إنّها موجودة فی کلّ فرد فرد من أفراد الطبیعة المنهی عنها، وبالطبع تحصل الغایة من النهی بترک جمیع الأفراد کالمفسدة الموجودة فی السمّ حیث إنّ الغایة فی النهی عن شربه إنّما هو حفظ النفس وهو متوقّف علی ترک جمیع الأفراد، وحیث إنّ هذه الخصوصیّة هی الغالبة فی المصالح والمفاسد حصل من جانبها انصراف فی الأوامر والنواهی، فالأمر ینصرف إلی إمتثال فرد واحد والنهی إلی جمیع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المفاسد فی النواهی تتصوّر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قسم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صرف العدم من المفسدة حاصلًا، فلا معنی للنهی عنها فإنّه یکون تحصیلًا للحاصل، ویصیر هذا قرینة علی تعلّق النهی بجمیع الأفراد علی نهج العامّ الأفرادی، نظیر ما إذا نذر الإنسان أن یترک التدخین إلی آخر عمره، فإذا حصل الحنث بالنسبة إلی بعض الأفراد لا یسقط التکلیف بالترک بالنسبة إلی سائر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قسم آخر منها تکون المفسدة قائمة بصرف الوجود من المنهی، نظیر ما إذا نذر أن یترک صرف الوجود من التدخین، فیحصل الحنث حینئذٍ بصرف الوجود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قسم ثالث منها تکون المفسدة قائمة بالمجموع من حیث المجموع وهو نظیر ما إذا نذر أن یترک التدخین علی نهج العامّ المجموعی فی هذا السنة، فیحصل الحنث حینئذٍ بتدخین مجموع أیّام السنة ولا مانع من التدخین فی بعضها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إنّ الغالب فی النواهی هو القسم الأوّل، بل لا مصداق للقسمین الآخرین إلّا أحیاناً، فلابدّ فیهما من نصب قرینة تصیر منشأً لانصراف النواهی عن القسم الأوّل، وقرینة عامّة لعدم کفایة صرف العدم، علی عکس ما فی الأوامر، حیث إنّ إتیان جمیع الأفراد فیها مستحیل عادةً وصار ذلک قرینة علی کفایة صرف الوجود، فتدبّر جیّداً</w:t>
      </w:r>
      <w:r>
        <w:rPr>
          <w:rFonts w:eastAsia="IRNazanin" w:cs="IRNazanin"/>
          <w:color w:val="111111"/>
          <w:sz w:val="28"/>
          <w:szCs w:val="28"/>
          <w:rtl w:val="true"/>
          <w:lang w:bidi="fa-IR"/>
        </w:rPr>
        <w:t>.</w:t>
      </w:r>
      <w:bookmarkStart w:id="586" w:name="pg16918_187504"/>
    </w:p>
    <w:p>
      <w:pPr>
        <w:pStyle w:val="Heading4"/>
        <w:numPr>
          <w:ilvl w:val="3"/>
          <w:numId w:val="1"/>
        </w:numPr>
        <w:rPr/>
      </w:pPr>
      <w:bookmarkStart w:id="587" w:name="__RefHeading___Toc96366_3244359995"/>
      <w:bookmarkStart w:id="588" w:name="_Toc223"/>
      <w:bookmarkEnd w:id="586"/>
      <w:bookmarkEnd w:id="587"/>
      <w:r>
        <w:rPr>
          <w:rtl w:val="true"/>
        </w:rPr>
        <w:t>الجهة الثانیة</w:t>
      </w:r>
      <w:r>
        <w:rPr>
          <w:rtl w:val="true"/>
        </w:rPr>
        <w:t xml:space="preserve">: </w:t>
      </w:r>
      <w:r>
        <w:rPr>
          <w:rtl w:val="true"/>
        </w:rPr>
        <w:t>دلالة النهی علی التحریم</w:t>
      </w:r>
      <w:bookmarkEnd w:id="588"/>
    </w:p>
    <w:p>
      <w:pPr>
        <w:pStyle w:val="BookText"/>
        <w:rPr/>
      </w:pPr>
      <w:r>
        <w:rPr>
          <w:rFonts w:ascii="IRNazanin" w:hAnsi="IRNazanin" w:eastAsia="IRNazanin"/>
          <w:color w:val="111111"/>
          <w:sz w:val="28"/>
          <w:sz w:val="28"/>
          <w:szCs w:val="28"/>
          <w:rtl w:val="true"/>
          <w:lang w:bidi="fa-IR"/>
        </w:rPr>
        <w:t>لا إشکال فی دلالة النهی علی الحرمة، وإنّما الإشکال فی أنّ هذه الدلالة هل هی مقتضی الوضع فیکون استعمال النهی فی الکراهة مجازاً، أو أنّها مقتضی الإطلاق ومقدّمات الحکمة فیکون الاستعمال فی الکراهة أیضاً استعمالًا حقیقیاً؟</w:t>
      </w:r>
    </w:p>
    <w:p>
      <w:pPr>
        <w:pStyle w:val="BookText"/>
        <w:rPr/>
      </w:pPr>
      <w:r>
        <w:rPr>
          <w:rFonts w:ascii="IRNazanin" w:hAnsi="IRNazanin" w:eastAsia="IRNazanin"/>
          <w:color w:val="111111"/>
          <w:sz w:val="28"/>
          <w:sz w:val="28"/>
          <w:szCs w:val="28"/>
          <w:rtl w:val="true"/>
          <w:lang w:bidi="fa-IR"/>
        </w:rPr>
        <w:t>الحقّ هو الثانی، کما مرّ نظیره فی الأمر، فإنّ الکلام هنا هو الکلام هناک، فکما أنّ دلالة الأمر علی الوجوب کان من باب أنّ معناه هو الطلب مطلقاً، ولا سبیل لعدم الطلب فیه، فیکون الوجوب مقتضی هذا الإطلاق، ولازمه أن لا یکون استعمال الأمر فی الاستحباب مجازاً مع احتیاجه إلی قیام قرینة علی الاستحباب، کذلک دلالة النهی علی الحرمة، فإنّ معناه الزجر والمنع عن الفعل مطلقاً من دون تطرّق عدم الزجر فیه، وهذا یقتضی الحرمة وأن لا یکون استعماله فی الکراهة بضمّ القرینة مجازاً، لأنّه لیس من قبیل استعمال اللفظ فی غیر ما وضع له</w:t>
      </w:r>
      <w:r>
        <w:rPr>
          <w:rFonts w:eastAsia="IRNazanin" w:cs="IRNazanin"/>
          <w:color w:val="111111"/>
          <w:sz w:val="28"/>
          <w:szCs w:val="28"/>
          <w:rtl w:val="true"/>
          <w:lang w:bidi="fa-IR"/>
        </w:rPr>
        <w:t>.</w:t>
      </w:r>
    </w:p>
    <w:p>
      <w:pPr>
        <w:pStyle w:val="Heading4"/>
        <w:numPr>
          <w:ilvl w:val="3"/>
          <w:numId w:val="1"/>
        </w:numPr>
        <w:rPr/>
      </w:pPr>
      <w:bookmarkStart w:id="589" w:name="__RefHeading___Toc96368_3244359995"/>
      <w:bookmarkStart w:id="590" w:name="_Toc224"/>
      <w:bookmarkEnd w:id="589"/>
      <w:r>
        <w:rPr>
          <w:rtl w:val="true"/>
        </w:rPr>
        <w:t>الجهة الثالثة</w:t>
      </w:r>
      <w:r>
        <w:rPr>
          <w:rtl w:val="true"/>
        </w:rPr>
        <w:t xml:space="preserve">: </w:t>
      </w:r>
      <w:r>
        <w:rPr>
          <w:rtl w:val="true"/>
        </w:rPr>
        <w:t>دلالة النهی علی التکرار</w:t>
      </w:r>
      <w:bookmarkEnd w:id="590"/>
    </w:p>
    <w:p>
      <w:pPr>
        <w:pStyle w:val="BookText"/>
        <w:rPr/>
      </w:pPr>
      <w:r>
        <w:rPr>
          <w:rFonts w:ascii="IRNazanin" w:hAnsi="IRNazanin" w:eastAsia="IRNazanin"/>
          <w:color w:val="111111"/>
          <w:sz w:val="28"/>
          <w:sz w:val="28"/>
          <w:szCs w:val="28"/>
          <w:rtl w:val="true"/>
          <w:lang w:bidi="fa-IR"/>
        </w:rPr>
        <w:t>هل النهی یدلّ علی الاستمرار من ترک جمیع الأفراد الطولیة، بعد ما مرّ من دلالته علی لزوم ترک جمیع أفراده العرضیّة؟</w:t>
      </w:r>
    </w:p>
    <w:p>
      <w:pPr>
        <w:pStyle w:val="BookText"/>
        <w:rPr/>
      </w:pPr>
      <w:r>
        <w:rPr>
          <w:rFonts w:ascii="IRNazanin" w:hAnsi="IRNazanin" w:eastAsia="IRNazanin"/>
          <w:color w:val="111111"/>
          <w:sz w:val="28"/>
          <w:sz w:val="28"/>
          <w:szCs w:val="28"/>
          <w:rtl w:val="true"/>
          <w:lang w:bidi="fa-IR"/>
        </w:rPr>
        <w:t>قد مرّ أنّ الأمر بمقتضی مقدّمات الحکمة، مع عدم وجود قرینة علی مطلوبیّة التکرار، یدلّ علی المرّة، وحیث إنّ ملاک الحرمة فی النواهی وهو المفسدة، قائمة بتمام الأفراد کما عرفت، کان مقتضی إطلاق النهی وعدم تقییده بحدّ زمانی الاستمرار والتکرار؛ أی ترک إتیان جمیع الأفراد الطولیة کألافراد العرضیّة، نعم إذا قیّد بقید زمانی کأن یقول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الماء إلی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عدم دلالته علی التکرار بعد هذا الزمان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هذا لزوم الفتوی بوجوب الاستمرار فی باب النذر فیما إذا نذر مثلًا علی نحو الإطلاق أن یترک التدخین وأن یبقی وجوب الوفاء علی حاله حتّی</w:t>
      </w:r>
    </w:p>
    <w:p>
      <w:pPr>
        <w:pStyle w:val="BookText"/>
        <w:rPr/>
      </w:pPr>
      <w:r>
        <w:rPr>
          <w:rFonts w:ascii="IRNazanin" w:hAnsi="IRNazanin" w:eastAsia="IRNazanin"/>
          <w:color w:val="111111"/>
          <w:sz w:val="28"/>
          <w:sz w:val="28"/>
          <w:szCs w:val="28"/>
          <w:rtl w:val="true"/>
          <w:lang w:bidi="fa-IR"/>
        </w:rPr>
        <w:t>بعد وقوع الحنث، مع أنّ الظاهر أنّه لا یقول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لقائل أن یقول فی خصوص باب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النهی لخصوصیّة فی المقام لیس من قبیل الزجر عن الفعل، بل إنّه من قبیل طلب الترک، لأنّ الناذر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ترک التدخین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بعد ضمّ دلیل وجوب الوفاء بالنذر یفید أنّه یجب علیک ترک التدخین، لا الزجر عن التدخین کما لا یخفی، ولا إشکال فی أنّه إذا کان هذا هو متعلّق النذر لم یجب التکرار والاستمرار بل یحصل الوفاء بإتیان مصداق واحد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النذر تابع لقصد الناذر، ویمکن أن یکون الغالب فی النذر کون المتعلّق أمراً وحدانیاً وعامّاً مجموعیاً بحیث لو وقع الحنث لم یجب الوفاء ثانیاً، ولو شککنا فیه فمقتضی أصالة البراءة هو عدم وجوب الوفاء، وأمّا لو فرض تعلّق النذر علی نهج العامّ الأفرادی فلا یبعد القول بوجوب الاستمرار، حیث إنّ الظاهر أنّ عدم فتوی الفقهاء بوجوب التکرار فی باب النذر یکون من جهة تلک الغلبة، فهی منصرفة عن موارد العامّ الأفرادی</w:t>
      </w:r>
      <w:r>
        <w:rPr>
          <w:rFonts w:eastAsia="IRNazanin" w:cs="IRNazanin"/>
          <w:color w:val="111111"/>
          <w:sz w:val="28"/>
          <w:szCs w:val="28"/>
          <w:rtl w:val="true"/>
          <w:lang w:bidi="fa-IR"/>
        </w:rPr>
        <w:t>.</w:t>
      </w:r>
      <w:bookmarkStart w:id="591" w:name="pg16918_187506"/>
    </w:p>
    <w:p>
      <w:pPr>
        <w:pStyle w:val="Heading3"/>
        <w:numPr>
          <w:ilvl w:val="2"/>
          <w:numId w:val="1"/>
        </w:numPr>
        <w:rPr/>
      </w:pPr>
      <w:bookmarkStart w:id="592" w:name="__RefHeading___Toc96370_3244359995"/>
      <w:bookmarkStart w:id="593" w:name="_Toc225"/>
      <w:bookmarkEnd w:id="591"/>
      <w:bookmarkEnd w:id="592"/>
      <w:r>
        <w:rPr>
          <w:rtl w:val="true"/>
        </w:rPr>
        <w:t>الفصل الخامس</w:t>
      </w:r>
      <w:r>
        <w:rPr>
          <w:rtl w:val="true"/>
        </w:rPr>
        <w:t xml:space="preserve">: </w:t>
      </w:r>
      <w:r>
        <w:rPr>
          <w:rtl w:val="true"/>
        </w:rPr>
        <w:t>المشتقّات</w:t>
      </w:r>
      <w:bookmarkEnd w:id="593"/>
    </w:p>
    <w:p>
      <w:pPr>
        <w:pStyle w:val="Heading4"/>
        <w:numPr>
          <w:ilvl w:val="3"/>
          <w:numId w:val="1"/>
        </w:numPr>
        <w:rPr/>
      </w:pPr>
      <w:bookmarkStart w:id="594" w:name="__RefHeading___Toc96372_3244359995"/>
      <w:bookmarkStart w:id="595" w:name="_Toc226"/>
      <w:bookmarkEnd w:id="594"/>
      <w:r>
        <w:rPr>
          <w:rtl w:val="true"/>
        </w:rPr>
        <w:t>اشارة</w:t>
      </w:r>
      <w:bookmarkEnd w:id="595"/>
    </w:p>
    <w:p>
      <w:pPr>
        <w:pStyle w:val="BookText"/>
        <w:rPr/>
      </w:pPr>
      <w:r>
        <w:rPr>
          <w:rFonts w:ascii="IRNazanin" w:hAnsi="IRNazanin" w:eastAsia="IRNazanin"/>
          <w:color w:val="111111"/>
          <w:sz w:val="28"/>
          <w:sz w:val="28"/>
          <w:szCs w:val="28"/>
          <w:rtl w:val="true"/>
          <w:lang w:bidi="fa-IR"/>
        </w:rPr>
        <w:t>اختلفوا فی أنّ المشتقّ حقیقة فی خصوص ما یتلبّس بالمبدأ فی الحال أو فی الأعمّ منه وممّا انقضی عنه التلبّس، بعد اتّفاقهم علی کونه مجازاً فیما یتلبّس بالمبدأ فی المستقبل، فلفظ الصائم مثلًا هل یکون حقیقة فی الصائم فی زمان الحال فقط، أو یطلق حقیقة أیضاً علی من کان صائماً، بعد الاتّفاق علی مجازیّته فیمن یصوم فی الاستقبال؟</w:t>
      </w:r>
    </w:p>
    <w:p>
      <w:pPr>
        <w:pStyle w:val="BookText"/>
        <w:rPr/>
      </w:pPr>
      <w:r>
        <w:rPr>
          <w:rFonts w:ascii="IRNazanin" w:hAnsi="IRNazanin" w:eastAsia="IRNazanin"/>
          <w:color w:val="111111"/>
          <w:sz w:val="28"/>
          <w:sz w:val="28"/>
          <w:szCs w:val="28"/>
          <w:rtl w:val="true"/>
          <w:lang w:bidi="fa-IR"/>
        </w:rPr>
        <w:t>والمراد من الحال، حال النسبة، لأنّه لا إشکال فی کون الاستعمال فی قولک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کان ضارباً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سیکون ضارباً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مع أنّ زمان التلبّس فیهما لیس هو زمان النطق، فلو کان المراد من الحال فی العنوان هو حال النطق، کان المثال الأوّل داخلًا فی محلّ الخلاف، وکان المثال الثانی مجازاً، مع أنّ کلاهما من قسم الحقیقة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ویتمّ البحث عن ذلک فی ضمن امور</w:t>
      </w:r>
      <w:r>
        <w:rPr>
          <w:rFonts w:eastAsia="IRNazanin" w:cs="IRNazanin"/>
          <w:color w:val="111111"/>
          <w:sz w:val="28"/>
          <w:szCs w:val="28"/>
          <w:rtl w:val="true"/>
          <w:lang w:bidi="fa-IR"/>
        </w:rPr>
        <w:t>:</w:t>
      </w:r>
    </w:p>
    <w:p>
      <w:pPr>
        <w:pStyle w:val="Heading4"/>
        <w:numPr>
          <w:ilvl w:val="3"/>
          <w:numId w:val="1"/>
        </w:numPr>
        <w:rPr/>
      </w:pPr>
      <w:bookmarkStart w:id="596" w:name="__RefHeading___Toc96374_3244359995"/>
      <w:bookmarkStart w:id="597" w:name="_Toc227"/>
      <w:bookmarkEnd w:id="596"/>
      <w:r>
        <w:rPr/>
        <w:t>1</w:t>
      </w:r>
      <w:r>
        <w:rPr>
          <w:rtl w:val="true"/>
        </w:rPr>
        <w:t xml:space="preserve">. </w:t>
      </w:r>
      <w:r>
        <w:rPr>
          <w:rtl w:val="true"/>
        </w:rPr>
        <w:t>تعیین محلّ النزاع</w:t>
      </w:r>
      <w:bookmarkEnd w:id="597"/>
    </w:p>
    <w:p>
      <w:pPr>
        <w:pStyle w:val="Heading5"/>
        <w:numPr>
          <w:ilvl w:val="4"/>
          <w:numId w:val="1"/>
        </w:numPr>
        <w:rPr/>
      </w:pPr>
      <w:bookmarkStart w:id="598" w:name="__RefHeading___Toc96376_3244359995"/>
      <w:bookmarkStart w:id="599" w:name="_Toc228"/>
      <w:bookmarkEnd w:id="598"/>
      <w:r>
        <w:rPr>
          <w:rtl w:val="true"/>
        </w:rPr>
        <w:t>اشارة</w:t>
      </w:r>
      <w:bookmarkEnd w:id="59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للُاصولیین اصطلاحاً خاصّاً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والنسبة بینه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 فی علم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من وجه، ویشترط فی المشتق الاصولی امور أربعة</w:t>
      </w:r>
      <w:r>
        <w:rPr>
          <w:rFonts w:eastAsia="IRNazanin" w:cs="IRNazanin"/>
          <w:color w:val="111111"/>
          <w:sz w:val="28"/>
          <w:szCs w:val="28"/>
          <w:rtl w:val="true"/>
          <w:lang w:bidi="fa-IR"/>
        </w:rPr>
        <w:t>:</w:t>
      </w:r>
      <w:bookmarkStart w:id="600" w:name="pg16918_187507"/>
    </w:p>
    <w:p>
      <w:pPr>
        <w:pStyle w:val="BookText"/>
        <w:rPr/>
      </w:pPr>
      <w:bookmarkEnd w:id="600"/>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المتلبّسة بالمبدأ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الاشتقاق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التلبّس فی زمان من الأزمنة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انقضاء التلبّس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المشتقّات الصرفیّة لا یکون جامعاً لهذه الشروط کالأفعال، فإنّ الفعل هو نفس الحدث الواقع فی الزمان والذات لیست جزءً منه، وکذلک الأوصاف الّتی لا تنقضی تلبس الذات عنها کالمحرّقیة بالنسبة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إنّ بعض الجوامد داخل فی محلّ النزاع لاجتماع الامور الأربعة المذکورة فیه کالزوج والزوجة، فالمشتقّ الاصولی والصرفی یجتمعان فی الأسماء المشتقّة، ویفترقان فی الأفعال وبعض الجوامد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ثمانیة أقسام من المشتقّات الصرفیة وهی اسم الفاعل والمفعول، والصفة المشبهة، وصیغة المبالغة، واسم الزمان والمکان، واسم التفضیل والآلة تکون داخلة فی محلّ النزاع وکذا الجوامد الواجدة للمعیار المذکور</w:t>
      </w:r>
      <w:r>
        <w:rPr>
          <w:rFonts w:eastAsia="IRNazanin" w:cs="IRNazanin"/>
          <w:color w:val="111111"/>
          <w:sz w:val="28"/>
          <w:szCs w:val="28"/>
          <w:rtl w:val="true"/>
          <w:lang w:bidi="fa-IR"/>
        </w:rPr>
        <w:t>.</w:t>
      </w:r>
    </w:p>
    <w:p>
      <w:pPr>
        <w:pStyle w:val="Heading5"/>
        <w:numPr>
          <w:ilvl w:val="4"/>
          <w:numId w:val="1"/>
        </w:numPr>
        <w:rPr/>
      </w:pPr>
      <w:bookmarkStart w:id="601" w:name="__RefHeading___Toc96378_3244359995"/>
      <w:bookmarkStart w:id="602" w:name="_Toc229"/>
      <w:bookmarkEnd w:id="601"/>
      <w:r>
        <w:rPr>
          <w:rtl w:val="true"/>
        </w:rPr>
        <w:t>خروج اسم الزمان عن محلّ النزاع وعدمه</w:t>
      </w:r>
      <w:bookmarkEnd w:id="602"/>
    </w:p>
    <w:p>
      <w:pPr>
        <w:pStyle w:val="BookText"/>
        <w:rPr/>
      </w:pPr>
      <w:r>
        <w:rPr>
          <w:rFonts w:ascii="IRNazanin" w:hAnsi="IRNazanin" w:eastAsia="IRNazanin"/>
          <w:color w:val="111111"/>
          <w:sz w:val="28"/>
          <w:sz w:val="28"/>
          <w:szCs w:val="28"/>
          <w:rtl w:val="true"/>
          <w:lang w:bidi="fa-IR"/>
        </w:rPr>
        <w:t xml:space="preserve">ووجه الإشکال فیه عدم بقاء ذات یتلبّس بالمبدأ، لأنّ الذات فیه وهی الزمان ممّا ینقضی بانقضاء نفس المبدأ، وعلیه فکیف یجری النزاع فی اسم الزمان،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زمان القتل، مع عدم وجود ما انقضی عنه فی الخارج؟</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الأزمنة والآنات وإن کانت وجودات متعدّدة متصرّمة بالدقّة العقلیّة، ولکنّه حیثما لا یتخلّل بینها سکون وتکون الآنات متّصلة یعدّ عرفاً أمراً وحدانیاً ما لم یتجزّأ بأجزاء عرفیّة مثل السنة والشهر والیوم والساعة، فالمقتلیّة مثلًا تلاحظ بالنسبة إلی الیوم بجعل مجموع الآنات الّتی فیما بین طلوع الشمس مثلًا وغروبها أمراً واحداً مستمرّاً، فیضاف القتل إلیه ویقال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الیوم مقتل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bookmarkStart w:id="603" w:name="pg16918_187508"/>
    </w:p>
    <w:p>
      <w:pPr>
        <w:pStyle w:val="BookText"/>
        <w:rPr/>
      </w:pPr>
      <w:bookmarkEnd w:id="603"/>
      <w:r>
        <w:rPr>
          <w:rFonts w:ascii="IRNazanin" w:hAnsi="IRNazanin" w:eastAsia="IRNazanin"/>
          <w:color w:val="111111"/>
          <w:sz w:val="28"/>
          <w:sz w:val="28"/>
          <w:szCs w:val="28"/>
          <w:rtl w:val="true"/>
          <w:lang w:bidi="fa-IR"/>
        </w:rPr>
        <w:t>وقع القتل فی ساعة خاصّة منه، فیمکن إطلاق الزمان مع انقضاء حدثه وعارضه ما لم یصل إلی الجزء العرفی اللاحق وهو الیوم الحادی عشر من المحرّم فی المثال، وکذلک یقال هذا الشهر مقتل الحسین علیه السلام ما لم یصل إلی الشهر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یظهر أنّه إذا قال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عند مطلع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المطلع عرفاً فی الدقائق اللاحقة لطلوع الشمس ما لم یخرج عن هذا الحدّ العرفی، فدخول اسم الزمان فی محلّ النزاع غیر ممکن بالدقّة العقلیّة لعدم بقاء له، ولکن یجری فیه بنظر العرف، لأنّهم یرون للزمان بقاءً بحسب الحدود المتداولة بینهم، والخطابات الشرعیّة ملقاة إلی العرف</w:t>
      </w:r>
      <w:r>
        <w:rPr>
          <w:rFonts w:eastAsia="IRNazanin" w:cs="IRNazanin"/>
          <w:color w:val="111111"/>
          <w:sz w:val="28"/>
          <w:szCs w:val="28"/>
          <w:rtl w:val="true"/>
          <w:lang w:bidi="fa-IR"/>
        </w:rPr>
        <w:t>.</w:t>
      </w:r>
    </w:p>
    <w:p>
      <w:pPr>
        <w:pStyle w:val="Heading5"/>
        <w:numPr>
          <w:ilvl w:val="4"/>
          <w:numId w:val="1"/>
        </w:numPr>
        <w:rPr/>
      </w:pPr>
      <w:bookmarkStart w:id="604" w:name="__RefHeading___Toc96380_3244359995"/>
      <w:bookmarkStart w:id="605" w:name="_Toc230"/>
      <w:bookmarkEnd w:id="604"/>
      <w:r>
        <w:rPr>
          <w:rtl w:val="true"/>
        </w:rPr>
        <w:t>خروج اسم المفعول واسم الآلة عن حریم النزاع وعدمه</w:t>
      </w:r>
      <w:bookmarkEnd w:id="605"/>
    </w:p>
    <w:p>
      <w:pPr>
        <w:pStyle w:val="BookText"/>
        <w:rPr/>
      </w:pPr>
      <w:r>
        <w:rPr>
          <w:rFonts w:ascii="IRNazanin" w:hAnsi="IRNazanin" w:eastAsia="IRNazanin"/>
          <w:color w:val="111111"/>
          <w:sz w:val="28"/>
          <w:sz w:val="28"/>
          <w:szCs w:val="28"/>
          <w:rtl w:val="true"/>
          <w:lang w:bidi="fa-IR"/>
        </w:rPr>
        <w:t>ذهب صاحب الفصول إلی خروج اسم المفعول عن محلّ النزاع لصدقه علی من وقع علیه الفعل إلی الأبد بمجرّد تحقّق الفعل مرّة واحدة، فلا معنی للانقضاء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فی اسم الآلة لصدقها علی الذات وإن لم یتحقّق منها فعل کالمفتاح، فإنّه یصدق علی آلة الفتح وإن لم یفتح بها شی‌ء</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یرد 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اسم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الأفعال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 منها یکون آنیّ الوجود أو شبیهاً له کالقتل والضرب، وقسم لا یکون کذلک کالعلم والجهل، وقد وقع الخلط فی کلامه رحمه الله بین هذین القسمین، لأنّه وإن کان لا یتصوّر الانقضاء فی القسم الأوّل لکنّه یصدق فی القسم الثانی، فلا إشکال فی انقضاء المعلومیّة والمجهولیّة مع بقاء الذات فیهما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انتقاض کلامه باسم الفاعل لجریان هذین القسمین فیه أیضاً، فکما أنّه لا معنی للانقضاء فی مثل المقتولیة لا معنی کذلک للانقضاء فی القاتلیّة، فإن کان وجود هذا القسم فی اسم المفعول موجباً لخروجه فلیکن فی اسم الفاعل أیضاً کذلک</w:t>
      </w:r>
      <w:r>
        <w:rPr>
          <w:rFonts w:eastAsia="IRNazanin" w:cs="IRNazanin"/>
          <w:color w:val="111111"/>
          <w:sz w:val="28"/>
          <w:szCs w:val="28"/>
          <w:rtl w:val="true"/>
          <w:lang w:bidi="fa-IR"/>
        </w:rPr>
        <w:t>.</w:t>
      </w:r>
      <w:bookmarkStart w:id="606" w:name="pg16918_187509"/>
    </w:p>
    <w:p>
      <w:pPr>
        <w:pStyle w:val="BookText"/>
        <w:rPr/>
      </w:pPr>
      <w:bookmarkEnd w:id="606"/>
      <w:r>
        <w:rPr>
          <w:rFonts w:ascii="IRNazanin" w:hAnsi="IRNazanin" w:eastAsia="IRNazanin"/>
          <w:color w:val="111111"/>
          <w:sz w:val="28"/>
          <w:sz w:val="28"/>
          <w:szCs w:val="28"/>
          <w:rtl w:val="true"/>
          <w:lang w:bidi="fa-IR"/>
        </w:rPr>
        <w:t>وأمّا بالنسبة إلی اسم الآلة، فسیأتی أنّ التلبّس بالمبدأ علی أنحاء، وحیث إنّ التلبّس فی اسم الآلة هو التلبّس بالشأنیّة فیعتبر فی جریان النزاع فیه انقضاء الشأنیّة والاستعداد کما فی المفتاح المکسور، فیقع النزاع فی أنّه یصدق علیه المفتاح أو لا؟</w:t>
      </w:r>
    </w:p>
    <w:p>
      <w:pPr>
        <w:pStyle w:val="Heading4"/>
        <w:numPr>
          <w:ilvl w:val="3"/>
          <w:numId w:val="1"/>
        </w:numPr>
        <w:rPr/>
      </w:pPr>
      <w:bookmarkStart w:id="607" w:name="__RefHeading___Toc96382_3244359995"/>
      <w:bookmarkStart w:id="608" w:name="_Toc231"/>
      <w:bookmarkEnd w:id="607"/>
      <w:r>
        <w:rPr/>
        <w:t>2</w:t>
      </w:r>
      <w:r>
        <w:rPr>
          <w:rtl w:val="true"/>
        </w:rPr>
        <w:t xml:space="preserve">. </w:t>
      </w:r>
      <w:r>
        <w:rPr>
          <w:rtl w:val="true"/>
        </w:rPr>
        <w:t>اختلاف المبادئ فی المشتقّات</w:t>
      </w:r>
      <w:bookmarkEnd w:id="608"/>
    </w:p>
    <w:p>
      <w:pPr>
        <w:pStyle w:val="BookText"/>
        <w:rPr/>
      </w:pPr>
      <w:r>
        <w:rPr>
          <w:rFonts w:ascii="IRNazanin" w:hAnsi="IRNazanin" w:eastAsia="IRNazanin"/>
          <w:color w:val="111111"/>
          <w:sz w:val="28"/>
          <w:sz w:val="28"/>
          <w:szCs w:val="28"/>
          <w:rtl w:val="true"/>
          <w:lang w:bidi="fa-IR"/>
        </w:rPr>
        <w:t>تختلف أنحاء تلبّس المشتقّ بالمبدأ باختلاف المبادئ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التلبّس بمجرّد الفعل کالضارب، فإنّ الضارب یطلق علی من تلبّس بالضرب ولو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التلبّس علی نحو الحرفة کالتاجر، ولا یکفی فیه مجرّد تجارة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التلبّس علی نحو المنصب کالقاضی، فإنّه یصدق علی من تصدّی القضاء، لا من قضی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التلبّس علی نحو الملکة کالمجتهد، فإنّه لایطلق إلّاعلی من کان عنده ملکة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التلبّس علی نحو الشأنیّة کالقاتل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 القاتل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القتل لم یصدر منه فعلًا، بل إنّما یکون فیه شأنیّة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ومنشأ اختلاف المشتقّات فی ذلک تارة تکون فی نفس المبدأ والمادّة، واخری فی الهیئة، وثالثة فی مرحلة الجری والنسبة الموجودة فی الجملة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التلبّس فیه علی نحو الحرفة، ویستفاد هذا من مادّة التجارة، وأمّا أسم الآلة فیستفاد التلبّس بالشأنیّة فیه من الهیئة، لأنّ هیئة اسم الآلة إنّما وضعت للشأنیة والاستعداد القریب، وأمّا مثل القاتل فإنّما یستفاد کیفیّة تلبّسها من کیفیة استعمالها، لأنّا إذا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السمّ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المشتقّ فیه علی الشأنیّة، بخلاف ما إذا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یدلّ علی التلبّس بالفعل</w:t>
      </w:r>
      <w:r>
        <w:rPr>
          <w:rFonts w:eastAsia="IRNazanin" w:cs="IRNazanin"/>
          <w:color w:val="111111"/>
          <w:sz w:val="28"/>
          <w:szCs w:val="28"/>
          <w:rtl w:val="true"/>
          <w:lang w:bidi="fa-IR"/>
        </w:rPr>
        <w:t>.</w:t>
      </w:r>
      <w:bookmarkStart w:id="609" w:name="pg16918_187510"/>
    </w:p>
    <w:p>
      <w:pPr>
        <w:pStyle w:val="BookText"/>
        <w:rPr/>
      </w:pPr>
      <w:bookmarkEnd w:id="609"/>
      <w:r>
        <w:rPr>
          <w:rFonts w:ascii="IRNazanin" w:hAnsi="IRNazanin" w:eastAsia="IRNazanin"/>
          <w:color w:val="111111"/>
          <w:sz w:val="28"/>
          <w:sz w:val="28"/>
          <w:szCs w:val="28"/>
          <w:rtl w:val="true"/>
          <w:lang w:bidi="fa-IR"/>
        </w:rPr>
        <w:t>وعلیه فالتلبّس فی کلّ مورد بحسبه، وإذا کان التلبّس بالشأنیّة، فلیکن الانقضاء أیضاً کذلک، کالمفتاح المکسور الذی خرج من شأنیّة الفتح</w:t>
      </w:r>
      <w:r>
        <w:rPr>
          <w:rFonts w:eastAsia="IRNazanin" w:cs="IRNazanin"/>
          <w:color w:val="111111"/>
          <w:sz w:val="28"/>
          <w:szCs w:val="28"/>
          <w:rtl w:val="true"/>
          <w:lang w:bidi="fa-IR"/>
        </w:rPr>
        <w:t>.</w:t>
      </w:r>
    </w:p>
    <w:p>
      <w:pPr>
        <w:pStyle w:val="Heading4"/>
        <w:numPr>
          <w:ilvl w:val="3"/>
          <w:numId w:val="1"/>
        </w:numPr>
        <w:rPr/>
      </w:pPr>
      <w:bookmarkStart w:id="610" w:name="__RefHeading___Toc96384_3244359995"/>
      <w:bookmarkStart w:id="611" w:name="_Toc232"/>
      <w:bookmarkEnd w:id="610"/>
      <w:r>
        <w:rPr/>
        <w:t>3</w:t>
      </w:r>
      <w:r>
        <w:rPr>
          <w:rtl w:val="true"/>
        </w:rPr>
        <w:t xml:space="preserve">. </w:t>
      </w:r>
      <w:r>
        <w:rPr>
          <w:rtl w:val="true"/>
        </w:rPr>
        <w:t>الأقوال فی المسألة</w:t>
      </w:r>
      <w:bookmarkEnd w:id="611"/>
    </w:p>
    <w:p>
      <w:pPr>
        <w:pStyle w:val="Heading5"/>
        <w:numPr>
          <w:ilvl w:val="4"/>
          <w:numId w:val="1"/>
        </w:numPr>
        <w:rPr/>
      </w:pPr>
      <w:bookmarkStart w:id="612" w:name="__RefHeading___Toc96386_3244359995"/>
      <w:bookmarkStart w:id="613" w:name="_Toc233"/>
      <w:bookmarkEnd w:id="612"/>
      <w:r>
        <w:rPr>
          <w:rtl w:val="true"/>
        </w:rPr>
        <w:t>اشارة</w:t>
      </w:r>
      <w:bookmarkEnd w:id="613"/>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المشتقّ لخصوص المتلبّس بالمبدأ وهو مختار المتأخّرین من الأصحاب </w:t>
      </w:r>
      <w:r>
        <w:rPr>
          <w:rStyle w:val="FootnoteAnchor"/>
          <w:rtl w:val="true"/>
        </w:rPr>
        <w:footnoteReference w:id="436"/>
      </w:r>
      <w:r>
        <w:rPr>
          <w:rFonts w:ascii="Amiri" w:hAnsi="Amiri" w:eastAsia="Amiri" w:cs="Amiri"/>
          <w:color w:val="111111"/>
          <w:sz w:val="28"/>
          <w:sz w:val="28"/>
          <w:szCs w:val="28"/>
          <w:rtl w:val="true"/>
          <w:lang w:bidi="ar-SA"/>
        </w:rPr>
        <w:t>وبعض العامّة</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 للأعمّ منه وممّا انقضی عنه التلبّس وعلیه المتقدّمون من أصحابنا</w:t>
      </w:r>
      <w:r>
        <w:rPr>
          <w:rStyle w:val="FootnoteAnchor"/>
          <w:rtl w:val="true"/>
        </w:rPr>
        <w:footnoteReference w:id="438"/>
      </w:r>
      <w:r>
        <w:rPr>
          <w:rFonts w:ascii="IRNazanin" w:hAnsi="IRNazanin" w:eastAsia="IRNazanin"/>
          <w:color w:val="111111"/>
          <w:sz w:val="28"/>
          <w:sz w:val="28"/>
          <w:szCs w:val="28"/>
          <w:rtl w:val="true"/>
          <w:lang w:bidi="fa-IR"/>
        </w:rPr>
        <w:t>وکثیر من العامّة</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ما اشتقّ من المتعدّی وما اشتقّ من اللازم، فالأوّل وضع للأعمّ نحو السارق والقاتل، والثانی وضع للأخصّ کالجالس والذاهب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التفصیل بین المحکوم علیه والمحکوم به، فالمحکوم علیه وضع للأعمّ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السَّارِقُ وَالسَّارِقَةُ فَاقْطَعُوا أَیْدِیَهُمَا</w:t>
      </w:r>
      <w:r>
        <w:rPr>
          <w:rFonts w:eastAsia="Amiri" w:cs="Amiri" w:ascii="Amiri" w:hAnsi="Amiri"/>
          <w:color w:val="111111"/>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 xml:space="preserve">والمحکوم به وضع للأخصّ نحو جالس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جالس</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وضع المشتقّ لخصوص المتلبّس مطلقاً، واستدلّ له بوجوه لفظیّة وعقلیّة، ولکن حیث لا مجال للأدلّة العقلیّة فی أمثال مباحث الألفاظ، فلنقتصر علی الأدلّة اللفظیّة</w:t>
      </w:r>
      <w:r>
        <w:rPr>
          <w:rFonts w:eastAsia="IRNazanin" w:cs="IRNazanin"/>
          <w:color w:val="111111"/>
          <w:sz w:val="28"/>
          <w:szCs w:val="28"/>
          <w:rtl w:val="true"/>
          <w:lang w:bidi="fa-IR"/>
        </w:rPr>
        <w:t>:</w:t>
      </w:r>
      <w:bookmarkStart w:id="614" w:name="pg16918_187511"/>
    </w:p>
    <w:p>
      <w:pPr>
        <w:pStyle w:val="Heading5"/>
        <w:numPr>
          <w:ilvl w:val="4"/>
          <w:numId w:val="1"/>
        </w:numPr>
        <w:rPr/>
      </w:pPr>
      <w:bookmarkStart w:id="615" w:name="__RefHeading___Toc96388_3244359995"/>
      <w:bookmarkStart w:id="616" w:name="_Toc234"/>
      <w:bookmarkEnd w:id="614"/>
      <w:bookmarkEnd w:id="615"/>
      <w:r>
        <w:rPr>
          <w:rtl w:val="true"/>
        </w:rPr>
        <w:t>أدلّة القول بالأخصّ</w:t>
      </w:r>
      <w:r>
        <w:rPr>
          <w:rtl w:val="true"/>
        </w:rPr>
        <w:t>:</w:t>
      </w:r>
      <w:bookmarkEnd w:id="616"/>
    </w:p>
    <w:p>
      <w:pPr>
        <w:pStyle w:val="BookText"/>
        <w:rPr/>
      </w:pPr>
      <w:r>
        <w:rPr>
          <w:rFonts w:ascii="IRNazanin" w:hAnsi="IRNazanin" w:eastAsia="IRNazanin"/>
          <w:color w:val="111111"/>
          <w:sz w:val="28"/>
          <w:sz w:val="28"/>
          <w:szCs w:val="28"/>
          <w:rtl w:val="true"/>
          <w:lang w:bidi="fa-IR"/>
        </w:rPr>
        <w:t xml:space="preserve">وعمدتها التبادر، فإنّ المتبادر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عند إطلاقه هو المتلبّس بالعلم فی الحال، ولتوضیح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المبادئ فی المشتقّات علی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ذات المبدأ قرینة علی أنّ إطلاق المشتقّ منه فی جمیع الموارد یکون بلحاظ الانقضاء، نحو مبدأ التولّد،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منه یکون إطلاقه بلحاظ انقضاء التولّد، ونفس مادّة التولّد قرینة علیه، والسرّ فیه إنّه لا بقاء ولا تکرّر فیه، فلا معنی لتبادر خصوص المتلبّس منه، بل یکون هذا القسم خارجاً عن محلّ النزاع لوجود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نفس المبدأ قرینة علی کون إطلاق المشتقّ بلحاظ التلبّس فی الحال فی جمیع الموارد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المشتقّ منهما أی الممکن والواجب، یطلق فی جمیع الحالات علی المتلبّس الفعلی؛ لأنّ المبدأ فیهما ممّا لا یزول بل یبقی بدوام الذات، فلا معنی لتبادر خصوص المتلبّس فی هذا القسم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یکون فیه دوام وبقاء غالباً وإن کان یمکن تکراره، نحو السرقة والقتل، فحیث إنّ الغالب فی هذا القسم عدم دوام المبدأ یصیر هذا قرینة علی کون التلبّس بلحاظ الانقضاء وموجباً لانصراف الذهن إلی من انقضی عنه المبدأ،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یتلبّس بالسرقة والقتل فی ساعة معیّنة، وبعد ذلک یبقی علیه هذا العنوان وهذا الوصف وإن لم یکن متلبّساً؛ لما عرفت من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یتصوّر فیه الدوام والانقضاء معاً، نحو العدالة والفسق والجلوس والقیام، ولیس ذات المبدأ قرینة علی أحدهما، وهذا هو محلّ النزاع ومصبّ دعوی التبادر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وعدم الالتفات إلی اختلاف هذه الأقسام أوجب إنکار التبادر، مع أنّ النزاع یختصّ بهذا القسم، ولا ندّعی وجود التبادر فی الأقسام الثلاثة الاولی، بل نعتقد وجود القرینة فیها، فإنّ نفس مبدأ السرقة قرینة علی أنّ السارق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سرق</w:t>
      </w:r>
      <w:bookmarkStart w:id="617" w:name="pg16918_187512"/>
    </w:p>
    <w:p>
      <w:pPr>
        <w:pStyle w:val="BookText"/>
        <w:rPr/>
      </w:pPr>
      <w:bookmarkEnd w:id="617"/>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والسارق یستعمل فی المنقضی عنه التلبّس بلحاظ حال التلبّس فیما قبل غالباً، من غیر مجاز</w:t>
      </w:r>
      <w:r>
        <w:rPr>
          <w:rFonts w:eastAsia="IRNazanin" w:cs="IRNazanin"/>
          <w:color w:val="111111"/>
          <w:sz w:val="28"/>
          <w:szCs w:val="28"/>
          <w:rtl w:val="true"/>
          <w:lang w:bidi="fa-IR"/>
        </w:rPr>
        <w:t>.</w:t>
      </w:r>
    </w:p>
    <w:p>
      <w:pPr>
        <w:pStyle w:val="Heading5"/>
        <w:numPr>
          <w:ilvl w:val="4"/>
          <w:numId w:val="1"/>
        </w:numPr>
        <w:rPr/>
      </w:pPr>
      <w:bookmarkStart w:id="618" w:name="__RefHeading___Toc96390_3244359995"/>
      <w:bookmarkStart w:id="619" w:name="_Toc235"/>
      <w:bookmarkEnd w:id="618"/>
      <w:r>
        <w:rPr>
          <w:rtl w:val="true"/>
        </w:rPr>
        <w:t>أدلّة القول بالأعمّ</w:t>
      </w:r>
      <w:r>
        <w:rPr>
          <w:rtl w:val="true"/>
        </w:rPr>
        <w:t>:</w:t>
      </w:r>
      <w:bookmarkEnd w:id="619"/>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التبادر؛ أی تبادر الأعمّ من المتلبّس والمنقضی عنه التلبّس فیما إذا أطلق المشتقّ، کما یتبادر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المضروب فی الآن والمضروب فی ما قبل، وهکذا فی القاتل والسارق، فیتبادر منها 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تبادر المعنی الأعمّ من هذه الألفاظ لم ینشأ من حاقّ اللفظ، بل نشأ من قرینة المبدأ، وقد مرّ أنّ محلّ البحث ما یکون مبدؤه قابلًا للدوام والاستمرار وإن کان قابلًا للتکرار، والأمثلة المذکورة لیست من هذا القبیل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لَایَنَالُ عَهْدِی الظَّالِمِینَ</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 الدالّ علی أنّ الظالم لا یلیق لمنصب الولایة بضمیمة استدلال الإمام علیه السلام بها لعدم لیاقة من عبد الأوثان لأمر الإمامة</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استدلاله یکون بظاهر الآیة علی من لا یکون متلبّساً بمبدأ الظلم فی الحال بل کان ظالماً فی الماضی، فلا یکون تامّاً إلّاإذا کان عنوان الظالم حقیقة فی الأعمّ من المتلبّس ومن انقضی عنه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الوصف العنوانی الذی یؤخذ موضوعاً للحکم فی لسان الدلیل علی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لمجرّد الإشارة إلی المعنون من دون دخل للعنوان فی الحکم أصلًا کقول الإمام علیه السلام فی جواب من سأله عن عالم یرجع إلیه فی مسائله الشرعیّة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بهذا الجالس</w:t>
      </w:r>
      <w:r>
        <w:rPr>
          <w:rFonts w:eastAsia="IRNazanin" w:cs="IRNazanin"/>
          <w:color w:val="111111"/>
          <w:sz w:val="28"/>
          <w:szCs w:val="28"/>
          <w:rtl w:val="true"/>
          <w:lang w:bidi="fa-IR"/>
        </w:rPr>
        <w:t>»</w:t>
      </w:r>
      <w:r>
        <w:rPr>
          <w:rStyle w:val="FootnoteAnchor"/>
          <w:rtl w:val="true"/>
        </w:rPr>
        <w:footnoteReference w:id="44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مشیراً إلی زرارة الذی کان یستحقّ هذه</w:t>
      </w:r>
    </w:p>
    <w:p>
      <w:pPr>
        <w:pStyle w:val="BookText"/>
        <w:rPr/>
      </w:pPr>
      <w:r>
        <w:rPr>
          <w:rFonts w:ascii="IRNazanin" w:hAnsi="IRNazanin" w:eastAsia="IRNazanin"/>
          <w:color w:val="111111"/>
          <w:sz w:val="28"/>
          <w:sz w:val="28"/>
          <w:szCs w:val="28"/>
          <w:rtl w:val="true"/>
          <w:lang w:bidi="fa-IR"/>
        </w:rPr>
        <w:t>المنزلة لعلمه ووثاقته، ومن الواضح أنّه لیس لعنوان الجلوس دخل فی هذا الحکم إلّا بعنوان الإشارة إلی موضوعه الواقعی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یکون لأجل علّیة العنوان للحکم لکن حدوثاً لا بقاءً؛ بحیث إذا صدق علیه العنوان ولو آناً مّا ثبت الحکم ولو بعد زوال العنوان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وَالزَّانِی فَاجْلِدُوا کُلَّ وَاحِدٍ مِنْهُمَا مِائَةَ جَلْدَةٍ</w:t>
      </w:r>
      <w:r>
        <w:rPr>
          <w:rFonts w:eastAsia="Amiri" w:cs="Amiri" w:ascii="Amiri" w:hAnsi="Amiri"/>
          <w:color w:val="111111"/>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 فإنّ حدوث هذا الفعل منه کافٍ فی إطلاق هذا العنوان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لأجل علّیة العنوان للحکم حدوثاً وبقاء بحیث یدور الحکم مدار صدق العنوان فمهما صدق العنوان کان الحکم ثابتاً، ومهما لم یصدق لم یثبت، کما فی وجوب تقلید الأعلم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من القسم الثانی فاستدلاله بالآیة لا یبتنی علی کون الظالم حقیقة فی الأعمّ بل الاستدلال إنّما هو لأجل کفایة صدق عنوان الظالم ولو آناً مّا لعدم النیل إلی منصب الولایة إلی الأبد کما أنّه کذلک فی الزانی والسارق، ولا دلیل علی کون الآیة من قبیل القسم الثالث، بل جلالة قدر الإمامة قرینة جلیة علی کونها من قبیل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ونزیدک وضوحاً إنّ القرائن هنا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الشریفة فی مقام بیان عظمة مقام الإمامة والخلافة الإلهیّة ورفعة محلّها وأنّ لها خصوصیّة من بین المناصب الإلهیّة، ومن المعلوم أنّ المناسب لذلک أن لا یکون المتقمّص بها متلبّساً بالظلم أصلًا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ثبت فی محلّه فی مسألة عصمة الأنبیاء أنّه یعتبر فی النبوّة والإمامة أن یکون النّبی أو الإمام معصوماً حتّی قبل نبوّته أو إمامته ولا یکون لهما سابقة سیّئة</w:t>
      </w:r>
      <w:bookmarkStart w:id="620" w:name="pg16918_187514"/>
    </w:p>
    <w:p>
      <w:pPr>
        <w:pStyle w:val="BookText"/>
        <w:rPr/>
      </w:pPr>
      <w:bookmarkEnd w:id="620"/>
      <w:r>
        <w:rPr>
          <w:rFonts w:ascii="IRNazanin" w:hAnsi="IRNazanin" w:eastAsia="IRNazanin"/>
          <w:color w:val="111111"/>
          <w:sz w:val="28"/>
          <w:sz w:val="28"/>
          <w:szCs w:val="28"/>
          <w:rtl w:val="true"/>
          <w:lang w:bidi="fa-IR"/>
        </w:rPr>
        <w:t>ممّا تتنفّر النفوس به، وإلّا لا یمکن أن یکون قدوة واسوة، ولا تطمئنّ النفوس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الآیة علی القسم الثالث یستلزم أن تکون من قبیل توضیح الواضح؛ لوضوح عدم لیاقة المتلبّس بالظلم وعبادة الأوثان لمنصب الخلافة حین تلبّسه بهذا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فتخلّص أنّ القرائن الخارجیّة والداخلیّة هی الّتی أوجبت حمل الآیة علی الأعمّ فلا یجوز الاستدلال بها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شکّ فی تلبّس بعض الخلفاء فی زمان ما بعبادة الأوثان، فإذا کان متلبّساً به فی زمان کان محکوماً فی ذاک الزمان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خطابه لإبراهیم علیه السلام ومن الواضح أنّه مطلق، أی لا ینال عهدی هذا الظالم فی هذا الحال وفی المستقبل، ففی الحقیقة نتمسّک بإطلاق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زمان تلبّسه بالظلم، فلا یتفاوت الحال فی الاستدلال بالآیة بین القول بالأعمّ والقول بالأخصّ</w:t>
      </w:r>
      <w:r>
        <w:rPr>
          <w:rFonts w:eastAsia="IRNazanin" w:cs="IRNazanin"/>
          <w:color w:val="111111"/>
          <w:sz w:val="28"/>
          <w:szCs w:val="28"/>
          <w:rtl w:val="true"/>
          <w:lang w:bidi="fa-IR"/>
        </w:rPr>
        <w:t>.</w:t>
      </w:r>
    </w:p>
    <w:p>
      <w:pPr>
        <w:pStyle w:val="Heading4"/>
        <w:numPr>
          <w:ilvl w:val="3"/>
          <w:numId w:val="1"/>
        </w:numPr>
        <w:rPr/>
      </w:pPr>
      <w:bookmarkStart w:id="621" w:name="__RefHeading___Toc96392_3244359995"/>
      <w:bookmarkStart w:id="622" w:name="_Toc236"/>
      <w:bookmarkEnd w:id="621"/>
      <w:r>
        <w:rPr/>
        <w:t>4</w:t>
      </w:r>
      <w:r>
        <w:rPr>
          <w:rtl w:val="true"/>
        </w:rPr>
        <w:t xml:space="preserve">. </w:t>
      </w:r>
      <w:r>
        <w:rPr>
          <w:rtl w:val="true"/>
        </w:rPr>
        <w:t>بساطة مفهوم المشتقّ وترکّبه</w:t>
      </w:r>
      <w:bookmarkEnd w:id="622"/>
    </w:p>
    <w:p>
      <w:pPr>
        <w:pStyle w:val="BookText"/>
        <w:rPr/>
      </w:pPr>
      <w:r>
        <w:rPr>
          <w:rFonts w:ascii="IRNazanin" w:hAnsi="IRNazanin" w:eastAsia="IRNazanin"/>
          <w:color w:val="111111"/>
          <w:sz w:val="28"/>
          <w:sz w:val="28"/>
          <w:szCs w:val="28"/>
          <w:rtl w:val="true"/>
          <w:lang w:bidi="fa-IR"/>
        </w:rPr>
        <w:t>والمراد من البساطة والترکیب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البساطة والترکّب عند التحلیل المفهومی، فالمرکّب ما یکون مفهومه مشتملًا علی أجزاء بعد تحلیل مفهومه، وإن کان قبل ذلک وحدانیاً فی بدء النظر، والبسیط ما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نرید منهما البساطة والترکّب عند التحلیل العقلی الفلسفی کتحلیل الإنسان لدی العقل إلی الحیوان والناطق؛ لأنّ الکلام فی المقام لفظی لا دخل للتحلیل العقلی فیه، لأنّه لا مدخل للعقل فی تعیین مفاهیم الألفاظ وفی تعیین الموضوع له، فیقع البحث فی أنّ مفهوم المشتقّ هل یکون مرکّباً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ثبت له المبدأ، أو یکون عبارة عن مجرّد المبدأ اللا بشرط؟</w:t>
      </w:r>
    </w:p>
    <w:p>
      <w:pPr>
        <w:pStyle w:val="BookText"/>
        <w:rPr/>
      </w:pPr>
      <w:r>
        <w:rPr>
          <w:rFonts w:ascii="IRNazanin" w:hAnsi="IRNazanin" w:eastAsia="IRNazanin"/>
          <w:color w:val="111111"/>
          <w:sz w:val="28"/>
          <w:sz w:val="28"/>
          <w:szCs w:val="28"/>
          <w:rtl w:val="true"/>
          <w:lang w:bidi="fa-IR"/>
        </w:rPr>
        <w:t>وأهمّ الأقوال فی المسألة قولان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المشتقّ مرکّب من ثلاثة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 والمبدأ والنسبة، وهو المشهور</w:t>
      </w:r>
    </w:p>
    <w:p>
      <w:pPr>
        <w:pStyle w:val="BookText"/>
        <w:rPr/>
      </w:pPr>
      <w:r>
        <w:rPr>
          <w:rFonts w:ascii="IRNazanin" w:hAnsi="IRNazanin" w:eastAsia="IRNazanin"/>
          <w:color w:val="111111"/>
          <w:sz w:val="28"/>
          <w:sz w:val="28"/>
          <w:szCs w:val="28"/>
          <w:rtl w:val="true"/>
          <w:lang w:bidi="fa-IR"/>
        </w:rPr>
        <w:t>بین القدماء</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وضع للمبدأ اللابشرط عن الحمل فیکون بسیطاً، وهو المشهور بین المتأخّرین من الاصولیین والفلاسفة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والمختار هو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للقول ببساطة المشتقّ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الذات یستلزم أن یکون هناک نسبتان فی قضیة واحدة فی عرض واحد، إحداهما نسبة تامّة بین الموضوع والمحمول، وثانیتهما نسبة ناقصة فی خصوص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کذلک، بل إحداهما فی طول الاخری، لأنّ النسبة فی المحمول ناقصة فی نفس الخبر، فتکون رتبته مقدّمة علی النسبة التامّة بین المبتدأ والخبر، فإنّ للأجزاء تقدّم رتبی علی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أخذ الذات فی المشتقّ یستلزم التکرار فی الموصوف فجملة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زید له القیام،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ینتقض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تکرّر فیه المبتدأ الموصوف بالصراحة، ولا کلام فی صحّته وحسنه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المأخوذ فی المشتقّ هو ذات مبهم من جمیع الجهات الّتی تنطبق علی المبتدأ ولا یکون نفس المبتدأ بعینه فلا یلزم حینئذٍ تکرار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وجوه عقلیّة ذکرناها فی محلّها تفصیلًا مع ما یرد علیها</w:t>
      </w:r>
      <w:r>
        <w:rPr>
          <w:rStyle w:val="FootnoteAnchor"/>
          <w:rtl w:val="true"/>
        </w:rPr>
        <w:footnoteReference w:id="449"/>
      </w:r>
      <w:r>
        <w:rPr>
          <w:rFonts w:ascii="IRNazanin" w:hAnsi="IRNazanin" w:eastAsia="IRNazanin"/>
          <w:color w:val="111111"/>
          <w:sz w:val="28"/>
          <w:sz w:val="28"/>
          <w:szCs w:val="28"/>
          <w:rtl w:val="true"/>
          <w:lang w:bidi="fa-IR"/>
        </w:rPr>
        <w:t>، إلّاأنّ الاستدلال بها خروج عن طور البحث، فإنّ البحث هنا لفظی ولا ینبغی جرّ المسائل الفلسفیّة</w:t>
      </w:r>
      <w:bookmarkStart w:id="623" w:name="pg16918_187516"/>
    </w:p>
    <w:p>
      <w:pPr>
        <w:pStyle w:val="BookText"/>
        <w:rPr/>
      </w:pPr>
      <w:bookmarkEnd w:id="623"/>
      <w:r>
        <w:rPr>
          <w:rFonts w:ascii="IRNazanin" w:hAnsi="IRNazanin" w:eastAsia="IRNazanin"/>
          <w:color w:val="111111"/>
          <w:sz w:val="28"/>
          <w:sz w:val="28"/>
          <w:szCs w:val="28"/>
          <w:rtl w:val="true"/>
          <w:lang w:bidi="fa-IR"/>
        </w:rPr>
        <w:t>إلی الأبحاث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القول المختار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عند العرف فإنّهم إذا سئلوا عن معنی الضارب مثلًا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والقاتل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حمل المشتقّ علی الذات، وهی کاشفة عن أخذ الذات فیه، لأنّ الحمل یحتاج إلی اتّحاد بین الموضوع والمحمول وتلبّس الذات بالمبدأ لا یتصوّر من دون نسبة 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تصوّر عدم أخذ الذات فی بعض المشتقّات، کاسم الزمان والمکان واسم الآلة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المختار عروض الصفات المختصّة بالذات علی المشتقّ مثل التأنیث والتذکیر والإفراد والتثنیة والجمع، فیثنّی الضارب مثلًا حینما تثنّی الذات، ویؤنّث حینما یکون الذات مؤنّثاً</w:t>
      </w:r>
      <w:r>
        <w:rPr>
          <w:rFonts w:eastAsia="IRNazanin" w:cs="IRNazanin"/>
          <w:color w:val="111111"/>
          <w:sz w:val="28"/>
          <w:szCs w:val="28"/>
          <w:rtl w:val="true"/>
          <w:lang w:bidi="fa-IR"/>
        </w:rPr>
        <w:t>.</w:t>
      </w:r>
    </w:p>
    <w:p>
      <w:pPr>
        <w:pStyle w:val="Heading4"/>
        <w:numPr>
          <w:ilvl w:val="3"/>
          <w:numId w:val="1"/>
        </w:numPr>
        <w:rPr/>
      </w:pPr>
      <w:bookmarkStart w:id="624" w:name="__RefHeading___Toc96394_3244359995"/>
      <w:bookmarkStart w:id="625" w:name="_Toc237"/>
      <w:bookmarkEnd w:id="624"/>
      <w:r>
        <w:rPr/>
        <w:t>5</w:t>
      </w:r>
      <w:r>
        <w:rPr>
          <w:rtl w:val="true"/>
        </w:rPr>
        <w:t xml:space="preserve">. </w:t>
      </w:r>
      <w:r>
        <w:rPr>
          <w:rtl w:val="true"/>
        </w:rPr>
        <w:t>صفات الباری تعالی</w:t>
      </w:r>
      <w:bookmarkEnd w:id="625"/>
    </w:p>
    <w:p>
      <w:pPr>
        <w:pStyle w:val="BookText"/>
        <w:rPr/>
      </w:pPr>
      <w:r>
        <w:rPr>
          <w:rFonts w:ascii="IRNazanin" w:hAnsi="IRNazanin" w:eastAsia="IRNazanin"/>
          <w:color w:val="111111"/>
          <w:sz w:val="28"/>
          <w:sz w:val="28"/>
          <w:szCs w:val="28"/>
          <w:rtl w:val="true"/>
          <w:lang w:bidi="fa-IR"/>
        </w:rPr>
        <w:t>هناک صفات ومشتقّات تجری علی ذات اللَّه تعالی وقد یبدو فیها أسئلة؛ عمدتها کون المبدأ فیها عین الذات مع تغایرهما فی سائر 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اجیب عنه بوجوه، والأولی أن یجاب عنه بطرق ثلاثة کلّ واحد یجری فی قسم من الصفات، علی سبیل منع الخلوّ</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فی مبحث الصحیح والأعمّ فی بیان القدر الجامع للصحیحی، من أنّ اللفظ وضع لما یکون منشأً للأثر المرغوب منه، فالساعة مثلًا وضعت لتعیین الأوقات، وهی یصدق علی کلّ ما یکون سبباً لهذا الأثر ولو اختلفت الموادّ والهیئات کما نری فی الساعة المائیّة والرملیّة والکهربائیّة، ولا نشکّ فی أنّ کلّها ساعة، وهذا المعنی صادق فی قسم من صفات الباری کالسمیع والبصیر، فإنّ</w:t>
      </w:r>
      <w:bookmarkStart w:id="626" w:name="pg16918_187517"/>
    </w:p>
    <w:p>
      <w:pPr>
        <w:pStyle w:val="BookText"/>
        <w:rPr/>
      </w:pPr>
      <w:bookmarkEnd w:id="626"/>
      <w:r>
        <w:rPr>
          <w:rFonts w:ascii="IRNazanin" w:hAnsi="IRNazanin" w:eastAsia="IRNazanin"/>
          <w:color w:val="111111"/>
          <w:sz w:val="28"/>
          <w:sz w:val="28"/>
          <w:szCs w:val="28"/>
          <w:rtl w:val="true"/>
          <w:lang w:bidi="fa-IR"/>
        </w:rPr>
        <w:t>السمیع مثلًا وضع لمن یکون محیطاً بالمسموعات، والبصیر وضع لمن یکون محیطاً بالمبصرات، واللَّه تعالی محیط بجمیع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مجازاً، ولکنّه مجاز فوق الحقیقة، فإنّ استعمال العالم فی اللَّه تبارک وتعالی وإن فرض مجازاً، ولکنّه مجاز أعلی من الحقیقة؛ فإنّ العلم هنا عین الذات لا أمر عارض علیه، فیکون المعنی المجازی أعلی وأشرف وأتمّ من المعنی الحقیقی، ولا ضیر فی الالتزام بذلک مع وجود القرینة، ووضوح المفهوم، وهکذا الحال فی ما یشبه العالم من الصفات کالقادر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النقل، بأن یقال بانتقال المعنی المحدود إلی المعنی الوسیع بعد کثرة استعماله فی ذات الباری تعالی، فکان العالم مثلًا موضوعاً لما یکون المبدأ فیه غیر الذات، لکن لکثرة استعماله فی اللَّه عزّوجلّ وضع تعییناً أو تعیّناً للأعمّ منه</w:t>
      </w:r>
      <w:r>
        <w:rPr>
          <w:rFonts w:eastAsia="IRNazanin" w:cs="IRNazanin"/>
          <w:color w:val="111111"/>
          <w:sz w:val="28"/>
          <w:szCs w:val="28"/>
          <w:rtl w:val="true"/>
          <w:lang w:bidi="fa-IR"/>
        </w:rPr>
        <w:t>.</w:t>
      </w:r>
    </w:p>
    <w:p>
      <w:pPr>
        <w:pStyle w:val="Heading4"/>
        <w:numPr>
          <w:ilvl w:val="3"/>
          <w:numId w:val="1"/>
        </w:numPr>
        <w:rPr/>
      </w:pPr>
      <w:bookmarkStart w:id="627" w:name="__RefHeading___Toc96396_3244359995"/>
      <w:bookmarkStart w:id="628" w:name="_Toc238"/>
      <w:bookmarkEnd w:id="627"/>
      <w:r>
        <w:rPr/>
        <w:t>6</w:t>
      </w:r>
      <w:r>
        <w:rPr>
          <w:rtl w:val="true"/>
        </w:rPr>
        <w:t xml:space="preserve">. </w:t>
      </w:r>
      <w:r>
        <w:rPr>
          <w:rtl w:val="true"/>
        </w:rPr>
        <w:t>قیام المبدأ بالذات</w:t>
      </w:r>
      <w:bookmarkEnd w:id="628"/>
    </w:p>
    <w:p>
      <w:pPr>
        <w:pStyle w:val="BookText"/>
        <w:rPr/>
      </w:pPr>
      <w:r>
        <w:rPr>
          <w:rFonts w:ascii="IRNazanin" w:hAnsi="IRNazanin" w:eastAsia="IRNazanin"/>
          <w:color w:val="111111"/>
          <w:sz w:val="28"/>
          <w:sz w:val="28"/>
          <w:szCs w:val="28"/>
          <w:rtl w:val="true"/>
          <w:lang w:bidi="fa-IR"/>
        </w:rPr>
        <w:t>لا إشکال فی أنّ الوصف والاتّصاف یحتاج إلی قیام المبدأ بذات؛ لأنّه لو لم یکن المبدأ قائماً بالذات لا یتحقّق اتّصاف لذات دون ذات، بل یلزم اتّصاف کلّ ذات بکلّ وصف، وهذا واضح لا إشکال فیه، ولکن هاهنا أمثلة صارت منشأً للنزاع والإشکال، ففی قسم منها مثل الضارب والمؤلِم بالکسر، لیس المبدأ فیه وهو الضرب والألم قائماً بذات الضارب والمؤلم، بل إنّهما قائمان بالمضروب والمؤلَم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قسم آخر منها نحو اللابن والتامر ممّا یکون المشتقّ منه من الجوامد لا معنی لقیام المبدأ وهو اللبن والتمر بذات اللابن والتامر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قسم ثالث منها وهو الصفات الّتی تنسب إلی ذات الباری تعالی أیضاً کذلک فلیس المبدأ فیها قائماً بالذات لأنّها عینه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أنکر بعض اعتبار قیام المبدأ بالذات فی جمیع المشتقّات، ولکن یمکن</w:t>
      </w:r>
    </w:p>
    <w:p>
      <w:pPr>
        <w:pStyle w:val="BookText"/>
        <w:rPr/>
      </w:pPr>
      <w:r>
        <w:rPr>
          <w:rFonts w:ascii="IRNazanin" w:hAnsi="IRNazanin" w:eastAsia="IRNazanin"/>
          <w:color w:val="111111"/>
          <w:sz w:val="28"/>
          <w:sz w:val="28"/>
          <w:szCs w:val="28"/>
          <w:rtl w:val="true"/>
          <w:lang w:bidi="fa-IR"/>
        </w:rPr>
        <w:t>دفع الإشکال بالنسبة إلی جمیع الأقسام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الإشکال فیه حصر القیام فی نوع واحد، وهو القیام الحلولی، مع أنّ للقیام أنواعاً متفاوتة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الحلولی کما هو کذلک فی الصفات المشبّهة وأسماء الفاعل المشتقّة من الفعل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الصدوری، کما فی مثل الضارب والقاتل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بمعنی الوقوع فیه، کما فی اسمی الزمان والمکان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بمعنی الوقوع به فی مثل اسم الآلة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الإنتزاعی کما فی مثل الصفات الإنتزاعی، نحو صفة الممکن الذی تنتزع من تساوی الوجود والعدم بالنسبة إلی الذوات الممکنة، فإنّ مبدأ الإمکان فیه قائم بذات الممکن انتزاعاً، فالقیام فی جمیع المشتقّات حاصل ولکن کلّ واحد بنوع من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اللابن والتامر فالجواب عنه إنّه لا یشتقّ من الجامد وصف إلّا بعد إشراب معنی وصفی فیه، فاشرب فی اللبن والتمر مثلًا معنی البیع ویکون اللابن والتامر مشتقّین فی الواقع من بیع اللبن وبیع التمر، وهما قائمان بفاعلهما قیاماً صدوریاً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کما مرّ مجازات فوق الحقیقة، ففی مثل العالم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منزّه من أن یکون العلم قائماً به، بل ذاته تعالی عین العلم، فیکون فوق الحقیقة، ولا غرابة ولا استهجان فیه، وعلی هذا فلا یرد علینا إشکال تعطیل الصفات، أو کونه تعالی جاهلًا بالمقایسة إلی الممکنات تعالی اللَّه عن ذلک علوّاً کبیراً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ما ذکرنا فی صفات الباری یختصّ بصفات ذاته تعالی ولا یشمل صفات الفعل، لأنّ المبدأ فی الصفات الفعلیة غیر الذات ولیست عینها قطعاً بل ینتزعها العقل من الأفعال الصادرة منه تعالی فینتزع مثلًا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صدور فعل</w:t>
      </w:r>
      <w:bookmarkStart w:id="629" w:name="pg16918_187519"/>
    </w:p>
    <w:p>
      <w:pPr>
        <w:pStyle w:val="BookText"/>
        <w:rPr/>
      </w:pPr>
      <w:bookmarkEnd w:id="6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تعالی، وکذلک 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صفات الفعل ولهذا یقال بحدوث صفات الفعل بمعنی أنّ الانتزاع العقلی لهذه الصفات من الأفعال حادث بحدوث الفعل، فلا یرد إشکال من ناحیة قدم الذات مع حدوث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القدرة علی فعل الخلق أو الرزق قدیم، إلّاأنّ مفهوم القادر غیر مفهوم الخالق والرازق، ومحلّ النزاع فی المقام إنّما هو الصفات المنتزعة من نفس هذه الأفعال، لا صفة القدرة علیها</w:t>
      </w:r>
      <w:r>
        <w:rPr>
          <w:rFonts w:eastAsia="IRNazanin" w:cs="IRNazanin"/>
          <w:color w:val="111111"/>
          <w:sz w:val="28"/>
          <w:szCs w:val="28"/>
          <w:rtl w:val="true"/>
          <w:lang w:bidi="fa-IR"/>
        </w:rPr>
        <w:t>.</w:t>
      </w:r>
    </w:p>
    <w:p>
      <w:pPr>
        <w:pStyle w:val="Heading4"/>
        <w:numPr>
          <w:ilvl w:val="3"/>
          <w:numId w:val="1"/>
        </w:numPr>
        <w:rPr/>
      </w:pPr>
      <w:bookmarkStart w:id="630" w:name="__RefHeading___Toc96398_3244359995"/>
      <w:bookmarkStart w:id="631" w:name="_Toc239"/>
      <w:bookmarkEnd w:id="630"/>
      <w:r>
        <w:rPr/>
        <w:t>7</w:t>
      </w:r>
      <w:r>
        <w:rPr>
          <w:rtl w:val="true"/>
        </w:rPr>
        <w:t xml:space="preserve">. </w:t>
      </w:r>
      <w:r>
        <w:rPr>
          <w:rtl w:val="true"/>
        </w:rPr>
        <w:t>تعیین مبدأ المشتقّات</w:t>
      </w:r>
      <w:bookmarkEnd w:id="631"/>
    </w:p>
    <w:p>
      <w:pPr>
        <w:pStyle w:val="BookText"/>
        <w:rPr/>
      </w:pPr>
      <w:r>
        <w:rPr>
          <w:rFonts w:ascii="IRNazanin" w:hAnsi="IRNazanin" w:eastAsia="IRNazanin"/>
          <w:color w:val="111111"/>
          <w:sz w:val="28"/>
          <w:sz w:val="28"/>
          <w:szCs w:val="28"/>
          <w:rtl w:val="true"/>
          <w:lang w:bidi="fa-IR"/>
        </w:rPr>
        <w:t xml:space="preserve">وقع الخلاف بین الأعلام فی أنّ المبدأ للمشتقّات هل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به البصریون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 عن الکوفیین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اورد علی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المصدر مشتمل علی مادّة وصورة من حیث لفظه، وحدث ونسبة من حیث المعنی، ویستحیل أن یکون مثله مبدأ لبقیّة المشتقّات إذ لابدّ وأن یکون المشتقّ مشتملًا علی المبدأ مع شی‌ء زائد، والمصدر مباین مع بقیّة المشتقّات لفظاً ومعنی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الأصل هو أوّل ما وضع فی المشتقّات ثمّ اخذ منه الباقی، ولا یخفی أنّ اللفظ یحتاج إلی هیئةٍ مّا، ولا یمکن وضعه بدونها لأنّ الوضع لا محالة یتعلّق بصیغة خاصّة وترکیب خاصّ لا بحروف مقطّعة منثورة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دلالة للهیئة فی المصدر علی معنی خاصّ، بل إنّها لمجرّد إمکان التلفّظ به، فلا تفید الهیئة فیه معنی خاصّاً غیر ما تفیده مادّته وإن کان اللازم علینا عند التکلّم به الاحتفاظ بتلک الهیئة لأنّه أمر سماعی لا یجوز التخلّف عنه، کما أنّه لا نسبة فی المصدر إلی شی‌ء</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أنّه یستلزم زیادة الأصل علی الفرع لأنّ فی الفعل زیادة</w:t>
      </w:r>
    </w:p>
    <w:p>
      <w:pPr>
        <w:pStyle w:val="BookText"/>
        <w:rPr/>
      </w:pPr>
      <w:r>
        <w:rPr>
          <w:rFonts w:ascii="IRNazanin" w:hAnsi="IRNazanin" w:eastAsia="IRNazanin"/>
          <w:color w:val="111111"/>
          <w:sz w:val="28"/>
          <w:sz w:val="28"/>
          <w:szCs w:val="28"/>
          <w:rtl w:val="true"/>
          <w:lang w:bidi="fa-IR"/>
        </w:rPr>
        <w:t>علی المصدر من حیث الزمان والنسبة، لأنّ المصدر مجرّد حدث لا زمان فیه ولا نسبة، بینما الفعل واجد لکلیهما، وهذا لا ینافی فهم النسبة من المصدر بالدلالة الالتزامیّة، فإنّ الحدث یحتاج عند الإخبار عن وقوعه إلی نسبة خارجیّة، ولکن لا یکون هذا فی معناه المطابقی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منشأ هذا القول أنّ علّة الحاجة إلی اللّغة أوّلًا إنّما هی بیان الفعل، والحاجة إلی بیان المصدر والصفات ناشئة من الحاجة إلی فهم الأفعال، لأنّ الضارب مثلًا لا یکون ضارباً ولا یتّصف بهذا الوصف إلّابعد أن صدر منه فعل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مجرّد هذا لا یکون دلیلًا علی کون الفعل أصلًا بعد وجود زیادات فیه لیست فی المصدر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فتبیّن ممّا ذکرناه أنّ الأظهر کون الأصل فی المشتقات هو المصدر</w:t>
      </w:r>
      <w:r>
        <w:rPr>
          <w:rFonts w:eastAsia="IRNazanin" w:cs="IRNazanin"/>
          <w:color w:val="111111"/>
          <w:sz w:val="28"/>
          <w:szCs w:val="28"/>
          <w:rtl w:val="true"/>
          <w:lang w:bidi="fa-IR"/>
        </w:rPr>
        <w:t>.</w:t>
      </w:r>
      <w:bookmarkStart w:id="632" w:name="pg16918_187522"/>
    </w:p>
    <w:p>
      <w:pPr>
        <w:pStyle w:val="Heading3"/>
        <w:numPr>
          <w:ilvl w:val="2"/>
          <w:numId w:val="1"/>
        </w:numPr>
        <w:rPr/>
      </w:pPr>
      <w:bookmarkStart w:id="633" w:name="__RefHeading___Toc96400_3244359995"/>
      <w:bookmarkStart w:id="634" w:name="_Toc240"/>
      <w:bookmarkEnd w:id="632"/>
      <w:bookmarkEnd w:id="633"/>
      <w:r>
        <w:rPr>
          <w:rtl w:val="true"/>
        </w:rPr>
        <w:t>الفصل السادس</w:t>
      </w:r>
      <w:r>
        <w:rPr>
          <w:rtl w:val="true"/>
        </w:rPr>
        <w:t xml:space="preserve">: </w:t>
      </w:r>
      <w:r>
        <w:rPr>
          <w:rtl w:val="true"/>
        </w:rPr>
        <w:t>المفاهیم</w:t>
      </w:r>
      <w:bookmarkEnd w:id="634"/>
    </w:p>
    <w:p>
      <w:pPr>
        <w:pStyle w:val="Heading4"/>
        <w:numPr>
          <w:ilvl w:val="3"/>
          <w:numId w:val="1"/>
        </w:numPr>
        <w:rPr/>
      </w:pPr>
      <w:bookmarkStart w:id="635" w:name="__RefHeading___Toc96402_3244359995"/>
      <w:bookmarkStart w:id="636" w:name="_Toc241"/>
      <w:bookmarkEnd w:id="635"/>
      <w:r>
        <w:rPr>
          <w:rtl w:val="true"/>
        </w:rPr>
        <w:t>اشارة</w:t>
      </w:r>
      <w:bookmarkEnd w:id="636"/>
    </w:p>
    <w:p>
      <w:pPr>
        <w:pStyle w:val="BookText"/>
        <w:rPr/>
      </w:pPr>
      <w:r>
        <w:rPr>
          <w:rFonts w:ascii="IRNazanin" w:hAnsi="IRNazanin" w:eastAsia="IRNazanin"/>
          <w:color w:val="111111"/>
          <w:sz w:val="28"/>
          <w:sz w:val="28"/>
          <w:szCs w:val="28"/>
          <w:rtl w:val="true"/>
          <w:lang w:bidi="fa-IR"/>
        </w:rPr>
        <w:t xml:space="preserve">المفهوم فی اللّغة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یعلم ویدرک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فإذا اضیف إلی اللفظ کان معناه ما یفهم من اللفظ، وإذا اضیف إلی الجملة کان معناه ما یفهم من الجملة، فهو یعمّ حینئذٍ المنطوق والمعنی المصطلح للمفهوم أیّاً ما کان، حیث إنّه ممّا یفهم من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الاصطلاح فقد عرّف فی کلمات القوم بتعاریف</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حکماً لغیر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العضدی، 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حکم إنشائی أو إخباری تستتبعه خصوصیة المعنی الذی ارید من اللفظ بتلک الخصوصیّة، وکان یلزمه لذلک وافقه فی الإیجاب والسلب أو 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الاصول،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أصحّها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المفهوم حکم غیر مذکور فی الکلام یدلّ علیه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یظهر أنّ المفهوم یکون من صفات المعنی والمدلول لا الدلالة،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غیر مذکور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المنطوق أیضاً من صفات المدلول حیث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مذکور</w:t>
      </w:r>
      <w:r>
        <w:rPr>
          <w:rFonts w:eastAsia="IRNazanin" w:cs="IRNazanin"/>
          <w:color w:val="111111"/>
          <w:sz w:val="28"/>
          <w:szCs w:val="28"/>
          <w:rtl w:val="true"/>
          <w:lang w:bidi="fa-IR"/>
        </w:rPr>
        <w:t>».</w:t>
      </w:r>
      <w:bookmarkStart w:id="637" w:name="pg16918_187523"/>
    </w:p>
    <w:p>
      <w:pPr>
        <w:pStyle w:val="BookText"/>
        <w:rPr/>
      </w:pPr>
      <w:bookmarkEnd w:id="637"/>
      <w:r>
        <w:rPr>
          <w:rFonts w:ascii="IRNazanin" w:hAnsi="IRNazanin" w:eastAsia="IRNazanin"/>
          <w:color w:val="111111"/>
          <w:sz w:val="28"/>
          <w:sz w:val="28"/>
          <w:szCs w:val="28"/>
          <w:rtl w:val="true"/>
          <w:lang w:bidi="fa-IR"/>
        </w:rPr>
        <w:t xml:space="preserve">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المفهومیّة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المنسوبة إلی المعنی الذی یکون مفهوماً للفظ، ویکون المفهوم فی هذا التعبیر أیضاً وصفاً للمعنی والمدلول</w:t>
      </w:r>
      <w:r>
        <w:rPr>
          <w:rFonts w:eastAsia="IRNazanin" w:cs="IRNazanin"/>
          <w:color w:val="111111"/>
          <w:sz w:val="28"/>
          <w:szCs w:val="28"/>
          <w:rtl w:val="true"/>
          <w:lang w:bidi="fa-IR"/>
        </w:rPr>
        <w:t>.</w:t>
      </w:r>
    </w:p>
    <w:p>
      <w:pPr>
        <w:pStyle w:val="Heading4"/>
        <w:numPr>
          <w:ilvl w:val="3"/>
          <w:numId w:val="1"/>
        </w:numPr>
        <w:rPr/>
      </w:pPr>
      <w:bookmarkStart w:id="638" w:name="__RefHeading___Toc96404_3244359995"/>
      <w:bookmarkStart w:id="639" w:name="_Toc242"/>
      <w:bookmarkEnd w:id="638"/>
      <w:r>
        <w:rPr>
          <w:rtl w:val="true"/>
        </w:rPr>
        <w:t>أقسام المفهوم</w:t>
      </w:r>
      <w:bookmarkEnd w:id="639"/>
    </w:p>
    <w:p>
      <w:pPr>
        <w:pStyle w:val="BookText"/>
        <w:rPr/>
      </w:pPr>
      <w:r>
        <w:rPr>
          <w:rFonts w:ascii="IRNazanin" w:hAnsi="IRNazanin" w:eastAsia="IRNazanin"/>
          <w:color w:val="111111"/>
          <w:sz w:val="28"/>
          <w:sz w:val="28"/>
          <w:szCs w:val="28"/>
          <w:rtl w:val="true"/>
          <w:lang w:bidi="fa-IR"/>
        </w:rPr>
        <w:t>ینقسم المفهوم إلی قسمین رئیسیین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الموافقة، وهو ما کان بینه وبین المنطوق توافق فی السلب والإیجاب، ومفهوم المخالفة، وهو ما کان بینه وبین المنطوق تخالف فی السلب والإیجاب، وأضاف بعض تقسیمین 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الموافق تارةً یکون بالأولویّة، ومثاله معروف وهو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 xml:space="preserve">الذی یکون مفهومه النهی عن الضرب بطریق أولی، واخری یکون بالمساواة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یشمل بالمفهوم سائر أفراد المسکر بالمساواة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کلًاّ من المساواة والأولویّة أیضاً علی قسمین، فالمساواة تارةً تکون من قبیل منصوص العلّة، واخری تکون من قبیل مستنبط العلّة، والأولویّة تارةً عقلیة فتدخل فی المفهوم، واخری تکون عرفیّة فتدخل فی المنطوق، فالمثال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الأولویّة فیه عرفیّة داخلة فی المنطوق لا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النقاش فیه بوجهین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مفهوم الموافقة إلی الأولویّة والمساواة لا یکون تامّاً لأنّ منصوص العلّة فی المساواة لا ینطبق علیه تعریف المفهوم، لأنّ المفهوم هو حکم غیر مذکور، مع أنّ ذکر العلّة فی منصوص العلّة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بمنزلة الحکم بأنّ کلّ مسکر حرام، ولکنّه حذف وقدّر لوضوحه، فلا یعدّ حکماً غیر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هنا مرکّب من صغری وکبری، والصغری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فی الکلام، وأمّا الکبری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فحذفت لوضوحها، فهی مقدّره فی الکلام، والمقدّر کالمذکور، ولذلک سمّی هذا القسم بمنصوص العلّة، یعنی الحکم الذی نصّ بعلّته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یقل أحد بحذف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یجئک زید فلا 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تقدیرهما، بل یقال بأنّ القضیتین المنطوقتین تدلّان علیهما بالمفهوم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تقسیم المساواة إلی منصوص العلّة ومستنبط العلّة أیضاً تامّ فیما إذا قلنا بحجّیة مستنبط العلّة، مع أنّه لیس بحجّة عند الإمامیّة، لعدم إمکان استنباط ملاکات الأحکام وعللها، وما أبعد عقول الرجال عن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تنقیح المناط وإلغاء الخصوصیة فی المسائل الفقهیّة، کما إذا قیل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سافرت بین مکّة والمدینة ثمانیة فراسخ فقصّر، ونحن نعلم بأنّه لا خصوصیة لمکّة والمدینة، ونلغی خصوصیتهما ونحکم بوجوب القصر فی سائر الأمکنة إذا تحقّق مقدار ثمانیة فراسخ، فما الفرق بین هذا وقیاس مستنبط العلّة؟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النظر فی القیاس المستنبط العلّة إلی علّة الحکم، بینما هو فی تنقیح المناط یکون إلی موضوع الحکم، والفرق بین الموضوع والعلّة واضح حیث إنّ الموضوع هو عنوان مشتمل علی جمیع ما له دخل فی تنجّز التکلیف وفعلیّته کعنوان المستطیع فی وجوب الحجّ، وأمّا العلّة فإنّها داخلة فی سلسلة المبادئ والأغراض</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إلغاء الخصوصیة وتنقیح المناط طریق إلی تعیین دائرة المنطوق وتوسعتها ولا ربط له بالمفهوم، فإذا تعدّینا من مورد دلیل إلی مورد آخر بالإلغاء أو التنقیح وأثبتنا الحکم الثابت فی مورد ذلک الدلیل لمورد آخر، تعدّ دلالة الدلیل حینئذٍ من قبیل المنطوق لا المفهوم</w:t>
      </w:r>
      <w:r>
        <w:rPr>
          <w:rFonts w:eastAsia="IRNazanin" w:cs="IRNazanin"/>
          <w:color w:val="111111"/>
          <w:sz w:val="28"/>
          <w:szCs w:val="28"/>
          <w:rtl w:val="true"/>
          <w:lang w:bidi="fa-IR"/>
        </w:rPr>
        <w:t>.</w:t>
      </w:r>
      <w:bookmarkStart w:id="640" w:name="pg16918_187525"/>
    </w:p>
    <w:p>
      <w:pPr>
        <w:pStyle w:val="Heading4"/>
        <w:numPr>
          <w:ilvl w:val="3"/>
          <w:numId w:val="1"/>
        </w:numPr>
        <w:rPr/>
      </w:pPr>
      <w:bookmarkStart w:id="641" w:name="__RefHeading___Toc96406_3244359995"/>
      <w:bookmarkStart w:id="642" w:name="_Toc243"/>
      <w:bookmarkEnd w:id="640"/>
      <w:bookmarkEnd w:id="641"/>
      <w:r>
        <w:rPr>
          <w:rtl w:val="true"/>
        </w:rPr>
        <w:t>مفهوم المخالفة</w:t>
      </w:r>
      <w:bookmarkEnd w:id="642"/>
    </w:p>
    <w:p>
      <w:pPr>
        <w:pStyle w:val="Heading5"/>
        <w:numPr>
          <w:ilvl w:val="4"/>
          <w:numId w:val="1"/>
        </w:numPr>
        <w:rPr/>
      </w:pPr>
      <w:bookmarkStart w:id="643" w:name="__RefHeading___Toc96408_3244359995"/>
      <w:bookmarkStart w:id="644" w:name="_Toc244"/>
      <w:bookmarkEnd w:id="643"/>
      <w:r>
        <w:rPr>
          <w:rtl w:val="true"/>
        </w:rPr>
        <w:t>اشارة</w:t>
      </w:r>
      <w:bookmarkEnd w:id="644"/>
    </w:p>
    <w:p>
      <w:pPr>
        <w:pStyle w:val="BookText"/>
        <w:rPr/>
      </w:pPr>
      <w:r>
        <w:rPr>
          <w:rFonts w:ascii="IRNazanin" w:hAnsi="IRNazanin" w:eastAsia="IRNazanin"/>
          <w:color w:val="111111"/>
          <w:sz w:val="28"/>
          <w:sz w:val="28"/>
          <w:szCs w:val="28"/>
          <w:rtl w:val="true"/>
          <w:lang w:bidi="fa-IR"/>
        </w:rPr>
        <w:t>والبحث عنه فی الواقع بحث فی أصل وجود المفهوم خارجاً، بمعنی أنّ الجملة الشرطیّة أو ما شاکلها هل لها مفهوم أم لا؟ لا أنّ لها مفهوم ولکنّه حجّة أم لا؟</w:t>
      </w:r>
    </w:p>
    <w:p>
      <w:pPr>
        <w:pStyle w:val="BookText"/>
        <w:rPr/>
      </w:pPr>
      <w:r>
        <w:rPr>
          <w:rFonts w:ascii="IRNazanin" w:hAnsi="IRNazanin" w:eastAsia="IRNazanin"/>
          <w:color w:val="111111"/>
          <w:sz w:val="28"/>
          <w:sz w:val="28"/>
          <w:szCs w:val="28"/>
          <w:rtl w:val="true"/>
          <w:lang w:bidi="fa-IR"/>
        </w:rPr>
        <w:t>وأمّا تعبیرهم بأنّ مفهوم القضیّة الشرطیّة حجّة أم لا وأمثال هذه التعابیر، فإنّما هو لنکتة خاصّة وهی أنّه لا خلاف فی أنّ لجمیع الموضوعات الّتی وقع البحث فی مفهومها دلالة ما أو إشعاراً ما علی المفهوم، ولکن وقع النزاع فی أنّ هذه الدلالة هل تقف عند حدّ الإشعار حتّی لا تکون حجّة، أو تصل إلی حدّ الظهور اللفظی العرفی فتکون حجّة؟</w:t>
      </w:r>
    </w:p>
    <w:p>
      <w:pPr>
        <w:pStyle w:val="Heading5"/>
        <w:numPr>
          <w:ilvl w:val="4"/>
          <w:numId w:val="1"/>
        </w:numPr>
        <w:rPr/>
      </w:pPr>
      <w:bookmarkStart w:id="645" w:name="__RefHeading___Toc96410_3244359995"/>
      <w:bookmarkStart w:id="646" w:name="_Toc245"/>
      <w:bookmarkEnd w:id="645"/>
      <w:r>
        <w:rPr/>
        <w:t>1</w:t>
      </w:r>
      <w:r>
        <w:rPr>
          <w:rtl w:val="true"/>
        </w:rPr>
        <w:t xml:space="preserve">. </w:t>
      </w:r>
      <w:r>
        <w:rPr>
          <w:rtl w:val="true"/>
        </w:rPr>
        <w:t>مفهوم الشرط</w:t>
      </w:r>
      <w:bookmarkEnd w:id="646"/>
    </w:p>
    <w:p>
      <w:pPr>
        <w:pStyle w:val="Heading6"/>
        <w:numPr>
          <w:ilvl w:val="5"/>
          <w:numId w:val="1"/>
        </w:numPr>
        <w:rPr/>
      </w:pPr>
      <w:bookmarkStart w:id="647" w:name="__RefHeading___Toc96412_3244359995"/>
      <w:bookmarkStart w:id="648" w:name="_Toc246"/>
      <w:bookmarkEnd w:id="647"/>
      <w:r>
        <w:rPr>
          <w:rtl w:val="true"/>
        </w:rPr>
        <w:t>اشارة</w:t>
      </w:r>
      <w:bookmarkEnd w:id="648"/>
    </w:p>
    <w:p>
      <w:pPr>
        <w:pStyle w:val="BookText"/>
        <w:rPr/>
      </w:pPr>
      <w:r>
        <w:rPr>
          <w:rFonts w:ascii="IRNazanin" w:hAnsi="IRNazanin" w:eastAsia="IRNazanin"/>
          <w:color w:val="111111"/>
          <w:sz w:val="28"/>
          <w:sz w:val="28"/>
          <w:szCs w:val="28"/>
          <w:rtl w:val="true"/>
          <w:lang w:bidi="fa-IR"/>
        </w:rPr>
        <w:t>اختلفوا فی دلالة الجملة الشرطیّة علی المفهوم، ولابدّ فی تحقیقها من ملاحظة الخصوصیّات الموجودة فی منطوق الجملة الشرطیّة الّتی یمکن أن تکون منشأ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خصوصیة أدوات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یدّعی أنّ أداة الشرط وضعت للدلالة علی علّیة الشرط للجزاء علّیة منحصرة، وهی تقتضی انتفاء الجزاء عند انتفاء الشرط، وهذا هو المفهوم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الحقّ أنّ أداة الشرط وضعت لمطلق العلقة والملازمة بین الشرط والجزاء؛ فتارةً لا یکون بین الشرط والجزاء ملازمة، بل المقارنة بینهما اتّفاقیّة،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تکن جائعاً فإنّی جائع</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واخری توجد بینهما ملازمة لکنّها لیست من باب الملازمة بین العلّة والمعلول، بل من باب الملازمة بین معلولی علّة واحدة،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النهار ذهب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کلّ واحد من الشرط والجزاء یکون معلولًا لعلّة واحدة، وقد یکون من باب الملازمة بین العلّة والمعلول لکن العلّة فیها هو الجزاء، والمعلول هو الشرط،</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النهار طلعت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 یکون الترتّب من باب ترتّب المعلول علی العلّة، لکن العلّیة لیست منحصرة فی الشرط، نحو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فإنّ علّة عاصمیة الماء لیست منحصرة فی 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ورابعة یکون الترتّب من باب ترتّب المعلول علی العلّة، والعلّیة منحصرة فی الشرط،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الشمس طالعة فالنهار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ثبت کون القضیّة الشرطیّة حقیقة فی القسم الرابع وتکون مجازاً فی الثلاثة الاول تثبت دلالتها علی المفهوم، ولکن أنّی لنا بإثبات ذلک؟</w:t>
      </w:r>
    </w:p>
    <w:p>
      <w:pPr>
        <w:pStyle w:val="BookText"/>
        <w:rPr/>
      </w:pPr>
      <w:r>
        <w:rPr>
          <w:rFonts w:ascii="IRNazanin" w:hAnsi="IRNazanin" w:eastAsia="IRNazanin"/>
          <w:color w:val="111111"/>
          <w:sz w:val="28"/>
          <w:sz w:val="28"/>
          <w:szCs w:val="28"/>
          <w:rtl w:val="true"/>
          <w:lang w:bidi="fa-IR"/>
        </w:rPr>
        <w:t>نعم، یمکن أن نقول بالمجاز فی القسم الأوّل بل یمکن القول بوجود حذف فیه یقتضی کون المقارنة من باب العلّیة لا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القسم الثانی والثالث فإنّ الوجدان العرفی عند أهل اللسان حاکم علی عدم المجاز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الخصوصیة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القضیّة الشرطیّة إلی العلّیة المنحصرة، فقد یقال إنّها وإن وضعت أوّلًا وبالذات لمطلق العلقة، لکن عند الإطلاق تنصرف إلی العلقة الناشئة من العلّیة المنحصرة لأنّها أکمل فرد لمطلق العلقة</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یرد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یوجب الانصراف إنّما هو کثرة الاستعمال الّتی توجب انساً ذهنیّاً بالنسبة إلی المنصرف إلیه، وهی کما تنشأ من کثرة الأفراد، تنشأ من غیرها، ومجرّد الأکملیّة لا توجب ذلک، بل قد توجب الانصراف عن الفرد الأکمل لقلّته وندرته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الخصوصیة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الشرط، فإنّ عدم کون العلّة منحصره یقتضی قیداً فی الکلام؛ لأنّ معناه حینئذٍ أنّ هذا الشرط وهو الکرّیة مثلًا، مؤثّر فی الجزاء وهو</w:t>
      </w:r>
      <w:bookmarkStart w:id="649" w:name="pg16918_187527"/>
    </w:p>
    <w:p>
      <w:pPr>
        <w:pStyle w:val="BookText"/>
        <w:rPr/>
      </w:pPr>
      <w:bookmarkEnd w:id="649"/>
      <w:r>
        <w:rPr>
          <w:rFonts w:ascii="IRNazanin" w:hAnsi="IRNazanin" w:eastAsia="IRNazanin"/>
          <w:color w:val="111111"/>
          <w:sz w:val="28"/>
          <w:sz w:val="28"/>
          <w:szCs w:val="28"/>
          <w:rtl w:val="true"/>
          <w:lang w:bidi="fa-IR"/>
        </w:rPr>
        <w:t>العاصمیّة، إذا لم تتحقّق قبلها علّة اخری مثل کون الماء جاریاً، وأمّا إذا کانت العلّة منحصرة فمعناه أنّ هذا الشرط یؤثّر فی الجزاء مطلقاً سواء حصل قبله وصف الجریان أم لا، فلا حاجة حینئذٍ إلی التقیید، فإذا کان المتکلّم فی مقام البیان ولم یأت بهذا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تحقّق علّة اخری فیما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المستفاد من الإطلاق انحصار العلّة فی الشرط</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یستفاد من القضیّة الشرطیّة إنّما هو مطلق التلازم بین الشرط والجزاء لا خصوص التلازم الموجود بین العلّة والمعلول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کون المستفاد من الجملة الشرطیّة هو العلّیة، لکنّها تکون علی حدّ العلّیة الاقتضائیة لا الفعلیة، أی یستفاد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بلغ قدر کرّ لم ینجّسه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إمکان أن تکون الکرّیة علّة لعدم التنجّس والعاصمیة، لا أنّها علّة لها فعلًا ودائماً حتّی ینافی حصول علّة اخری من قبل</w:t>
      </w:r>
      <w:r>
        <w:rPr>
          <w:rFonts w:eastAsia="IRNazanin" w:cs="IRNazanin"/>
          <w:color w:val="111111"/>
          <w:sz w:val="28"/>
          <w:szCs w:val="28"/>
          <w:rtl w:val="true"/>
          <w:lang w:bidi="fa-IR"/>
        </w:rPr>
        <w:t>.</w:t>
      </w:r>
    </w:p>
    <w:p>
      <w:pPr>
        <w:pStyle w:val="Heading6"/>
        <w:numPr>
          <w:ilvl w:val="5"/>
          <w:numId w:val="1"/>
        </w:numPr>
        <w:rPr/>
      </w:pPr>
      <w:bookmarkStart w:id="650" w:name="__RefHeading___Toc96414_3244359995"/>
      <w:bookmarkStart w:id="651" w:name="_Toc247"/>
      <w:bookmarkEnd w:id="650"/>
      <w:r>
        <w:rPr>
          <w:rtl w:val="true"/>
        </w:rPr>
        <w:t>المختار فی المسألة هو التفصیل</w:t>
      </w:r>
      <w:bookmarkEnd w:id="651"/>
    </w:p>
    <w:p>
      <w:pPr>
        <w:pStyle w:val="BookText"/>
        <w:rPr/>
      </w:pPr>
      <w:r>
        <w:rPr>
          <w:rFonts w:ascii="IRNazanin" w:hAnsi="IRNazanin" w:eastAsia="IRNazanin"/>
          <w:color w:val="111111"/>
          <w:sz w:val="28"/>
          <w:sz w:val="28"/>
          <w:szCs w:val="28"/>
          <w:rtl w:val="true"/>
          <w:lang w:bidi="fa-IR"/>
        </w:rPr>
        <w:t>لا شکّ فی دلالة القضیّة الشرطیّة علی انتفاء الجزاء عند انتفاء الشرط فی الجملة بالتبادر والوجدان، وإلّا لو کان الحکم ثابتاً علی أی تقدیر لاستلزم کون تعلیقه علی الشرط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شکّ فی دلالة القضیّة الشرطیّة علی المفهوم والعلّیة المنحصرة فیما إذا کان الشرط من ضدّین لا ثالث لهما،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المخبر إن کان فاسقاً فتبیّن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لا یتصوّر بالنسبة إلی المخبر حالة اخری غیر الفسق والعدالة فلا ثالث لهما فیه، فإنّ مقتضی دلالة القضیّة الشرطیّة علی الانتفاء عند الانتفاء فی الجملة دلالتها علی المفهوم فی هذه الصورة کما لا یخفی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 المثال المزبور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إن کان مسافرا فعلیه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bookmarkStart w:id="652" w:name="pg16918_187528"/>
    </w:p>
    <w:p>
      <w:pPr>
        <w:pStyle w:val="BookText"/>
        <w:rPr/>
      </w:pPr>
      <w:bookmarkEnd w:id="652"/>
      <w:r>
        <w:rPr>
          <w:rFonts w:ascii="IRNazanin" w:hAnsi="IRNazanin" w:eastAsia="IRNazanin"/>
          <w:color w:val="111111"/>
          <w:sz w:val="28"/>
          <w:sz w:val="28"/>
          <w:szCs w:val="28"/>
          <w:rtl w:val="true"/>
          <w:lang w:bidi="fa-IR"/>
        </w:rPr>
        <w:t>مستطیعاً فعلیه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ثالث للمسافر والحاضر، ولا للمستطیع وغیر المستطیع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للشرط حالات عدیدة کما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حیث یتصوّر للماء إذا لم یکن کرّاً أن یکون مطراً أو جاریاً أو ماء بئر أو غیره، فهو بنفسه علی 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یوجد فیها قدر متیقّن کالماء القلیل فی المثال، فلا شکّ أیضاً فی دلالة القضیّة الشرطیّة حینئذٍ علی المفهوم بالنسبة إلیه، وإلّا یلزم اللغویة ورفع الید عن دلالتها علی الانتفاء عند الانتفاء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لا یوجد فیها قدر متیقّن کأن یقول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شهر رمضان فصوموا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نعلم أنّ لرمضان دخلًا فی حکم الصیام، وهو ینتفی عند انتفائه إجمالًا، وإلّا کان الصیام واجباً فی تمام أیّام السنة ولم یکن تعلیقه بدخول شهر رمضان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یصحّ تعلیق وجوب الصلاة مثلًا بدخوله،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شهر رمضان فصلّوا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الصلاة فی جمیع أیّام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الصورة لا مفهوم صریحاً مشخّصاً للقضیة لعدم تصوّر قدر متیقّن فیها، بل لها مفهوم مبهم إجمالی لا یستفاد منه حکم متعیّن مخالف للمنطوق، فنعلم إجمالًا فی المثال المزبور عدم وجوب الصیام فی بعض شهور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فی المسألة هو التفصیل بین الصورتین الاولیین والصورة الثالثة</w:t>
      </w:r>
      <w:r>
        <w:rPr>
          <w:rFonts w:eastAsia="IRNazanin" w:cs="IRNazanin"/>
          <w:color w:val="111111"/>
          <w:sz w:val="28"/>
          <w:szCs w:val="28"/>
          <w:rtl w:val="true"/>
          <w:lang w:bidi="fa-IR"/>
        </w:rPr>
        <w:t>.</w:t>
      </w:r>
    </w:p>
    <w:p>
      <w:pPr>
        <w:pStyle w:val="Heading6"/>
        <w:numPr>
          <w:ilvl w:val="5"/>
          <w:numId w:val="1"/>
        </w:numPr>
        <w:rPr/>
      </w:pPr>
      <w:bookmarkStart w:id="653" w:name="__RefHeading___Toc96416_3244359995"/>
      <w:bookmarkStart w:id="654" w:name="_Toc248"/>
      <w:bookmarkEnd w:id="653"/>
      <w:r>
        <w:rPr>
          <w:rtl w:val="true"/>
        </w:rPr>
        <w:t>أدلّة المنکرین</w:t>
      </w:r>
      <w:r>
        <w:rPr>
          <w:rtl w:val="true"/>
        </w:rPr>
        <w:t>:</w:t>
      </w:r>
      <w:bookmarkEnd w:id="654"/>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إلی السیّد المرتضی رحمه الله وحاصله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یمتنع أن یتخلّف شرط ویقوم مقامه شرط آخر فلا ینتفی الحکم بانتفائه، واستشهد لذلک بقوله تعالی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وَاسْتَشْهِدُوا شَهِیدَیْنِ مِنْ رِجَالِکُمْ</w:t>
      </w:r>
      <w:r>
        <w:rPr>
          <w:rFonts w:eastAsia="Amiri" w:cs="Amiri" w:ascii="Amiri" w:hAnsi="Amiri"/>
          <w:color w:val="111111"/>
          <w:sz w:val="28"/>
          <w:szCs w:val="28"/>
          <w:rtl w:val="true"/>
          <w:lang w:bidi="ar-SA"/>
        </w:rPr>
        <w:t>»</w:t>
      </w:r>
      <w:r>
        <w:rPr>
          <w:rStyle w:val="FootnoteAnchor"/>
          <w:rtl w:val="true"/>
        </w:rPr>
        <w:footnoteReference w:id="458"/>
      </w:r>
      <w:r>
        <w:rPr>
          <w:rFonts w:ascii="IRNazanin" w:hAnsi="IRNazanin" w:eastAsia="IRNazanin"/>
          <w:color w:val="111111"/>
          <w:sz w:val="28"/>
          <w:sz w:val="28"/>
          <w:szCs w:val="28"/>
          <w:rtl w:val="true"/>
          <w:lang w:bidi="fa-IR"/>
        </w:rPr>
        <w:t>حیث إنّه یقوم مقام شهادة الرجلین شهادة رجل</w:t>
      </w:r>
    </w:p>
    <w:p>
      <w:pPr>
        <w:pStyle w:val="BookText"/>
        <w:rPr/>
      </w:pPr>
      <w:r>
        <w:rPr>
          <w:rFonts w:ascii="IRNazanin" w:hAnsi="IRNazanin" w:eastAsia="IRNazanin"/>
          <w:color w:val="111111"/>
          <w:sz w:val="28"/>
          <w:sz w:val="28"/>
          <w:szCs w:val="28"/>
          <w:rtl w:val="true"/>
          <w:lang w:bidi="fa-IR"/>
        </w:rPr>
        <w:t>واحد وامرأتین أو شهادة أربع نسوة</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 علیه المحقّق الخراسانی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إن کان بصدد إمکان نیابة بعض الشروط عن بعض ثبوتاً وعدم انتفاء الحکم بانتفاء الشرط لقیام شرط آخر مکانه فالخصم لا ینکر ذلک وإنّما یدّعی عدم وقوعه إثباتاً، بمعنی دلالة الجملة الشرطیّة فی مقام الإثبات علی خلافه، وإن کان بصدد بیان أنّ هذا الاحتمال الثبوتی یؤثّر فی ظهور الجملة فهو ممنوع جدّاً، لأنّ هذا لا یوجب الظهور ما لم یکن الاحتمال فی مقام الإثبات راجحاً</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استشهد به فی المقام خارج عن محلّ النزاع حیث إنّ محلّ البحث هنا مدلول الجملة الشرطیّة لا الشرط الفقهی، اللهمّ أن یقال بإمکان إرجاع الآیة إلی قضیّة شرطیّة 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أنّه بناءً علی ما اخترناه من التفصیل لا یرد هذا الإشکال حیث إنّ أکثر ما یمکن أن یدّعیه ویثبته إنّما هو عدم دلالة القضیّة الشرطیّة علی المفهوم تفصیلًا فی بعض الموارد، وهو مقبول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دلّ الشرط علی المفهوم لدلّ بإحدی الدلالات الثلاث، والتالی باطل فالمقدّم مثله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 منع بطلان التالی؛ لأنّ الشرط یدلّ علی المفهوم عندنا بالدلالة الالتزامیّة وإنکاره أوّل الکلام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تُکْرِهُوا فَتَیَاتِکُمْ عَلَی الْبِغَاءِ إِنْ أَرَدْنَ تَحَصُّناً</w:t>
      </w:r>
      <w:r>
        <w:rPr>
          <w:rFonts w:eastAsia="Amiri" w:cs="Amiri" w:ascii="Amiri" w:hAnsi="Amiri"/>
          <w:color w:val="111111"/>
          <w:sz w:val="28"/>
          <w:szCs w:val="28"/>
          <w:rtl w:val="true"/>
          <w:lang w:bidi="ar-SA"/>
        </w:rPr>
        <w:t>»</w:t>
      </w:r>
      <w:r>
        <w:rPr>
          <w:rStyle w:val="FootnoteAnchor"/>
          <w:rtl w:val="true"/>
        </w:rPr>
        <w:footnoteReference w:id="462"/>
      </w:r>
      <w:r>
        <w:rPr>
          <w:rFonts w:ascii="IRNazanin" w:hAnsi="IRNazanin" w:eastAsia="IRNazanin"/>
          <w:color w:val="111111"/>
          <w:sz w:val="28"/>
          <w:sz w:val="28"/>
          <w:szCs w:val="28"/>
          <w:rtl w:val="true"/>
          <w:lang w:bidi="fa-IR"/>
        </w:rPr>
        <w:t>حیث إنّه لو دلّ الشرط علی المفهوم لدلّ قوله تعالی هذا علی جواز الإکراه علی البغاء إن لم</w:t>
      </w:r>
      <w:bookmarkStart w:id="655" w:name="pg16918_187530"/>
    </w:p>
    <w:p>
      <w:pPr>
        <w:pStyle w:val="BookText"/>
        <w:rPr/>
      </w:pPr>
      <w:bookmarkEnd w:id="655"/>
      <w:r>
        <w:rPr>
          <w:rFonts w:ascii="IRNazanin" w:hAnsi="IRNazanin" w:eastAsia="IRNazanin"/>
          <w:color w:val="111111"/>
          <w:sz w:val="28"/>
          <w:sz w:val="28"/>
          <w:szCs w:val="28"/>
          <w:rtl w:val="true"/>
          <w:lang w:bidi="fa-IR"/>
        </w:rPr>
        <w:t>یردن التحصّن وهو باطل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دلالة الشرط علی المفهوم أحیاناً بسبب قرینة خارجیّة کالإجماع ونحوه ممّا لا یکاد ینکر، وإنّما القائل بالمفهوم یدّعی دلالة الشرط علیه بالظهور اللفظی وهو لا ینافی قیام قرینة خارجیّة علی خلافه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الشرط فی الآیة لیس شرطاً للحکم من دون دخل له فی تحقّق موضوعه، بحیث إذا انتفی الشرط کان الموضوع باقیاً علی حاله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شرط للحکم مع دخله فی تحقّق الموضوع بحیث إذا انتفی الشرط فلا حکم ولا موضوع للحکم أصلًا کما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الفتیات إذا لم یردن التحصّن فلا إکراه هناک کی یبحث عن حرمته وعدمها</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أیضاً أن یکون التعبیر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أردن تحصّناً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نهج القضیّة الشرطیّة مع عدم انتفاء الحکم عند انتفاء الشرط لنکتة أخلاقیّة تربویّة بالنسبة إلی أرباب الفتیات وهی أنّ إرادة التحصّن والعفّة من جانب الفتیات مع عدم ترقّبه منهنّ لکونهنّ معدودات من طبقة سافلة فی المجتمع موجب لتحریک الغیرة والحمیة فی أربابهنّ فی عدم إکراههنّ علی البغاء</w:t>
      </w:r>
      <w:r>
        <w:rPr>
          <w:rFonts w:eastAsia="IRNazanin" w:cs="IRNazanin"/>
          <w:color w:val="111111"/>
          <w:sz w:val="28"/>
          <w:szCs w:val="28"/>
          <w:rtl w:val="true"/>
          <w:lang w:bidi="fa-IR"/>
        </w:rPr>
        <w:t>.</w:t>
      </w:r>
    </w:p>
    <w:p>
      <w:pPr>
        <w:pStyle w:val="Heading6"/>
        <w:numPr>
          <w:ilvl w:val="5"/>
          <w:numId w:val="1"/>
        </w:numPr>
        <w:rPr/>
      </w:pPr>
      <w:bookmarkStart w:id="656" w:name="__RefHeading___Toc96418_3244359995"/>
      <w:bookmarkStart w:id="657" w:name="_Toc249"/>
      <w:bookmarkEnd w:id="656"/>
      <w:r>
        <w:rPr>
          <w:rtl w:val="true"/>
        </w:rPr>
        <w:t>بقی هنا أمران</w:t>
      </w:r>
      <w:r>
        <w:rPr>
          <w:rtl w:val="true"/>
        </w:rPr>
        <w:t>:</w:t>
      </w:r>
      <w:bookmarkEnd w:id="657"/>
    </w:p>
    <w:p>
      <w:pPr>
        <w:pStyle w:val="Heading6"/>
        <w:numPr>
          <w:ilvl w:val="5"/>
          <w:numId w:val="1"/>
        </w:numPr>
        <w:rPr/>
      </w:pPr>
      <w:bookmarkStart w:id="658" w:name="__RefHeading___Toc96420_3244359995"/>
      <w:bookmarkStart w:id="659" w:name="_Toc250"/>
      <w:bookmarkEnd w:id="658"/>
      <w:r>
        <w:rPr>
          <w:rtl w:val="true"/>
        </w:rPr>
        <w:t>الأمر الأوّل</w:t>
      </w:r>
      <w:r>
        <w:rPr>
          <w:rtl w:val="true"/>
        </w:rPr>
        <w:t xml:space="preserve">: </w:t>
      </w:r>
      <w:r>
        <w:rPr>
          <w:rtl w:val="true"/>
        </w:rPr>
        <w:t>حول تعدّد الشرط ووحدة الجزاء</w:t>
      </w:r>
      <w:bookmarkEnd w:id="659"/>
    </w:p>
    <w:p>
      <w:pPr>
        <w:pStyle w:val="BookText"/>
        <w:rPr/>
      </w:pPr>
      <w:r>
        <w:rPr>
          <w:rFonts w:ascii="IRNazanin" w:hAnsi="IRNazanin" w:eastAsia="IRNazanin"/>
          <w:color w:val="111111"/>
          <w:sz w:val="28"/>
          <w:sz w:val="28"/>
          <w:szCs w:val="28"/>
          <w:rtl w:val="true"/>
          <w:lang w:bidi="fa-IR"/>
        </w:rPr>
        <w:t>کما إذا ورد فی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خفیت الجدران فقصّر</w:t>
      </w:r>
      <w:r>
        <w:rPr>
          <w:rFonts w:eastAsia="IRNazanin" w:cs="IRNazanin"/>
          <w:color w:val="111111"/>
          <w:sz w:val="28"/>
          <w:szCs w:val="28"/>
          <w:rtl w:val="true"/>
          <w:lang w:bidi="fa-IR"/>
        </w:rPr>
        <w:t>»</w:t>
      </w:r>
      <w:r>
        <w:rPr>
          <w:rStyle w:val="FootnoteAnchor"/>
          <w:rtl w:val="true"/>
        </w:rPr>
        <w:footnoteReference w:id="465"/>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القول بمفهوم الجملة الشرطیّة لابدّ من التصرّف فیهما بأحد الوجوه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منطوق کلّ منهما وعطف أحد الشرطین علی الآخر بالواو،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خفی الأذان والجدران معاً فقصّر، فلا یکون القصر واجباً بخفاء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المنطوقین بتقیید إطلاق کلّ منهما بالآخر فیکون العطف بأو وتکون کلّ من الشرطین علّة مستقلّة، ونتیجته کفایة أحد الشرطین فی وجوب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یخصّص مفهوم کلّ منهما بمنطوق الآخر فتکون النتیجة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یخف الأذان فلا تقصّر إلّاإذا خفیت الجدران، وهکذا فی الطرف الآخر، أی إذا لم تخف الجدران فلا تقصّر إلّاإذا خفی الأذان، وهی نفس النتیجة فی الوجه الثانی، أی کفایة أحد الشرطین فی ترتّب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المختار من أنّ المنشأ هو ظهور القضیّة فی مجرّد الانتفاء عند الانتفاء فی الجملة وأنّ المفهوم التامّ یستفاد من قرینة خارجیّة، فلا إشکال فی عدم لزوم رفع الید عن الظهور فی المقام؛ لما مرّ من أنّ المفهوم إنّما یتمّ فیما إذا قامت قرینة من الخارج نظیر کون الشرطین مثلًا من قبیل ضدّین لا ثالث لهما أو وجود قدر متیقّن فی البین، وإلّا لا یثبت المفهوم مع بقاء مدلول الانتفاء عند الانتفاء فی الجملة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القرینة قائمة فیما نحن فیه علی عدم تمامیّة المفهوم؛ لأنّ کلّ واحد من المنطوقین دلیل علی أنّ مفهوم الآخر لا یتجاوز عن حدّ الانتفاء عند الانتفاء فی الجملة فلا مفهوم للقضیتین حتّی یبحث عن کیفیة الجمع بینهما، ولا إشکال فی أنّ النتیجة حینئذٍ هی الوجه الثانی، أی کون کلّ واحد من خفاء الجدران وخفاء الأذان علّة مستقلّة لوجوب القصر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بناءً علی القول بأنّ منشأ المفهوم هو ظهور الجملة الشرطیّة فی العلّیة المنحصرة، فالأوجه هو الوجه الثالث، أی تخصیص کلّ واحد من المفهومین بمنطوق الآخر لابتنائه علی قاعدة الإطلاق والتقیید والجمع العرفی</w:t>
      </w:r>
      <w:r>
        <w:rPr>
          <w:rFonts w:eastAsia="IRNazanin" w:cs="IRNazanin"/>
          <w:color w:val="111111"/>
          <w:sz w:val="28"/>
          <w:szCs w:val="28"/>
          <w:rtl w:val="true"/>
          <w:lang w:bidi="fa-IR"/>
        </w:rPr>
        <w:t>.</w:t>
      </w:r>
      <w:bookmarkStart w:id="660" w:name="pg16918_187532"/>
    </w:p>
    <w:p>
      <w:pPr>
        <w:pStyle w:val="Heading6"/>
        <w:numPr>
          <w:ilvl w:val="5"/>
          <w:numId w:val="1"/>
        </w:numPr>
        <w:rPr/>
      </w:pPr>
      <w:bookmarkStart w:id="661" w:name="__RefHeading___Toc96422_3244359995"/>
      <w:bookmarkStart w:id="662" w:name="_Toc251"/>
      <w:bookmarkEnd w:id="660"/>
      <w:bookmarkEnd w:id="661"/>
      <w:r>
        <w:rPr>
          <w:rtl w:val="true"/>
        </w:rPr>
        <w:t>الأمر الثانی</w:t>
      </w:r>
      <w:r>
        <w:rPr>
          <w:rtl w:val="true"/>
        </w:rPr>
        <w:t xml:space="preserve">: </w:t>
      </w:r>
      <w:r>
        <w:rPr>
          <w:rtl w:val="true"/>
        </w:rPr>
        <w:t>فی تداخل الأسباب والمسبّبات</w:t>
      </w:r>
      <w:bookmarkEnd w:id="662"/>
    </w:p>
    <w:p>
      <w:pPr>
        <w:pStyle w:val="BookText"/>
        <w:rPr/>
      </w:pPr>
      <w:r>
        <w:rPr>
          <w:rFonts w:ascii="IRNazanin" w:hAnsi="IRNazanin" w:eastAsia="IRNazanin"/>
          <w:color w:val="111111"/>
          <w:sz w:val="28"/>
          <w:sz w:val="28"/>
          <w:szCs w:val="28"/>
          <w:rtl w:val="true"/>
          <w:lang w:bidi="fa-IR"/>
        </w:rPr>
        <w:t>وقد عنون بتعبیر آخر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تعدّد الشرط واتّحد الجزاء فهل یجب تکرار الجزاء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مسست المیّت فاغتسل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أجنبت فاغتسل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الإتیان بالغسل مرّتین أو یکفی غسل واحد؟</w:t>
      </w:r>
    </w:p>
    <w:p>
      <w:pPr>
        <w:pStyle w:val="BookText"/>
        <w:rPr/>
      </w:pPr>
      <w:r>
        <w:rPr>
          <w:rFonts w:ascii="IRNazanin" w:hAnsi="IRNazanin" w:eastAsia="IRNazanin"/>
          <w:color w:val="111111"/>
          <w:sz w:val="28"/>
          <w:sz w:val="28"/>
          <w:szCs w:val="28"/>
          <w:rtl w:val="true"/>
          <w:lang w:bidi="fa-IR"/>
        </w:rPr>
        <w:t xml:space="preserve">وهذا النزاع لیس مبتنیاً علی القول بمفهوم الشرط، بل یجری بناءً علی عدمه أیضاً؛ لأنّ البحث إنّما هو فی تداخل منطوقی الشرطین أو منطوقی الجزاءین، سواء کان لهما مفهوم أو لا، فلا ربط للبحث بباب المفاهیم، بل لا اختصاص له بالقضایا الشرطیّة؛ لأنّه جارٍ فی القضایا الحملیة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الجنب 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الحائض یغتسل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یرجع کلّ ما ترکّب من حکم وموضوع إلی القضیّة الشرطیّة، کما یمکن العکس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فقد وقع النزاع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التکلیف ومقام الإمتثال، فإن کان المقام مقام التکلیف والإیجاب کان النزاع فی تداخل الأسباب وعدمه وأنّه هل یؤثّر کلّ واحد من الشروط فی البعث نحو الجزاء مستقلًاّ، أو لیس لکلّ منها تأثیر مستقلّ بل تؤثّر مجموع الشروط فی البعث؟</w:t>
      </w:r>
    </w:p>
    <w:p>
      <w:pPr>
        <w:pStyle w:val="BookText"/>
        <w:rPr/>
      </w:pPr>
      <w:r>
        <w:rPr>
          <w:rFonts w:ascii="IRNazanin" w:hAnsi="IRNazanin" w:eastAsia="IRNazanin"/>
          <w:color w:val="111111"/>
          <w:sz w:val="28"/>
          <w:sz w:val="28"/>
          <w:szCs w:val="28"/>
          <w:rtl w:val="true"/>
          <w:lang w:bidi="fa-IR"/>
        </w:rPr>
        <w:t>وإن کان المقام مقام الإمتثال بعد قبول دلالة کلّ شرط علی وجوب مستقلّ وتأثیر کلّ واحد من الشروط مستقلًاّ فی البعث نحو الجزاء لو لم یکن معه غیره، کان البحث فی تداخل المسبّبات وأنّه هل یکفی الإتیان بمصداق واحد ویکتفی بإتیان المتعلّق مرّة واحدة؟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هذا النزاع یتصوّر فیما إذا کان الجزاء قابلًا للتکرار ولا یتصوّر فی مثل القتل ونحوه ممّا لا یکون قابلًا له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bookmarkStart w:id="663" w:name="pg16918_187533"/>
    </w:p>
    <w:p>
      <w:pPr>
        <w:pStyle w:val="Heading6"/>
        <w:numPr>
          <w:ilvl w:val="5"/>
          <w:numId w:val="1"/>
        </w:numPr>
        <w:rPr/>
      </w:pPr>
      <w:bookmarkStart w:id="664" w:name="__RefHeading___Toc96424_3244359995"/>
      <w:bookmarkStart w:id="665" w:name="_Toc252"/>
      <w:bookmarkEnd w:id="663"/>
      <w:bookmarkEnd w:id="664"/>
      <w:r>
        <w:rPr>
          <w:rtl w:val="true"/>
        </w:rPr>
        <w:t>المقام الأوّل</w:t>
      </w:r>
      <w:r>
        <w:rPr>
          <w:rtl w:val="true"/>
        </w:rPr>
        <w:t xml:space="preserve">: </w:t>
      </w:r>
      <w:r>
        <w:rPr>
          <w:rtl w:val="true"/>
        </w:rPr>
        <w:t>تداخل الأسباب</w:t>
      </w:r>
      <w:bookmarkEnd w:id="665"/>
    </w:p>
    <w:p>
      <w:pPr>
        <w:pStyle w:val="BookText"/>
        <w:rPr/>
      </w:pPr>
      <w:r>
        <w:rPr>
          <w:rFonts w:ascii="IRNazanin" w:hAnsi="IRNazanin" w:eastAsia="IRNazanin"/>
          <w:color w:val="111111"/>
          <w:sz w:val="28"/>
          <w:sz w:val="28"/>
          <w:szCs w:val="28"/>
          <w:rtl w:val="true"/>
          <w:lang w:bidi="fa-IR"/>
        </w:rPr>
        <w:t>والمشهور فی المسألة عدم التداخل إلّاما خرج بالدلیل واستدلّ له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ظهور القضیّة الشرطیّة فی حدوث الجزاء عند حدوث الشرط، ومقتضی ذلک تعدّد الجزاء بتعدّد الشرط وهو یستلزم اجتماع حکمین متماثلین أو أکثر فی مورد واحد وهو محال کاجتماع الضدّین، وحینئذٍ لابدّ من التصرّف فی الظهور بأحد الطرق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بالالتزام بعدم دلالة الجملة الشرطیّة فی حال تعدّد الشرط علی حدوث الجزاء عند حدوث الشرط، بل تدلّ علی الثبوت عند الثبوت فحسب، فنرفع الید من تأثیر الشرط الثانی فی حدوث الجزاء، وهذا فی الحقیقة تصرّف فی أداة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بالالتزام بتأثیر الشرط الأوّل فی الوجوب وتأثیر الشرط الثانی فی تأکّد الوجوب فقط، وهو تصرّف فی هیئة الجزاء فی الجملة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بالالتزام بکون متعلّق الحکم فی الجزاء حقائق متعدّدة تنطبق علی فعل واحد، وهذا تصرّف فی مادّة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الوجوه الثلاثة تصرّفات فی الظهور الوضعی، وهاهنا وجه رابع یتصرّف فیه فی إطلاق المادّة والفعل وتقییدها بمرّة اخری؛ کی لا یتعلّق الحکم الثانی بعین ما تعلّق به الأوّل فیلزم اجتماع المثلین، بل تعلّق الحکم الأوّل بمصداق وتعلّق الحکم الثانی بمصداق آخر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والقائلون بعدم التداخل ذهبوا إلی أنّ الأولی هو الوجه الأخیر</w:t>
      </w:r>
      <w:r>
        <w:rPr>
          <w:rStyle w:val="FootnoteAnchor"/>
          <w:rtl w:val="true"/>
        </w:rPr>
        <w:footnoteReference w:id="467"/>
      </w:r>
      <w:r>
        <w:rPr>
          <w:rFonts w:ascii="IRNazanin" w:hAnsi="IRNazanin" w:eastAsia="IRNazanin"/>
          <w:color w:val="111111"/>
          <w:sz w:val="28"/>
          <w:sz w:val="28"/>
          <w:szCs w:val="28"/>
          <w:rtl w:val="true"/>
          <w:lang w:bidi="fa-IR"/>
        </w:rPr>
        <w:t>، واستدلّوا له بأنّ التصرّف فی إطلاق المادّة أهون من الثلاثة الاول کلّها، من باب أنّ جمیعها تصرّفات فی الظهور ومخالفة لظاهر الکلام بخلاف التصرّف فی إطلاق المادّة، فإنّه لیس مخالفة لظهور الإطلاق؛ حیث إنّ الإطلاق إنّما ینعقد بمقدّمات الحکمة الّتی منها عدم البیان، ولا إشکال فی أنّ ظهور الجملة الشرطیّة فی حدوث الجزاء عند</w:t>
      </w:r>
      <w:bookmarkStart w:id="666" w:name="pg16918_187534"/>
    </w:p>
    <w:p>
      <w:pPr>
        <w:pStyle w:val="BookText"/>
        <w:rPr/>
      </w:pPr>
      <w:bookmarkEnd w:id="666"/>
      <w:r>
        <w:rPr>
          <w:rFonts w:ascii="IRNazanin" w:hAnsi="IRNazanin" w:eastAsia="IRNazanin"/>
          <w:color w:val="111111"/>
          <w:sz w:val="28"/>
          <w:sz w:val="28"/>
          <w:szCs w:val="28"/>
          <w:rtl w:val="true"/>
          <w:lang w:bidi="fa-IR"/>
        </w:rPr>
        <w:t>حدوث الشرط یکون بیاناً لکون المراد من المادّة فی الجزاء الثانی فرداً آخر غیر الفرد الذی وجب بالشرط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تامّ بناءً علی ظهور القضیّة الشرطیّة فی السببیّة الفعلیّة لا الاقتضائیّة حیث إنّ السببیّة الاقتضائیّة معناها أنّ الشرط مثلًا مقتضٍ للجزاء ویؤثّر فیه لولا المانع، وأمّا إذا تحقّق مانع عن تأثیره کأن یکون المحلّ مشغولًا بسبب آخر مثله فلا یؤثّر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المستحیل إنّما هو توارد العلّتین التامّتین علی معلول واحد لا توارد المقتضیین، أی العلّتین الناقصتین علیه، ومن المعلوم أنّه لا تدلّ القضیّة الشرطیّة فی ما نحن فیه علی أکثر من السببیّة بمعنی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ذکرنا یظهر لزوم القول بالتداخل؛ لأنّه لا شکّ فی ظهور القضیّة الشرطیّة فی الحدوث عند الحدوث، فإن قلنا بکونه فی حدّ الاقتضاء، أی أنّ القضیّة الشرطیّة ظاهرة فی اقتضاء الشرط حدوث الجزاء إذا لم یکن هناک مانع، ولم یکن المحلّ مشغولًا بالمثل فهو المطلوب، وتکون النتیجة التداخل، وإن قلنا بأنّها ظاهرة فی الفعلیّة، أی فی علّیة الشرط لحدوث الجزاء فعلًا فإنّه یعارض ظهور الجزاء فی الوحدة فیتساقطان، وتصل النوبة إلی الاصول العملیّة، والأصل الجاری فی المقام إنّما هو البراءة عن الزائد</w:t>
      </w:r>
      <w:r>
        <w:rPr>
          <w:rFonts w:eastAsia="IRNazanin" w:cs="IRNazanin"/>
          <w:color w:val="111111"/>
          <w:sz w:val="28"/>
          <w:szCs w:val="28"/>
          <w:rtl w:val="true"/>
          <w:lang w:bidi="fa-IR"/>
        </w:rPr>
        <w:t>.</w:t>
      </w:r>
    </w:p>
    <w:p>
      <w:pPr>
        <w:pStyle w:val="Heading6"/>
        <w:numPr>
          <w:ilvl w:val="5"/>
          <w:numId w:val="1"/>
        </w:numPr>
        <w:rPr/>
      </w:pPr>
      <w:bookmarkStart w:id="667" w:name="__RefHeading___Toc96426_3244359995"/>
      <w:bookmarkStart w:id="668" w:name="_Toc253"/>
      <w:bookmarkEnd w:id="667"/>
      <w:r>
        <w:rPr>
          <w:rtl w:val="true"/>
        </w:rPr>
        <w:t>المقام الثانی</w:t>
      </w:r>
      <w:r>
        <w:rPr>
          <w:rtl w:val="true"/>
        </w:rPr>
        <w:t xml:space="preserve">: </w:t>
      </w:r>
      <w:r>
        <w:rPr>
          <w:rtl w:val="true"/>
        </w:rPr>
        <w:t>تداخل المسبّبات</w:t>
      </w:r>
      <w:bookmarkEnd w:id="668"/>
    </w:p>
    <w:p>
      <w:pPr>
        <w:pStyle w:val="BookText"/>
        <w:rPr/>
      </w:pPr>
      <w:r>
        <w:rPr>
          <w:rFonts w:ascii="IRNazanin" w:hAnsi="IRNazanin" w:eastAsia="IRNazanin"/>
          <w:color w:val="111111"/>
          <w:sz w:val="28"/>
          <w:sz w:val="28"/>
          <w:szCs w:val="28"/>
          <w:rtl w:val="true"/>
          <w:lang w:bidi="fa-IR"/>
        </w:rPr>
        <w:t>لو فرضنا دلالة کلّ واحد من القضیتین الشرطیتین علی وجوب مستقلّ ولم نوافق علی تداخل الأسباب، أو قام الدلیل والقرینة الخاصّة علی عدم التداخل، فهل یکتفی بإمتثال واحد عن کلا التکلیفین أو لا؟</w:t>
      </w:r>
    </w:p>
    <w:p>
      <w:pPr>
        <w:pStyle w:val="BookText"/>
        <w:rPr/>
      </w:pPr>
      <w:r>
        <w:rPr>
          <w:rFonts w:ascii="IRNazanin" w:hAnsi="IRNazanin" w:eastAsia="IRNazanin"/>
          <w:color w:val="111111"/>
          <w:sz w:val="28"/>
          <w:sz w:val="28"/>
          <w:szCs w:val="28"/>
          <w:rtl w:val="true"/>
          <w:lang w:bidi="fa-IR"/>
        </w:rPr>
        <w:t>ولا یخفی أنّ النسبة بین متعلّقی دلیلین تتصوّر علی أربعة وجوه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فتارةً تکون النسبة هی التباین، وحینئذٍ لا موقع للتداخل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تکون النسبة بین العنوانین هی التساوی، فلا معنی أیضاً للبحث عن تداخلهما لأنّهما متداخلان دائماً، بل لا یمکن أن یکلّف المولی بماهیة مرّتین إلّا من باب التأکید، أو أن یرجع خطابه فی کلّ مرّة إلی فرد خاصّ من الماهیة فیتعلّق کلّ واحد من الخطابین بأحدهما، وحینئذٍ ترجع النسبة لا محالة إلی التباین أیضاً کما فی القسم الأوّل؛ لأنّ کلّ واحد منهما بتشخّصاته الفردیة مباین للآخر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ومحلّ البحث فی المقام إنّما هو هذان الوجهان الأخیران، والصحیح أنّ مقتضی القاعدة فیهما هو التداخل لو کنّا نحن والأدلّة الشرعیّة وإطلاقها ما لم تنصب قرینة علی التداخل أو عدمه، فإنّ مقتضی إطلاق الخطابین کفایة الإتیان بمجمع العنوان فی العامّین من وجه، وکفایة الإتیان بالخاصّ فی العموم والخصوص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یتوهّم أنّ الإتیان بخصوص ذلک یخالف تعدّد التکلیف، لأنّ المفروض أنّ مجمع العنوانین واجد لکلتا المصلحتین، نظیر ما إذا أمر الطبیب المریض بأکل مطلق الفاکهة مثلًا لرفع دائه، وأمره أیضاً بأکل فاکهة خاصّة لرفع داء آخر، فلا إشکال فی جواز الاکتفاء بأکل تلک الفاکهة الخاصّة وحصول کلتا المصلحتین بها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تقوم القرینة علی عدم التداخل مثل تناسب الحکم والموضوع، فإنّه یقتضی عدم تداخل المسبّبات کتضاعف مقدار النزح من البئر إذا وقعت الهرّة فیها بعد وقوع الفأرة مثلًا، فإنّ لوقوع کلّ منهما أثراً خاصّاً فی قذارة الماء واقتضاءً مستقلًاّ یوجب تعدّد وجوب نزح المقدار أو استحبابه، کما أنّه ربما تقوم القرینة علی التداخل، کما فی باب الوضوء والغسل إذا تعدّد الحدث الأصغر فی الوضوء والأکبر فی الغسل</w:t>
      </w:r>
      <w:r>
        <w:rPr>
          <w:rFonts w:eastAsia="IRNazanin" w:cs="IRNazanin"/>
          <w:color w:val="111111"/>
          <w:sz w:val="28"/>
          <w:szCs w:val="28"/>
          <w:rtl w:val="true"/>
          <w:lang w:bidi="fa-IR"/>
        </w:rPr>
        <w:t>.</w:t>
      </w:r>
      <w:bookmarkStart w:id="669" w:name="pg16918_187536"/>
    </w:p>
    <w:p>
      <w:pPr>
        <w:pStyle w:val="Heading5"/>
        <w:numPr>
          <w:ilvl w:val="4"/>
          <w:numId w:val="1"/>
        </w:numPr>
        <w:rPr/>
      </w:pPr>
      <w:bookmarkStart w:id="670" w:name="__RefHeading___Toc96428_3244359995"/>
      <w:bookmarkStart w:id="671" w:name="_Toc254"/>
      <w:bookmarkEnd w:id="669"/>
      <w:bookmarkEnd w:id="670"/>
      <w:r>
        <w:rPr/>
        <w:t>2</w:t>
      </w:r>
      <w:r>
        <w:rPr>
          <w:rtl w:val="true"/>
        </w:rPr>
        <w:t xml:space="preserve">. </w:t>
      </w:r>
      <w:r>
        <w:rPr>
          <w:rtl w:val="true"/>
        </w:rPr>
        <w:t>مفهوم الوصف</w:t>
      </w:r>
      <w:bookmarkEnd w:id="671"/>
    </w:p>
    <w:p>
      <w:pPr>
        <w:pStyle w:val="Heading6"/>
        <w:numPr>
          <w:ilvl w:val="5"/>
          <w:numId w:val="1"/>
        </w:numPr>
        <w:rPr/>
      </w:pPr>
      <w:bookmarkStart w:id="672" w:name="__RefHeading___Toc96430_3244359995"/>
      <w:bookmarkStart w:id="673" w:name="_Toc255"/>
      <w:bookmarkEnd w:id="672"/>
      <w:r>
        <w:rPr>
          <w:rtl w:val="true"/>
        </w:rPr>
        <w:t>اشارة</w:t>
      </w:r>
      <w:bookmarkEnd w:id="673"/>
    </w:p>
    <w:p>
      <w:pPr>
        <w:pStyle w:val="BookText"/>
        <w:rPr/>
      </w:pPr>
      <w:r>
        <w:rPr>
          <w:rFonts w:ascii="IRNazanin" w:hAnsi="IRNazanin" w:eastAsia="IRNazanin"/>
          <w:color w:val="111111"/>
          <w:sz w:val="28"/>
          <w:sz w:val="28"/>
          <w:szCs w:val="28"/>
          <w:rtl w:val="true"/>
          <w:lang w:bidi="fa-IR"/>
        </w:rPr>
        <w:t xml:space="preserve">والمراد من الوصف فیما نحن فیه أعمّ من‌الوصف النحوی، فالوصف هنا عبارة عن کلّ ما صار قیداً للحکم فی الکلام، فیعمّ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قیداً للحکم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جاءک ذاکراً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یعمّ ما یکون ظرفاً للحکم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الوصف غیر المعتمد علی موصوفه خارج عن محلّ النزاع لأنّه کاللقب، بل اللقب أولی منه من هذه الجهة لأنّه حاکٍ عن الذات، بینما الوصف غیر المعتمد یحکی عن الصفة، وکون الذات مناطاً للحکم بحیث ینتفی بانتفائها أولی من کون الوصف الذی یکون مبدأ عرضیاً للحکم مناطاً له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محلّ النزاع أعمّ منه، والشاهد علی ذلک أنّ المثبت للمفهوم قد یتمسّک بأمثلة تکون من مصادیق الوصف غیر المعتمد من دون أن یعترض علیه النافی للمفهوم بأنّها خارجة عن محلّ الکلام، نظیر التمسّک بفهم أبی عبید فی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الواجد بالدین یحلّ عقوبته وعرضه</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قال أبو عبید وهو القاسم بن سلام البغدادی من قدماء اللغویین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الحدیث باب من الحکم عظیم،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الواجد فاشترط الوجد،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الغریم، وذلک أنّه قد یجوز أن یکون غریماً ولیس بواجد، وإنّما جعل العقوبة علی الواجد خاصّة، فهذا یبیّن لک أنّه من لم یکن واجداً فلا سبیل للطالب علیه بحبس ولا غیره حتی یجد ما 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الحدیث،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ونظیر التمسّک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جَاءَکُمْ فَاسِقٌ بِنَبَإٍ فَتَبَیَّنُوا</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4" w:name="__RefHeading___Toc96432_3244359995"/>
      <w:bookmarkStart w:id="675" w:name="_Toc256"/>
      <w:bookmarkEnd w:id="674"/>
      <w:r>
        <w:rPr>
          <w:rtl w:val="true"/>
        </w:rPr>
        <w:t>أدلّة المنکرین للمفهوم</w:t>
      </w:r>
      <w:bookmarkEnd w:id="67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 القائل بعدم المفهوم بوجوه </w:t>
      </w:r>
      <w:r>
        <w:rPr>
          <w:rStyle w:val="FootnoteAnchor"/>
          <w:rtl w:val="true"/>
        </w:rPr>
        <w:footnoteReference w:id="471"/>
      </w:r>
      <w:r>
        <w:rPr>
          <w:rFonts w:ascii="IRNazanin" w:hAnsi="IRNazanin" w:eastAsia="IRNazanin"/>
          <w:color w:val="111111"/>
          <w:sz w:val="28"/>
          <w:sz w:val="28"/>
          <w:szCs w:val="28"/>
          <w:rtl w:val="true"/>
          <w:lang w:bidi="fa-IR"/>
        </w:rPr>
        <w:t>أهمّها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الوصف علی المفهوم إمّا بالوضع أو بالقرینة العامّة، وکلاهما ممنوعان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الوضع، فلأنّه لو کان الوصف دالًاّ علی المفهوم بالوضع، لکان استعماله فی غیره مجازاً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القرینة العامّة، فلأنّها لا تخلو من أن تکون واحدة من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اللغویّة، وکون الوصف مطلقاً مع أنّ المتکلّم فی مقام البیان، وکونه مشعراً بالعلّیة المنحصرة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لزوم اللغویّة فالجواب عنه أنّ اللغویّة إنّما تلزم فیما إذا انحصرت فائدة الوصف فی المفهوم، مع أنّه قد یترتّب علیه فوائد کثیرة اخری، فقد یؤتی به لشدّة الاهتمام بمورد الوصف، أو لدفع توهّم عدم شمول الحکم لمورد الوصف، أو لعدم حاجة السامع إلی ما سوی مورد الوصف أو لغیر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الإطلاق والمقصود منه أنّه لو کان للوصف عدیل أو جزء آخر لذکره المتکلّم لکونه فی مقام البیان فإطلاقه دالّ علی أنّه لا عدیل له، کما أنّه دالّ علی کونه تمام الموضوع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یکون إطلاقاً مقامیاً علی فرض وجوده، أی علی فرض کون المتکلّم بصدد بیان العلّة المنحصرة أو الموضوع المنحصر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فی دلالته علی المفهوم بباب الوصف، بل إنّه یجری فی اللقب أیضاً، وحینئذٍ تکون الدلالة علی المفهوم مستندة إلی وجود القرینة لا إلی الوصف وإلّا لکانت الدلالة مختصّة بالوصف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إشعار الوصف بالعلّیة المنحصرة فالجواب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إشعار الوصف بها وإن کان فی الجملة معلوماً، إلّاأنّه لا یفید فی الدلالة علی المفهوم ما لم یصل إلی حدّ الظهور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القیود الواردة فی الکلام تارةً ترجع إلی الموضوع أو المتعلّق، واخری إلی الجملة الترکیبیة بحیث یکون القید قیداً للمادّة المنتسبة أی الحکم، وملاک الدلالة علی المفهوم هو أن یکون القید راجعاً إلی الحکم، أی إلی المادّة</w:t>
      </w:r>
      <w:bookmarkStart w:id="676" w:name="pg16918_187538"/>
    </w:p>
    <w:p>
      <w:pPr>
        <w:pStyle w:val="BookText"/>
        <w:rPr/>
      </w:pPr>
      <w:bookmarkEnd w:id="676"/>
      <w:r>
        <w:rPr>
          <w:rFonts w:ascii="IRNazanin" w:hAnsi="IRNazanin" w:eastAsia="IRNazanin"/>
          <w:color w:val="111111"/>
          <w:sz w:val="28"/>
          <w:sz w:val="28"/>
          <w:szCs w:val="28"/>
          <w:rtl w:val="true"/>
          <w:lang w:bidi="fa-IR"/>
        </w:rPr>
        <w:t>المنتسبة لیترتّب علیه ارتفاع الحکم عند ارتفاع قیده، إذ لو کان الحکم ثابتاً عند عدم القید أیضاً لما کان الحکم مقیّداً به بالضرورة، ففرض تقیید الحکم بشی‌ء یستلزم فرض انتفائه بانتفائه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القید راجعاً إلی المفهوم الإفرادی، فغایة ما یترتّب علی التقیید هو ثبوت الحکم علی المقیّد، ومن الضروری أنّ ثبوت شی‌ء لشی‌ء لا یستلزم نفیه عن غیره، وإلّا لکان کلّ قضیة مشتملة علی ثبوت حکم علی شی‌ء دالّة علی المفهوم وذلک واضح البطلان، وبما أنّ الظاهر فی الأوصاف أن تکون قیوداً للمفاهیم الإفرادیّة یکون الأصل فیها عدم الدلالة علی المفهوم کما هو الحال فی اللقب عیناً</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افید إنّما هو أحد طرق إثبات المفهوم، فإنّه ربّما یستفاد من ناحیة احترازیة القیود مع رجوعها إلی الموضوع، بل قد لا یکون للکلام مفهوم وان رجع القید إلی الحکم والمفهوم الترکیبی إذا کان المقصود من أخذه فی الکلام أمراً آخر غیر الانتفاء عند الانتفاء کأن یؤتی به لکون مورده محلًاّ لابتلاء المخاطب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القیود بأسرها قیود للحکم وراجعة إلیه إمّا بلا واسطة أو مع الواسطة، حتّی فی مثل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یکون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 للموضوع بلحاظ الحکم؛ لأنّ الموضوع المفرد من دون تعلّق حکم علیه لا معنی لتقییده بقید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رجوع القید إلی الحکم لیس تمام الملاک للدلالة علی المفهوم کما مرّ</w:t>
      </w:r>
      <w:r>
        <w:rPr>
          <w:rFonts w:eastAsia="IRNazanin" w:cs="IRNazanin"/>
          <w:color w:val="111111"/>
          <w:sz w:val="28"/>
          <w:szCs w:val="28"/>
          <w:rtl w:val="true"/>
          <w:lang w:bidi="fa-IR"/>
        </w:rPr>
        <w:t>.</w:t>
      </w:r>
    </w:p>
    <w:p>
      <w:pPr>
        <w:pStyle w:val="Heading6"/>
        <w:numPr>
          <w:ilvl w:val="5"/>
          <w:numId w:val="1"/>
        </w:numPr>
        <w:rPr/>
      </w:pPr>
      <w:bookmarkStart w:id="677" w:name="__RefHeading___Toc96434_3244359995"/>
      <w:bookmarkStart w:id="678" w:name="_Toc257"/>
      <w:bookmarkEnd w:id="677"/>
      <w:r>
        <w:rPr>
          <w:rtl w:val="true"/>
        </w:rPr>
        <w:t>أدلّة المثبتین</w:t>
      </w:r>
      <w:r>
        <w:rPr>
          <w:rtl w:val="true"/>
        </w:rPr>
        <w:t>:</w:t>
      </w:r>
      <w:bookmarkEnd w:id="67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المثبتون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اللغویة لولا المفهوم، وقد مرّ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القیود أن تکون احترازیة وذلک لأنّ للمتکلّم فی بیان مقاصده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تارةً یصرّح باسم المقصود ویجعله بعنوانه موضوعاً لحکمه، وهذا یتصوّر فیما إذا کان للمقصود اسم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لا یکون له اسم خاصّ فیتمسّک بذیل القیود والأوصاف فیذکر مقصوده أوّلًا بنحو کلّی ثمّ یقیّده بقید بعد قید حتّی یبیّن مراده بتمامه ویخرج ما لیس بمقصوده، ففائدة القیود حینئذٍ هو بیان المقصود وإخراج ما لیس بمقصود، وهذا معنی احترازیة القیود، ولازمها الانتفاء عند الانتفاء وهو المراد من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غایة ما یقتضیه هذا البیان هو ظهور القید فی أنّه دخیل فی موضوع الحکم ومقصوده وأنّ الحکم غیر ثابت ومقصوده غیر حاصل إلّا مقیّداً بهذا القید لا مطلقاً، ولا یقتضی نفی الحکم عن فرد آخر من ذات الموضوع ولو بملاک آخر وبقید آخر، فمجرّد أخذ القید فی العنوان لا یکون دلیلًا علی کونه إحترازیاً، نعم لو علمنا من القرائن الحالیّة أو الکلامیّة کون المتکلّم بصدد الإحتراز کان للقیود مفهوم وحتّی للألقاب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أحسنها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أهل اللسان فإنّ أهل اللسان یفهمون من الوصف المفهوم فی موارد مختلفة کما فهم أبو عبید فیما رواه عن رسول اللَّه 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الواجد بالدین یحلّ عرضه وعقوبته</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أنّ لیّ الفقیر لا یحلّ عرضه وعقوبته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الموارد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وَرَبَائِبُکُمْ اللَّاتِی فِی حُجُورِکُمْ مِنْ نِسَائِکُمْ اللَّاتِی دَخَلْتُمْ بِهِنَّ</w:t>
      </w:r>
      <w:r>
        <w:rPr>
          <w:rFonts w:eastAsia="Amiri" w:cs="Amiri" w:ascii="Amiri" w:hAnsi="Amiri"/>
          <w:color w:val="111111"/>
          <w:sz w:val="28"/>
          <w:szCs w:val="28"/>
          <w:rtl w:val="true"/>
          <w:lang w:bidi="ar-SA"/>
        </w:rPr>
        <w:t>»</w:t>
      </w:r>
      <w:r>
        <w:rPr>
          <w:rStyle w:val="FootnoteAnchor"/>
          <w:rtl w:val="true"/>
        </w:rPr>
        <w:footnoteReference w:id="475"/>
      </w:r>
      <w:r>
        <w:rPr>
          <w:rFonts w:ascii="IRNazanin" w:hAnsi="IRNazanin" w:eastAsia="IRNazanin"/>
          <w:color w:val="111111"/>
          <w:sz w:val="28"/>
          <w:sz w:val="28"/>
          <w:szCs w:val="28"/>
          <w:rtl w:val="true"/>
          <w:lang w:bidi="fa-IR"/>
        </w:rPr>
        <w:t xml:space="preserve">، فالکثیر من الاصولیین والمفسّرین یعتذرون عن أخذ المفهوم فیها بأنّ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القیود الغالبیة، ولذا لا مفهوم له، فإنّ اعتذارهم هذا دالّ علی</w:t>
      </w:r>
      <w:bookmarkStart w:id="679" w:name="pg16918_187540"/>
    </w:p>
    <w:p>
      <w:pPr>
        <w:pStyle w:val="BookText"/>
        <w:rPr/>
      </w:pPr>
      <w:bookmarkEnd w:id="679"/>
      <w:r>
        <w:rPr>
          <w:rFonts w:ascii="IRNazanin" w:hAnsi="IRNazanin" w:eastAsia="IRNazanin"/>
          <w:color w:val="111111"/>
          <w:sz w:val="28"/>
          <w:sz w:val="28"/>
          <w:szCs w:val="28"/>
          <w:rtl w:val="true"/>
          <w:lang w:bidi="fa-IR"/>
        </w:rPr>
        <w:t>کون المفهوم فی مثل هذه الموارد أمراً وجدانیاً وإرتکازیاً لهم، والمانع هو کون القید غالبیاً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فهم المفهوم فی هذه الموارد إنّما هو لوجود قرینة مقامیّة، وهی کون المتکلّم فی مقام الإحتراز عمّا لیس داخلًا فی الحکم، ومحلّ النزاع هو صورة فقد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 عدم تمامیّة أدلّة المثبتین، ولکن مع ذلک کلّه یستفاد من الوجه الثانی دلالة الوصف علی المفهوم غالباً لکون القید احترازیاً فی الغالب، فلابدّ حینئذٍ من ملاحظة المقامات والمناسبات، وأنّ خصوصیّة المقام هل تکون قرینة علی کون القید إحترازیاً أو لا؟ ولا یمکننا رفض مفهوم الوصف والقیود فی جمیع المقامات، بل فی کثیر منها له مفهوم</w:t>
      </w:r>
      <w:r>
        <w:rPr>
          <w:rFonts w:eastAsia="IRNazanin" w:cs="IRNazanin"/>
          <w:color w:val="111111"/>
          <w:sz w:val="28"/>
          <w:szCs w:val="28"/>
          <w:rtl w:val="true"/>
          <w:lang w:bidi="fa-IR"/>
        </w:rPr>
        <w:t>.</w:t>
      </w:r>
    </w:p>
    <w:p>
      <w:pPr>
        <w:pStyle w:val="Heading5"/>
        <w:numPr>
          <w:ilvl w:val="4"/>
          <w:numId w:val="1"/>
        </w:numPr>
        <w:rPr/>
      </w:pPr>
      <w:bookmarkStart w:id="680" w:name="__RefHeading___Toc96436_3244359995"/>
      <w:bookmarkStart w:id="681" w:name="_Toc258"/>
      <w:bookmarkEnd w:id="680"/>
      <w:r>
        <w:rPr/>
        <w:t>3</w:t>
      </w:r>
      <w:r>
        <w:rPr>
          <w:rtl w:val="true"/>
        </w:rPr>
        <w:t xml:space="preserve">. </w:t>
      </w:r>
      <w:r>
        <w:rPr>
          <w:rtl w:val="true"/>
        </w:rPr>
        <w:t>مفهوم الغایة</w:t>
      </w:r>
      <w:bookmarkEnd w:id="681"/>
    </w:p>
    <w:p>
      <w:pPr>
        <w:pStyle w:val="BookText"/>
        <w:rPr/>
      </w:pPr>
      <w:r>
        <w:rPr>
          <w:rFonts w:ascii="IRNazanin" w:hAnsi="IRNazanin" w:eastAsia="IRNazanin"/>
          <w:color w:val="111111"/>
          <w:sz w:val="28"/>
          <w:sz w:val="28"/>
          <w:szCs w:val="28"/>
          <w:rtl w:val="true"/>
          <w:lang w:bidi="fa-IR"/>
        </w:rPr>
        <w:t>والتعبیر عنه بمفهوم أداة الغایة أولی؛ لأنّ المفهوم علی فرض ثبوته یکون مدلول أداة الغایة لا نفسها، وللبحث هنا جهتان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جهة مفهومیّة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البحث فی أنّ الغایة سواء کانت داخلة فی المغیّا أم خارجة عنه هل تدلّ علی ارتفاع الحکم عمّا بعد الغایة بناءً علی دخولها فی المغیّا، أو عن نفس الغایة وبعدها بناءً علی خروجها عن المغیّا، أو لا؟</w:t>
      </w:r>
    </w:p>
    <w:p>
      <w:pPr>
        <w:pStyle w:val="BookText"/>
        <w:rPr/>
      </w:pPr>
      <w:r>
        <w:rPr>
          <w:rFonts w:ascii="IRNazanin" w:hAnsi="IRNazanin" w:eastAsia="IRNazanin"/>
          <w:color w:val="111111"/>
          <w:sz w:val="28"/>
          <w:sz w:val="28"/>
          <w:szCs w:val="28"/>
          <w:rtl w:val="true"/>
          <w:lang w:bidi="fa-IR"/>
        </w:rPr>
        <w:t>وجهة منطوقیّة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البحث فی نفس الغایة وأنّها هل هی داخلة فی المغیّا بحسب الحکم أو خارجة عنه؟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فالمشهور دلالة الأداة علی المفهوم </w:t>
      </w:r>
      <w:r>
        <w:rPr>
          <w:rStyle w:val="FootnoteAnchor"/>
          <w:rtl w:val="true"/>
        </w:rPr>
        <w:footnoteReference w:id="476"/>
      </w:r>
      <w:r>
        <w:rPr>
          <w:rFonts w:ascii="IRNazanin" w:hAnsi="IRNazanin" w:eastAsia="IRNazanin"/>
          <w:color w:val="111111"/>
          <w:sz w:val="28"/>
          <w:sz w:val="28"/>
          <w:szCs w:val="28"/>
          <w:rtl w:val="true"/>
          <w:lang w:bidi="fa-IR"/>
        </w:rPr>
        <w:t>، ولعلّه أشهر من مفهوم الشرط، ولکن ذهب السیّد المرتضی رحمه الله ومن تبعه إلی عدمه مطلقاً</w:t>
      </w:r>
      <w:r>
        <w:rPr>
          <w:rStyle w:val="FootnoteAnchor"/>
          <w:rtl w:val="true"/>
        </w:rPr>
        <w:footnoteReference w:id="477"/>
      </w:r>
      <w:r>
        <w:rPr>
          <w:rFonts w:ascii="IRNazanin" w:hAnsi="IRNazanin" w:eastAsia="IRNazanin"/>
          <w:color w:val="111111"/>
          <w:sz w:val="28"/>
          <w:sz w:val="28"/>
          <w:szCs w:val="28"/>
          <w:rtl w:val="true"/>
          <w:lang w:bidi="fa-IR"/>
        </w:rPr>
        <w:t>، وهنا قول ثالث</w:t>
      </w:r>
    </w:p>
    <w:p>
      <w:pPr>
        <w:pStyle w:val="BookText"/>
        <w:rPr/>
      </w:pPr>
      <w:r>
        <w:rPr>
          <w:rFonts w:ascii="IRNazanin" w:hAnsi="IRNazanin" w:eastAsia="IRNazanin"/>
          <w:color w:val="111111"/>
          <w:sz w:val="28"/>
          <w:sz w:val="28"/>
          <w:szCs w:val="28"/>
          <w:rtl w:val="true"/>
          <w:lang w:bidi="fa-IR"/>
        </w:rPr>
        <w:t>ذکره الأعلام ببیانات مختلفة، وحاصله التفصیل بین أن تکون الغایة قیداً للحکم وبین أن تکون قیداً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تدلّ علی الارتفاع عند حصولها لانسباق ذلک منها ولأنّه مقتضی تقییده بها؛ بحیث لو لم تدلّ علی الارتفاع لما کان ما جعل غایة له بغایة، 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فیه حلال وحرام، فهو لک حلال حتّی تعرف أنّه حرام</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فإنّه ظاهر فی أنّ الحلّیة محدودة بالعلم بالحرمة بحیث إذا حصل العلم بالحرمة لا یبقی موقع للحکم بالحلّیة فإنّه تناقض بحت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ما إذا کانت قیداً للموضوع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یدلّ علی أزید من أنّ تحدیده بذلک إنّما یکون بملاحظة تضییق دائرة موضوع الحکم الشخصی المذکور فی القضیّة، والدلالة علی أزید من ذلک تحتاج إلی إقامة دلیل من ثبوت الوضع لذلک أو ثبوت قرینة ملازمة لذلک، وتوهّم اللغویة مدفوع بما مرّ فی مفهوم الوصف من أنّ الفائدة غیر منحصرة فی الدلالة علی الارتفاع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ولکن قد مرّ منّا أنّ القید فی جمیع الموارد یرجع إلی الحکم إلّاأنّه تارةً یرجع إلیه بلا واسطة، واخری یرجع إلیه بواسطة الموضوع أو المتعلّق، وعلیه فالغایة دائماً تدلّ علی المفهوم لأنّ الظاهر رجوع القید إلی الحکم فی جمیع الموارد، وبالنتیجة تکون دالّة علی المفهوم ما لم تقم قرینة علی خلافه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دخول الغایة فی المغیّا بحسب الحکم وعدمه، ولا إشکال فی أنّ محلّ البحث فی المقام ما إذا کانت الغایة ذات أجزاء کالکوفة فی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سورة الإسراء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القرآن إلی سورة الإسراء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یتصوّر لها أجزاء مثل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القرآن من أوّله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خارج عن محلّ البحث، فإنّ آخر القرآن فی المثال لیس إلّاکلمة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ففیها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مطلقاً</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مطلقاً</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التفصیل بین ما إذا کانت الغایة من جنس المغیّا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وَأَیْدِیَکُمْ إِلَی الْمَرَافِقِ</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حیث إنّ المرافق من جنس الأیدی فهی داخلة فیه، وبین ما إذا لم تکن الغایة من جنس المغیّا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أَتِمُّوا الصِّیَامَ إِلَی اللَّیْلِ</w:t>
      </w:r>
      <w:r>
        <w:rPr>
          <w:rFonts w:eastAsia="Amiri" w:cs="Amiri" w:ascii="Amiri" w:hAnsi="Amiri"/>
          <w:color w:val="111111"/>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 xml:space="preserve">فهی خارجة عنه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کانت الغایة مدخولة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خارجة عن المغیّا، وإن کانت مدخولة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داخلة فیه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کونها داخلة فی المغیّا أو خارجة عنه علی نحو العموم بل المقامات مختلفة بحسب اختلاف القرائن الموجودة فیها</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هو القول الأخیر، من أنّه لا ظهور لأداة الغایة لا فی دخول الغایة فی المغیّا ولا فی خروجها عنه، فلابدّ من الأخذ بما تقتضیه القرینة، وهی مختلفة بحسب اختلاف المقامات، ومع عدم وجود قرینة یصیر الکلام مجملًا، وما قیل فی ترجیح سایر الأقوال لا یمکن الرکون إلیه؛ فإنّ بعضه من قبیل الوجوه العقلیّة ولا یصغی إلیها فی المباحث اللفظیّة وبعضه الآخر وإن کان من الاستظهارات العرفیّة</w:t>
      </w:r>
      <w:bookmarkStart w:id="682" w:name="pg16918_187543"/>
    </w:p>
    <w:p>
      <w:pPr>
        <w:pStyle w:val="BookText"/>
        <w:rPr/>
      </w:pPr>
      <w:bookmarkEnd w:id="682"/>
      <w:r>
        <w:rPr>
          <w:rFonts w:ascii="IRNazanin" w:hAnsi="IRNazanin" w:eastAsia="IRNazanin"/>
          <w:color w:val="111111"/>
          <w:sz w:val="28"/>
          <w:sz w:val="28"/>
          <w:szCs w:val="28"/>
          <w:rtl w:val="true"/>
          <w:lang w:bidi="fa-IR"/>
        </w:rPr>
        <w:t>المقبولة إلّاأنّه لایصار إلیها کدلیلٍ عامّ فی جمیع الاستعمالات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ما نشاهده فی المحاورات العرفیّة من السؤال عن أنّ الغایة داخلة فی المغیّا أو خارجة عنه؟ ففیما إذا قیل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القرآن إلی الجزء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توجد فی البین قرینة قإنهّ یتساءل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تجب قراءة الجزء العاشر أیضاً أو لا؟</w:t>
      </w:r>
    </w:p>
    <w:p>
      <w:pPr>
        <w:pStyle w:val="BookText"/>
        <w:rPr/>
      </w:pPr>
      <w:r>
        <w:rPr>
          <w:rFonts w:ascii="IRNazanin" w:hAnsi="IRNazanin" w:eastAsia="IRNazanin"/>
          <w:color w:val="111111"/>
          <w:sz w:val="28"/>
          <w:sz w:val="28"/>
          <w:szCs w:val="28"/>
          <w:rtl w:val="true"/>
          <w:lang w:bidi="fa-IR"/>
        </w:rPr>
        <w:t>ولا یخفی أنّ الأصل العملی فی صورة الشکّ وفقد القرینة هو البراءة لا الاستصحاب، لأنّ من أرکان الاستصحاب وحدة الموضوع، ولا إشکال فی أنّ ما بعد الغایة موضوع آخر غیر ما قبلها، ولا أقلّ فی أنّه کذلک فی أکثر الموارد</w:t>
      </w:r>
      <w:r>
        <w:rPr>
          <w:rFonts w:eastAsia="IRNazanin" w:cs="IRNazanin"/>
          <w:color w:val="111111"/>
          <w:sz w:val="28"/>
          <w:szCs w:val="28"/>
          <w:rtl w:val="true"/>
          <w:lang w:bidi="fa-IR"/>
        </w:rPr>
        <w:t>.</w:t>
      </w:r>
    </w:p>
    <w:p>
      <w:pPr>
        <w:pStyle w:val="Heading5"/>
        <w:numPr>
          <w:ilvl w:val="4"/>
          <w:numId w:val="1"/>
        </w:numPr>
        <w:rPr/>
      </w:pPr>
      <w:bookmarkStart w:id="683" w:name="__RefHeading___Toc96438_3244359995"/>
      <w:bookmarkStart w:id="684" w:name="_Toc259"/>
      <w:bookmarkEnd w:id="683"/>
      <w:r>
        <w:rPr/>
        <w:t>4</w:t>
      </w:r>
      <w:r>
        <w:rPr>
          <w:rtl w:val="true"/>
        </w:rPr>
        <w:t xml:space="preserve">. </w:t>
      </w:r>
      <w:r>
        <w:rPr>
          <w:rtl w:val="true"/>
        </w:rPr>
        <w:t>مفهوم الحصر</w:t>
      </w:r>
      <w:bookmarkEnd w:id="684"/>
    </w:p>
    <w:p>
      <w:pPr>
        <w:pStyle w:val="Heading6"/>
        <w:numPr>
          <w:ilvl w:val="5"/>
          <w:numId w:val="1"/>
        </w:numPr>
        <w:rPr/>
      </w:pPr>
      <w:bookmarkStart w:id="685" w:name="__RefHeading___Toc96440_3244359995"/>
      <w:bookmarkStart w:id="686" w:name="_Toc260"/>
      <w:bookmarkEnd w:id="685"/>
      <w:r>
        <w:rPr>
          <w:rtl w:val="true"/>
        </w:rPr>
        <w:t>اشارة</w:t>
      </w:r>
      <w:bookmarkEnd w:id="686"/>
    </w:p>
    <w:p>
      <w:pPr>
        <w:pStyle w:val="BookText"/>
        <w:rPr/>
      </w:pPr>
      <w:r>
        <w:rPr>
          <w:rFonts w:ascii="IRNazanin" w:hAnsi="IRNazanin" w:eastAsia="IRNazanin"/>
          <w:color w:val="111111"/>
          <w:sz w:val="28"/>
          <w:sz w:val="28"/>
          <w:szCs w:val="28"/>
          <w:rtl w:val="true"/>
          <w:lang w:bidi="fa-IR"/>
        </w:rPr>
        <w:t>إنّ للحصر أدوات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الاستثنائیة إذا وردت بعد النفی فقد وقع الاتفاق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نسب إلی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انتفاء الحکم الثابت للمستثنی منه عن المستثنی </w:t>
      </w:r>
      <w:r>
        <w:rPr>
          <w:rStyle w:val="FootnoteAnchor"/>
          <w:rtl w:val="true"/>
        </w:rPr>
        <w:footnoteReference w:id="487"/>
      </w:r>
      <w:r>
        <w:rPr>
          <w:rFonts w:ascii="IRNazanin" w:hAnsi="IRNazanin" w:eastAsia="IRNazanin"/>
          <w:color w:val="111111"/>
          <w:sz w:val="28"/>
          <w:sz w:val="28"/>
          <w:szCs w:val="28"/>
          <w:rtl w:val="true"/>
          <w:lang w:bidi="fa-IR"/>
        </w:rPr>
        <w:t xml:space="preserve">، والدلیل علیه هو التبادر، ففی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القوم إلّازیداً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المتبادر منه إخراج زید عن حکم المجی‌ء الثابت للقوم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ونسب الخلاف کما قلنا إلی أبی حنیفة، وحکی إنّه احتجّ لمذهبه بقوله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إلّابطهور</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إذ لو کان الاستثناء من النفی إثباتاً لزم کفایة الطهور فی صدق الصلاة، وإن کانت فاقدة لباقی الشرائط والأجزاء</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واجیب عنه بوجوه أحسنها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غفل عن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المثالین، حیث إنّها فیهما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ومفادهما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شرائط صحّة الصلاة فاتحة الکتاب</w:t>
      </w:r>
      <w:bookmarkStart w:id="687" w:name="pg16918_187544"/>
    </w:p>
    <w:p>
      <w:pPr>
        <w:pStyle w:val="BookText"/>
        <w:rPr/>
      </w:pPr>
      <w:bookmarkEnd w:id="687"/>
      <w:r>
        <w:rPr>
          <w:rFonts w:ascii="IRNazanin" w:hAnsi="IRNazanin" w:eastAsia="IRNazanin"/>
          <w:color w:val="111111"/>
          <w:sz w:val="28"/>
          <w:sz w:val="28"/>
          <w:szCs w:val="28"/>
          <w:rtl w:val="true"/>
          <w:lang w:bidi="fa-IR"/>
        </w:rPr>
        <w:t>والطهور، نعم لو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الباء کان لکلامه وجه مضافاً إلی أنّ الاستعمال أعمّ من الحقیقة، والمیزان فی تشخیص الحقیقة عن المجاز، هو التبادر ونحوه من الإطّراد وغیره، ولا إشکال فی أنّ التبادر فیما نحن فیه یقضی علی دلالة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دلالة کلمة إلّاالاستثنائیة علی الحصر هل هو من باب المفهوم أو المنطوق؟</w:t>
      </w:r>
    </w:p>
    <w:p>
      <w:pPr>
        <w:pStyle w:val="BookText"/>
        <w:rPr/>
      </w:pPr>
      <w:r>
        <w:rPr>
          <w:rFonts w:ascii="IRNazanin" w:hAnsi="IRNazanin" w:eastAsia="IRNazanin"/>
          <w:color w:val="111111"/>
          <w:sz w:val="28"/>
          <w:sz w:val="28"/>
          <w:szCs w:val="28"/>
          <w:rtl w:val="true"/>
          <w:lang w:bidi="fa-IR"/>
        </w:rPr>
        <w:t>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المفهوم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المنطوق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ما إذا قلنا بأنّ کلمة إلّابمعنی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داخلًا فی المنطوق، وبین ما إذا قلنا بأنّها حرف من الحروف الربطیة الّتی لیس لها معنی مستقلّ، فیکون مدلولها من قبیل المدالیل الالتزامیّة، ویکون داخلًا فی المفهوم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مدلول کلمة إلّاالاستثنائیة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بمعنی الفعل أو کانت من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من المنطوق، أمّا إذا کانت بمعنی الفعل فواضح، وأمّا إذا کانت حرفاً من الحروف فلأنّها حینئذٍ تکون من الحروف الإیجادیة یوجد بها معنی الاستثناء کحروف النداء وحروف التمنّی والترجّی الّتی یوجد بها مفهوم النداء والتمنّی والترجّی، وتصیر حینئذٍ بمنزلة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ویصیر مدلولها من قبیل المنطوق کما لا یخفی</w:t>
      </w:r>
      <w:r>
        <w:rPr>
          <w:rFonts w:eastAsia="IRNazanin" w:cs="IRNazanin"/>
          <w:color w:val="111111"/>
          <w:sz w:val="28"/>
          <w:szCs w:val="28"/>
          <w:rtl w:val="true"/>
          <w:lang w:bidi="fa-IR"/>
        </w:rPr>
        <w:t>.</w:t>
      </w:r>
    </w:p>
    <w:p>
      <w:pPr>
        <w:pStyle w:val="Heading6"/>
        <w:numPr>
          <w:ilvl w:val="5"/>
          <w:numId w:val="1"/>
        </w:numPr>
        <w:rPr/>
      </w:pPr>
      <w:bookmarkStart w:id="688" w:name="__RefHeading___Toc96442_3244359995"/>
      <w:bookmarkStart w:id="689" w:name="_Toc261"/>
      <w:bookmarkEnd w:id="688"/>
      <w:r>
        <w:rPr>
          <w:rtl w:val="true"/>
        </w:rPr>
        <w:t>تنبیه</w:t>
      </w:r>
      <w:r>
        <w:rPr>
          <w:rtl w:val="true"/>
        </w:rPr>
        <w:t>:</w:t>
      </w:r>
      <w:bookmarkEnd w:id="689"/>
    </w:p>
    <w:p>
      <w:pPr>
        <w:pStyle w:val="BookText"/>
        <w:rPr/>
      </w:pPr>
      <w:r>
        <w:rPr>
          <w:rFonts w:ascii="IRNazanin" w:hAnsi="IRNazanin" w:eastAsia="IRNazanin"/>
          <w:color w:val="111111"/>
          <w:sz w:val="28"/>
          <w:sz w:val="28"/>
          <w:szCs w:val="28"/>
          <w:rtl w:val="true"/>
          <w:lang w:bidi="fa-IR"/>
        </w:rPr>
        <w:t>قد یستدلّ لدلالة کلمة إلّاالاستثنائیة علی الحصر بقبول رسول اللَّه صلی الله علیه و آله إسلام من یشهد بأن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إنّه لولا دلالته علی حصر الالوهیّة للَّه‌تعالی لما کان</w:t>
      </w:r>
    </w:p>
    <w:p>
      <w:pPr>
        <w:pStyle w:val="BookText"/>
        <w:rPr/>
      </w:pPr>
      <w:r>
        <w:rPr>
          <w:rFonts w:ascii="Amiri" w:hAnsi="Amiri" w:eastAsia="Amiri" w:cs="Amiri"/>
          <w:color w:val="111111"/>
          <w:sz w:val="28"/>
          <w:sz w:val="28"/>
          <w:szCs w:val="28"/>
          <w:rtl w:val="true"/>
          <w:lang w:bidi="ar-SA"/>
        </w:rPr>
        <w:t xml:space="preserve">مفیداً لذلک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واستشکل علی ذلک بأنّ الاستعمال لیس دلیلًا علی الحقیقة ولا علی المجاز، ودلالة کلمة التوحید علی الحصر المزبور لعلّها من باب قیام قرینة حالیة أو مقامیّة علیه لا من باب وضع کلمة إلّاللحصر</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الوجدان شاهد علی أنّ الحصر فی هذه الجملة مفهوم من نفس کلمة إلّاومن حاقّها لا من القرینة فیکون الاستدلال بکلمة التوحید علی الحصر من قبیل الاستدلال بالتبادر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هاهنا إشکال آخر، وهو المهمّ فی المقام،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لابدّ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الجملة من خبر مقدّر، وهو 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کلّ واحد منهما لا تدلّ الجملة علی التوحید الکامل، لأنّها تدلّ علی التقدیر الأوّل علی مجرّد حصر الإله فی الباری تعالی، ولا تدلّ علی نفی إمکان الغیر، وعلی التقدیر الثانی وإن کانت دالّة علی نفی إمکان الشریک له تعالی حینئذٍ ولکنّها لا تدلّ علی وجوده تعالی فی الخارج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دفع الإشکال بوجهین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کلمة التوحید لیست ناظرة إلی توحید الذات وإثبات أصل وجود واجب الوجود، بل إنّها سیقت للتوحید الأفعالی ولنفی ما یعتقده عبدة الأوثان، ویشهد لذلک أنّ المنکرین الموجودین فی صدر الإسلام لم یکونوا مشرکین فی ذات الواجب تعالی، بل کانوا معتقدین بوحدة ذاته وخاطئین فی توحید عبادته، فکانوا یعبدون الأصنام لیقرّبوهم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زلفی، فکلمة الإخلاص حینئذٍ وردت لردّهم ولنفی استحقاق العبودیة عن غیره تعالی، فیکون معناها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مستحقّ</w:t>
      </w:r>
      <w:bookmarkStart w:id="690" w:name="pg16918_187546"/>
    </w:p>
    <w:p>
      <w:pPr>
        <w:pStyle w:val="BookText"/>
        <w:rPr/>
      </w:pPr>
      <w:bookmarkEnd w:id="690"/>
      <w:r>
        <w:rPr>
          <w:rFonts w:ascii="Amiri" w:hAnsi="Amiri" w:eastAsia="Amiri" w:cs="Amiri"/>
          <w:color w:val="111111"/>
          <w:sz w:val="28"/>
          <w:sz w:val="28"/>
          <w:szCs w:val="28"/>
          <w:rtl w:val="true"/>
          <w:lang w:bidi="ar-SA"/>
        </w:rPr>
        <w:t>للعبودیة إلّااللَّه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إشکال فی إمکان تقدیر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 فکما یجوز إتیان الخبر فی الظاهر متعدّداً، کذلک یجوز تقدیره متعدّداً فیما إذا قامت القرینة علیه، والمقام کذلک</w:t>
      </w:r>
      <w:r>
        <w:rPr>
          <w:rFonts w:eastAsia="IRNazanin" w:cs="IRNazanin"/>
          <w:color w:val="111111"/>
          <w:sz w:val="28"/>
          <w:szCs w:val="28"/>
          <w:rtl w:val="true"/>
          <w:lang w:bidi="fa-IR"/>
        </w:rPr>
        <w:t>.</w:t>
      </w:r>
    </w:p>
    <w:p>
      <w:pPr>
        <w:pStyle w:val="Heading6"/>
        <w:numPr>
          <w:ilvl w:val="5"/>
          <w:numId w:val="1"/>
        </w:numPr>
        <w:rPr/>
      </w:pPr>
      <w:bookmarkStart w:id="691" w:name="__RefHeading___Toc96444_3244359995"/>
      <w:bookmarkStart w:id="692" w:name="_Toc262"/>
      <w:bookmarkEnd w:id="691"/>
      <w:r>
        <w:rPr>
          <w:rtl w:val="true"/>
        </w:rPr>
        <w:t xml:space="preserve">ومن أداة الحصر کلمة </w:t>
      </w:r>
      <w:r>
        <w:rPr>
          <w:rtl w:val="true"/>
        </w:rPr>
        <w:t>«</w:t>
      </w:r>
      <w:r>
        <w:rPr>
          <w:rtl w:val="true"/>
        </w:rPr>
        <w:t>إنّما</w:t>
      </w:r>
      <w:r>
        <w:rPr>
          <w:rtl w:val="true"/>
        </w:rPr>
        <w:t>»</w:t>
      </w:r>
      <w:bookmarkEnd w:id="692"/>
    </w:p>
    <w:p>
      <w:pPr>
        <w:pStyle w:val="BookText"/>
        <w:rPr/>
      </w:pPr>
      <w:r>
        <w:rPr>
          <w:rFonts w:ascii="IRNazanin" w:hAnsi="IRNazanin" w:eastAsia="IRNazanin"/>
          <w:color w:val="111111"/>
          <w:sz w:val="28"/>
          <w:sz w:val="28"/>
          <w:szCs w:val="28"/>
          <w:rtl w:val="true"/>
          <w:lang w:bidi="fa-IR"/>
        </w:rPr>
        <w:t xml:space="preserve">وهی تدلّ علی الحصر عند کثیر من الاصولیین </w:t>
      </w:r>
      <w:r>
        <w:rPr>
          <w:rStyle w:val="FootnoteAnchor"/>
          <w:rtl w:val="true"/>
        </w:rPr>
        <w:footnoteReference w:id="496"/>
      </w:r>
      <w:r>
        <w:rPr>
          <w:rFonts w:ascii="IRNazanin" w:hAnsi="IRNazanin" w:eastAsia="IRNazanin"/>
          <w:color w:val="111111"/>
          <w:sz w:val="28"/>
          <w:sz w:val="28"/>
          <w:szCs w:val="28"/>
          <w:rtl w:val="true"/>
          <w:lang w:bidi="fa-IR"/>
        </w:rPr>
        <w:t>، واستدلّ له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تنصیص النحاة وأهل اللغة به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واستشکل فی التبادر بأنّه لا سبیل لنا إلیه؛ لأنّا لا نعرف المرادف لها فی عرفنا حتّی نستکشف منه ما هو المتبادر منها بخلاف ما هو بأیدینا من الألفاظ المترادفة لبعض الکلمات العربیة، کما فی أداة الشرط مثلًا نظیر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یوجد لها فی اللغة الفارسیة ما یرادفها وهو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التبادر لیس هو انسباق المعنی إلی أذهاننا فحسب، بل انسباق المعنی إلی أذهان أهل اللسان أیضاً یعتبر سبیلًا إلی العلم بالوضع، وهو موجود فی المقام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بمنحصر فی من تولّد علی ذلک اللسان، بل یعمّ کلّ من مارس تلک اللغة مدّة کثیرة، فإنّا قد نری أنّ کثیراً من الأعاجم ألّفوا کتباً نافعة فی العلوم العربیة من اللغة وغیرها</w:t>
      </w:r>
      <w:r>
        <w:rPr>
          <w:rFonts w:eastAsia="IRNazanin" w:cs="IRNazanin"/>
          <w:color w:val="111111"/>
          <w:sz w:val="28"/>
          <w:szCs w:val="28"/>
          <w:rtl w:val="true"/>
          <w:lang w:bidi="fa-IR"/>
        </w:rPr>
        <w:t>.</w:t>
      </w:r>
      <w:bookmarkStart w:id="693" w:name="pg16918_187547"/>
    </w:p>
    <w:p>
      <w:pPr>
        <w:pStyle w:val="BookText"/>
        <w:rPr/>
      </w:pPr>
      <w:bookmarkEnd w:id="693"/>
      <w:r>
        <w:rPr>
          <w:rFonts w:ascii="IRNazanin" w:hAnsi="IRNazanin" w:eastAsia="IRNazanin"/>
          <w:color w:val="111111"/>
          <w:sz w:val="28"/>
          <w:sz w:val="28"/>
          <w:szCs w:val="28"/>
          <w:rtl w:val="true"/>
          <w:lang w:bidi="fa-IR"/>
        </w:rPr>
        <w:t xml:space="preserve">ثمّ لا یخفی أنّ دلالة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الحصر أیضاً لیست بالمفهوم بل هی بالمنطوق؛ حیث إنّها بمنزلة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أنّه لا إشکال فی أنّ دلالتهما علی الحصر یکون من باب المنطوق کذلک ما تقوم مقامهما</w:t>
      </w:r>
      <w:r>
        <w:rPr>
          <w:rFonts w:eastAsia="IRNazanin" w:cs="IRNazanin"/>
          <w:color w:val="111111"/>
          <w:sz w:val="28"/>
          <w:szCs w:val="28"/>
          <w:rtl w:val="true"/>
          <w:lang w:bidi="fa-IR"/>
        </w:rPr>
        <w:t>.</w:t>
      </w:r>
    </w:p>
    <w:p>
      <w:pPr>
        <w:pStyle w:val="Heading6"/>
        <w:numPr>
          <w:ilvl w:val="5"/>
          <w:numId w:val="1"/>
        </w:numPr>
        <w:rPr/>
      </w:pPr>
      <w:bookmarkStart w:id="694" w:name="__RefHeading___Toc96446_3244359995"/>
      <w:bookmarkStart w:id="695" w:name="_Toc263"/>
      <w:bookmarkEnd w:id="694"/>
      <w:r>
        <w:rPr>
          <w:rtl w:val="true"/>
        </w:rPr>
        <w:t>ومنها تعریف المسند إلیه باللام</w:t>
      </w:r>
      <w:bookmarkEnd w:id="695"/>
    </w:p>
    <w:p>
      <w:pPr>
        <w:pStyle w:val="BookText"/>
        <w:rPr/>
      </w:pPr>
      <w:r>
        <w:rPr>
          <w:rFonts w:ascii="IRNazanin" w:hAnsi="IRNazanin" w:eastAsia="IRNazanin"/>
          <w:color w:val="111111"/>
          <w:sz w:val="28"/>
          <w:sz w:val="28"/>
          <w:szCs w:val="28"/>
          <w:rtl w:val="true"/>
          <w:lang w:bidi="fa-IR"/>
        </w:rPr>
        <w:t>نظیر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والحصر فیه إمّا یستفاد من مجرّد حمل الخبر علی المبتدأ أو من اللام، أمّا اللام فلا إشکال فی أنّها لم توضع للحصر بل تدلّ علیه فیما إذا کانت للاستغراق، وبما أنّها تارةً تکون للجنس، واخری للعهد، وثالثة للاستغراق فلا تدلّ علی الحصر إلّاإذا قامت قرینة علی أنّها للاستغراق، فیستفاد منه حینئذٍ حصر جمیع الأفراد فی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الحمل فیدلّ علی الحصر فیما إذا کان ذاتیاً وملاک الحمل الذاتی هو الوحدة فی المفهوم، فیدلّ حینئذٍ علی أنّ الموضوع منحصر فی المحمول ولا یکون أخصّ وأضیق منه، وأمّا إذا کان الحمل شائعاً صناعیاً فلا یدلّ علیه، لأنّ ملاک الحمل الشائع هو مجرّد الاتّحاد الخارجی ولو کان الموضوع أخصّ وأضیق من المحمول، ولا إشکال فی أنّ مجرّد حمل شی‌ء علی جنس أو ماهیة بالحمل الشائع لا یقتضی حصر ذلک الجنس به، وذلک لجواز إرادة قسم خاصّ أو فرد خاصّ منه، وحیث إنّ الحمل تارةً یکون ذاتیاً واخری صناعیاً وهو الغالب، فلا یدلّ علی الحصر إلّاإذا قامت قرینة علی أنّه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فمجرّد تعریف المسند إلیه باللام لا یدلّ علی الحصر، بل إنّما یدلّ علیه فیما إذا قامت القرینة إمّا علی کون اللام للاستغراق أو علی کون الحمل ذاتیاً ونتیجته عدم ثبوت المفهوم فی هذا القسم من الأداة</w:t>
      </w:r>
      <w:r>
        <w:rPr>
          <w:rFonts w:eastAsia="IRNazanin" w:cs="IRNazanin"/>
          <w:color w:val="111111"/>
          <w:sz w:val="28"/>
          <w:szCs w:val="28"/>
          <w:rtl w:val="true"/>
          <w:lang w:bidi="fa-IR"/>
        </w:rPr>
        <w:t>.</w:t>
      </w:r>
    </w:p>
    <w:p>
      <w:pPr>
        <w:pStyle w:val="Heading5"/>
        <w:numPr>
          <w:ilvl w:val="4"/>
          <w:numId w:val="1"/>
        </w:numPr>
        <w:rPr/>
      </w:pPr>
      <w:bookmarkStart w:id="696" w:name="__RefHeading___Toc96448_3244359995"/>
      <w:bookmarkStart w:id="697" w:name="_Toc264"/>
      <w:bookmarkEnd w:id="696"/>
      <w:r>
        <w:rPr/>
        <w:t>5</w:t>
      </w:r>
      <w:r>
        <w:rPr>
          <w:rtl w:val="true"/>
        </w:rPr>
        <w:t xml:space="preserve">. </w:t>
      </w:r>
      <w:r>
        <w:rPr>
          <w:rtl w:val="true"/>
        </w:rPr>
        <w:t>مفهوم اللقب</w:t>
      </w:r>
      <w:bookmarkEnd w:id="69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والمقصود منه فی المقام لیس هو اللقب المصطلح عند النحاة بل کلّ اسم وقع</w:t>
      </w:r>
      <w:bookmarkStart w:id="698" w:name="pg16918_187548"/>
    </w:p>
    <w:p>
      <w:pPr>
        <w:pStyle w:val="BookText"/>
        <w:rPr/>
      </w:pPr>
      <w:bookmarkEnd w:id="698"/>
      <w:r>
        <w:rPr>
          <w:rFonts w:ascii="IRNazanin" w:hAnsi="IRNazanin" w:eastAsia="IRNazanin"/>
          <w:color w:val="111111"/>
          <w:sz w:val="28"/>
          <w:sz w:val="28"/>
          <w:szCs w:val="28"/>
          <w:rtl w:val="true"/>
          <w:lang w:bidi="fa-IR"/>
        </w:rPr>
        <w:t xml:space="preserve">موضوعاً للحکم من دون أن یکون توصیفاً لشی‌ء؛ سواء کان مشتقّاً أو جامداً، وسواء کان نکرة أو معرفة، ولا مفهوم له عند الکلّ؛ لأنّه إنّما یثبت شیئاً لشی‌ء، ومن الواضح أنّ إثبات الشی‌ء لا یکون نفیاً لما عداه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 ربما یتوهّم ثبوت المفهوم له ببیان إنّه إذا قال المولی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 عرفاً عدم کفایة إکرام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مندفع بأنّ عدم کفایة عمرو فی المثال لیس من باب المفهوم، بل إنّما هو من باب عدم الإتیان بالمأمور به، لأنّ التکلیف تعلّق بإکرام زید لا عمرو، کما أنّه کذلک فی مثل الأوقاف والوصایا والنذور، فإنّ عدم شمول الحکم فیها لغیر المتعلّق لیس من باب المفهوم، بل لأنّ الوصیة مثلًا تحتاج إلی الإنشاء، والإنشاء تعلّق بمورد خاصّ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الواقف أو الموصی أو الناذر إنّما یکون فی مقام التحدید والإحتراز، وقد ذکرنا أنّه کلّ ما کان فی مقام الاحتراز من القیود والأوصاف والألقاب فله مفهوم</w:t>
      </w:r>
      <w:r>
        <w:rPr>
          <w:rFonts w:eastAsia="IRNazanin" w:cs="IRNazanin"/>
          <w:color w:val="111111"/>
          <w:sz w:val="28"/>
          <w:szCs w:val="28"/>
          <w:rtl w:val="true"/>
          <w:lang w:bidi="fa-IR"/>
        </w:rPr>
        <w:t>.</w:t>
      </w:r>
    </w:p>
    <w:p>
      <w:pPr>
        <w:pStyle w:val="Heading5"/>
        <w:numPr>
          <w:ilvl w:val="4"/>
          <w:numId w:val="1"/>
        </w:numPr>
        <w:rPr/>
      </w:pPr>
      <w:bookmarkStart w:id="699" w:name="__RefHeading___Toc96450_3244359995"/>
      <w:bookmarkStart w:id="700" w:name="_Toc265"/>
      <w:bookmarkEnd w:id="699"/>
      <w:r>
        <w:rPr/>
        <w:t>6</w:t>
      </w:r>
      <w:r>
        <w:rPr>
          <w:rtl w:val="true"/>
        </w:rPr>
        <w:t xml:space="preserve">. </w:t>
      </w:r>
      <w:r>
        <w:rPr>
          <w:rtl w:val="true"/>
        </w:rPr>
        <w:t>مفهوم العدد</w:t>
      </w:r>
      <w:bookmarkEnd w:id="70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علی أنّه لا مفهوم للعدد</w:t>
      </w:r>
      <w:r>
        <w:rPr>
          <w:rStyle w:val="FootnoteAnchor"/>
          <w:rtl w:val="true"/>
        </w:rPr>
        <w:footnoteReference w:id="500"/>
      </w:r>
      <w:r>
        <w:rPr>
          <w:rFonts w:ascii="Amiri" w:hAnsi="Amiri" w:eastAsia="Amiri" w:cs="Amiri"/>
          <w:color w:val="111111"/>
          <w:sz w:val="28"/>
          <w:sz w:val="28"/>
          <w:szCs w:val="28"/>
          <w:rtl w:val="true"/>
          <w:lang w:bidi="ar-SA"/>
        </w:rPr>
        <w:t>، والصحیح هو التفصیل بین ذکر العدد فی مقام التحدید وبین غیره، کما إذا کان مذکوراً للتکثیر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تَسْتَغْفِرْ لَهُمْ سَبْعِینَ مَرَّةً فَلَنْ یَغْفِرَ اللَّه لَهُمْ</w:t>
      </w:r>
      <w:r>
        <w:rPr>
          <w:rFonts w:eastAsia="Amiri" w:cs="Amiri" w:ascii="Amiri" w:hAnsi="Amiri"/>
          <w:color w:val="111111"/>
          <w:sz w:val="28"/>
          <w:szCs w:val="28"/>
          <w:rtl w:val="true"/>
          <w:lang w:bidi="ar-SA"/>
        </w:rPr>
        <w:t>»</w:t>
      </w:r>
      <w:r>
        <w:rPr>
          <w:rStyle w:val="FootnoteAnchor"/>
          <w:rtl w:val="true"/>
        </w:rPr>
        <w:footnoteReference w:id="501"/>
      </w:r>
      <w:r>
        <w:rPr>
          <w:rFonts w:ascii="IRNazanin" w:hAnsi="IRNazanin" w:eastAsia="IRNazanin"/>
          <w:color w:val="111111"/>
          <w:sz w:val="28"/>
          <w:sz w:val="28"/>
          <w:szCs w:val="28"/>
          <w:rtl w:val="true"/>
          <w:lang w:bidi="fa-IR"/>
        </w:rPr>
        <w:t>، وفی هذا القسم لا مفهوم للعدد بلا إشکال، بخلاف ما یکون</w:t>
      </w:r>
    </w:p>
    <w:p>
      <w:pPr>
        <w:pStyle w:val="BookText"/>
        <w:rPr/>
      </w:pPr>
      <w:r>
        <w:rPr>
          <w:rFonts w:ascii="IRNazanin" w:hAnsi="IRNazanin" w:eastAsia="IRNazanin"/>
          <w:color w:val="111111"/>
          <w:sz w:val="28"/>
          <w:sz w:val="28"/>
          <w:szCs w:val="28"/>
          <w:rtl w:val="true"/>
          <w:lang w:bidi="fa-IR"/>
        </w:rPr>
        <w:t>فی مقام التحدید، فإنّه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یکون للتحدید بالإضافة إلی جانب الأقلّ، فیدلّ حینئذٍ مفهوماً علی عدم جواز الاقتصار علی الأقلّ، وإن جاز التعدّی إلی الأکثر، نحو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ثلاثة أشبار ونصف طولها، فی ثلاثة أشبار ونصف عمقها، فی ثلاثة أشبار ونصف عرضها</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واخری یکون للتحدید بالإضافة إلی جانب الأکثر، فیدلّ حینئذٍ مفهوماً علی عدم جواز التعدّی عن ذلک العدد، وإن جاز الاقتصار علی الأقلّ، نظیر ما یدلّ علی جواز الفصل بین المصلّیین بمقدار خطوة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 یکون للتحدید بالإضافة إلی جانب الأقلّ والأکثر معاً، وهو نظیر الأعداد الواردة فی باب رکعات الصلاة وأشواط الطواف، فیدلّ حینئذٍ بالمفهوم علی عدم جواز الاقتصار علی الأقلّ وعدم جواز التعدّی إلی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دلالة العدد علی المفهوم وکونه فی مقام التحدید فی هذه الأقسام وإن کانت بقرینة الحال أو المقام أو بمناسبات الحکم والموضوع ولکن جلّ الأعداد الواردة فی لسان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فی مقام التحدید والقرائن المزبورة حینئذٍ تکون من قبیل القرائن العامّة، فینبغی للُاصولی أن یتکلّم فیها کما یتکلّم فی سائر مباحث الألفاظ، وإلیک نبذة من أمثلة هذا المبحث فی المسائل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أشبار 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منزوحات البئر سواء کان النزح واجباً أو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أیّام العادة فی جانب الأقلّ أو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الرکعات والسجدات والرکوعات والقنوت والتسبیحات فی الصلاة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النصاب فی الزکاة والخمس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من تقوم بهم الجمعة والجماعة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أیّام الإقامة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أیّام مع القصد وثلاثون یوماً متردّداً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الجلد فی أبواب الحدود والتعزیرات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ممّا ذکرنا أنّ للعدد مفهوماً إذا کان فی مقام التحدید کما أنّه کذلک فی أغلب الموارد فی القوانین الشرعیّة، بل فی القوانین العرفیّة أیضاً</w:t>
      </w:r>
      <w:r>
        <w:rPr>
          <w:rFonts w:eastAsia="IRNazanin" w:cs="IRNazanin"/>
          <w:color w:val="111111"/>
          <w:sz w:val="28"/>
          <w:szCs w:val="28"/>
          <w:rtl w:val="true"/>
          <w:lang w:bidi="fa-IR"/>
        </w:rPr>
        <w:t>.</w:t>
      </w:r>
      <w:bookmarkStart w:id="701" w:name="pg16918_187552"/>
    </w:p>
    <w:p>
      <w:pPr>
        <w:pStyle w:val="Heading3"/>
        <w:numPr>
          <w:ilvl w:val="2"/>
          <w:numId w:val="1"/>
        </w:numPr>
        <w:rPr/>
      </w:pPr>
      <w:bookmarkStart w:id="702" w:name="__RefHeading___Toc96452_3244359995"/>
      <w:bookmarkStart w:id="703" w:name="_Toc266"/>
      <w:bookmarkEnd w:id="701"/>
      <w:bookmarkEnd w:id="702"/>
      <w:r>
        <w:rPr>
          <w:rtl w:val="true"/>
        </w:rPr>
        <w:t>الفصل السابع</w:t>
      </w:r>
      <w:r>
        <w:rPr>
          <w:rtl w:val="true"/>
        </w:rPr>
        <w:t xml:space="preserve">: </w:t>
      </w:r>
      <w:r>
        <w:rPr>
          <w:rtl w:val="true"/>
        </w:rPr>
        <w:t>العامّ والخاصّ</w:t>
      </w:r>
      <w:bookmarkEnd w:id="703"/>
    </w:p>
    <w:p>
      <w:pPr>
        <w:pStyle w:val="Heading4"/>
        <w:numPr>
          <w:ilvl w:val="3"/>
          <w:numId w:val="1"/>
        </w:numPr>
        <w:rPr/>
      </w:pPr>
      <w:bookmarkStart w:id="704" w:name="__RefHeading___Toc96454_3244359995"/>
      <w:bookmarkStart w:id="705" w:name="_Toc267"/>
      <w:bookmarkEnd w:id="704"/>
      <w:r>
        <w:rPr>
          <w:rtl w:val="true"/>
        </w:rPr>
        <w:t>اشارة</w:t>
      </w:r>
      <w:bookmarkEnd w:id="705"/>
    </w:p>
    <w:p>
      <w:pPr>
        <w:pStyle w:val="BookText"/>
        <w:rPr/>
      </w:pPr>
      <w:r>
        <w:rPr>
          <w:rFonts w:ascii="IRNazanin" w:hAnsi="IRNazanin" w:eastAsia="IRNazanin"/>
          <w:color w:val="111111"/>
          <w:sz w:val="28"/>
          <w:sz w:val="28"/>
          <w:szCs w:val="28"/>
          <w:rtl w:val="true"/>
          <w:lang w:bidi="fa-IR"/>
        </w:rPr>
        <w:t>والبحث عمّا یرتبط بهما یتمّ فی ضمن امور</w:t>
      </w:r>
      <w:r>
        <w:rPr>
          <w:rFonts w:eastAsia="IRNazanin" w:cs="IRNazanin"/>
          <w:color w:val="111111"/>
          <w:sz w:val="28"/>
          <w:szCs w:val="28"/>
          <w:rtl w:val="true"/>
          <w:lang w:bidi="fa-IR"/>
        </w:rPr>
        <w:t>:</w:t>
      </w:r>
    </w:p>
    <w:p>
      <w:pPr>
        <w:pStyle w:val="Heading4"/>
        <w:numPr>
          <w:ilvl w:val="3"/>
          <w:numId w:val="1"/>
        </w:numPr>
        <w:rPr/>
      </w:pPr>
      <w:bookmarkStart w:id="706" w:name="__RefHeading___Toc96456_3244359995"/>
      <w:bookmarkStart w:id="707" w:name="_Toc268"/>
      <w:bookmarkEnd w:id="706"/>
      <w:r>
        <w:rPr/>
        <w:t>1</w:t>
      </w:r>
      <w:r>
        <w:rPr>
          <w:rtl w:val="true"/>
        </w:rPr>
        <w:t xml:space="preserve">. </w:t>
      </w:r>
      <w:r>
        <w:rPr>
          <w:rtl w:val="true"/>
        </w:rPr>
        <w:t>تعریف العامّ</w:t>
      </w:r>
      <w:bookmarkEnd w:id="707"/>
    </w:p>
    <w:p>
      <w:pPr>
        <w:pStyle w:val="BookText"/>
        <w:rPr/>
      </w:pPr>
      <w:r>
        <w:rPr>
          <w:rFonts w:ascii="IRNazanin" w:hAnsi="IRNazanin" w:eastAsia="IRNazanin"/>
          <w:color w:val="111111"/>
          <w:sz w:val="28"/>
          <w:sz w:val="28"/>
          <w:szCs w:val="28"/>
          <w:rtl w:val="true"/>
          <w:lang w:bidi="fa-IR"/>
        </w:rPr>
        <w:t>العموم لغةً وعرفاً بمعنی الشمول وقد ذکر للعامّ تعاریف عدیدة</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المستغرق لجمیع ما یصلح له بحسب وضع واحد، مبادی الوصول،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والمحصول للفخر الرازی،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الواحد الدالّ من جهة واحدة علی شیئین فصاعداً، المستصفی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الموضوع للدلالة علی استغراق أجزائه أو جزئیاته، زبدة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قوانین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تمام مصادیق مدخوله ممّا یصحّ أن ینطبق علیه، تهذیب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واستعمله بعض الاصولیین فی معناه اللغوی والعرفی، وفسّروه بما دلّ علی شمول الحکم لجمیع أفراد مدخوله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الظاهر عدم تمامیّته؛ لأنّ المطلق أیضاً یشمل جمیع أفراده بسبب جریان مقدّمات الحکمة، فلابدّ من تقیید الشمول فی المقام بقید یوجب إخراج المطلق</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ما کان شاملًا بمفاد اللفظ لکلّ فرد یصلح أن ینطبق علیه، أو ما یکون مستوعباً لجمیع الأفراد الّتی یصدق علیها بمفاد اللفظ</w:t>
      </w:r>
      <w:r>
        <w:rPr>
          <w:rFonts w:eastAsia="IRNazanin" w:cs="IRNazanin"/>
          <w:color w:val="111111"/>
          <w:sz w:val="28"/>
          <w:szCs w:val="28"/>
          <w:rtl w:val="true"/>
          <w:lang w:bidi="fa-IR"/>
        </w:rPr>
        <w:t>.</w:t>
      </w:r>
      <w:bookmarkStart w:id="708" w:name="pg16918_187553"/>
    </w:p>
    <w:p>
      <w:pPr>
        <w:pStyle w:val="Heading4"/>
        <w:numPr>
          <w:ilvl w:val="3"/>
          <w:numId w:val="1"/>
        </w:numPr>
        <w:rPr/>
      </w:pPr>
      <w:bookmarkStart w:id="709" w:name="__RefHeading___Toc96458_3244359995"/>
      <w:bookmarkStart w:id="710" w:name="_Toc269"/>
      <w:bookmarkEnd w:id="708"/>
      <w:bookmarkEnd w:id="709"/>
      <w:r>
        <w:rPr/>
        <w:t>2</w:t>
      </w:r>
      <w:r>
        <w:rPr>
          <w:rtl w:val="true"/>
        </w:rPr>
        <w:t xml:space="preserve">. </w:t>
      </w:r>
      <w:r>
        <w:rPr>
          <w:rtl w:val="true"/>
        </w:rPr>
        <w:t>أقسام العامّ</w:t>
      </w:r>
      <w:bookmarkEnd w:id="710"/>
    </w:p>
    <w:p>
      <w:pPr>
        <w:pStyle w:val="BookText"/>
        <w:rPr/>
      </w:pPr>
      <w:r>
        <w:rPr>
          <w:rFonts w:ascii="IRNazanin" w:hAnsi="IRNazanin" w:eastAsia="IRNazanin"/>
          <w:color w:val="111111"/>
          <w:sz w:val="28"/>
          <w:sz w:val="28"/>
          <w:szCs w:val="28"/>
          <w:rtl w:val="true"/>
          <w:lang w:bidi="fa-IR"/>
        </w:rPr>
        <w:t>قد ذکروا للعامّ أقساماً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الأفرادی؛ أی الاستغراقی، وهو ما یشمل جمیع الأفراد، ولکن یلاحظ فیه کلّ فرد موضوعاً مستقلًاّ للحکم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لوحظ فیه کلّ فرد من العالم موضوعاً مستقلًاّ لوجوب الإکرام، بحیث لا یرتبط فرد من أفراده فی تعلّق الحکم به بفرد آخر، فإذا أکرم بعض العلماء دون بعض فقد أطاع وعصی، لأنّ لکلّ فرد حکماً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المجموعی، وهو ما یلاحظ فیه مجموع الأفراد موضوعاً واحداً لحکم واحد بحیث یکون کلّ واحد من الأفراد جزءً من الموضوع، ویحصل الإمتثال بإتیان جمیع الأفراد، فلو أتی بها إلّاواحداً مثلًا لم یتحقّق الإمتثال، فیکون المجموع من حیث المجموع مشمولًا للحکم، فیکون له إطاعة واحدة وعصیان واحد، والإطاعة تحصل بالإتیان بالجمیع والعصیان یحصل بترک أیّ فرد من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البدلی، وهو ما یشمل جمیع الأفراد موضوعاً للحکم، ولکن علی البدل،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یحصل الإمتثال فیه بإکرام واحد منهم ویکون له إطاعة واحدة وعصیان واحد لکن الإطاعة تحصل بإتیان أیّ فرد من الأفراد</w:t>
      </w:r>
      <w:r>
        <w:rPr>
          <w:rFonts w:eastAsia="IRNazanin" w:cs="IRNazanin"/>
          <w:color w:val="111111"/>
          <w:sz w:val="28"/>
          <w:szCs w:val="28"/>
          <w:rtl w:val="true"/>
          <w:lang w:bidi="fa-IR"/>
        </w:rPr>
        <w:t>.</w:t>
      </w:r>
    </w:p>
    <w:p>
      <w:pPr>
        <w:pStyle w:val="Heading4"/>
        <w:numPr>
          <w:ilvl w:val="3"/>
          <w:numId w:val="1"/>
        </w:numPr>
        <w:rPr/>
      </w:pPr>
      <w:bookmarkStart w:id="711" w:name="__RefHeading___Toc96460_3244359995"/>
      <w:bookmarkStart w:id="712" w:name="_Toc270"/>
      <w:bookmarkEnd w:id="711"/>
      <w:r>
        <w:rPr/>
        <w:t>3</w:t>
      </w:r>
      <w:r>
        <w:rPr>
          <w:rtl w:val="true"/>
        </w:rPr>
        <w:t xml:space="preserve">. </w:t>
      </w:r>
      <w:r>
        <w:rPr>
          <w:rtl w:val="true"/>
        </w:rPr>
        <w:t>ألفاظ العموم</w:t>
      </w:r>
      <w:bookmarkEnd w:id="712"/>
    </w:p>
    <w:p>
      <w:pPr>
        <w:pStyle w:val="Heading5"/>
        <w:numPr>
          <w:ilvl w:val="4"/>
          <w:numId w:val="1"/>
        </w:numPr>
        <w:rPr/>
      </w:pPr>
      <w:bookmarkStart w:id="713" w:name="__RefHeading___Toc96462_3244359995"/>
      <w:bookmarkStart w:id="714" w:name="_Toc271"/>
      <w:bookmarkEnd w:id="713"/>
      <w:r>
        <w:rPr>
          <w:rtl w:val="true"/>
        </w:rPr>
        <w:t>اشارة</w:t>
      </w:r>
      <w:bookmarkEnd w:id="714"/>
    </w:p>
    <w:p>
      <w:pPr>
        <w:pStyle w:val="BookText"/>
        <w:rPr/>
      </w:pPr>
      <w:r>
        <w:rPr>
          <w:rFonts w:ascii="IRNazanin" w:hAnsi="IRNazanin" w:eastAsia="IRNazanin"/>
          <w:color w:val="111111"/>
          <w:sz w:val="28"/>
          <w:sz w:val="28"/>
          <w:szCs w:val="28"/>
          <w:rtl w:val="true"/>
          <w:lang w:bidi="fa-IR"/>
        </w:rPr>
        <w:t>ذهب المشهور إلی أنّ للعموم ألفاظاً تخصّه،</w:t>
      </w:r>
      <w:r>
        <w:rPr>
          <w:rStyle w:val="FootnoteAnchor"/>
          <w:rtl w:val="true"/>
        </w:rPr>
        <w:footnoteReference w:id="504"/>
      </w:r>
      <w:r>
        <w:rPr>
          <w:rFonts w:ascii="IRNazanin" w:hAnsi="IRNazanin" w:eastAsia="IRNazanin"/>
          <w:color w:val="111111"/>
          <w:sz w:val="28"/>
          <w:sz w:val="28"/>
          <w:szCs w:val="28"/>
          <w:rtl w:val="true"/>
          <w:lang w:bidi="fa-IR"/>
        </w:rPr>
        <w:t xml:space="preserve">ویستدلّ له بالتبادر فإنّ المتبادر من بعض الألفاظ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إلّاالعموم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ویویّده أیضاً حکمة الوضع، فإنّ الألفاظ وضعت لرفع حاجات الناس فی بیان مقاصدهم، فلابدّ من وضع ألفاظ تدلّ علی العموم؛ لأنّ من جملة تلک الحاجات الحاجة إلی لفظ یدلّ علی مقصود عامّ</w:t>
      </w:r>
      <w:r>
        <w:rPr>
          <w:rFonts w:eastAsia="IRNazanin" w:cs="IRNazanin"/>
          <w:color w:val="111111"/>
          <w:sz w:val="28"/>
          <w:szCs w:val="28"/>
          <w:rtl w:val="true"/>
          <w:lang w:bidi="fa-IR"/>
        </w:rPr>
        <w:t>.</w:t>
      </w:r>
      <w:bookmarkStart w:id="715" w:name="pg16918_187554"/>
    </w:p>
    <w:p>
      <w:pPr>
        <w:pStyle w:val="BookText"/>
        <w:rPr/>
      </w:pPr>
      <w:bookmarkEnd w:id="715"/>
      <w:r>
        <w:rPr>
          <w:rFonts w:ascii="IRNazanin" w:hAnsi="IRNazanin" w:eastAsia="IRNazanin"/>
          <w:color w:val="111111"/>
          <w:sz w:val="28"/>
          <w:sz w:val="28"/>
          <w:szCs w:val="28"/>
          <w:rtl w:val="true"/>
          <w:lang w:bidi="fa-IR"/>
        </w:rPr>
        <w:t>واستدلّ لوضع هذه الألفاظ للخاصّ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إرادة الخصوص ولو فی ضمن العموم معلومة بخلاف العموم؛ لاحتمال أن یکون المراد به الخصوص فقط، وجعل اللفظ حقیقة فی المعنی المتیقّن أولی من جعله حقیقة فی المعنی المحتمل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إرادة الخصوص متیقّناً لا یوجب اختصاص الوضع به، بل لابدّ فی وضع اللفظ من ملاحظة وجود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اشتهر التخصیص وشاع حتّی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إلّاوقد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إلحاقاً للقلیل بالعدم مبالغة، والظاهر یقتضی کون اللفظ حقیقة فی الأشهر الأغلب تقلیلًا للمجاز</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یتوقّف علی إیجاب التخصیص التجوّز وکون العامّ مجازاً فی الباقی وسیأتی خلافه، مضافاً إلی أنّه لو سلّمنا کونه مجازاً فلا محذور فی کثره المجاز إذا کان بالقرینة وکان تخصیص العامّ مورداً للحاجة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قد وقع النزاع فی دلالة عدّة من الألفاظ علی العموم وأهمّها أربعة</w:t>
      </w:r>
      <w:r>
        <w:rPr>
          <w:rFonts w:eastAsia="IRNazanin" w:cs="IRNazanin"/>
          <w:color w:val="111111"/>
          <w:sz w:val="28"/>
          <w:szCs w:val="28"/>
          <w:rtl w:val="true"/>
          <w:lang w:bidi="fa-IR"/>
        </w:rPr>
        <w:t>:</w:t>
      </w:r>
    </w:p>
    <w:p>
      <w:pPr>
        <w:pStyle w:val="Heading5"/>
        <w:numPr>
          <w:ilvl w:val="4"/>
          <w:numId w:val="1"/>
        </w:numPr>
        <w:rPr/>
      </w:pPr>
      <w:bookmarkStart w:id="716" w:name="__RefHeading___Toc96464_3244359995"/>
      <w:bookmarkStart w:id="717" w:name="_Toc272"/>
      <w:bookmarkEnd w:id="716"/>
      <w:r>
        <w:rPr>
          <w:rtl w:val="true"/>
        </w:rPr>
        <w:t>الأوّل</w:t>
      </w:r>
      <w:r>
        <w:rPr>
          <w:rtl w:val="true"/>
        </w:rPr>
        <w:t xml:space="preserve">: </w:t>
      </w:r>
      <w:r>
        <w:rPr>
          <w:rtl w:val="true"/>
        </w:rPr>
        <w:t>النکرة فی سیاق النفی أو النهی</w:t>
      </w:r>
      <w:bookmarkEnd w:id="717"/>
    </w:p>
    <w:p>
      <w:pPr>
        <w:pStyle w:val="BookText"/>
        <w:rPr/>
      </w:pPr>
      <w:r>
        <w:rPr>
          <w:rFonts w:ascii="IRNazanin" w:hAnsi="IRNazanin" w:eastAsia="IRNazanin"/>
          <w:color w:val="111111"/>
          <w:sz w:val="28"/>
          <w:sz w:val="28"/>
          <w:szCs w:val="28"/>
          <w:rtl w:val="true"/>
          <w:lang w:bidi="fa-IR"/>
        </w:rPr>
        <w:t xml:space="preserve">کقول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والمشهور دلالتها علی العموم </w:t>
      </w:r>
      <w:r>
        <w:rPr>
          <w:rStyle w:val="FootnoteAnchor"/>
          <w:rtl w:val="true"/>
        </w:rPr>
        <w:footnoteReference w:id="507"/>
      </w:r>
      <w:r>
        <w:rPr>
          <w:rFonts w:ascii="IRNazanin" w:hAnsi="IRNazanin" w:eastAsia="IRNazanin"/>
          <w:color w:val="111111"/>
          <w:sz w:val="28"/>
          <w:sz w:val="28"/>
          <w:szCs w:val="28"/>
          <w:rtl w:val="true"/>
          <w:lang w:bidi="fa-IR"/>
        </w:rPr>
        <w:t>، واستدلّ له بأنّ مدلول النکرة هو طبیعة الأفراد، ولا تنعدم الطبیعة إلّا بانعدام جمیع أفرادها</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واختار المحقّق الخراسانی رحمه الله أنّ دلالتها علی العموم موقوفة علی إحراز إطلاقها</w:t>
      </w:r>
      <w:bookmarkStart w:id="718" w:name="pg16918_187555"/>
    </w:p>
    <w:p>
      <w:pPr>
        <w:pStyle w:val="BookText"/>
        <w:rPr/>
      </w:pPr>
      <w:bookmarkEnd w:id="718"/>
      <w:r>
        <w:rPr>
          <w:rFonts w:ascii="IRNazanin" w:hAnsi="IRNazanin" w:eastAsia="IRNazanin"/>
          <w:color w:val="111111"/>
          <w:sz w:val="28"/>
          <w:sz w:val="28"/>
          <w:szCs w:val="28"/>
          <w:rtl w:val="true"/>
          <w:lang w:bidi="fa-IR"/>
        </w:rPr>
        <w:t>بمقدّمات الحکمة</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والأولی فی المقام إلفات النظر إلی ترکیب قول من سرق ماله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یبق منه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إلی قوله تعالی فی حکایة قول بلقیس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کُنْتُ قَاطِعَةً أمراً حَتّی تَشْهَدُونِ</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 xml:space="preserve">أو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المتبادر والمتفاهم العرفی کما یکون معتبراً فی المفردات فکذلک فی المرکّبات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والوجدان شاهد علی أنّ النکرة فی سیاق النفی أو النهی فی أمثال هذه التراکیب یتبادر منه العموم من دون حاجة إلی مقدّمات الحکمة</w:t>
      </w:r>
      <w:r>
        <w:rPr>
          <w:rFonts w:eastAsia="IRNazanin" w:cs="IRNazanin"/>
          <w:color w:val="111111"/>
          <w:sz w:val="28"/>
          <w:szCs w:val="28"/>
          <w:rtl w:val="true"/>
          <w:lang w:bidi="fa-IR"/>
        </w:rPr>
        <w:t>.</w:t>
      </w:r>
    </w:p>
    <w:p>
      <w:pPr>
        <w:pStyle w:val="Heading5"/>
        <w:numPr>
          <w:ilvl w:val="4"/>
          <w:numId w:val="1"/>
        </w:numPr>
        <w:rPr/>
      </w:pPr>
      <w:bookmarkStart w:id="719" w:name="__RefHeading___Toc96466_3244359995"/>
      <w:bookmarkStart w:id="720" w:name="_Toc273"/>
      <w:bookmarkEnd w:id="719"/>
      <w:r>
        <w:rPr>
          <w:rtl w:val="true"/>
        </w:rPr>
        <w:t>الثانی</w:t>
      </w:r>
      <w:r>
        <w:rPr>
          <w:rtl w:val="true"/>
        </w:rPr>
        <w:t xml:space="preserve">: </w:t>
      </w:r>
      <w:r>
        <w:rPr>
          <w:rtl w:val="true"/>
        </w:rPr>
        <w:t>لفظة کلّ وما شابهها</w:t>
      </w:r>
      <w:bookmarkEnd w:id="720"/>
    </w:p>
    <w:p>
      <w:pPr>
        <w:pStyle w:val="BookText"/>
        <w:rPr/>
      </w:pPr>
      <w:r>
        <w:rPr>
          <w:rFonts w:ascii="IRNazanin" w:hAnsi="IRNazanin" w:eastAsia="IRNazanin"/>
          <w:color w:val="111111"/>
          <w:sz w:val="28"/>
          <w:sz w:val="28"/>
          <w:szCs w:val="28"/>
          <w:rtl w:val="true"/>
          <w:lang w:bidi="fa-IR"/>
        </w:rPr>
        <w:t>وقد یقال فیها أیضاً بأنّ دلالتها علی العموم واستیعاب المدخول یتمّ بمعونة مقدّمات الحکمة المحرزة بها سعة المدخول وإرساله، واستشهد لذلک بعدم دلالتها فی صورة تقیید مدخولها علی أزید من المقدار المقیّد فقولک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رجل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إکرام الرجال العدول فقط لا مطلق الرجال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بأنّها ظاهرة فی العموم من دون حاجة إلی مقدّمات الحکمة وهو الصحیح 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شاکلها تدلّ بنفسها علی إطلاق مدخولها وعدم أخذ خصوصیة فیه ولا یتوقّف ذلک علی إجراء المقدّمات، ففی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سرایة الحکم إلی جمیع من ینطبق علیه الرجل من دون فرق بین الغنی والفقیر والعالم والجاهل وما شاکل ذلک، فتکون هذه اللفظة بیان علی عدم أخذ خصوصیة وقید فی مدخولها</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bookmarkStart w:id="721" w:name="pg16918_187556"/>
    </w:p>
    <w:p>
      <w:pPr>
        <w:pStyle w:val="Heading5"/>
        <w:numPr>
          <w:ilvl w:val="4"/>
          <w:numId w:val="1"/>
        </w:numPr>
        <w:rPr/>
      </w:pPr>
      <w:bookmarkStart w:id="722" w:name="__RefHeading___Toc96468_3244359995"/>
      <w:bookmarkStart w:id="723" w:name="_Toc274"/>
      <w:bookmarkEnd w:id="721"/>
      <w:bookmarkEnd w:id="722"/>
      <w:r>
        <w:rPr>
          <w:rtl w:val="true"/>
        </w:rPr>
        <w:t>الثالث</w:t>
      </w:r>
      <w:r>
        <w:rPr>
          <w:rtl w:val="true"/>
        </w:rPr>
        <w:t xml:space="preserve">: </w:t>
      </w:r>
      <w:r>
        <w:rPr>
          <w:rtl w:val="true"/>
        </w:rPr>
        <w:t>الجمع المحلّی باللام</w:t>
      </w:r>
      <w:bookmarkEnd w:id="723"/>
    </w:p>
    <w:p>
      <w:pPr>
        <w:pStyle w:val="BookText"/>
        <w:rPr/>
      </w:pPr>
      <w:r>
        <w:rPr>
          <w:rFonts w:ascii="IRNazanin" w:hAnsi="IRNazanin" w:eastAsia="IRNazanin"/>
          <w:color w:val="111111"/>
          <w:sz w:val="28"/>
          <w:sz w:val="28"/>
          <w:szCs w:val="28"/>
          <w:rtl w:val="true"/>
          <w:lang w:bidi="fa-IR"/>
        </w:rPr>
        <w:t>واستدلّ لدلالته علی العموم بالتبادر</w:t>
      </w:r>
      <w:r>
        <w:rPr>
          <w:rStyle w:val="FootnoteAnchor"/>
          <w:rtl w:val="true"/>
        </w:rPr>
        <w:footnoteReference w:id="513"/>
      </w:r>
      <w:r>
        <w:rPr>
          <w:rFonts w:ascii="IRNazanin" w:hAnsi="IRNazanin" w:eastAsia="IRNazanin"/>
          <w:color w:val="111111"/>
          <w:sz w:val="28"/>
          <w:sz w:val="28"/>
          <w:szCs w:val="28"/>
          <w:rtl w:val="true"/>
          <w:lang w:bidi="fa-IR"/>
        </w:rPr>
        <w:t>، وهو تامّ فالمتبادر منه فی صورة فقد القرینة هو العموم ولا حاجة فیه إلی إجراء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إشکال فی إرادة الجنس منه بمؤونة القرینة فی کثیر من الموارد، کقولنا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العلماء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شارک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تناسب الحکم والموضوع فیها یقتضی أن لا یکون السؤال عن جمیع العلماء ومشارکة جمیع الأخیار</w:t>
      </w:r>
      <w:r>
        <w:rPr>
          <w:rFonts w:eastAsia="IRNazanin" w:cs="IRNazanin"/>
          <w:color w:val="111111"/>
          <w:sz w:val="28"/>
          <w:szCs w:val="28"/>
          <w:rtl w:val="true"/>
          <w:lang w:bidi="fa-IR"/>
        </w:rPr>
        <w:t>.</w:t>
      </w:r>
    </w:p>
    <w:p>
      <w:pPr>
        <w:pStyle w:val="Heading5"/>
        <w:numPr>
          <w:ilvl w:val="4"/>
          <w:numId w:val="1"/>
        </w:numPr>
        <w:rPr/>
      </w:pPr>
      <w:bookmarkStart w:id="724" w:name="__RefHeading___Toc96470_3244359995"/>
      <w:bookmarkStart w:id="725" w:name="_Toc275"/>
      <w:bookmarkEnd w:id="724"/>
      <w:r>
        <w:rPr>
          <w:rtl w:val="true"/>
        </w:rPr>
        <w:t>الرابع</w:t>
      </w:r>
      <w:r>
        <w:rPr>
          <w:rtl w:val="true"/>
        </w:rPr>
        <w:t xml:space="preserve">: </w:t>
      </w:r>
      <w:r>
        <w:rPr>
          <w:rtl w:val="true"/>
        </w:rPr>
        <w:t>المفرد المحلّی باللام</w:t>
      </w:r>
      <w:bookmarkEnd w:id="725"/>
    </w:p>
    <w:p>
      <w:pPr>
        <w:pStyle w:val="BookText"/>
        <w:rPr/>
      </w:pPr>
      <w:r>
        <w:rPr>
          <w:rFonts w:ascii="IRNazanin" w:hAnsi="IRNazanin" w:eastAsia="IRNazanin"/>
          <w:color w:val="111111"/>
          <w:sz w:val="28"/>
          <w:sz w:val="28"/>
          <w:szCs w:val="28"/>
          <w:rtl w:val="true"/>
          <w:lang w:bidi="fa-IR"/>
        </w:rPr>
        <w:t xml:space="preserve">قیل بدلالته علی العموم </w:t>
      </w:r>
      <w:r>
        <w:rPr>
          <w:rStyle w:val="FootnoteAnchor"/>
          <w:rtl w:val="true"/>
        </w:rPr>
        <w:footnoteReference w:id="514"/>
      </w:r>
      <w:r>
        <w:rPr>
          <w:rFonts w:ascii="Amiri" w:hAnsi="Amiri" w:eastAsia="Amiri" w:cs="Amiri"/>
          <w:color w:val="111111"/>
          <w:sz w:val="28"/>
          <w:sz w:val="28"/>
          <w:szCs w:val="28"/>
          <w:rtl w:val="true"/>
          <w:lang w:bidi="ar-SA"/>
        </w:rPr>
        <w:t>، ویستدلّ لها باتّصافه أحیاناً بالجمع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أهلک الناس الدرهم البیض والدینار الصفر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وبوقوعه مستثنی منه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لَفِی خُسْرٍ إِلّا الَّذِینَ آمَنُوا</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التوصیف بالجمع فی موارد معدودة ووقوعه مستثنی منه کذلک لا ینافی عدم کونه حقیقة فی الجمع؛ لأنّ الاستعمال أعمّ من الحقیقة والمجاز، وعلیه فلا یستفاد من المفرد المحلّی باللام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وجود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w:t>
      </w:r>
      <w:r>
        <w:rPr>
          <w:rFonts w:eastAsia="IRNazanin" w:cs="IRNazanin"/>
          <w:color w:val="111111"/>
          <w:sz w:val="28"/>
          <w:szCs w:val="28"/>
          <w:rtl w:val="true"/>
          <w:lang w:bidi="fa-IR"/>
        </w:rPr>
        <w:t>.</w:t>
      </w:r>
    </w:p>
    <w:p>
      <w:pPr>
        <w:pStyle w:val="Heading4"/>
        <w:numPr>
          <w:ilvl w:val="3"/>
          <w:numId w:val="1"/>
        </w:numPr>
        <w:rPr/>
      </w:pPr>
      <w:bookmarkStart w:id="726" w:name="__RefHeading___Toc96472_3244359995"/>
      <w:bookmarkStart w:id="727" w:name="_Toc276"/>
      <w:bookmarkEnd w:id="726"/>
      <w:r>
        <w:rPr/>
        <w:t>4</w:t>
      </w:r>
      <w:r>
        <w:rPr>
          <w:rtl w:val="true"/>
        </w:rPr>
        <w:t xml:space="preserve">. </w:t>
      </w:r>
      <w:r>
        <w:rPr>
          <w:rtl w:val="true"/>
        </w:rPr>
        <w:t>حجّیة العامّ المخصّص فی الباقی</w:t>
      </w:r>
      <w:bookmarkEnd w:id="727"/>
    </w:p>
    <w:p>
      <w:pPr>
        <w:pStyle w:val="BookText"/>
        <w:rPr/>
      </w:pPr>
      <w:r>
        <w:rPr>
          <w:rFonts w:ascii="IRNazanin" w:hAnsi="IRNazanin" w:eastAsia="IRNazanin"/>
          <w:color w:val="111111"/>
          <w:sz w:val="28"/>
          <w:sz w:val="28"/>
          <w:szCs w:val="28"/>
          <w:rtl w:val="true"/>
          <w:lang w:bidi="fa-IR"/>
        </w:rPr>
        <w:t>وهی مسألة یکثر الابتلاء بها، لأنّ العمومات غالباً مخصّصة مع أنّ رحی الاجتهاد تدور علی العمل بها، فیشکل الأمر لو لم یکن العامّ المخصّص حجّة فی الباقی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وأهمّ الأقوال فی المسألة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مشهور الفریقین وهو کون العامّ حجّة فی الباقی مطلقاً سواء کان المخصّص متّصلًا أم منفصلًا</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الحجّیة مطلقاً کما نسب إلی بعض العامّة</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المتّصل والمنفصل فیکون حجّة فی الأوّل دون الثانی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المسألة مبتنیة علی مسألة اخری لابدّ من تقدیمها، وهی أنّ العامّ هل هو حقیقة فی الباقی أو لا؟ وقد ذکر فیها أقوال کثیرة</w:t>
      </w:r>
      <w:r>
        <w:rPr>
          <w:rStyle w:val="FootnoteAnchor"/>
          <w:rtl w:val="true"/>
        </w:rPr>
        <w:footnoteReference w:id="519"/>
      </w:r>
      <w:r>
        <w:rPr>
          <w:rFonts w:ascii="Amiri" w:hAnsi="Amiri" w:eastAsia="Amiri" w:cs="Amiri"/>
          <w:color w:val="111111"/>
          <w:sz w:val="28"/>
          <w:sz w:val="28"/>
          <w:szCs w:val="28"/>
          <w:rtl w:val="true"/>
          <w:lang w:bidi="ar-SA"/>
        </w:rPr>
        <w:t>، والمهمّ ثلاثة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بالحقیقة مطلقاً</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والقول بالمجاز مطلقاً</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والقول بالتفصیل بین المتّصل والمنفصل وکونه حقیقة فی‌الأوّل ومجازاً فی الثانی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والأوّل هو ما ذهب إلیه جمع من المتأخّرین، واستدلّ له بأنّ التخصیص یکون فی الإرادة الجدّیة لا الإرادة الاستعمالیّة ولا إشکال فی أنّ المدار فی الحقیقة والمجاز هی الإرادة الاستعمالیّة</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للمتکلّم فی کلّ کلام إرادتین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جدّیة وإرادة استعمالیّة، وهما تارةً تتوافقان واخری تتخالفان ویستکشف هذا من الکنایات فی الجمل الإخباریّة، ومن الأوامر الامتحانیّة فی الجمل الإنشائیّة؛ حیث إنّ فی کلّ واحد منهما توجد إرادتان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استعمالیّة وإرادة جدّیة، ففی الکنایات إذا قیل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بوضوح وجود إرادتین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کلّ واحد من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فی معناه الحقیقی بلا شکّ، لکنّه لم یرده المتکلّم جدّاً کما هو المفروض، بل المراد الجدّی منهما هو سخاوة زید، فالإرادة الاستعمالیّة تعلّقت بما وضع له اللفظ واستعمل فیه، والإرادة الجدّیة تعلّقت بشی‌ء آخر خارج عن دائرة الوضع والاستعمال، وهو سخاوة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فی الأوامر الامتحانیّة، لأنّ الطلب الظاهری فیها تعلّق بذبح إسماعیل علیه السلام مثلًا، لکن المراد الجدّی فیها هو امتحان 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هاهنا ثلاث نکات لابدّ من التوجّه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الأوّلی العقلائی اللفظی فی باب الألفاظ هو تطابق الإرادتین وقد سمّی هذا بأصالة الجدّ، ولا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تختلف الإرادتان إلّالنکتة وداعٍ یدعو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المدار فی الحقیقة والمجاز هو الإرادة الاستعمالیّة لا الجدّیة، ولذلک یعدّ الاستعمال فی الکنایات استعمالًا حقیقیاً، لأنّ الإرادة الاستعمالیّة فیها تتعلّق بالمعنی الموضوع له کما مرّ، والتصرّف إنّما وقع فی الإرادة الجدّیة، وهذا هو الفرق بینها وبین المجازات بناءً علی مذاق المشهور من أنّ المجاز إنّما هو فی الکلمة لا فی الأمر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ذهب المحقّق الخراسانی رحمه الله إلی کون العامّ حقیقة فی الباقی مطلقاً سواء کان المخصّص متّصلًا أم منفصلًا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فی المتّصل فاستدلّ بأنّه إذا کان المخصّص متّصلًا بالعامّ تستعمل أداة العموم</w:t>
      </w:r>
    </w:p>
    <w:p>
      <w:pPr>
        <w:pStyle w:val="BookText"/>
        <w:rPr/>
      </w:pPr>
      <w:r>
        <w:rPr>
          <w:rFonts w:ascii="IRNazanin" w:hAnsi="IRNazanin" w:eastAsia="IRNazanin"/>
          <w:color w:val="111111"/>
          <w:sz w:val="28"/>
          <w:sz w:val="28"/>
          <w:szCs w:val="28"/>
          <w:rtl w:val="true"/>
          <w:lang w:bidi="fa-IR"/>
        </w:rPr>
        <w:t>حینئذٍ فیما هو معناها الحقیقی من استغراق تمام أفراد المدخول، غایة الأمر إنّ دائرة المدخول مضیّقة من جهة التقیید، فلا یتحقّق إخراج بالنسبة إلی أداة العامّ لکی نبحث فی أنّه هل هو حقیقة فی الباقی أو لا؟</w:t>
      </w:r>
    </w:p>
    <w:p>
      <w:pPr>
        <w:pStyle w:val="BookText"/>
        <w:rPr/>
      </w:pPr>
      <w:r>
        <w:rPr>
          <w:rFonts w:ascii="IRNazanin" w:hAnsi="IRNazanin" w:eastAsia="IRNazanin"/>
          <w:color w:val="111111"/>
          <w:sz w:val="28"/>
          <w:sz w:val="28"/>
          <w:szCs w:val="28"/>
          <w:rtl w:val="true"/>
          <w:lang w:bidi="fa-IR"/>
        </w:rPr>
        <w:t>وأمّا فی المنفصل فاستدلّ بأنّه وإن تحقّق فیه الإخراج بالنسبة إلی أداة العامّ إلّا أنّ ظهورها فی العموم یکون دلیلًا علی استعمالها فی العموم لا فی الخصوص، أی تعلّقت الإرادة الاستعمالیّة بالعموم، ویکون الخاصّ قرینة علی إرادة الخصوص لبّاً وجدّاً، وما تعلّقت بالخصوص إنّما هو الإرادة الجدّیة فقط، والمدار فی الحقیقة والمجاز هو الإرادة الاستعمالیّة لا الجدّیة</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یلاحظ علی ما ذکره من الفرق بین المتّصل والمنفصل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خاصّ بالوصف وما یشبهه من القیود الراجعة إلی الموضوع، مع أنّ التخصیص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تخصیص متّصل وهو قید للحکم لا للموضوع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کذلک فما هو الحکم فی العامّ المخصّص بکلمة إلّا؟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بینه وبین التخصیص بالمنفصل، فکما أنّ التخصیص بالمنفصل إخراج عن خصوص الإرادة الجدّیة، والعامّ فیه باقٍ علی عمومه بالنسبة إلی الإرادة الاستعمالیّة فکذلک فی التخصیص المتّصل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القید راجعاً إلی خصوص الإرادة الجدّیة، والعامّ استعمل فی عمومه واستغراقه فلماذا لم یبیّن المولی مراده الجدّی ابتداءً؟ وما هو الداعی فی استعماله العامّ فیما لم یرده جدّاً؟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یتصوّر لذلک فوائد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فی مقام ضرب قاعدة للتمسّک بها فی الموارد المشکوکة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بیان الباقی بدون الاستثناء لعدم عنوان أو اسم له، کأن لا یکون للقوم غیر زید عنوان یختصّ بهم کی یرد الحکم علیه، فلابدّ حینئذٍ من</w:t>
      </w:r>
    </w:p>
    <w:p>
      <w:pPr>
        <w:pStyle w:val="BookText"/>
        <w:rPr/>
      </w:pPr>
      <w:r>
        <w:rPr>
          <w:rFonts w:ascii="IRNazanin" w:hAnsi="IRNazanin" w:eastAsia="IRNazanin"/>
          <w:color w:val="111111"/>
          <w:sz w:val="28"/>
          <w:sz w:val="28"/>
          <w:szCs w:val="28"/>
          <w:rtl w:val="true"/>
          <w:lang w:bidi="fa-IR"/>
        </w:rPr>
        <w:t xml:space="preserve">استثناء القوم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التأکید وبیان الشأن الذی تقتضیه البلاغة أحیاناً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فِیهِمْ أَلْفَ سَنَةٍ إِلَّا خَمْسِینَ عَاماً</w:t>
      </w:r>
      <w:r>
        <w:rPr>
          <w:rFonts w:eastAsia="Amiri" w:cs="Amiri" w:ascii="Amiri" w:hAnsi="Amiri"/>
          <w:color w:val="111111"/>
          <w:sz w:val="28"/>
          <w:szCs w:val="28"/>
          <w:rtl w:val="true"/>
          <w:lang w:bidi="ar-SA"/>
        </w:rPr>
        <w:t>»</w:t>
      </w:r>
      <w:r>
        <w:rPr>
          <w:rStyle w:val="FootnoteAnchor"/>
          <w:rtl w:val="true"/>
        </w:rPr>
        <w:footnoteReference w:id="525"/>
      </w:r>
      <w:r>
        <w:rPr>
          <w:rFonts w:ascii="IRNazanin" w:hAnsi="IRNazanin" w:eastAsia="IRNazanin"/>
          <w:color w:val="111111"/>
          <w:sz w:val="28"/>
          <w:sz w:val="28"/>
          <w:szCs w:val="28"/>
          <w:rtl w:val="true"/>
          <w:lang w:bidi="fa-IR"/>
        </w:rPr>
        <w:t xml:space="preserve">فالفرق بین هذا التأکید الذی یوجد فی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فلبث فیهم تسعمائة وخمسین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البحث عن أنّ العامّ هل هو مجاز فی الباقی أو حقیقة فیه وأمّا المسألة الأصلیة وهی أنّ العامّ هل هو حجّة فی الباقی أو لا؟ فنقول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بناءً علی مبنی المحقّق الخراسانی رحمه الله من رجوع التخصیص فی المتّصل إلی تقیید المدخول ومن تعلّقه بخصوص الإرادة الاستعمالیّة فی المنفصل فالأمر واضح، لأنّه لا إشکال حینئذٍ فی تطابق الإرادتین بالنسبة إلی غیر أفراد المخصّص فیکون العامّ حجّة فیها، وکذلک بناءً علی ما اخترناه من بقاء الإرادة الجدّیة علی حالها فی کلا القسمین وتخصیص خصوص الإرادة الاستعمالیّة، حیث إنّ العامّ علی المبنیین لیس مجازاً فی الباقی، فلا إشکال حینئذٍ فی کونه حجّة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قلنا بکونه مجازاً فیه فقال بعض أیضاً بأن العامّ حجّة فی الباقی، لإنّ الباقی أقرب المجازات، فیحمل اللفظ علیه إذا علم أنّه لم یستعمل فی معناه الحقیقی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عنه بأنّ مجرّد الأقربیة إلی المعنی الحقیقی لا یوجب تعیّناً للمجاز الأقرب </w:t>
      </w:r>
      <w:r>
        <w:rPr>
          <w:rStyle w:val="FootnoteAnchor"/>
          <w:rtl w:val="true"/>
        </w:rPr>
        <w:footnoteReference w:id="527"/>
      </w:r>
      <w:r>
        <w:rPr>
          <w:rFonts w:ascii="IRNazanin" w:hAnsi="IRNazanin" w:eastAsia="IRNazanin"/>
          <w:color w:val="111111"/>
          <w:sz w:val="28"/>
          <w:sz w:val="28"/>
          <w:szCs w:val="28"/>
          <w:rtl w:val="true"/>
          <w:lang w:bidi="fa-IR"/>
        </w:rPr>
        <w:t>، مدفوع بأنّ المراد من الأقربیة الأقربیة لأجل کثرة استعمال لفظ العامّ وغلبته فی الباقی بحیث یوجب ظهور العامّ وتعیّنه فی خصوص الباقی من بین المجازات والخصوصات</w:t>
      </w:r>
      <w:r>
        <w:rPr>
          <w:rFonts w:eastAsia="IRNazanin" w:cs="IRNazanin"/>
          <w:color w:val="111111"/>
          <w:sz w:val="28"/>
          <w:szCs w:val="28"/>
          <w:rtl w:val="true"/>
          <w:lang w:bidi="fa-IR"/>
        </w:rPr>
        <w:t>.</w:t>
      </w:r>
      <w:bookmarkStart w:id="728" w:name="pg16918_187561"/>
    </w:p>
    <w:p>
      <w:pPr>
        <w:pStyle w:val="Heading4"/>
        <w:numPr>
          <w:ilvl w:val="3"/>
          <w:numId w:val="1"/>
        </w:numPr>
        <w:rPr/>
      </w:pPr>
      <w:bookmarkStart w:id="729" w:name="__RefHeading___Toc96474_3244359995"/>
      <w:bookmarkStart w:id="730" w:name="_Toc277"/>
      <w:bookmarkEnd w:id="728"/>
      <w:bookmarkEnd w:id="729"/>
      <w:r>
        <w:rPr/>
        <w:t>5</w:t>
      </w:r>
      <w:r>
        <w:rPr>
          <w:rtl w:val="true"/>
        </w:rPr>
        <w:t xml:space="preserve">. </w:t>
      </w:r>
      <w:r>
        <w:rPr>
          <w:rtl w:val="true"/>
        </w:rPr>
        <w:t>التمسّک بالعامّ فی الشبهات المفهومیّة للمخصّص</w:t>
      </w:r>
      <w:bookmarkEnd w:id="730"/>
    </w:p>
    <w:p>
      <w:pPr>
        <w:pStyle w:val="BookText"/>
        <w:rPr/>
      </w:pPr>
      <w:r>
        <w:rPr>
          <w:rFonts w:ascii="IRNazanin" w:hAnsi="IRNazanin" w:eastAsia="IRNazanin"/>
          <w:color w:val="111111"/>
          <w:sz w:val="28"/>
          <w:sz w:val="28"/>
          <w:szCs w:val="28"/>
          <w:rtl w:val="true"/>
          <w:lang w:bidi="fa-IR"/>
        </w:rPr>
        <w:t>ربما یکون المخصّص مجملًا مفهوماً، فاختلفوا فی أنّ إجماله هل یسری إلی العامّ أم لا؟</w:t>
      </w:r>
    </w:p>
    <w:p>
      <w:pPr>
        <w:pStyle w:val="BookText"/>
        <w:rPr/>
      </w:pPr>
      <w:r>
        <w:rPr>
          <w:rFonts w:ascii="IRNazanin" w:hAnsi="IRNazanin" w:eastAsia="IRNazanin"/>
          <w:color w:val="111111"/>
          <w:sz w:val="28"/>
          <w:sz w:val="28"/>
          <w:szCs w:val="28"/>
          <w:rtl w:val="true"/>
          <w:lang w:bidi="fa-IR"/>
        </w:rPr>
        <w:t>والمخصّص علی أربعة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فتارةً یکون متّصلًا بالعامّ، واخری یکون منفصلًا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یکون إجماله لأجل الدوران بین الأقلّ والأکثر بأن علم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إلّاالفسّاق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فسّاقهم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مرتکب الکبیرة فاسق قطعاً، ولم یعلم أنّ المصرّ علی الصغیرة أیضاً فاسق أو لا؟</w:t>
      </w:r>
    </w:p>
    <w:p>
      <w:pPr>
        <w:pStyle w:val="BookText"/>
        <w:rPr/>
      </w:pPr>
      <w:r>
        <w:rPr>
          <w:rFonts w:ascii="IRNazanin" w:hAnsi="IRNazanin" w:eastAsia="IRNazanin"/>
          <w:color w:val="111111"/>
          <w:sz w:val="28"/>
          <w:sz w:val="28"/>
          <w:szCs w:val="28"/>
          <w:rtl w:val="true"/>
          <w:lang w:bidi="fa-IR"/>
        </w:rPr>
        <w:t xml:space="preserve">واخری یکون إجماله لأجل الدوران بین المتباینین بأن لم یعلم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إلّازیداً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زیداً هل هو زید بن خالد أو زید بن بکر؟</w:t>
      </w:r>
    </w:p>
    <w:p>
      <w:pPr>
        <w:pStyle w:val="BookText"/>
        <w:rPr/>
      </w:pPr>
      <w:r>
        <w:rPr>
          <w:rFonts w:ascii="IRNazanin" w:hAnsi="IRNazanin" w:eastAsia="IRNazanin"/>
          <w:color w:val="111111"/>
          <w:sz w:val="28"/>
          <w:sz w:val="28"/>
          <w:szCs w:val="28"/>
          <w:rtl w:val="true"/>
          <w:lang w:bidi="fa-IR"/>
        </w:rPr>
        <w:t>والمراد من سرایة الإجمال إلی العامّ وعدمها هو سرایته بالنسبة إلی خصوص الفرد المشکوک وفی دائرة الشکّ لا بالنسبة إلی غیرها،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المحقّق الخراسانی؛ إلی جواز التمسّک بالعامّ فی خصوص المخصّص المنفصل إذا دار أمره بین الأقلّ والأکثر، دون سائر الصور</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لعدم جواز التمسّک فی المتّصل سواء کان إجماله لأجل الدوران بین الأقلّ والأکثر أو بین المتباینین بأنّ العامّ حینئذٍ ممّا لا ظهور له فی الفرد المشکوک أصلًا، فضلًا عن أن یکون حجّة فیه إذا کان المجمل المتّصل بالعامّ ممّا یمنع عن انعقاد الظهور للعامّ إلّافیما علم خروجه عن المخصّص علی کلّ حال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المنفصل إذا کان إجماله لأجل الدوران بین المتباینین بأنّ العامّ وإن کان ظاهراً فی کلیهما لانفصال المخصّص عنه وانعقاد الظهور له فی الجمیع ولکن لا یکون حجّة فی شی‌ء منهما لأنّهما من أطراف العلم الإجمالی، وأصالة التطابق بین</w:t>
      </w:r>
    </w:p>
    <w:p>
      <w:pPr>
        <w:pStyle w:val="BookText"/>
        <w:rPr/>
      </w:pPr>
      <w:r>
        <w:rPr>
          <w:rFonts w:ascii="IRNazanin" w:hAnsi="IRNazanin" w:eastAsia="IRNazanin"/>
          <w:color w:val="111111"/>
          <w:sz w:val="28"/>
          <w:sz w:val="28"/>
          <w:szCs w:val="28"/>
          <w:rtl w:val="true"/>
          <w:lang w:bidi="fa-IR"/>
        </w:rPr>
        <w:t>الإرادتین بالنسبة إلی أحدهما تعارض أصالة التطابق الجاریّة فی الآخر، کما أنّه لا یکون الخاصّ أیضاً حجّة فی شی‌ء منهما، فاللازم حینئذٍ هو الرجوع إلی الأصل العملی ومقتضاه مختلف باختلاف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إجماله لأجل الدوران بین الأقلّ والأکثر فدلیله علی جواز الرجوع إلی العامّ فیه أنّ العامّ ظاهر فی القدر الزائد وحجّة فیه، أمّا ظهوره فیه فواضح؛ لجهة انفصاله عن الخاصّ، وأمّا حجّیته فیه فلأنّ الثابت من مزاحمة الخاصّ لحجّیة ظهور العامّ إنّما هو فی المتیقّن منه لا فی غیره، فیکون العامّ حجّة فیما لا یکون الخاصّ حجّة فیه، وتکون أصالة التطابق جاریة فیما لم یثبت خروجه عن الإرادة الجدّیة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کلامه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سابقاً من أنّ الاستثناء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تقیید الحکم لا إلی تقیید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مرّ أیضاً مختارنا فی الاستثناء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إنّ التصرّف فیها أیضاً تصرّف فی الإرادة الجدّیة فقط، فالتخصیص بها وبالمخصّص المنفصل سیّان فی الحکم وفی عدم تبدّل عنوان العامّ إلی عنوان مضیّق</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فی الدرر من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ما صارت عادة المتکلّم جاریة علی ذکر التخصیص منفصلًا عن کلامه فحال المنفصل فی کلامه حال المتّصل فی کلام غیره، فکما أنّه یحتاج فی التمسّک بعموم کلام سائر المتکلّمین إلی إحراز عدم المخصّص المتّصل إمّا بالقطع وإمّا بالأصل، کذلک یحتاج فی التمسّک بعموم کلام المتکلّم المفروض إلی إحراز عدم المخصّص المنفصل، فإذا احتاج العمل بالعامّ إلی إحراز عدم التخصیص بالمنفصل فاللازم الإجمال فیما نحن فیه؛ لعدم إحراز عدمه لا بالقطع ولا بالأصل، أمّا الأوّل فواضح، وأمّا الثانی فلما مضی من أنّ جریانه مخصوص بمورد لم یوجد ما یصلح لأن یکون مخصّصاً</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bookmarkStart w:id="731" w:name="pg16918_187563"/>
    </w:p>
    <w:p>
      <w:pPr>
        <w:pStyle w:val="Heading4"/>
        <w:numPr>
          <w:ilvl w:val="3"/>
          <w:numId w:val="1"/>
        </w:numPr>
        <w:rPr/>
      </w:pPr>
      <w:bookmarkStart w:id="732" w:name="__RefHeading___Toc96476_3244359995"/>
      <w:bookmarkStart w:id="733" w:name="_Toc278"/>
      <w:bookmarkEnd w:id="731"/>
      <w:bookmarkEnd w:id="732"/>
      <w:r>
        <w:rPr/>
        <w:t>6</w:t>
      </w:r>
      <w:r>
        <w:rPr>
          <w:rtl w:val="true"/>
        </w:rPr>
        <w:t xml:space="preserve">. </w:t>
      </w:r>
      <w:r>
        <w:rPr>
          <w:rtl w:val="true"/>
        </w:rPr>
        <w:t>التمسّک بالعامّ فی الشبهات المصداقیّة للمخصّص</w:t>
      </w:r>
      <w:bookmarkEnd w:id="733"/>
    </w:p>
    <w:p>
      <w:pPr>
        <w:pStyle w:val="Heading5"/>
        <w:numPr>
          <w:ilvl w:val="4"/>
          <w:numId w:val="1"/>
        </w:numPr>
        <w:rPr/>
      </w:pPr>
      <w:bookmarkStart w:id="734" w:name="__RefHeading___Toc96478_3244359995"/>
      <w:bookmarkStart w:id="735" w:name="_Toc279"/>
      <w:bookmarkEnd w:id="734"/>
      <w:r>
        <w:rPr>
          <w:rtl w:val="true"/>
        </w:rPr>
        <w:t>اشارة</w:t>
      </w:r>
      <w:bookmarkEnd w:id="735"/>
    </w:p>
    <w:p>
      <w:pPr>
        <w:pStyle w:val="BookText"/>
        <w:rPr/>
      </w:pPr>
      <w:r>
        <w:rPr>
          <w:rFonts w:ascii="IRNazanin" w:hAnsi="IRNazanin" w:eastAsia="IRNazanin"/>
          <w:color w:val="111111"/>
          <w:sz w:val="28"/>
          <w:sz w:val="28"/>
          <w:szCs w:val="28"/>
          <w:rtl w:val="true"/>
          <w:lang w:bidi="fa-IR"/>
        </w:rPr>
        <w:t>وله ثمرات فقهیة مهمّة تظهر فی الأبواب المختلفة من الفقه نشیر إلی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فی أبواب الضمانات إذا دار الأمر بین کون الید عادیة وکونها غیر عادیة، فهل یمکن التمسّک لإثبات الضمان بعموم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تؤدّیه</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الذی خرج منه الید الأمانی أو لا؟</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معنون فی أبواب النکاح من أنّه إذا شکّ فی أنّ الشبه المرئی من بعید رجل أو امرأة أو من المحارم أو غیرهم فهل یجوز الرجوع إلی عموم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لِلْمُؤْمِنِینَ یَغُضُّوا مِنْ أَبْصَارِهِمْ</w:t>
      </w:r>
      <w:r>
        <w:rPr>
          <w:rFonts w:eastAsia="Amiri" w:cs="Amiri" w:ascii="Amiri" w:hAnsi="Amiri"/>
          <w:color w:val="111111"/>
          <w:sz w:val="28"/>
          <w:szCs w:val="28"/>
          <w:rtl w:val="true"/>
          <w:lang w:bidi="ar-SA"/>
        </w:rPr>
        <w:t>»</w:t>
      </w:r>
      <w:r>
        <w:rPr>
          <w:rStyle w:val="FootnoteAnchor"/>
          <w:rtl w:val="true"/>
        </w:rPr>
        <w:footnoteReference w:id="531"/>
      </w:r>
      <w:r>
        <w:rPr>
          <w:rFonts w:ascii="IRNazanin" w:hAnsi="IRNazanin" w:eastAsia="IRNazanin"/>
          <w:color w:val="111111"/>
          <w:sz w:val="28"/>
          <w:sz w:val="28"/>
          <w:szCs w:val="28"/>
          <w:rtl w:val="true"/>
          <w:lang w:bidi="fa-IR"/>
        </w:rPr>
        <w:t>الذی استثنی منه الجنس الموافق والمحارم أو لا؟</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ذکروه فی أبواب الطهارة من أنّه إذا دار الأمر بین کون الماء کرّاً فلا یتنجّس بملاقاته للنجس وکونه قلیلًا فیتنجّس، فهل یمکن التمسّک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لاقی النجس یتنجّس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یصطاد من مجموع الأدلّة الواردة فی ذلک الباب وخرج منه الماء الکرّ أو لا؟</w:t>
      </w:r>
    </w:p>
    <w:p>
      <w:pPr>
        <w:pStyle w:val="BookText"/>
        <w:rPr/>
      </w:pPr>
      <w:r>
        <w:rPr>
          <w:rFonts w:ascii="IRNazanin" w:hAnsi="IRNazanin" w:eastAsia="IRNazanin"/>
          <w:color w:val="111111"/>
          <w:sz w:val="28"/>
          <w:sz w:val="28"/>
          <w:szCs w:val="28"/>
          <w:rtl w:val="true"/>
          <w:lang w:bidi="fa-IR"/>
        </w:rPr>
        <w:t>ثمّ إنّه یأتی هنا أیضاً الصور الأربعة المذکورة فی الشبهة المفهومیّة، والظاهر أنّه لا کلام فیما إذا کان المخصّص متّصلًا سواء کان أمره دائراً بین الأقلّ والأکثر أو المتباینین، وکذلک إذا کان منفصلًا وأمره دائراً بین المتباینین فإنّه لا فرق بین ما نحن فیه والشبهة المفهومیّة للمخصّص فی عدم جواز التمسّک بالعامّ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الصورة الرابعة وهی ما إذا کان الخاصّ منفصلًا وکان أمره دائراً بین الأقلّ والأکثر، فاستدلّ لجواز التمسّک حینئذٍ بوجوه ثلاثة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الخاصّ المنفصل إنّما یزاحم حجّیة العامّ فی خصوص الأفراد</w:t>
      </w:r>
    </w:p>
    <w:p>
      <w:pPr>
        <w:pStyle w:val="BookText"/>
        <w:rPr/>
      </w:pPr>
      <w:r>
        <w:rPr>
          <w:rFonts w:ascii="IRNazanin" w:hAnsi="IRNazanin" w:eastAsia="IRNazanin"/>
          <w:color w:val="111111"/>
          <w:sz w:val="28"/>
          <w:sz w:val="28"/>
          <w:szCs w:val="28"/>
          <w:rtl w:val="true"/>
          <w:lang w:bidi="fa-IR"/>
        </w:rPr>
        <w:t>المعلومة دخولها فی الخاصّ کمن علم فسقه، ولا یزاحمه فی الأفراد المشکوکة الفسق فیکون العامّ حجّة فیما لا یکون الخاصّ حجّة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الخاصّ کما لا یکون حجّة فی المصادیق المشکوکة فکذلک العامّ لا یکون حجّة فیها فلابدّ فیها من الرجوع إلی الأصل العملی وذلک لأنّ الخاصّ المنفصل وإن لم یصادم أصل ظهور العامّ بل ظهوره باقٍ علی حاله حتّی فی الأفراد المعلومة الفسق فضلًا عن المشکوکة، لکنّه یتعنون بعنوان عدمی فیتبدّل عنوان العالم مثلًا إلی عنوان العالم غیر الفاسق، وهذا یوجب لا محالة قصر حجّیته بما سوی الفاسق علیه، فالفرد المشتبه کما لا یعلم اندراجه تحت الخاصّ ولا یمکن التمسّک به لإجراء حکمه علیه وهو حرمة الإکرام فکذلک لا یعلم اندراجه تحت العامّ کی یمکن التمسّک به لإجراء حکم العامّ علیه وهو وجوب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العامّ بعمومه الأفرادی یدلّ علی وجوب إکرام کلّ واحد من العلماء فی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بعمومه الأحوالی علی سرایة الحکم إلی کلّ حالة من حالات الموضوع، ومن جملة حالاته کونه مشکوک الفسق والعدالة، وقد علم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معلوم الفسق منهم، فمقتضی أصالة العموم بقاء المشکوک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 واضح، لأنّ العامّ یشمل أفراده الواقعیة کما أنّ الخاصّ أیضاً یشمل أفراده الواقعیّة، کما أنّه کذلک فی جمیع الألفاظ فإنّها ناظرة إلی عناوینها الواقعیة، فالموضوع للعامّ فی المثال إنّما هو العالم الواقعی خرج منه الفاسق الواقعی، وحینئذٍ لا یصحّ أن یحکم بوجوب إکرام المصداق المشتبه مع احتمال کونه فاسقاً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بقاعدة المقتضی والمانع، وبیانه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العامّ مقتضٍ للحکم والخاصّ مانع عنه، ففی موارد الاشتباه یؤول الأمر إلی الشکّ فی وجود المانع بعد إحراز المقتضی والأصل عدمه فلابدّ من الحکم بوجود المقتضی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الجواب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دلیل علی کبری القاعدة عقلًا ونقلًا کما سوف</w:t>
      </w:r>
      <w:bookmarkStart w:id="736" w:name="pg16918_187565"/>
    </w:p>
    <w:p>
      <w:pPr>
        <w:pStyle w:val="BookText"/>
        <w:rPr/>
      </w:pPr>
      <w:bookmarkEnd w:id="736"/>
      <w:r>
        <w:rPr>
          <w:rFonts w:ascii="IRNazanin" w:hAnsi="IRNazanin" w:eastAsia="IRNazanin"/>
          <w:color w:val="111111"/>
          <w:sz w:val="28"/>
          <w:sz w:val="28"/>
          <w:szCs w:val="28"/>
          <w:rtl w:val="true"/>
          <w:lang w:bidi="fa-IR"/>
        </w:rPr>
        <w:t>یأتی فی مبحث الاستصحاب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الصغری، لأنّا لا نسلّم کون العامّ والخاصّ من قبیل المقتضی والمانع، بل ربما یکونان من قبیل الاقتضاء واللاقتضاء أو من قبیل المقتضیین لحکمین متخالفین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جمیع ما ذکرنا عدم الدلیل علی جواز التمسّک بالعامّ فی الشبهة المصداقیّة للمخصّص بإطلاقه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هاهنا وجه آخر لجواز التمسّک بالعامّ یختصّ بما إذا کان لسان العامّ لسان المنع وکشفنا من العامّ أنّ طبیعة الحکم علی المنع حیث إنّه حینئذٍ استقرّ بناء العقلاء علی الحکم بالمنع فی المصادیق المشکوکة، کما یستفاد من العمومات الواردة فی باب الوقف من أنّ طبیعة الوقف علی المنع عن بیع الموقوفة وخرج منه صورتان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الضرورة، وصورة ما إذا سقطت الموقوفة عن حیّز الانتفاع، فلابدّ من الحکم بالمنع فی مصادیقه 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ممّا ذکر أنّ الحقّ هو ما ذهب إلیه أکثر المحقّقین المتأخّرین من عدم جواز التمسّک بالعامّ فی الشبهة المصداقیّة للمخصّص إلّافی الموارد الّتی تکون طبیعة الحکم فیها علی المنع، نظیر أبواب الضمانات ونظیر ما وقع مورداً للبحث والنزاع فی یومنا هذا من السمکة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اوزون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 عدم إحراز الفلس لها وشککنا فی کونها ذا فلس أم لا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الأدلّة أنّ طبیعة حیوان البحر علی المنع من أکله وخرج منه السمک إذا کان له فلس، أی إذا احرز له الفلس، وأمّا الصورة المشکوکة فالقاعدة تقتضی حرمة الأکل فیها</w:t>
      </w:r>
      <w:r>
        <w:rPr>
          <w:rFonts w:eastAsia="IRNazanin" w:cs="IRNazanin"/>
          <w:color w:val="111111"/>
          <w:sz w:val="28"/>
          <w:szCs w:val="28"/>
          <w:rtl w:val="true"/>
          <w:lang w:bidi="fa-IR"/>
        </w:rPr>
        <w:t>.</w:t>
      </w:r>
    </w:p>
    <w:p>
      <w:pPr>
        <w:pStyle w:val="Heading5"/>
        <w:numPr>
          <w:ilvl w:val="4"/>
          <w:numId w:val="1"/>
        </w:numPr>
        <w:rPr/>
      </w:pPr>
      <w:bookmarkStart w:id="737" w:name="__RefHeading___Toc96480_3244359995"/>
      <w:bookmarkStart w:id="738" w:name="_Toc280"/>
      <w:bookmarkEnd w:id="737"/>
      <w:r>
        <w:rPr>
          <w:rtl w:val="true"/>
        </w:rPr>
        <w:t>التفصیل بین المخصص اللفظی واللبی</w:t>
      </w:r>
      <w:bookmarkEnd w:id="73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الشیخ الأعظم الأنصاری رحمه الله قد فصّل فی المقام بین ما إذا کان المخصّص لفظیّاً وما إذا کان لبّیاً، فعلی الأوّل لا یجوز التمسّک بالعامّ فی الشبهات المصداقیّة</w:t>
      </w:r>
    </w:p>
    <w:p>
      <w:pPr>
        <w:pStyle w:val="BookText"/>
        <w:rPr/>
      </w:pPr>
      <w:r>
        <w:rPr>
          <w:rFonts w:ascii="IRNazanin" w:hAnsi="IRNazanin" w:eastAsia="IRNazanin"/>
          <w:color w:val="111111"/>
          <w:sz w:val="28"/>
          <w:sz w:val="28"/>
          <w:szCs w:val="28"/>
          <w:rtl w:val="true"/>
          <w:lang w:bidi="fa-IR"/>
        </w:rPr>
        <w:t>دون الثانی، مثلًا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العبد بأنّه لا یرید إکرام من کان عدوّاً له منهم کانت أصالة العموم باقیة علی الحجّیة بالنسبة إلی المصادیق المشکوکة</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وتبعه فی ذلک المحقّق الخراسانی قدس سره فی خصوص ما إذا کان منفصلًا وقال ما ملخّصه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المخصّص اللبّی إن کان کالمخصّص اللفظی المتصّل فلا یجوز التمسّک بالعامّ فی المصداق المشکوک، لأنّ المخصّص حینئذٍ یکون مانعاً عن انعقاد ظهور العامّ فی العموم، وإن کان کالمنفصل اللفظی فلا یکون مانعاً عن انعقاد ظهوره فی العموم ولکنّه یفترق عنه فی أمر، وهو أنّ المخصّص المنفصل إذا کان لفظیاً فهو مانع عن التمسّک بالعامّ فی الفرد المشتبه، وأمّا إذا کان لبّیاً فهو غیر مانع عنه، والنکتة فی ذلک هی أنّ الأوّل یوجب تقیّد موضوع العامّ بعدم عنوان المخصّص من باب تحکیم الخاصّ علی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المخصّص اللبّی فإنّه لا یوجب تقیید موضوع العامّ إلّابما قطع المکلّف بخروجه عن تحته، فإنّ ظهور العامّ فی العموم حجّة، والمفروض عدم قیام حجّة اخری علی خلافه إلّافیما قطع المکلّف بخروجه، وأمّا فیما لا قطع بالخروج عن تحته من الموارد المشکوکة فلا مانع من التمسّک بعمومه فیها</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الحقّ فیه عدم جواز التمسّک بالعامّ فی جمیع الأقسام الأربعة ولا فرق بین المتّصل والمنفصل، أمّا فی المتّصل فلعدم انعقاد ظهور للعامّ حینئذٍ، وأمّا فی المنفصل فلأنّه لا فرق فی التنویع وتعنون العامّ بعنوان عدمی بین أن کان المخصّص لفظیاً أو لبّیاً فإذا قال المولی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فلا فرق بین أن یصرّح بنفسه بعداً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فسّاقهم، أو علم من الخارج أنّه لا یجب إکرام فسّاق العلماء، فعلی کلا التقدیرین یتعنون العامّ لبّاً وواقعاً بعنوان عدمی، أی أکرم العلماء غیر الفسّاق</w:t>
      </w:r>
      <w:r>
        <w:rPr>
          <w:rFonts w:eastAsia="IRNazanin" w:cs="IRNazanin"/>
          <w:color w:val="111111"/>
          <w:sz w:val="28"/>
          <w:szCs w:val="28"/>
          <w:rtl w:val="true"/>
          <w:lang w:bidi="fa-IR"/>
        </w:rPr>
        <w:t>.</w:t>
      </w:r>
      <w:bookmarkStart w:id="739" w:name="pg16918_187567"/>
    </w:p>
    <w:p>
      <w:pPr>
        <w:pStyle w:val="BookText"/>
        <w:rPr/>
      </w:pPr>
      <w:bookmarkEnd w:id="739"/>
      <w:r>
        <w:rPr>
          <w:rFonts w:ascii="IRNazanin" w:hAnsi="IRNazanin" w:eastAsia="IRNazanin"/>
          <w:color w:val="111111"/>
          <w:sz w:val="28"/>
          <w:sz w:val="28"/>
          <w:szCs w:val="28"/>
          <w:rtl w:val="true"/>
          <w:lang w:bidi="fa-IR"/>
        </w:rPr>
        <w:t>فلا وجه لما ذکره المحقّق صاحب الکفایة من الفرق بین المخصّص اللبّی واللفظی وقوله بعدم جواز التمسّک فی اللفظی مطلقاً فی جمیع الصور الأربعة وبجواز التمسّک فی المنفصل من اللبّی</w:t>
      </w:r>
      <w:r>
        <w:rPr>
          <w:rFonts w:eastAsia="IRNazanin" w:cs="IRNazanin"/>
          <w:color w:val="111111"/>
          <w:sz w:val="28"/>
          <w:szCs w:val="28"/>
          <w:rtl w:val="true"/>
          <w:lang w:bidi="fa-IR"/>
        </w:rPr>
        <w:t>.</w:t>
      </w:r>
    </w:p>
    <w:p>
      <w:pPr>
        <w:pStyle w:val="Heading5"/>
        <w:numPr>
          <w:ilvl w:val="4"/>
          <w:numId w:val="1"/>
        </w:numPr>
        <w:rPr/>
      </w:pPr>
      <w:bookmarkStart w:id="740" w:name="__RefHeading___Toc96482_3244359995"/>
      <w:bookmarkStart w:id="741" w:name="_Toc281"/>
      <w:bookmarkEnd w:id="740"/>
      <w:r>
        <w:rPr>
          <w:rtl w:val="true"/>
        </w:rPr>
        <w:t>التمسّک باستصحاب العدم الأزلی فی تعیین حال الفرد المشتبه</w:t>
      </w:r>
      <w:bookmarkEnd w:id="741"/>
    </w:p>
    <w:p>
      <w:pPr>
        <w:pStyle w:val="BookText"/>
        <w:rPr/>
      </w:pPr>
      <w:r>
        <w:rPr>
          <w:rFonts w:ascii="IRNazanin" w:hAnsi="IRNazanin" w:eastAsia="IRNazanin"/>
          <w:color w:val="111111"/>
          <w:sz w:val="28"/>
          <w:sz w:val="28"/>
          <w:szCs w:val="28"/>
          <w:rtl w:val="true"/>
          <w:lang w:bidi="fa-IR"/>
        </w:rPr>
        <w:t xml:space="preserve">إلی هنا کان مفروض الکلام فیما إذا لم یکن هناک أصل موضوعی کالاستصحاب یعیّن به حال الفرد المشتبه حتّی یندرج تحت الخاصّ أو العامّ، فإنّه إذا کان للفرد المشتبه حالة سابقة کالعدالة أو الفسق فی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استصحابها، یثبت به کونه عادلًا أو فاسقاً فیحکم بوجوب إکرامه أو حرمته بلا إشکال، وأمّا إذا لم یکن له حالة سابقة فهل یمکن التمسّک باستصحاب عدم النسبة من الأزل، المسمّی باستصحاب العدم الأزلی کاستصحاب عدم القرشیة فی المرأة أم لا؟</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عامّ دلّ علی أنّ المرأة تحیض إلی خمسین، وخاصّ دلّ علی أنّ القرشیة تحیض إلی ستّین، فإذا شکّ فی امرأة أنّها قرشیة أو غیر قرشیة فباستصحاب عدم النسبة بینها وبین قریش قبل وجودها تخرج المرأة من عنوان القرشیة وتبقی تحت العامّ فیکون حیضها إلی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الاستصحاب لا یعارض باستصحاب عدم النسبة بینها وبین غیر قریش؛ لأنّ النسبة بینها وبین غیر قریش ممّا لا أثر له شرعاً کی یجری استصحاب عدمها، فیکون أحد الاستصحابین حجّة والآخر غیر حجّة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اختار صاحب الکفایة إمکان إحراز حال الفرد المشتبه بهذا الأصل فی جمیع الموارد إلّاما شذّ، وهو ما إذا تبادل الحالتان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والفسق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یعلم السابق من اللاحق، فحینئذٍ لا یمکن استصحاب عدم النسبة بینه وبین الفسق قبل وجود صاحبه مثلًا بعد العلم الإجمالی بانتقاض عدم النسبة وتبدّله إلی الوجود قطعاً</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bookmarkStart w:id="742" w:name="pg16918_187568"/>
    </w:p>
    <w:p>
      <w:pPr>
        <w:pStyle w:val="BookText"/>
        <w:rPr/>
      </w:pPr>
      <w:bookmarkEnd w:id="742"/>
      <w:r>
        <w:rPr>
          <w:rFonts w:ascii="IRNazanin" w:hAnsi="IRNazanin" w:eastAsia="IRNazanin"/>
          <w:color w:val="111111"/>
          <w:sz w:val="28"/>
          <w:sz w:val="28"/>
          <w:szCs w:val="28"/>
          <w:rtl w:val="true"/>
          <w:lang w:bidi="fa-IR"/>
        </w:rPr>
        <w:t>والحقّ عدم حجّیة استصحاب العدم الأزلی وتفصیل البحث عنه موکول إلی مباحث الاستصحاب ولکن نشیر هنا إلی بعض الإشکالات الواردة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هنا تکون السالبة بانتفاء الموضوع، وهی غیر عرفیّة، فلا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لولدی 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لیس لی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یحمل العرف هذا الکلام علی الاضحوکة والمزاح، فأدلّة الاستصحاب منصرفة عن مثله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سیأتی فی مبحث الاستصحاب من اعتبار الوحدة بین القضیّة المتیقّنة والقضیّة المشکوکة موضوعاً ومحمولًا ونسبةً لعدم صدق مفهوم النقض بدونها، والقضیّتان فیما نحن فیه لیستا متّحدتین فی النسبة؛ لأنّها فی إحدیهما سالبة بانتفاء الموضوع وفی الاخری سالبة بانتفاء المحمول</w:t>
      </w:r>
      <w:r>
        <w:rPr>
          <w:rFonts w:eastAsia="IRNazanin" w:cs="IRNazanin"/>
          <w:color w:val="111111"/>
          <w:sz w:val="28"/>
          <w:szCs w:val="28"/>
          <w:rtl w:val="true"/>
          <w:lang w:bidi="fa-IR"/>
        </w:rPr>
        <w:t>.</w:t>
      </w:r>
    </w:p>
    <w:p>
      <w:pPr>
        <w:pStyle w:val="Heading5"/>
        <w:numPr>
          <w:ilvl w:val="4"/>
          <w:numId w:val="1"/>
        </w:numPr>
        <w:rPr/>
      </w:pPr>
      <w:bookmarkStart w:id="743" w:name="__RefHeading___Toc96484_3244359995"/>
      <w:bookmarkStart w:id="744" w:name="_Toc282"/>
      <w:bookmarkEnd w:id="743"/>
      <w:r>
        <w:rPr>
          <w:rtl w:val="true"/>
        </w:rPr>
        <w:t>حول دوران الأمر بین التخصیص والتخصّص</w:t>
      </w:r>
      <w:bookmarkEnd w:id="744"/>
    </w:p>
    <w:p>
      <w:pPr>
        <w:pStyle w:val="BookText"/>
        <w:rPr/>
      </w:pPr>
      <w:r>
        <w:rPr>
          <w:rFonts w:ascii="IRNazanin" w:hAnsi="IRNazanin" w:eastAsia="IRNazanin"/>
          <w:color w:val="111111"/>
          <w:sz w:val="28"/>
          <w:sz w:val="28"/>
          <w:szCs w:val="28"/>
          <w:rtl w:val="true"/>
          <w:lang w:bidi="fa-IR"/>
        </w:rPr>
        <w:t xml:space="preserve">إذا دار الأمر بین الخروج عن الموضوع والخروج عن الحکم، کما إذا علمنا بعدم وجوب إکرام زید ولکن لا نعلم أنّه عالم فیکون خروجه من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تخصیصاً أو لیس بعالم فیکون خروجه من باب التخصّص، فإن کان خروجه من باب التخصیص، کان عنوان العالم منطبقاً علیه فیترتّب علیه سائر الأحکام والآثار المترتّبة علی عنوان العالم، وإن کان من باب التخصّص فلا یترتّب علیه تلک الآثار، وحینئذٍ نحتاج لإثبات التخصّص إلی قبول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التمسّک بأصالة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الموضوع أیضاً کما یجوز التمسّک بها لإثبات الحکم، مع أنّه ممنوع لأنّها تجری لإثبات أصل الحکم فقط، وأمّا إذا کان الحکم واضحاً وشککنا فی موضوعه، فلا یجری فیه دلیل جواز التمسّک بالعامّ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مثبتات الاصول والأمارات حجّة، مع أنّ الحقّ فیها عدم حجّیتها إلّافیما إذا کان المولی ناظراً إلی بیان مثبتاتها ولوازمها، فتکون اللوازم</w:t>
      </w:r>
      <w:bookmarkStart w:id="745" w:name="pg16918_187569"/>
    </w:p>
    <w:p>
      <w:pPr>
        <w:pStyle w:val="BookText"/>
        <w:rPr/>
      </w:pPr>
      <w:bookmarkEnd w:id="745"/>
      <w:r>
        <w:rPr>
          <w:rFonts w:ascii="IRNazanin" w:hAnsi="IRNazanin" w:eastAsia="IRNazanin"/>
          <w:color w:val="111111"/>
          <w:sz w:val="28"/>
          <w:sz w:val="28"/>
          <w:szCs w:val="28"/>
          <w:rtl w:val="true"/>
          <w:lang w:bidi="fa-IR"/>
        </w:rPr>
        <w:t>العقلیّة والعادیة حینئذٍ حجّة کما فی اللوازم الشرعیّة بالنسبة إلی خصوص ذلک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التمثیل فی ذلک بمسألة الملاقی لماء الاستنجاء؛ حیث إنّه غیر محکوم بالنجاسة إذا توفّرت فیه الشرائط الّتی ذکرت فی محلّه، فحینئذٍ یدور الأمر بین أن یکون خروجه عن هذا الحکم بالتخصّص أو بالتخصیص، یعنی أنّ ما دلّ علی طهارة الملاقی هل یکون مخصّصاً لعموم ما دلّ علی انفعال الملاقی للماء النجس فیکون ماء الاستنجاء نجساً ویترتّب علیه سائر أحکام الشی‌ء النجس، أو یکون خروجه منه بالتخصّص، فیکون ماء الاستنجاء طاهراً ویترتّب علیه آثار الطهارة غیر الوضوء والغسل؟</w:t>
      </w:r>
    </w:p>
    <w:p>
      <w:pPr>
        <w:pStyle w:val="BookText"/>
        <w:rPr/>
      </w:pPr>
      <w:r>
        <w:rPr>
          <w:rFonts w:ascii="IRNazanin" w:hAnsi="IRNazanin" w:eastAsia="IRNazanin"/>
          <w:color w:val="111111"/>
          <w:sz w:val="28"/>
          <w:sz w:val="28"/>
          <w:szCs w:val="28"/>
          <w:rtl w:val="true"/>
          <w:lang w:bidi="fa-IR"/>
        </w:rPr>
        <w:t>واختلف فیه الأصحاب، والظاهر من الأدلّة القول بالتخصیص فإنّ العلّة فی هذا الحکم هو العسر والحرج، فنقتصر من أحکام الطهارة بما یندفع به العسر والحرج</w:t>
      </w:r>
      <w:r>
        <w:rPr>
          <w:rFonts w:eastAsia="IRNazanin" w:cs="IRNazanin"/>
          <w:color w:val="111111"/>
          <w:sz w:val="28"/>
          <w:szCs w:val="28"/>
          <w:rtl w:val="true"/>
          <w:lang w:bidi="fa-IR"/>
        </w:rPr>
        <w:t>.</w:t>
      </w:r>
    </w:p>
    <w:p>
      <w:pPr>
        <w:pStyle w:val="Heading4"/>
        <w:numPr>
          <w:ilvl w:val="3"/>
          <w:numId w:val="1"/>
        </w:numPr>
        <w:rPr/>
      </w:pPr>
      <w:bookmarkStart w:id="746" w:name="__RefHeading___Toc96486_3244359995"/>
      <w:bookmarkStart w:id="747" w:name="_Toc283"/>
      <w:bookmarkEnd w:id="746"/>
      <w:r>
        <w:rPr/>
        <w:t>7</w:t>
      </w:r>
      <w:r>
        <w:rPr>
          <w:rtl w:val="true"/>
        </w:rPr>
        <w:t xml:space="preserve">. </w:t>
      </w:r>
      <w:r>
        <w:rPr>
          <w:rtl w:val="true"/>
        </w:rPr>
        <w:t>جواز التمسّک بالعامّ قبل الفحص عن المخصّص</w:t>
      </w:r>
      <w:bookmarkEnd w:id="747"/>
    </w:p>
    <w:p>
      <w:pPr>
        <w:pStyle w:val="Heading5"/>
        <w:numPr>
          <w:ilvl w:val="4"/>
          <w:numId w:val="1"/>
        </w:numPr>
        <w:rPr/>
      </w:pPr>
      <w:bookmarkStart w:id="748" w:name="__RefHeading___Toc96488_3244359995"/>
      <w:bookmarkStart w:id="749" w:name="_Toc284"/>
      <w:bookmarkEnd w:id="748"/>
      <w:r>
        <w:rPr>
          <w:rtl w:val="true"/>
        </w:rPr>
        <w:t>اشارة</w:t>
      </w:r>
      <w:bookmarkEnd w:id="749"/>
    </w:p>
    <w:p>
      <w:pPr>
        <w:pStyle w:val="BookText"/>
        <w:rPr/>
      </w:pPr>
      <w:r>
        <w:rPr>
          <w:rFonts w:ascii="IRNazanin" w:hAnsi="IRNazanin" w:eastAsia="IRNazanin"/>
          <w:color w:val="111111"/>
          <w:sz w:val="28"/>
          <w:sz w:val="28"/>
          <w:szCs w:val="28"/>
          <w:rtl w:val="true"/>
          <w:lang w:bidi="fa-IR"/>
        </w:rPr>
        <w:t>والبحث فیه یقع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المخصّص المتّصل والمخصّص المنفصل</w:t>
      </w:r>
      <w:r>
        <w:rPr>
          <w:rFonts w:eastAsia="IRNazanin" w:cs="IRNazanin"/>
          <w:color w:val="111111"/>
          <w:sz w:val="28"/>
          <w:szCs w:val="28"/>
          <w:rtl w:val="true"/>
          <w:lang w:bidi="fa-IR"/>
        </w:rPr>
        <w:t>:</w:t>
      </w:r>
    </w:p>
    <w:p>
      <w:pPr>
        <w:pStyle w:val="Heading5"/>
        <w:numPr>
          <w:ilvl w:val="4"/>
          <w:numId w:val="1"/>
        </w:numPr>
        <w:rPr/>
      </w:pPr>
      <w:bookmarkStart w:id="750" w:name="__RefHeading___Toc96490_3244359995"/>
      <w:bookmarkStart w:id="751" w:name="_Toc285"/>
      <w:bookmarkEnd w:id="750"/>
      <w:r>
        <w:rPr>
          <w:rtl w:val="true"/>
        </w:rPr>
        <w:t>المقام الأوّل</w:t>
      </w:r>
      <w:r>
        <w:rPr>
          <w:rtl w:val="true"/>
        </w:rPr>
        <w:t xml:space="preserve">: </w:t>
      </w:r>
      <w:r>
        <w:rPr>
          <w:rtl w:val="true"/>
        </w:rPr>
        <w:t>فی المخصّص المنفصل</w:t>
      </w:r>
      <w:bookmarkEnd w:id="75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عدم جواز الرجوع إلی العامّ قبل الفحص عنه وادّعی علیه الإجماع </w:t>
      </w:r>
      <w:r>
        <w:rPr>
          <w:rStyle w:val="FootnoteAnchor"/>
          <w:rtl w:val="true"/>
        </w:rPr>
        <w:footnoteReference w:id="535"/>
      </w:r>
      <w:r>
        <w:rPr>
          <w:rFonts w:ascii="Amiri" w:hAnsi="Amiri" w:eastAsia="Amiri" w:cs="Amiri"/>
          <w:color w:val="111111"/>
          <w:sz w:val="28"/>
          <w:sz w:val="28"/>
          <w:szCs w:val="28"/>
          <w:rtl w:val="true"/>
          <w:lang w:bidi="ar-SA"/>
        </w:rPr>
        <w:t>، وعلیه عمل الفقهاء فی أبواب الفقه، نظیر عموم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الذی یحتمل فیه ورود مخصّصات، فلا یستدلّ فقیه به فی الموارد المشکوکة قبل الفحص عن تلک المخصّصات، 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ضَرَبْتُمْ فِی الْأَرْضِ فَلَیْسَ عَلَیْکُمْ جُنَاحٌ</w:t>
      </w:r>
      <w:bookmarkStart w:id="752" w:name="pg16918_187570"/>
    </w:p>
    <w:p>
      <w:pPr>
        <w:pStyle w:val="BookText"/>
        <w:rPr/>
      </w:pPr>
      <w:bookmarkEnd w:id="752"/>
      <w:r>
        <w:rPr>
          <w:rFonts w:ascii="Amiri" w:hAnsi="Amiri" w:eastAsia="Amiri" w:cs="Amiri"/>
          <w:color w:val="111111"/>
          <w:sz w:val="28"/>
          <w:sz w:val="28"/>
          <w:szCs w:val="28"/>
          <w:rtl w:val="true"/>
          <w:lang w:bidi="ar-SA"/>
        </w:rPr>
        <w:t>أَنْ تَقْصُرُوا مِنَ‌الصَّلَاةِ</w:t>
      </w:r>
      <w:r>
        <w:rPr>
          <w:rFonts w:eastAsia="Amiri" w:cs="Amiri" w:ascii="Amiri" w:hAnsi="Amiri"/>
          <w:color w:val="111111"/>
          <w:sz w:val="28"/>
          <w:szCs w:val="28"/>
          <w:rtl w:val="true"/>
          <w:lang w:bidi="ar-SA"/>
        </w:rPr>
        <w:t>»</w:t>
      </w:r>
      <w:r>
        <w:rPr>
          <w:rStyle w:val="FootnoteAnchor"/>
          <w:rtl w:val="true"/>
        </w:rPr>
        <w:footnoteReference w:id="537"/>
      </w:r>
      <w:r>
        <w:rPr>
          <w:rFonts w:ascii="IRNazanin" w:hAnsi="IRNazanin" w:eastAsia="IRNazanin"/>
          <w:color w:val="111111"/>
          <w:sz w:val="28"/>
          <w:sz w:val="28"/>
          <w:szCs w:val="28"/>
          <w:rtl w:val="true"/>
          <w:lang w:bidi="fa-IR"/>
        </w:rPr>
        <w:t>إذا شککنا مثلًا فی خروج من یکون السفر عمله أو من یکون عاصیاً فی سفره أو یکون مقیماً للعشرة، فلا یتمسّک بذلک العموم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مدرک حجّیة أصالة العموم هو بناء العقلاء علی العمل بها، ولم یثبت بناؤهم علیه فیما إذا کانت العمومات فی معرض التخصیص، وحیث إنّ دأب الشارع استقرّ علی بیان الأحکام تدریجاً واعتمد فی تخصیص عمومات کلامه علی مخصّصات منفصلة فالعقلاء فی مثل هذا المورد لا یستقرّ بناؤهم علی العمل بالعمومات قبل الفحص عن المخصّص</w:t>
      </w:r>
      <w:r>
        <w:rPr>
          <w:rFonts w:eastAsia="IRNazanin" w:cs="IRNazanin"/>
          <w:color w:val="111111"/>
          <w:sz w:val="28"/>
          <w:szCs w:val="28"/>
          <w:rtl w:val="true"/>
          <w:lang w:bidi="fa-IR"/>
        </w:rPr>
        <w:t>.</w:t>
      </w:r>
    </w:p>
    <w:p>
      <w:pPr>
        <w:pStyle w:val="Heading5"/>
        <w:numPr>
          <w:ilvl w:val="4"/>
          <w:numId w:val="1"/>
        </w:numPr>
        <w:rPr/>
      </w:pPr>
      <w:bookmarkStart w:id="753" w:name="__RefHeading___Toc96492_3244359995"/>
      <w:bookmarkStart w:id="754" w:name="_Toc286"/>
      <w:bookmarkEnd w:id="753"/>
      <w:r>
        <w:rPr>
          <w:rtl w:val="true"/>
        </w:rPr>
        <w:t>المقام الثانی</w:t>
      </w:r>
      <w:r>
        <w:rPr>
          <w:rtl w:val="true"/>
        </w:rPr>
        <w:t xml:space="preserve">: </w:t>
      </w:r>
      <w:r>
        <w:rPr>
          <w:rtl w:val="true"/>
        </w:rPr>
        <w:t>فی المخصّص المتّصل</w:t>
      </w:r>
      <w:bookmarkEnd w:id="754"/>
    </w:p>
    <w:p>
      <w:pPr>
        <w:pStyle w:val="BookText"/>
        <w:rPr/>
      </w:pPr>
      <w:r>
        <w:rPr>
          <w:rFonts w:ascii="Amiri" w:hAnsi="Amiri" w:eastAsia="Amiri" w:cs="Amiri"/>
          <w:color w:val="111111"/>
          <w:sz w:val="28"/>
          <w:sz w:val="28"/>
          <w:szCs w:val="28"/>
          <w:rtl w:val="true"/>
          <w:lang w:bidi="ar-SA"/>
        </w:rPr>
        <w:t>إنّ المخصّص المتّصل یتصوّر علی أنحاء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احتمل وجود مخصّص متّصل فی الزمن السابق لکن لم ینقله الراوی نسیاناً أو عمداً کما إذا کان فی الکلام استثناء متّصل مثل أن قال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لباس المصلّی أن یکون طاهراً إلّافیما لا تتمّ فیه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ینقله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نحتمل عدم نقل بعض المؤلّفین کصاحب الوسائل الذی کان من دأبه تقطیع الروایات، فنحتمل وجود قرینة متّصلة لم یذکرها المؤلف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نحتمل وجوده فیما سقط عن الروایة لبعض العوارض کما إذا فقد بعض أوراق کتاب الحدیث ویحتمل وجود مخصّص فی تلک الورقة المفقودة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یعتنی به بلا إشکال، لأنّه إمّا أن نحتمل عدم نقل الراوی لذلک المخصّص تعمّداً، فهو لا یجتمع مع وثاقة الراوی، وإمّا أن نحتمل عدم نقله نسیاناً، فأصالة عدم النسیان المعتبرة عند العقلاء کافیة فی نفیه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الحذف عن تقیة فهو أیضاً خلاف الأصل العقلائی؛ لأنّ الأصل فی کلّ کلام</w:t>
      </w:r>
      <w:bookmarkStart w:id="755" w:name="pg16918_187571"/>
    </w:p>
    <w:p>
      <w:pPr>
        <w:pStyle w:val="BookText"/>
        <w:rPr/>
      </w:pPr>
      <w:bookmarkEnd w:id="755"/>
      <w:r>
        <w:rPr>
          <w:rFonts w:ascii="IRNazanin" w:hAnsi="IRNazanin" w:eastAsia="IRNazanin"/>
          <w:color w:val="111111"/>
          <w:sz w:val="28"/>
          <w:sz w:val="28"/>
          <w:szCs w:val="28"/>
          <w:rtl w:val="true"/>
          <w:lang w:bidi="fa-IR"/>
        </w:rPr>
        <w:t>حمله علی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لا یعتنی به؛ لأنّه ینافی وثاقة المؤلّف، واحتمال أنّ عدم نقله نشأ من استنباطه الشخصی بکون الذیل منفصلًا ولذلک لم ینقله لا یعتنی به أیضاً؛ لأنّ غایته أن یکون من قبیل النقل بالمعنی الذی نشأ من الاستنباط الشخصی، وهو غیر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أنّ الفحص لازم فیه، کما إذا فقدت ورقة من وصیة أو وقف ویحتمل وجود المخصّص فی تلک الورقة المفقودة، فلا یعتمد علی ذلک الکتاب بدون الفحص عن الباقی، لأنّ للمتکلّم أن یلحق بکلامه ما شاء ما دام متکلّماً فلا یمکن الاعتماد علی کلامه قبل إتمامه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فالمقامات فی المخصّص المتّصل مختلفة، ولا یمکن القول بعدم لزوم الفحص عن المخصّص المتّصل مطلقاً؛ لأنّ حاله حال احتمال قرینة المجاز، وقد اتّفقت کلماتهم علی عدم الاعتناء به ولو قبل الفحص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لا یمکن القول بلزوم الفحص فیه مطلقاً إذا کان العامّ فی معرض التخصیص بالمتّصل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6" w:name="__RefHeading___Toc96494_3244359995"/>
      <w:bookmarkStart w:id="757" w:name="_Toc287"/>
      <w:bookmarkEnd w:id="756"/>
      <w:r>
        <w:rPr/>
        <w:t>8</w:t>
      </w:r>
      <w:r>
        <w:rPr>
          <w:rtl w:val="true"/>
        </w:rPr>
        <w:t xml:space="preserve">. </w:t>
      </w:r>
      <w:r>
        <w:rPr>
          <w:rtl w:val="true"/>
        </w:rPr>
        <w:t>الکلام فی الخطابات الشفاهیّة</w:t>
      </w:r>
      <w:bookmarkEnd w:id="75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شکّ فی أنّ هناک عمومات وردت فی الکتاب والسنّة علی نهج الخطابات الشفاهیّة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یاأَیُّهَا الَّذِینَ آمَنُوا أَوْفُوا بِالْعُقُودِ</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کُتِبَ عَلَیْکُمْ الصِّیَامُ کَمَا کُتِبَ عَلَی الَّذِینَ مِنْ قَبْلِکُمْ</w:t>
      </w:r>
      <w:r>
        <w:rPr>
          <w:rFonts w:eastAsia="Amiri" w:cs="Amiri" w:ascii="Amiri" w:hAnsi="Amiri"/>
          <w:color w:val="111111"/>
          <w:sz w:val="28"/>
          <w:szCs w:val="28"/>
          <w:rtl w:val="true"/>
          <w:lang w:bidi="ar-SA"/>
        </w:rPr>
        <w:t>»</w:t>
      </w:r>
      <w:r>
        <w:rPr>
          <w:rStyle w:val="FootnoteAnchor"/>
          <w:rtl w:val="true"/>
        </w:rPr>
        <w:footnoteReference w:id="541"/>
      </w:r>
      <w:r>
        <w:rPr>
          <w:rFonts w:ascii="IRNazanin" w:hAnsi="IRNazanin" w:eastAsia="IRNazanin"/>
          <w:color w:val="111111"/>
          <w:sz w:val="28"/>
          <w:sz w:val="28"/>
          <w:szCs w:val="28"/>
          <w:rtl w:val="true"/>
          <w:lang w:bidi="fa-IR"/>
        </w:rPr>
        <w:t>، کما لا إشکال أیضاً فی</w:t>
      </w:r>
    </w:p>
    <w:p>
      <w:pPr>
        <w:pStyle w:val="BookText"/>
        <w:rPr/>
      </w:pPr>
      <w:r>
        <w:rPr>
          <w:rFonts w:ascii="IRNazanin" w:hAnsi="IRNazanin" w:eastAsia="IRNazanin"/>
          <w:color w:val="111111"/>
          <w:sz w:val="28"/>
          <w:sz w:val="28"/>
          <w:szCs w:val="28"/>
          <w:rtl w:val="true"/>
          <w:lang w:bidi="fa-IR"/>
        </w:rPr>
        <w:t>أنّها تشمل جمیع صیغ التخاطب حتّی صیغ التخاطب من الأوامر والنواهی، ووقع الإشکال بالنسبة إلی غیر الحاضرین مجلس التخاطب من جهات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تعلّق التکلیف الوارد فی الخطابات الشفاهیّة بالغائبین والمعدومین أو لا؟</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توجیه الخطاب إلی غیر الحاضرین حقیقة أو لا؟</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أدوات التخاطب لماذا وضعت؟</w:t>
      </w:r>
    </w:p>
    <w:p>
      <w:p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أنّ الکلام هنا لیس فی المعدوم بما هو هو، فإنّه لا معنی لتوجّه التکلیف إلیه لا فعلیاً ولا إنشائیاً، بل المراد منه المعدوم علی فرض وجوده وعلی نهج القضیّة الحقیقیّة ویمکن توجّه التکلیف فی فرض وجود موضوعه، کما فی القضایا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جواز مخاطبة المعدومین فجوابه ظهر ممّا مرّ، فإنّه إن کان المراد مخاطبة المعدوم بلحاظ العدم فلا یجوز قطعاً، وأمّا إذا کان بلحاظ حال الوجود فلا إشکال فیه، لأنّ حقیقة الخطاب توجیهه نحو الغیر مع الإیصال إلیه بأیّ وسیلة کانت سواء کان الغیر حاضراً أو غائباً، ولیست حقیقته المشافهة حتّی یختصّ جوازه بالحاضر فی المجلس، ولذلک تکتب الرسائل ویخاطب فیها الغائب أو تکتب الوصیة للجیل اللاحق وهم مخاطبون فیها، کما ورد فی وصیة أمیر المؤمنین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أُوصِیکُمَا، وَ جَمْیِعَ وَلَدِی وَ أَهْلِی وَ مَنْ بَلَغَهُ کِتَابِی، بِتَقْوَی اللَّهِ، وَ نَظْمِ أَمْرِکُمْ</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فإنّه یشمل جمیع الأجیال حتّی فی عصرنا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فالإشکال فیه ناشٍ عن توهّم وجود الملازمة بین الخطاب والحضور وأنّ الحضور لازم فیه، بینما أنّ حقیقة الخطاب هی توجیه الکلام نحو الغیر مع الإیصال إلیه بأیّ وسیلة کما تقدّم</w:t>
      </w:r>
      <w:r>
        <w:rPr>
          <w:rFonts w:eastAsia="IRNazanin" w:cs="IRNazanin"/>
          <w:color w:val="111111"/>
          <w:sz w:val="28"/>
          <w:szCs w:val="28"/>
          <w:rtl w:val="true"/>
          <w:lang w:bidi="fa-IR"/>
        </w:rPr>
        <w:t>.</w:t>
      </w:r>
      <w:bookmarkStart w:id="758" w:name="pg16918_187573"/>
    </w:p>
    <w:p>
      <w:pPr>
        <w:pStyle w:val="BookText"/>
        <w:rPr/>
      </w:pPr>
      <w:bookmarkEnd w:id="758"/>
      <w:r>
        <w:rPr>
          <w:rFonts w:ascii="IRNazanin" w:hAnsi="IRNazanin" w:eastAsia="IRNazanin"/>
          <w:color w:val="111111"/>
          <w:sz w:val="28"/>
          <w:sz w:val="28"/>
          <w:szCs w:val="28"/>
          <w:rtl w:val="true"/>
          <w:lang w:bidi="fa-IR"/>
        </w:rPr>
        <w:t>ثمّ إنّه لا ثمرة لهذا النزاع، حتّی لو فرضنا عدم شمول الخطاب للمعدومین، فإنّه لا ریب فی شمول التکلیف لهم لوجود أدلّة الاشتراک فی التکلیف، ولا حاجة فی ثبوت التکلیف إلی توجیه الخطاب إلیهم ولا ملازمة بین الأمرین</w:t>
      </w:r>
      <w:r>
        <w:rPr>
          <w:rFonts w:eastAsia="IRNazanin" w:cs="IRNazanin"/>
          <w:color w:val="111111"/>
          <w:sz w:val="28"/>
          <w:szCs w:val="28"/>
          <w:rtl w:val="true"/>
          <w:lang w:bidi="fa-IR"/>
        </w:rPr>
        <w:t>.</w:t>
      </w:r>
    </w:p>
    <w:p>
      <w:pPr>
        <w:pStyle w:val="Heading4"/>
        <w:numPr>
          <w:ilvl w:val="3"/>
          <w:numId w:val="1"/>
        </w:numPr>
        <w:rPr/>
      </w:pPr>
      <w:bookmarkStart w:id="759" w:name="__RefHeading___Toc96496_3244359995"/>
      <w:bookmarkStart w:id="760" w:name="_Toc288"/>
      <w:bookmarkEnd w:id="759"/>
      <w:r>
        <w:rPr/>
        <w:t>9</w:t>
      </w:r>
      <w:r>
        <w:rPr>
          <w:rtl w:val="true"/>
        </w:rPr>
        <w:t xml:space="preserve">. </w:t>
      </w:r>
      <w:r>
        <w:rPr>
          <w:rtl w:val="true"/>
        </w:rPr>
        <w:t>إذا تعقّب العامّ ضمیر یرجع إلی البعض</w:t>
      </w:r>
      <w:bookmarkEnd w:id="760"/>
    </w:p>
    <w:p>
      <w:pPr>
        <w:pStyle w:val="BookText"/>
        <w:rPr/>
      </w:pPr>
      <w:r>
        <w:rPr>
          <w:rFonts w:ascii="Amiri" w:hAnsi="Amiri" w:eastAsia="Amiri" w:cs="Amiri"/>
          <w:color w:val="111111"/>
          <w:sz w:val="28"/>
          <w:sz w:val="28"/>
          <w:szCs w:val="28"/>
          <w:rtl w:val="true"/>
          <w:lang w:bidi="ar-SA"/>
        </w:rPr>
        <w:t>إذا تعقّب العامّ ضمیر یرجع إلی بعضه، فهل یوجب ذلک تخصیصه أو لا؟ وقد اشتهر التمثیل لذلک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یَتَرَبَّصْنَ بِأَنفُسِهِنَّ ثَلَاثَةَ قُرُوءٍ وَلَا یَحِلُّ لَهُنَّ أَنْ یَکْتُمْنَ مَا خَلَقَ اللَّه فِی أَرْحَامِهِنَّ إِنْ کُنَّ یُؤْمِنَّ بِاللّه وَالْیَوْمِ الْآخِرِ وَبُعُولَتُهُنَّ أَحَقُّ بِرَدِّهِنَّ فِی ذَلِکَ</w:t>
      </w:r>
      <w:r>
        <w:rPr>
          <w:rFonts w:eastAsia="Amiri" w:cs="Amiri" w:ascii="Amiri" w:hAnsi="Amiri"/>
          <w:color w:val="111111"/>
          <w:sz w:val="28"/>
          <w:szCs w:val="28"/>
          <w:rtl w:val="true"/>
          <w:lang w:bidi="ar-SA"/>
        </w:rPr>
        <w:t>»</w:t>
      </w:r>
      <w:r>
        <w:rPr>
          <w:rStyle w:val="FootnoteAnchor"/>
          <w:rtl w:val="true"/>
        </w:rPr>
        <w:footnoteReference w:id="543"/>
      </w:r>
      <w:r>
        <w:rPr>
          <w:rFonts w:ascii="IRNazanin" w:hAnsi="IRNazanin" w:eastAsia="IRNazanin"/>
          <w:color w:val="111111"/>
          <w:sz w:val="28"/>
          <w:sz w:val="28"/>
          <w:szCs w:val="28"/>
          <w:rtl w:val="true"/>
          <w:lang w:bidi="fa-IR"/>
        </w:rPr>
        <w:t>فالضمیر فی بعولتهنّ راجع إلی خصوص الرجعیات من المطلّقات لا إلی المطلّقات مطلقاً حتّی البائنات، فهل عود الضمیر إلی بعض أفراد المطلّقات ممّا یوجب تخصیصها به ویکون المراد منها هو خصوص الرجعیّات فیختصّ التربّص والعدّة بهنّ فقط، أو لا یوجب ذلک بل المراد منها مطلق المطلّقات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نأخذ بأصالة العموم فلا یوجب إرجاع الضمیر إلی البعض تخصیص المطلّقات، أو نأخذ بأصالة عدم الاستخدام فیکون إرجاعه إلی البعض موجباً للتخصیص؟ 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أصالة العموم والالتزام بالاستخدام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أصالة عدم الاستخدام والالتزام بالتخصیص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کلیهما، أمّا أصالة عدم الاستخدام فلاختصاص مورد جریانها بما إذا کان الشکّ فی المراد، فلا تجری فیما إذا شکّ فی کیفیة الإرادة مع القطع بنفس المراد کما هو الحال فی جمیع الاصول اللفظیّة، وأمّا عدم جریان أصالة العموم</w:t>
      </w:r>
      <w:bookmarkStart w:id="761" w:name="pg16918_187574"/>
    </w:p>
    <w:p>
      <w:pPr>
        <w:pStyle w:val="BookText"/>
        <w:rPr/>
      </w:pPr>
      <w:bookmarkEnd w:id="761"/>
      <w:r>
        <w:rPr>
          <w:rFonts w:ascii="IRNazanin" w:hAnsi="IRNazanin" w:eastAsia="IRNazanin"/>
          <w:color w:val="111111"/>
          <w:sz w:val="28"/>
          <w:sz w:val="28"/>
          <w:szCs w:val="28"/>
          <w:rtl w:val="true"/>
          <w:lang w:bidi="fa-IR"/>
        </w:rPr>
        <w:t>فلاکتناف الکلام بما یصلح للقرینیة، فیسقط کلا الأصلین عن درجة الاعتبار</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 فی المسألة هو القول بجریان کلا الأصلین وظهور الضمیر فی نفس ما دلّ علیه المرجع من العموم، ویعامل مع الدلیل المخصِّص کسائر موارد التخصیص بحمله علی عدم تطابق الإرادة الجدّیة والاستعمالیّة فی خصوص حکم المخصَّص، فالضمیر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وبعولتهنّ أحقّ بردهنّ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المرجع قد استعملا فی معانیهما، بمعنی أنّه اطلق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وارید منها جمیعها واطلق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وارید منها تمام أفراد المرجع، ثمّ دلّ الدلیل من الخارج علی أنّ الإرادة الاستعمالیّة فی ناحیة الضمیر لا توافق الإرادة الجدّیة، فخصّص بالبائنات وبقیت الرجعیّات بحسب الجدّ، وحینئذٍ لا معنی لرفع الید عن ظهور المرجع لکون المخصّص لا یزاحم سوی الضمیر دون مرجعه</w:t>
      </w:r>
      <w:r>
        <w:rPr>
          <w:rFonts w:eastAsia="IRNazanin" w:cs="IRNazanin"/>
          <w:color w:val="111111"/>
          <w:sz w:val="28"/>
          <w:szCs w:val="28"/>
          <w:rtl w:val="true"/>
          <w:lang w:bidi="fa-IR"/>
        </w:rPr>
        <w:t>.</w:t>
      </w:r>
    </w:p>
    <w:p>
      <w:pPr>
        <w:pStyle w:val="Heading4"/>
        <w:numPr>
          <w:ilvl w:val="3"/>
          <w:numId w:val="1"/>
        </w:numPr>
        <w:rPr/>
      </w:pPr>
      <w:bookmarkStart w:id="762" w:name="__RefHeading___Toc96498_3244359995"/>
      <w:bookmarkStart w:id="763" w:name="_Toc289"/>
      <w:bookmarkEnd w:id="762"/>
      <w:r>
        <w:rPr/>
        <w:t>10</w:t>
      </w:r>
      <w:r>
        <w:rPr>
          <w:rtl w:val="true"/>
        </w:rPr>
        <w:t xml:space="preserve">. </w:t>
      </w:r>
      <w:r>
        <w:rPr>
          <w:rtl w:val="true"/>
        </w:rPr>
        <w:t>تخصیص العامّ بالمفهوم</w:t>
      </w:r>
      <w:bookmarkEnd w:id="763"/>
    </w:p>
    <w:p>
      <w:pPr>
        <w:pStyle w:val="BookText"/>
        <w:rPr/>
      </w:pPr>
      <w:r>
        <w:rPr>
          <w:rFonts w:ascii="IRNazanin" w:hAnsi="IRNazanin" w:eastAsia="IRNazanin"/>
          <w:color w:val="111111"/>
          <w:sz w:val="28"/>
          <w:sz w:val="28"/>
          <w:szCs w:val="28"/>
          <w:rtl w:val="true"/>
          <w:lang w:bidi="fa-IR"/>
        </w:rPr>
        <w:t>لا إشکال فی جواز تخصیص العامّ بالمفهوم إذا کان موافقاً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الضیف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فمفهومه وجوب إکرام الضیف إذا کان مسلماً فاسقاً بطریق أولی، وهذا المفهوم موافق للمنطوق فی الإیجاب ویکون خاصّاً بالنسبة إلی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فیستثنی منه الضیوف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المفهوم مخالفاً ففیه أقوال، وربما یتوهّم أنّ الدلالة المفهومیّة أضعف من الدلالة المنطوقیة فلا یکون الخاصّ إذا کان مفهوماً مخصّصاً للعامّ، والإنصاف أنّ مجرّد کون الخاصّ مفهوماً لا یوجب ضعفاً، بل ربما یکون المفهوم أقوی من المنطوق، بل قد یکون مقصود المتکلّم هو المفهوم فقط</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لا المنطوق بما هو منطوق یوجب قوّة للخاصّ ولا المفهوم بما هو</w:t>
      </w:r>
      <w:bookmarkStart w:id="764" w:name="pg16918_187575"/>
    </w:p>
    <w:p>
      <w:pPr>
        <w:pStyle w:val="BookText"/>
        <w:rPr/>
      </w:pPr>
      <w:bookmarkEnd w:id="764"/>
      <w:r>
        <w:rPr>
          <w:rFonts w:ascii="IRNazanin" w:hAnsi="IRNazanin" w:eastAsia="IRNazanin"/>
          <w:color w:val="111111"/>
          <w:sz w:val="28"/>
          <w:sz w:val="28"/>
          <w:szCs w:val="28"/>
          <w:rtl w:val="true"/>
          <w:lang w:bidi="fa-IR"/>
        </w:rPr>
        <w:t>مفهوم یوجب ضعفاً له، فیجوز تخصیص العامّ بالمفهوم کما یجوز تخصیصه بالمنطوق، نعم قد یکون العامّ أقوی من الخاصّ فلا یخصّص العامّ به کما إذا کان العامّ آبیاً عن التخصیص، لکنّه لا یختصّ بالمفهوم بل المنطوق أیضاً لا یخصّص العامّ إذا کان العامّ کذلک، نحو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یوافق من الحدیث القرآن فهو زخرف</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فإنّ هذا عامّ لا یمکن تخصیصه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الواجبات والمحرّمات، وأمّا إذا کان المورد من المستحبّات، فیحمل الخاصّ حینئذٍ علی تعدّد المطلوب، مثلًا إذا دلّ دلیل علی أنّ صلاة اللیل مستحبّ من نصف اللیل إلی آخره، ونهی دلیل آخر عن إتیانها فیما بعد النصف بلا فصل، أو أمر دلیل آخر بإتیانها فی آخر اللیل، فبهذین الدلیلین لا یخصّص عموم الدلیل الأوّل، بل کلّ منهما دالّ علی مرتبة من المطلوبیّة</w:t>
      </w:r>
      <w:r>
        <w:rPr>
          <w:rFonts w:eastAsia="IRNazanin" w:cs="IRNazanin"/>
          <w:color w:val="111111"/>
          <w:sz w:val="28"/>
          <w:szCs w:val="28"/>
          <w:rtl w:val="true"/>
          <w:lang w:bidi="fa-IR"/>
        </w:rPr>
        <w:t>.</w:t>
      </w:r>
    </w:p>
    <w:p>
      <w:pPr>
        <w:pStyle w:val="Heading4"/>
        <w:numPr>
          <w:ilvl w:val="3"/>
          <w:numId w:val="1"/>
        </w:numPr>
        <w:rPr/>
      </w:pPr>
      <w:bookmarkStart w:id="765" w:name="__RefHeading___Toc96500_3244359995"/>
      <w:bookmarkStart w:id="766" w:name="_Toc290"/>
      <w:bookmarkEnd w:id="765"/>
      <w:r>
        <w:rPr/>
        <w:t>11</w:t>
      </w:r>
      <w:r>
        <w:rPr>
          <w:rtl w:val="true"/>
        </w:rPr>
        <w:t xml:space="preserve">. </w:t>
      </w:r>
      <w:r>
        <w:rPr>
          <w:rtl w:val="true"/>
        </w:rPr>
        <w:t>الاستثناء المتعقّب للجمل المتعدّدة</w:t>
      </w:r>
      <w:bookmarkEnd w:id="766"/>
    </w:p>
    <w:p>
      <w:pPr>
        <w:pStyle w:val="BookText"/>
        <w:rPr/>
      </w:pPr>
      <w:r>
        <w:rPr>
          <w:rFonts w:ascii="Amiri" w:hAnsi="Amiri" w:eastAsia="Amiri" w:cs="Amiri"/>
          <w:color w:val="111111"/>
          <w:sz w:val="28"/>
          <w:sz w:val="28"/>
          <w:szCs w:val="28"/>
          <w:rtl w:val="true"/>
          <w:lang w:bidi="ar-SA"/>
        </w:rPr>
        <w:t>هل الاستثناء المتعقّب للجمل المتعدّدة فی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یَرْمُونَ الُمحْصَنَاتِ ثُمَّ لَمْ یَأْتُوا بِأَرْبَعَةِ شُهَدَاءَ فَاجْلِدُوهُمْ ثَمَانِینَ جَلْدَةً وَلَا تَقْبَلُوا لَهُمْ شَهَادَةً أَبَداً وَأُوْلَئِکَ هُمْ الْفَاسِقُونَ إِلَّا الَّذِینَ تَابُوا</w:t>
      </w:r>
      <w:r>
        <w:rPr>
          <w:rFonts w:eastAsia="Amiri" w:cs="Amiri" w:ascii="Amiri" w:hAnsi="Amiri"/>
          <w:color w:val="111111"/>
          <w:sz w:val="28"/>
          <w:szCs w:val="28"/>
          <w:rtl w:val="true"/>
          <w:lang w:bidi="ar-SA"/>
        </w:rPr>
        <w:t>»</w:t>
      </w:r>
      <w:r>
        <w:rPr>
          <w:rStyle w:val="FootnoteAnchor"/>
          <w:rtl w:val="true"/>
        </w:rPr>
        <w:footnoteReference w:id="548"/>
      </w:r>
      <w:r>
        <w:rPr>
          <w:rFonts w:ascii="IRNazanin" w:hAnsi="IRNazanin" w:eastAsia="IRNazanin"/>
          <w:color w:val="111111"/>
          <w:sz w:val="28"/>
          <w:sz w:val="28"/>
          <w:szCs w:val="28"/>
          <w:rtl w:val="true"/>
          <w:lang w:bidi="fa-IR"/>
        </w:rPr>
        <w:t>ظاهر فی الرجوع إلی الجمیع، أو إلی خصوص الأخیرة، أو لا ظهور له أصلًا بل یصیر الکلام مجملًا، ولابدّ فی التعیین من قرینة؟</w:t>
      </w:r>
    </w:p>
    <w:p>
      <w:pPr>
        <w:pStyle w:val="BookText"/>
        <w:rPr/>
      </w:pPr>
      <w:r>
        <w:rPr>
          <w:rFonts w:ascii="IRNazanin" w:hAnsi="IRNazanin" w:eastAsia="IRNazanin"/>
          <w:color w:val="111111"/>
          <w:sz w:val="28"/>
          <w:sz w:val="28"/>
          <w:szCs w:val="28"/>
          <w:rtl w:val="true"/>
          <w:lang w:bidi="fa-IR"/>
        </w:rPr>
        <w:t>فیه أقوال</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یرجع الاستثناء وهو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جمیع الأحکام الثلاثة، أی الجلد بثمانین جلدة، وعدم قبول الشهادة أبداً، والفسق، فتکون النتیجة حینئذٍ رفع جمیعها بالتوبة</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یرجع إلی خصوص الأخیر فیرفع به خصوص الفسق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بالإجمال مع کون القدر المتیقّن هو الأخیر</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غیر ذلک من التفاصیل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 فی المسألة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المتّبع فی باب الألفاظ هو الظهور العرفی، وهو یختلف باختلاف المقامات فحینئذٍ لو قامت قرینة أوجبت ظهور الکلام فی الرجوع إلی الجمیع أو إلی الأخیرة فهو المتّبع وإلّا فیصیر الکلام مجملًا یؤخذ بالقدر المتیقّن وهو الرجوع إلی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محلّ النزاع فی المقام هو ما إذا لم توجد فی البین قرینة مع أنّ آیة القذف المذکورة لیست خالیة عنها، وهی أنّ المشهور قبول شهادة القاذف إذا تاب بل لعلّه إجماعی ویدلّ علیه الروایات </w:t>
      </w:r>
      <w:r>
        <w:rPr>
          <w:rStyle w:val="FootnoteAnchor"/>
          <w:rtl w:val="true"/>
        </w:rPr>
        <w:footnoteReference w:id="553"/>
      </w:r>
      <w:r>
        <w:rPr>
          <w:rFonts w:ascii="IRNazanin" w:hAnsi="IRNazanin" w:eastAsia="IRNazanin"/>
          <w:color w:val="111111"/>
          <w:sz w:val="28"/>
          <w:sz w:val="28"/>
          <w:szCs w:val="28"/>
          <w:rtl w:val="true"/>
          <w:lang w:bidi="fa-IR"/>
        </w:rPr>
        <w:t>، وهذه قرینة خارجیّة تقتضی رجوع الاستثناء إلی الجمیع، وفی الآیة قرینة اخری داخلیة تقتضی الرجوع إلی الجمیع أیضاً حیث إنّ مقتضی الرجوع إلی الأخیرة عدالة القاذف إذا تاب ومقتضی المناسبة بین الحکم والموضوع والفهم العرفی قبول شهادته حینئذٍ</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لو قلنا بالإجمال وأنّ الاستثناء المتعقّب لجمل متعدّدة لا یکون ظاهراً فی الرجوع إلی الجمیع ولا فی الرجوع إلی خصوص الأخیرة بعد صلوحه لکلّ منهما، یسقط العمومات غیر الأخیرة عن الحجّیة، فلا یکون ما سوی الأخیرة ظاهراً فی العموم لکونه محفوفاً بما یصلح للقرینیة، فلابدّ فی محلّ الشکّ من الرجوع إلی الأصل العملی</w:t>
      </w:r>
      <w:r>
        <w:rPr>
          <w:rFonts w:eastAsia="IRNazanin" w:cs="IRNazanin"/>
          <w:color w:val="111111"/>
          <w:sz w:val="28"/>
          <w:szCs w:val="28"/>
          <w:rtl w:val="true"/>
          <w:lang w:bidi="fa-IR"/>
        </w:rPr>
        <w:t>.</w:t>
      </w:r>
      <w:bookmarkStart w:id="767" w:name="pg16918_187577"/>
    </w:p>
    <w:p>
      <w:pPr>
        <w:pStyle w:val="Heading4"/>
        <w:numPr>
          <w:ilvl w:val="3"/>
          <w:numId w:val="1"/>
        </w:numPr>
        <w:rPr/>
      </w:pPr>
      <w:bookmarkStart w:id="768" w:name="__RefHeading___Toc96502_3244359995"/>
      <w:bookmarkStart w:id="769" w:name="_Toc291"/>
      <w:bookmarkEnd w:id="767"/>
      <w:bookmarkEnd w:id="768"/>
      <w:r>
        <w:rPr/>
        <w:t>12</w:t>
      </w:r>
      <w:r>
        <w:rPr>
          <w:rtl w:val="true"/>
        </w:rPr>
        <w:t xml:space="preserve">. </w:t>
      </w:r>
      <w:r>
        <w:rPr>
          <w:rtl w:val="true"/>
        </w:rPr>
        <w:t>تخصیص عمومات الکتاب بخبر الواحد</w:t>
      </w:r>
      <w:bookmarkEnd w:id="769"/>
    </w:p>
    <w:p>
      <w:pPr>
        <w:pStyle w:val="BookText"/>
        <w:rPr/>
      </w:pPr>
      <w:r>
        <w:rPr>
          <w:rFonts w:ascii="IRNazanin" w:hAnsi="IRNazanin" w:eastAsia="IRNazanin"/>
          <w:color w:val="111111"/>
          <w:sz w:val="28"/>
          <w:sz w:val="28"/>
          <w:szCs w:val="28"/>
          <w:rtl w:val="true"/>
          <w:lang w:bidi="fa-IR"/>
        </w:rPr>
        <w:t>لا إشکال فی جواز تخصیص عمومات الکتاب بالخبر المتواتر، إنّما الکلام فی تخصیصها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للجواز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المستمرّة من زمن النّبی الأکرم صلی الله علیه و آله والأئمّة المعصومین علیهم السلام فإنّ أصحابهم کثیراً ما یتمسّکون بالأخبار فی قبال عمومات الکتاب ولم ینکر ذلک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لولاه لزم إلغاء الخبر بالمرّة، إذ ما من خبر إلّاوهو مخالف لعموم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 کلّ واحد من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السیرة فبأنّ القدر المتیقّن منها ما إذا کانت أخبار الآحاد محفوفة بالقرینة خصوصاً مع وجود القرائن الکثیرة فی عصر الحضور، ولو لم نقطع به فلا أقلّ من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أنّ فی الکتاب عمومات کثیرة لم تخصّص أصلًا حیث إنّ کثیراً من عمومات الکتاب لیس الشارع فیها فی مقام البیان من قبیل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لَکُمْ مَا فِی الْأَرْضِ جَمِیعاً</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حیث إنّ معناه أنّ جمیع ما خلق فی الأرض یکون بنفعکم، ولیس مفاده منحصراً فی خصوص منفعة الأکل حتّی یخصّص بما ورد من أدلّة حرمة الأکل بالنسبة إلی بعض الأشیاء، وهکذا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w:t>
      </w:r>
      <w:r>
        <w:rPr>
          <w:rStyle w:val="FootnoteAnchor"/>
          <w:rtl w:val="true"/>
        </w:rPr>
        <w:footnoteReference w:id="555"/>
      </w:r>
      <w:r>
        <w:rPr>
          <w:rFonts w:ascii="IRNazanin" w:hAnsi="IRNazanin" w:eastAsia="IRNazanin"/>
          <w:color w:val="111111"/>
          <w:sz w:val="28"/>
          <w:sz w:val="28"/>
          <w:szCs w:val="28"/>
          <w:rtl w:val="true"/>
          <w:lang w:bidi="fa-IR"/>
        </w:rPr>
        <w:t>، فإنّه لیس فی مقام البیان حتّی ینافیه ویخصّصه ما یدلّ علی أنّ الزکاة فی تسعة أشیاء</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والأولی فی المقام أن یستدلّ بعمومات أدلّة حجّیة خبر الواحد کبناء العقلاء ومفهوم آیة النبأ، فإنّها تدلّ علی العمل به ولو فی مقابل عمومات الکتاب والسنّة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المانعون فاحتجّوا للمنع بوجوه عمدتها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الکتاب قطعی وخبر الواحد ظنّی، والظنّی لا یعارض القطعی لعدم مقاومته له فیلغی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الدوران والتعارض یقع فی الحقیقة بین أصالة العموم فی العامّ الوارد فی الکتاب وهو من الدلیل الظنّی، وبین دلیل حجّیة الخبر، وحیث إنّ الخاصّ أقوی دلالة من العامّ، فلا شبهة فی تقدیمه علیه بعد أن ثبتت حجّیته بدلیل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بدلالته وسنده صالح عرفاً للقرینیة علی التصرّف فی أصالة العموم بخلاف أصالة العموم؛ فإنّها لا تصلح لرفع الید عن دلیل اعتبار الخبر، لأنّ اعتبار أصالة العموم منوط بعدم قرینة علی خلافها، والمفروض أنّ الخبر الخاصّ بدلالته وسنده یصلح لذلک، فلا مجال لأصالة العموم مع القرینة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فی الجواب عن هذا الوجه، ویمکن الجواب عنه أیضاً بما بیّناه سابقاً من أنّ العمومات الواردة فی الکتاب والسنّة یجوز تخصیصها لحکمة تدریجیّة بیان الأحکام فی الشریعة المقدّسة الّتی جرت علیها سیرة الشارع، وفی خصوص الکتاب جرت أیضاً علی بیان امّهات الأحکام غالباً وفوّض شرحها وبیان جزئیاتها إلی سنّة النّبی الأکرم صلی الله علیه و آله والأئمّة المعصومین علیهم السلام، فالقرآن حینئذٍ بمنزلة القانون الأساسی فی یومنا هذا الذی فیه بیان امّهات المسائل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وهو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الکثیرة الدالّة علی أنّ الأخبار المخالفة للقرآن باطلة أو یجب طرحها أو غیرهما من المضامین المشابهة، کقول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علیکم حدیث فوجدتم له شاهداً من کتاب اللَّه أو من قول رسول اللَّه صلی الله علیه و آله، وإلّا فالذی جاءکم به أولی به</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یوافق من الحدیث القرآن فهو زخرف</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حقّ حقیقة وعلی کلّ صواب نوراً فما وافق کتاب اللَّه فخذوه، وما خالف کتاب</w:t>
      </w:r>
    </w:p>
    <w:p>
      <w:pPr>
        <w:pStyle w:val="BookText"/>
        <w:rPr/>
      </w:pPr>
      <w:r>
        <w:rPr>
          <w:rFonts w:ascii="Amiri" w:hAnsi="Amiri" w:eastAsia="Amiri" w:cs="Amiri"/>
          <w:color w:val="111111"/>
          <w:sz w:val="28"/>
          <w:sz w:val="28"/>
          <w:szCs w:val="28"/>
          <w:rtl w:val="true"/>
          <w:lang w:bidi="ar-SA"/>
        </w:rPr>
        <w:t>اللَّه فدعوه</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ومقتضی هذه الأخبار وجوب طرح ما خالف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عنه من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مخالفة الخاصّ مع العامّ لیست بمخالفة عرفاً بل یعدّ الخاصّ حینئذٍ بیاناً للعامّ وشرحاً له، وهذا الجواب سلیم عن الإشکال بعد ما مرّ من أنّ سیرة الشارع استقرّت علی البیان التدریجی للأحکام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قطع النظر عن هذه النکتة فلا ریب فی أنّ ورود الخاصّ المنفصل بعد العامّ یعدّ عرفاً معارضاً للعامّ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صدق المخالفة عرفاً، إلّاأنّ المراد من المخالفة فی الأخبار الآمرة بردّ المخالف للکتاب هو غیر مخالفة العموم والخصوص مطلقاً قطعاً، وذلک للعلم بصدور أخبار کثیرة مخالفة للکتاب بالعموم والخصوص إجمالًا وجریان السیرة القطعیّة وقیام الإجماع علی العمل بها فی مقابل عمومات الکتاب، ولا یکون ذلک إلّا لتخصیص المخالفة الّتی هی موضوع الأخبار الآمرة بطرح الخبر المخالف للکتاب بالمخالفة علی نحو التباین وإخراج المخالفة بالعموم والخصوص مطلقاً عنها، إذن فالأخبار الآمرة بردّ المخالف محمولة علی المخالفة علی نحو التباین؛ لأنّ لسانها آبٍ عن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واورد علی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إخراج المخالفة بالعموم والخصوص المطلق من الأخبار الآمرة بطرح المخالف للکتاب واختصاصها بالمخالفة علی نحو التباین یستلزم بقاؤها بلا مورد، لأنّا لم نظفر علی خبر مخالف علی هذا الوجه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الشیخ الأعظم الأنصاری رحمه الله عن هذه المشکلة بما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عدم الظفر علی المخالف بالتباین الآن، أی بعد تنقیح الأخبار وتهذیبها مرّات عدیدة بأیدی أکابر أصحاب الحدیث وضبطها فی الاصول الأربعمائة والجوامع الأوّلیة ثمّ فی الاصول الأربعة لا یلازم عدم وجوده فیما قبل</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bookmarkStart w:id="770" w:name="pg16918_187580"/>
    </w:p>
    <w:p>
      <w:pPr>
        <w:pStyle w:val="BookText"/>
        <w:rPr/>
      </w:pPr>
      <w:bookmarkEnd w:id="770"/>
      <w:r>
        <w:rPr>
          <w:rFonts w:ascii="IRNazanin" w:hAnsi="IRNazanin" w:eastAsia="IRNazanin"/>
          <w:color w:val="111111"/>
          <w:sz w:val="28"/>
          <w:sz w:val="28"/>
          <w:szCs w:val="28"/>
          <w:rtl w:val="true"/>
          <w:lang w:bidi="fa-IR"/>
        </w:rPr>
        <w:t>ویؤیّد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بعض الأخبار فی جوامع الحدیث غیر المهذّبة تخالف الکتاب علی نحو التباین أو تخالف بعض المسلّمات والضروریات</w:t>
      </w:r>
      <w:r>
        <w:rPr>
          <w:rFonts w:eastAsia="IRNazanin" w:cs="IRNazanin"/>
          <w:color w:val="111111"/>
          <w:sz w:val="28"/>
          <w:szCs w:val="28"/>
          <w:rtl w:val="true"/>
          <w:lang w:bidi="fa-IR"/>
        </w:rPr>
        <w:t>.</w:t>
      </w:r>
    </w:p>
    <w:p>
      <w:pPr>
        <w:pStyle w:val="Heading4"/>
        <w:numPr>
          <w:ilvl w:val="3"/>
          <w:numId w:val="1"/>
        </w:numPr>
        <w:rPr/>
      </w:pPr>
      <w:bookmarkStart w:id="771" w:name="__RefHeading___Toc96504_3244359995"/>
      <w:bookmarkStart w:id="772" w:name="_Toc292"/>
      <w:bookmarkEnd w:id="771"/>
      <w:r>
        <w:rPr/>
        <w:t>13</w:t>
      </w:r>
      <w:r>
        <w:rPr>
          <w:rtl w:val="true"/>
        </w:rPr>
        <w:t xml:space="preserve">. </w:t>
      </w:r>
      <w:r>
        <w:rPr>
          <w:rtl w:val="true"/>
        </w:rPr>
        <w:t>دوران العامّ والخاصّ بین النسخ والتخصیص</w:t>
      </w:r>
      <w:bookmarkEnd w:id="772"/>
    </w:p>
    <w:p>
      <w:pPr>
        <w:pStyle w:val="BookText"/>
        <w:rPr/>
      </w:pPr>
      <w:r>
        <w:rPr>
          <w:rFonts w:ascii="IRNazanin" w:hAnsi="IRNazanin" w:eastAsia="IRNazanin"/>
          <w:color w:val="111111"/>
          <w:sz w:val="28"/>
          <w:sz w:val="28"/>
          <w:szCs w:val="28"/>
          <w:rtl w:val="true"/>
          <w:lang w:bidi="fa-IR"/>
        </w:rPr>
        <w:t>إذا ورد عامّ وخاصّ فتارةً یکون تاریخ کلیهما معلوماً، واخری یکون تاریخ أحدهما أو کلیهما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فله صور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الخاصّ مقارناً للعامّ، فإنّه حینئذٍ مخصّص له بلا إشکال نحو أکرم العلماء إلّازیداً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الخاصّ غیر مقارن للعامّ، لکن ورد قبل حضور وقت العمل بالعامّ، کما إذا قال المولی فی أوّل الاسبوع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فی وسطه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فحکمها التخصیص ولا یجوز فیها النسخ، لأنّ جواز النسخ من ناحیة المولی الحکیم مشروط بحضور وقت العمل بالمنسوخ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الخاصّ غیر مقارن للعامّ وورد بعد حضور وقت العمل به، کما إذا قال فی الاسبوع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فی الاسبوع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فذهب جمع إلی کونه ناسخاً لا مخصّصاً لئلّا یلزم تأخیر البیان عن وقت الحاجة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إذا احرز أنّ العامّ قد ورد لبیان الحکم الواقعی، أمّا إذا کان متکفّلًا لبیان الحکم الظاهری کما هو الغالب بل هکذا سنّة الشارع وسیرته العملیّة فی بیان الأحکام الشرعیّة حیث إنّه من دأبه أن یبیّن الأحکام تدریجاً، فحینئذٍ یکون الخاصّ مخصّصاً لا ناسخاً لأنّ النسخ فی هذه الصورة وإن کان ممکناً ثبوتاً ولکن ندرته وشیوع التخصیص یوجب تقویة ظهور الخاصّ فی العموم الأزمانی وتضعیف</w:t>
      </w:r>
    </w:p>
    <w:p>
      <w:pPr>
        <w:pStyle w:val="BookText"/>
        <w:rPr/>
      </w:pPr>
      <w:r>
        <w:rPr>
          <w:rFonts w:ascii="IRNazanin" w:hAnsi="IRNazanin" w:eastAsia="IRNazanin"/>
          <w:color w:val="111111"/>
          <w:sz w:val="28"/>
          <w:sz w:val="28"/>
          <w:szCs w:val="28"/>
          <w:rtl w:val="true"/>
          <w:lang w:bidi="fa-IR"/>
        </w:rPr>
        <w:t>ظهور العامّ فی العموم الأفرادی، فیقدّم الظهور فی الأوّل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الثانیة، وهی أن یرد العامّ بعد الخاصّ غیر مقارن له وقبل حضور وقت العمل بالخاصّ، فحکمها حکم الصورة الثانیة لنفس الدلیل المذکور فیها، وهو کون النسخ قبل العمل قبیحاً للمولی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العامّ بعد الخاصّ وغیرمقارن له وورد بعد حضور وقت العمل بالخاصّ، فیدور الأمر فیها بین النسخ والتخصیص لجواز کلّ منهما عند الکلّ، أمّا التخصیص فلعدم استلزامه تأخیر البیان عن وقت الحاجة، وأمّا جواز النسخ فلکونه بعد حضور وقت العمل بالخاصّ، والمشهور علی ترجیح التخصیص علی النسخ، فیقدّم علیه وذلک لندرة النسخ وشیوع التخصیص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الثانی فتأتی فیه جمیع الاحتمالات الخمسة المذکورة، وبما أنّ الحکم کان فی بعضها النسخ وهو الصورة الثالثة علی مبنی القوم، فیتردّد الأمر فی هذا القسم بین النسخ والتخصیص علی مبنی القوم، ویصیر الحکم مبهماً من ناحیة الاصول اللفظیّة وحینئذٍ تصل النوبة إلی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ما تسلّمه جمع من عدم جواز النسخ قبل العمل أوّلًا وعدم جواز تأخیر البیان عن وقت الحاجة ثانیاً، مع أنّهما قابلان للمناقشة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إشکال فی جواز النسخ قبل العمل فی الأوامر الامتحانیّة کما وقع فی قضیة ذبح إبراهیم ولده إسماعیل علیهما السلام؛ حیث کان الأمر فیه امتحانیّاً یحصل بنفس التهیّؤ للعمل فإذا وقع التهیّؤ وحضر وقته یحصل المقصود من الامتحان، وحینئذٍ یمکن النسخ، ولا إشکال فی جوازه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کانت الأوامر غیر امتحانیّة وکان الغرض فیها حصول نفس العمل فی الخارج لا الامتحان، فرفع الطلب ونسخ الحکم حینئذٍ وإن کان یوجب کون الحکم لغواً، إلّاأنّه قد تکون المصلحة فی نفس الإنشاء وذلک لوجود مصلحة فی البین کالتقیّة، وحینئذٍ یجوز جعل الحکم ونسخه کالأوامر الامتحانیّة</w:t>
      </w:r>
      <w:r>
        <w:rPr>
          <w:rFonts w:eastAsia="IRNazanin" w:cs="IRNazanin"/>
          <w:color w:val="111111"/>
          <w:sz w:val="28"/>
          <w:szCs w:val="28"/>
          <w:rtl w:val="true"/>
          <w:lang w:bidi="fa-IR"/>
        </w:rPr>
        <w:t>.</w:t>
      </w:r>
      <w:bookmarkStart w:id="773" w:name="pg16918_187582"/>
    </w:p>
    <w:p>
      <w:pPr>
        <w:pStyle w:val="BookText"/>
        <w:rPr/>
      </w:pPr>
      <w:bookmarkEnd w:id="773"/>
      <w:r>
        <w:rPr>
          <w:rFonts w:ascii="IRNazanin" w:hAnsi="IRNazanin" w:eastAsia="IRNazanin"/>
          <w:color w:val="111111"/>
          <w:sz w:val="28"/>
          <w:sz w:val="28"/>
          <w:szCs w:val="28"/>
          <w:rtl w:val="true"/>
          <w:lang w:bidi="fa-IR"/>
        </w:rPr>
        <w:t>وأمّا 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النقاش فیه من جهة أنّ عدم جواز تأخیر البیان عن وقت الحاجة یمکن أن یکون لواحدٍ من الثلاثة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الإلقاء فی المفسدة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ولم یستثن زیداً العالم مع أنّه کان خارجاً عن حکم الإکرام عنده وکان إکرامه ذا مفسدة فی الواقع، فإنّه حینئذٍ یوجب إلقاء العبد فی تلک المفسدة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تفویت المصلحة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وکان إکرام الضیف مثلًا ذا مصلحة فی الواقع ولم یستثنه فإنّه یوجب تفویت تلک المصلحة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الإلقاء فی الکلفة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جمیع العلماء، ولم یکن إکرام جماعة منهم واجباً مع أنّ إکرامهم یستلزم تحمّل المشقّة الزائدة للعبد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الثلاثة کلّها محذورات واضحة، ولکنّها لا تقاوم مصلحة أقوی کالمصلحة الموجودة فی تدریجیة بیان الأحکام، فمعها لا إشکال فی جواز تأخیر البیان عن وقت الحاجة</w:t>
      </w:r>
      <w:r>
        <w:rPr>
          <w:rFonts w:eastAsia="IRNazanin" w:cs="IRNazanin"/>
          <w:color w:val="111111"/>
          <w:sz w:val="28"/>
          <w:szCs w:val="28"/>
          <w:rtl w:val="true"/>
          <w:lang w:bidi="fa-IR"/>
        </w:rPr>
        <w:t>.</w:t>
      </w:r>
    </w:p>
    <w:p>
      <w:pPr>
        <w:pStyle w:val="Heading4"/>
        <w:numPr>
          <w:ilvl w:val="3"/>
          <w:numId w:val="1"/>
        </w:numPr>
        <w:rPr/>
      </w:pPr>
      <w:bookmarkStart w:id="774" w:name="__RefHeading___Toc96506_3244359995"/>
      <w:bookmarkStart w:id="775" w:name="_Toc293"/>
      <w:bookmarkEnd w:id="774"/>
      <w:r>
        <w:rPr/>
        <w:t>14</w:t>
      </w:r>
      <w:r>
        <w:rPr>
          <w:rtl w:val="true"/>
        </w:rPr>
        <w:t xml:space="preserve">. </w:t>
      </w:r>
      <w:r>
        <w:rPr>
          <w:rtl w:val="true"/>
        </w:rPr>
        <w:t>الکلام فی النسخ</w:t>
      </w:r>
      <w:bookmarkEnd w:id="775"/>
    </w:p>
    <w:p>
      <w:pPr>
        <w:pStyle w:val="Heading5"/>
        <w:numPr>
          <w:ilvl w:val="4"/>
          <w:numId w:val="1"/>
        </w:numPr>
        <w:rPr/>
      </w:pPr>
      <w:bookmarkStart w:id="776" w:name="__RefHeading___Toc96508_3244359995"/>
      <w:bookmarkStart w:id="777" w:name="_Toc294"/>
      <w:bookmarkEnd w:id="776"/>
      <w:r>
        <w:rPr>
          <w:rtl w:val="true"/>
        </w:rPr>
        <w:t>اشارة</w:t>
      </w:r>
      <w:bookmarkEnd w:id="777"/>
    </w:p>
    <w:p>
      <w:pPr>
        <w:pStyle w:val="BookText"/>
        <w:rPr/>
      </w:pPr>
      <w:r>
        <w:rPr>
          <w:rFonts w:ascii="IRNazanin" w:hAnsi="IRNazanin" w:eastAsia="IRNazanin"/>
          <w:color w:val="111111"/>
          <w:sz w:val="28"/>
          <w:sz w:val="28"/>
          <w:szCs w:val="28"/>
          <w:rtl w:val="true"/>
          <w:lang w:bidi="fa-IR"/>
        </w:rPr>
        <w:t>والوجه فی التعرّض لهذه المسألة فی مباحث التخصیص، شدّة إرتباطها بهذه المسألة، کما ظهر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النسخ لغة کما 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إزالة الشی‌ء بشی‌ء یتعقّبه کنسخ الشمس الظلّ والظلّ الشمس والشیب الشباب، فتارةً یفهم منه الإزالة وتارةً یفهم منه الإثبات وتارةً الأمران</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فاشرب فی ماهیة النسخ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الإزالة والإثبات، وقد یستعمل النسخ فی خصوص معنی الإزالة، کما قد یستعمل فی خصوص معنی الإثبات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الاصطلاح فذکر له تعاریف،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الحکم الثابت إثباتاً إلّاأنّه فی</w:t>
      </w:r>
      <w:bookmarkStart w:id="778" w:name="pg16918_187583"/>
    </w:p>
    <w:p>
      <w:pPr>
        <w:pStyle w:val="BookText"/>
        <w:rPr/>
      </w:pPr>
      <w:bookmarkEnd w:id="778"/>
      <w:r>
        <w:rPr>
          <w:rFonts w:ascii="IRNazanin" w:hAnsi="IRNazanin" w:eastAsia="IRNazanin"/>
          <w:color w:val="111111"/>
          <w:sz w:val="28"/>
          <w:sz w:val="28"/>
          <w:szCs w:val="28"/>
          <w:rtl w:val="true"/>
          <w:lang w:bidi="fa-IR"/>
        </w:rPr>
        <w:t>الحقیقة دفع الحکم ثبوتاً</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 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انتهاء أمد الحکم المجعول لانتهاء الحکمة الداعیة إلی جعله</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والأحسن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رفع حکم تکلیفی أو وضعی مع بقاء موضوعه؛ ثبوتاً أو إثباتاً</w:t>
      </w:r>
      <w:r>
        <w:rPr>
          <w:rFonts w:eastAsia="IRNazanin" w:cs="IRNazanin"/>
          <w:color w:val="111111"/>
          <w:sz w:val="28"/>
          <w:szCs w:val="28"/>
          <w:rtl w:val="true"/>
          <w:lang w:bidi="fa-IR"/>
        </w:rPr>
        <w:t>.</w:t>
      </w:r>
    </w:p>
    <w:p>
      <w:pPr>
        <w:pStyle w:val="Heading5"/>
        <w:numPr>
          <w:ilvl w:val="4"/>
          <w:numId w:val="1"/>
        </w:numPr>
        <w:rPr/>
      </w:pPr>
      <w:bookmarkStart w:id="779" w:name="__RefHeading___Toc96510_3244359995"/>
      <w:bookmarkStart w:id="780" w:name="_Toc295"/>
      <w:bookmarkEnd w:id="779"/>
      <w:r>
        <w:rPr>
          <w:rtl w:val="true"/>
        </w:rPr>
        <w:t>هل یجوز النسخ فی حکم اللَّه تعالی أو لا؟</w:t>
      </w:r>
      <w:bookmarkEnd w:id="780"/>
    </w:p>
    <w:p>
      <w:pPr>
        <w:pStyle w:val="BookText"/>
        <w:rPr/>
      </w:pPr>
      <w:r>
        <w:rPr>
          <w:rFonts w:ascii="IRNazanin" w:hAnsi="IRNazanin" w:eastAsia="IRNazanin"/>
          <w:color w:val="111111"/>
          <w:sz w:val="28"/>
          <w:sz w:val="28"/>
          <w:szCs w:val="28"/>
          <w:rtl w:val="true"/>
          <w:lang w:bidi="fa-IR"/>
        </w:rPr>
        <w:t xml:space="preserve">المشهور أو المجمع علیه بین المسلمین جوازه ونسب إلی الیهود والنصاری أنّه مستحیل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لذلک بأنّه إن کان الحکم المنسوخ ذا مصلحة فلابدّ من دوامه وبقائه ولا وجه لنسخه وإزالته، وإن لم یکن ذا مصلحة فاللازم عدم جعله ابتداءً إلّاإذا کان الجاعل جاهلًا بحقائق الامور، تعالی اللَّه عن ذلک علوّاً کبیراً، کما أنّ النسخ فی الأحکام العرفیّة أیضاً یرجع إلی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إلی جهل الجاعل من أوّل الأمر بعدم وجود المصلحة فی الحکم، وإمّا إلی جهله بعدم دوام المصلحة وعدم کونه عالماً بالمستقبل، وبما أن اللَّه تعالی لا یتصوّر فیه الجهل بالمستقبل حدوثاً وبقاءً یستحیل النسخ بالنسبة إلیه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 واضح فإنّه لا إشکال فی أن یکون لشی‌ء مصلحة فی زمان دون زمان آخر کالدواء الذی نافع للمریض یوماً وضارّ یوماً آخر، کما أنّ الرجوع إلی التاریخ وشأن نزول الآیات فی قصّة القبلة</w:t>
      </w:r>
      <w:r>
        <w:rPr>
          <w:rStyle w:val="FootnoteAnchor"/>
          <w:rtl w:val="true"/>
        </w:rPr>
        <w:footnoteReference w:id="564"/>
      </w:r>
      <w:r>
        <w:rPr>
          <w:rFonts w:ascii="IRNazanin" w:hAnsi="IRNazanin" w:eastAsia="IRNazanin"/>
          <w:color w:val="111111"/>
          <w:sz w:val="28"/>
          <w:sz w:val="28"/>
          <w:szCs w:val="28"/>
          <w:rtl w:val="true"/>
          <w:lang w:bidi="fa-IR"/>
        </w:rPr>
        <w:t>یرشدنا إلی هذه النکتة، وحینئذٍ یکون</w:t>
      </w:r>
    </w:p>
    <w:p>
      <w:pPr>
        <w:pStyle w:val="BookText"/>
        <w:rPr/>
      </w:pPr>
      <w:r>
        <w:rPr>
          <w:rFonts w:ascii="IRNazanin" w:hAnsi="IRNazanin" w:eastAsia="IRNazanin"/>
          <w:color w:val="111111"/>
          <w:sz w:val="28"/>
          <w:sz w:val="28"/>
          <w:szCs w:val="28"/>
          <w:rtl w:val="true"/>
          <w:lang w:bidi="fa-IR"/>
        </w:rPr>
        <w:t>النسخ بمعنی انتهاء أمد الحکم وزوال المصلحة، ومن هنا ذهب المشهور إلی أنّ النسخ دفع الحکم لا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یظهر جواز وقوع النسخ فی القرآن؛ سواء کان الناسخ والمنسوخ کلاهما فی القرآن کما فی آیة النجوی </w:t>
      </w:r>
      <w:r>
        <w:rPr>
          <w:rStyle w:val="FootnoteAnchor"/>
          <w:rtl w:val="true"/>
        </w:rPr>
        <w:footnoteReference w:id="565"/>
      </w:r>
      <w:r>
        <w:rPr>
          <w:rFonts w:ascii="IRNazanin" w:hAnsi="IRNazanin" w:eastAsia="IRNazanin"/>
          <w:color w:val="111111"/>
          <w:sz w:val="28"/>
          <w:sz w:val="28"/>
          <w:szCs w:val="28"/>
          <w:rtl w:val="true"/>
          <w:lang w:bidi="fa-IR"/>
        </w:rPr>
        <w:t>، أو کان خصوص الناسخ فیه کما فی حکم القبلة</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فی القسم الأوّل مشمول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کَانَ مِنْ عِنْدِ غَیْرِ اللَّه لَوَجَدُوا فِیهِ اخْتِلافاً کَثِیراً</w:t>
      </w:r>
      <w:r>
        <w:rPr>
          <w:rFonts w:eastAsia="Amiri" w:cs="Amiri" w:ascii="Amiri" w:hAnsi="Amiri"/>
          <w:color w:val="111111"/>
          <w:sz w:val="28"/>
          <w:szCs w:val="28"/>
          <w:rtl w:val="true"/>
          <w:lang w:bidi="ar-SA"/>
        </w:rPr>
        <w:t>»</w:t>
      </w:r>
      <w:r>
        <w:rPr>
          <w:rStyle w:val="FootnoteAnchor"/>
          <w:rtl w:val="true"/>
        </w:rPr>
        <w:footnoteReference w:id="567"/>
      </w:r>
      <w:r>
        <w:rPr>
          <w:rFonts w:ascii="IRNazanin" w:hAnsi="IRNazanin" w:eastAsia="IRNazanin"/>
          <w:color w:val="111111"/>
          <w:sz w:val="28"/>
          <w:sz w:val="28"/>
          <w:szCs w:val="28"/>
          <w:rtl w:val="true"/>
          <w:lang w:bidi="fa-IR"/>
        </w:rPr>
        <w:t>، لأنّ جوابه واضح، وهو وجود القرینة فی هذه الموارد إمّا علی أنّ الآیة المنسوخة ستنسخ أو علی ناسخیة الآیة الناسخة فتکون إحدی الآیتین ناظرة إلی الاخری، ولا إشکال حینئذٍ فی عدم صدق الاختلاف</w:t>
      </w:r>
      <w:r>
        <w:rPr>
          <w:rFonts w:eastAsia="IRNazanin" w:cs="IRNazanin"/>
          <w:color w:val="111111"/>
          <w:sz w:val="28"/>
          <w:szCs w:val="28"/>
          <w:rtl w:val="true"/>
          <w:lang w:bidi="fa-IR"/>
        </w:rPr>
        <w:t>.</w:t>
      </w:r>
      <w:bookmarkStart w:id="781" w:name="pg16918_187586"/>
    </w:p>
    <w:p>
      <w:pPr>
        <w:pStyle w:val="Heading3"/>
        <w:numPr>
          <w:ilvl w:val="2"/>
          <w:numId w:val="1"/>
        </w:numPr>
        <w:rPr/>
      </w:pPr>
      <w:bookmarkStart w:id="782" w:name="__RefHeading___Toc96512_3244359995"/>
      <w:bookmarkStart w:id="783" w:name="_Toc296"/>
      <w:bookmarkEnd w:id="781"/>
      <w:bookmarkEnd w:id="782"/>
      <w:r>
        <w:rPr>
          <w:rtl w:val="true"/>
        </w:rPr>
        <w:t>الفصل الثامن</w:t>
      </w:r>
      <w:r>
        <w:rPr>
          <w:rtl w:val="true"/>
        </w:rPr>
        <w:t xml:space="preserve">: </w:t>
      </w:r>
      <w:r>
        <w:rPr>
          <w:rtl w:val="true"/>
        </w:rPr>
        <w:t>المطلق والمقیّد</w:t>
      </w:r>
      <w:bookmarkEnd w:id="783"/>
    </w:p>
    <w:p>
      <w:pPr>
        <w:pStyle w:val="Heading4"/>
        <w:numPr>
          <w:ilvl w:val="3"/>
          <w:numId w:val="1"/>
        </w:numPr>
        <w:rPr/>
      </w:pPr>
      <w:bookmarkStart w:id="784" w:name="__RefHeading___Toc96514_3244359995"/>
      <w:bookmarkStart w:id="785" w:name="_Toc297"/>
      <w:bookmarkEnd w:id="784"/>
      <w:r>
        <w:rPr>
          <w:rtl w:val="true"/>
        </w:rPr>
        <w:t>اشارة</w:t>
      </w:r>
      <w:bookmarkEnd w:id="785"/>
    </w:p>
    <w:p>
      <w:pPr>
        <w:pStyle w:val="BookText"/>
        <w:rPr/>
      </w:pPr>
      <w:r>
        <w:rPr>
          <w:rFonts w:ascii="IRNazanin" w:hAnsi="IRNazanin" w:eastAsia="IRNazanin"/>
          <w:color w:val="111111"/>
          <w:sz w:val="28"/>
          <w:sz w:val="28"/>
          <w:szCs w:val="28"/>
          <w:rtl w:val="true"/>
          <w:lang w:bidi="fa-IR"/>
        </w:rPr>
        <w:t xml:space="preserve">نسب إلی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المطلق ما دلّ علی شائع فی جنسه</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 xml:space="preserve">، وحیث 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فی التعریف کنایة عن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المطلق والمقیّد حینئذٍ من صفات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واستشکل علیه تارةً، بأنّ الإطلاق والتقیید من صفات المعنی لا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بعدم شموله للألفاظ الدالّة علی نفس الماهیة من دون شیوع کأسماء الأجناس مع أنّهم عدّوا أسامی الأجناس من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بعدم منعه، لشموله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الاستفهامیّة من باب دلالتها علی العموم البدلی وضعاً مع أنّها لیست من أفراد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 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کما أنّ المعنی یتّصف بصفة الإطلاق والتقیید، کذلک اللفظ أیضاً یتّصف بهما بلحاظ کونه مرآة للمعنی وکاشفاً عنه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الشیوع له معنیان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الشیوع بمعنی العموم، وحینئذٍ یرد علیه هذا الإشکال، وهو عدم شمول التعریف لأنّه لیس للجنس شیوع بل وکذا النکرة،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السریان والعموم بعد ضمّ مقدّمات الحکمة ولا إشکال فی وجود هذا المعنی فی اسم الجنس والنکرة</w:t>
      </w:r>
      <w:r>
        <w:rPr>
          <w:rFonts w:eastAsia="IRNazanin" w:cs="IRNazanin"/>
          <w:color w:val="111111"/>
          <w:sz w:val="28"/>
          <w:szCs w:val="28"/>
          <w:rtl w:val="true"/>
          <w:lang w:bidi="fa-IR"/>
        </w:rPr>
        <w:t>.</w:t>
      </w:r>
      <w:bookmarkStart w:id="786" w:name="pg16918_187587"/>
    </w:p>
    <w:p>
      <w:pPr>
        <w:pStyle w:val="BookText"/>
        <w:rPr/>
      </w:pPr>
      <w:bookmarkEnd w:id="786"/>
      <w:r>
        <w:rPr>
          <w:rFonts w:ascii="IRNazanin" w:hAnsi="IRNazanin" w:eastAsia="IRNazanin"/>
          <w:color w:val="111111"/>
          <w:sz w:val="28"/>
          <w:sz w:val="28"/>
          <w:szCs w:val="28"/>
          <w:rtl w:val="true"/>
          <w:lang w:bidi="fa-IR"/>
        </w:rPr>
        <w:t>وعن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بأنّا نلتزم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الاستفهامیّة من أفراد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یمکن تعریفهما بطریق أوضح وأسهل، فیقال إنّ المطلق ما لا قید فیه من المعانی أو الألفاظ، والمقیّد ما فیه قید، فالمطلق فی مصطلح الاصولیین نفس ما ذکر فی اللغة وهو ما یکون مرسلًا وساریاً بلا 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الإطلاق والتقیید أمران إضافیان، لأنّه ربما یکون معنی مقیّداً بالنسبة إلی معنی آخر وفی نفس الوقت یعدّ مطلقاً بالنسبة إلی معنی ثالث، کالرقبة المؤمنة، فإنّها مقیّدة بالنسبة إلی مطلق الرقبة بینما هی مطلقة بالنسبة إلی الرقبة المؤمنة العادلة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أنّهما لیسا أمرین خارجیین، بل هما من الامور الذهنیة، والتقابل بینهما تقابل العدم والملکة فالمطلق ما من شأنه أن یکون مقیّداً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فلنشرع فی مباحث المطلق والمقیّد فی ضمن امور</w:t>
      </w:r>
      <w:r>
        <w:rPr>
          <w:rFonts w:eastAsia="IRNazanin" w:cs="IRNazanin"/>
          <w:color w:val="111111"/>
          <w:sz w:val="28"/>
          <w:szCs w:val="28"/>
          <w:rtl w:val="true"/>
          <w:lang w:bidi="fa-IR"/>
        </w:rPr>
        <w:t>:</w:t>
      </w:r>
    </w:p>
    <w:p>
      <w:pPr>
        <w:pStyle w:val="Heading4"/>
        <w:numPr>
          <w:ilvl w:val="3"/>
          <w:numId w:val="1"/>
        </w:numPr>
        <w:rPr/>
      </w:pPr>
      <w:bookmarkStart w:id="787" w:name="__RefHeading___Toc96516_3244359995"/>
      <w:bookmarkStart w:id="788" w:name="_Toc298"/>
      <w:bookmarkEnd w:id="787"/>
      <w:r>
        <w:rPr/>
        <w:t>1</w:t>
      </w:r>
      <w:r>
        <w:rPr>
          <w:rtl w:val="true"/>
        </w:rPr>
        <w:t xml:space="preserve">. </w:t>
      </w:r>
      <w:r>
        <w:rPr>
          <w:rtl w:val="true"/>
        </w:rPr>
        <w:t>أنحاء الإطلاق</w:t>
      </w:r>
      <w:bookmarkEnd w:id="788"/>
    </w:p>
    <w:p>
      <w:pPr>
        <w:pStyle w:val="BookText"/>
        <w:rPr/>
      </w:pPr>
      <w:r>
        <w:rPr>
          <w:rFonts w:ascii="IRNazanin" w:hAnsi="IRNazanin" w:eastAsia="IRNazanin"/>
          <w:color w:val="111111"/>
          <w:sz w:val="28"/>
          <w:sz w:val="28"/>
          <w:szCs w:val="28"/>
          <w:rtl w:val="true"/>
          <w:lang w:bidi="fa-IR"/>
        </w:rPr>
        <w:t>سیأتی أنّ المطلق یفید العموم والشمول ببرکة مقدّمات الحکمة، وهذا الشمول علی ثلاثة أقسام، لأنّه قد یکون بدلیاً وقد یکون استغراقیاً وقد یکون مجموعیاً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یصحّ ما ربما یتوهّم من أنّ المطلق إنّما یدلّ علی الشمول البدلی دائماً، لأنّ کلمة البیع أو الماء مثلًا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569"/>
      </w: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بلغ</w:t>
      </w:r>
    </w:p>
    <w:p>
      <w:pPr>
        <w:pStyle w:val="BookText"/>
        <w:rPr/>
      </w:pPr>
      <w:r>
        <w:rPr>
          <w:rFonts w:ascii="Amiri" w:hAnsi="Amiri" w:eastAsia="Amiri" w:cs="Amiri"/>
          <w:color w:val="111111"/>
          <w:sz w:val="28"/>
          <w:sz w:val="28"/>
          <w:szCs w:val="28"/>
          <w:rtl w:val="true"/>
          <w:lang w:bidi="ar-SA"/>
        </w:rPr>
        <w:t>قدر کرّ لم ینجّسه شی‌ء</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مطلق مع أنّه یفید العموم الاستغراقی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وکلمة العالم فی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مطلق مع أنّه قد یکون الشمول فیه مجموعیاً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أنّه یتوقّف علی قیام قرینة علی أنّ المقصود فیه مجموع العلماء من حیث المجموع</w:t>
      </w:r>
      <w:r>
        <w:rPr>
          <w:rFonts w:eastAsia="IRNazanin" w:cs="IRNazanin"/>
          <w:color w:val="111111"/>
          <w:sz w:val="28"/>
          <w:szCs w:val="28"/>
          <w:rtl w:val="true"/>
          <w:lang w:bidi="fa-IR"/>
        </w:rPr>
        <w:t>.</w:t>
      </w:r>
      <w:bookmarkStart w:id="789" w:name="pg16918_187588"/>
    </w:p>
    <w:p>
      <w:pPr>
        <w:pStyle w:val="Heading4"/>
        <w:numPr>
          <w:ilvl w:val="3"/>
          <w:numId w:val="1"/>
        </w:numPr>
        <w:rPr/>
      </w:pPr>
      <w:bookmarkStart w:id="790" w:name="__RefHeading___Toc96518_3244359995"/>
      <w:bookmarkStart w:id="791" w:name="_Toc299"/>
      <w:bookmarkEnd w:id="789"/>
      <w:bookmarkEnd w:id="790"/>
      <w:r>
        <w:rPr/>
        <w:t>2</w:t>
      </w:r>
      <w:r>
        <w:rPr>
          <w:rtl w:val="true"/>
        </w:rPr>
        <w:t xml:space="preserve">. </w:t>
      </w:r>
      <w:r>
        <w:rPr>
          <w:rtl w:val="true"/>
        </w:rPr>
        <w:t>الألفاظ الّتی یراد منها الإطلاق</w:t>
      </w:r>
      <w:bookmarkEnd w:id="791"/>
    </w:p>
    <w:p>
      <w:pPr>
        <w:pStyle w:val="Heading5"/>
        <w:numPr>
          <w:ilvl w:val="4"/>
          <w:numId w:val="1"/>
        </w:numPr>
        <w:rPr/>
      </w:pPr>
      <w:bookmarkStart w:id="792" w:name="__RefHeading___Toc96520_3244359995"/>
      <w:bookmarkStart w:id="793" w:name="_Toc300"/>
      <w:bookmarkEnd w:id="792"/>
      <w:r>
        <w:rPr>
          <w:rtl w:val="true"/>
        </w:rPr>
        <w:t>أوّلها</w:t>
      </w:r>
      <w:r>
        <w:rPr>
          <w:rtl w:val="true"/>
        </w:rPr>
        <w:t xml:space="preserve">: </w:t>
      </w:r>
      <w:r>
        <w:rPr>
          <w:rtl w:val="true"/>
        </w:rPr>
        <w:t>اسم الجنس</w:t>
      </w:r>
      <w:bookmarkEnd w:id="793"/>
    </w:p>
    <w:p>
      <w:pPr>
        <w:pStyle w:val="BookText"/>
        <w:rPr/>
      </w:pPr>
      <w:r>
        <w:rPr>
          <w:rFonts w:ascii="IRNazanin" w:hAnsi="IRNazanin" w:eastAsia="IRNazanin"/>
          <w:color w:val="111111"/>
          <w:sz w:val="28"/>
          <w:sz w:val="28"/>
          <w:szCs w:val="28"/>
          <w:rtl w:val="true"/>
          <w:lang w:bidi="fa-IR"/>
        </w:rPr>
        <w:t>والمراد منه فی المقام ما یقابل العلم الشخصی، فیشمل الجواهر والأعراض والامور الاعتباریة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والمشهور أنّ الموضوع له فیه هو الماهیة، والماهیة علی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بشرط لا، والماهیة بشرط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اسم الجنس واحداً منهما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والماهیة اللابشرط القسمی، والماهیة اللابشرط المقسمی، والفرق بینهما أنّ الأوّل ما کان اللحاظ فیه جزء الموضوع له، والثانی عبارة عن ما لیس مشروطاً بشی‌ء حتّی لحاظ أنّها لا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ینبغی الشکّ فی أنّ المراد من المطلق هو اللابشرط المقسمی لأنّ اللابشرط القسمی موطنه دائماً هو الذهن، وهو یستلزم عدم صحّة حمل المطلق مثل الإنسان علی الخارج حقیقة، فیکون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مجازاً، ویستلزم أیضاً عدم صحّة الإخبار عن الخارج نحو جاءنی انسان، وکذلک عدم صحّة الأمر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فیتعیّن أن یکون الموضوع له اللابشرط المقسمی أی القدر الجامع بین الأقسام الثلاثة، الذی یکون مرآة للخارج</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ما اشتهر فی کلماتهم من أنّ الموضوع له فی أسماء الأجناس هو الماهیة من حیث هی هی لا موجودة ولا معدومة، فإنّه ممّا لا یمکن المساعدة علیه عند الدقّة، بل الموضوع له هو الموجود الخارجی؛ لأنّه المتبادر من إطلاق مثل الإنسان والشجر وغیرهما، فیتبادر عند إطلاق الإنسان والشجر إنسان خارجی وشجر خارجی، غایة الأمر إنسان لا بعینه وشجر لا بعینه، ومن أنکر هذا أنکره بلسانه وقلبه مطمئن بالإیمان، بل یدلّ علیه حکمة الوضع فإنّ الناس فی حیاتهم الاعتیادیّة لا حاجة لهم إلی الماهیات المطلقة حتّی یضعون الألفاظ بإزائها بل حاجاتهم تمسّ الوجودات الخارجیّة، فیکون وضع الألفاظ بموازات حاجاتهم إلی</w:t>
      </w:r>
      <w:bookmarkStart w:id="794" w:name="pg16918_187589"/>
    </w:p>
    <w:p>
      <w:pPr>
        <w:pStyle w:val="BookText"/>
        <w:rPr/>
      </w:pPr>
      <w:bookmarkEnd w:id="794"/>
      <w:r>
        <w:rPr>
          <w:rFonts w:ascii="IRNazanin" w:hAnsi="IRNazanin" w:eastAsia="IRNazanin"/>
          <w:color w:val="111111"/>
          <w:sz w:val="28"/>
          <w:sz w:val="28"/>
          <w:szCs w:val="28"/>
          <w:rtl w:val="true"/>
          <w:lang w:bidi="fa-IR"/>
        </w:rPr>
        <w:t>المعانی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وجود صحّة السلب فی المقام، فیصحّ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الذهنی لیس بإنسان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النار الذهنیة لیست ناراً حقیقة بل النار ذلک الوجود الخارجی الذی یحرق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الموجود الخارجی الذی یروی العطشان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مساوق للتشخّص والجزئیّة وهو ینافی کلّیة اسم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الوجود هنا هو الوجود السعی وهو لا ینافی الکلّیة لأنّه قدر جامع بین الوجودات الجزئیّة الخارجیّة ویکون وعاؤه الذهن لکن بما أنّه مرآة ومشیر إلی تلک الوجودات، وإن أبیت عن ذلک فاختبر نفسک عند طلب الماء، فلا ریب فی أنّک تطلب الماء الخارجی لا ماهیّته مع أنّک لست فی طلب ماء مشخّص معیّن بل تطلب مطلق الماء الخارجی أو جنس الماء الخارجی بوجوده السعی، ولیس المراد من الوجود السعی إلّاهذا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أنّ الموضوع له فی أسماء الأجناس هو الماهیات الموجودة فی الخارج بوجودها السعی، کما اتّضح أنّ اسم الجنس قابل لأنّ یکون مصبّ الإطلاق والتقیید</w:t>
      </w:r>
      <w:r>
        <w:rPr>
          <w:rFonts w:eastAsia="IRNazanin" w:cs="IRNazanin"/>
          <w:color w:val="111111"/>
          <w:sz w:val="28"/>
          <w:szCs w:val="28"/>
          <w:rtl w:val="true"/>
          <w:lang w:bidi="fa-IR"/>
        </w:rPr>
        <w:t>.</w:t>
      </w:r>
    </w:p>
    <w:p>
      <w:pPr>
        <w:pStyle w:val="Heading5"/>
        <w:numPr>
          <w:ilvl w:val="4"/>
          <w:numId w:val="1"/>
        </w:numPr>
        <w:rPr/>
      </w:pPr>
      <w:bookmarkStart w:id="795" w:name="__RefHeading___Toc96522_3244359995"/>
      <w:bookmarkStart w:id="796" w:name="_Toc301"/>
      <w:bookmarkEnd w:id="795"/>
      <w:r>
        <w:rPr>
          <w:rtl w:val="true"/>
        </w:rPr>
        <w:t>ثانیها</w:t>
      </w:r>
      <w:r>
        <w:rPr>
          <w:rtl w:val="true"/>
        </w:rPr>
        <w:t xml:space="preserve">: </w:t>
      </w:r>
      <w:r>
        <w:rPr>
          <w:rtl w:val="true"/>
        </w:rPr>
        <w:t>عَلَم الجنس</w:t>
      </w:r>
      <w:bookmarkEnd w:id="79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یبعد أن یکون الفرق بین اسم الجنس وعلم الجنس نظیر الفرق بین زید والرجل من بعض الجهات، فکما أنّه لا نظر فی وضع الرجل لأفراد الإنسان إلی التشخّصات الفردیة والتعیّنات الخارجیّة وأنّ الفرد الفلانی تولّد فی أیّ تاریخ ومن أیّ شخص مثلًا بل وضع اللفظ لذوات الأفراد فقط، وأمّا کلمة زید فهی وضعت للفرد بما هو فرد وللشخص بما هو متشخّص ومتعیّن عن سائر الأفراد، کذلک فی ما نحن فیه، فإنّ الأسد وضع لذلک الحیوان المتعیّن خارجاً من دون أن یکون لتعیّنه دخل فی الموضوع له، وأمّا الاسامة فإنّها وضعت لذلک المتعیّن بما هو متعیّن وممتاز عن سائر الأجناس</w:t>
      </w:r>
      <w:r>
        <w:rPr>
          <w:rFonts w:eastAsia="IRNazanin" w:cs="IRNazanin"/>
          <w:color w:val="111111"/>
          <w:sz w:val="28"/>
          <w:szCs w:val="28"/>
          <w:rtl w:val="true"/>
          <w:lang w:bidi="fa-IR"/>
        </w:rPr>
        <w:t>.</w:t>
      </w:r>
      <w:bookmarkStart w:id="797" w:name="pg16918_187590"/>
    </w:p>
    <w:p>
      <w:pPr>
        <w:pStyle w:val="BookText"/>
        <w:rPr/>
      </w:pPr>
      <w:bookmarkEnd w:id="797"/>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حکمة الوضع حینئذٍ؟</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تکون الحکمة فی ذلک أنّه کما أنّا قد نحتاج فی الاستعمال أن ننظر إلی ذلک الحیوان المفترس ونلاحظه من دون لحاظ تمیّزه عن سائر الحیوانات بل یکون النظر إلی مجرّد الماهیة، فلابدّ من وضع لفظ یدلّ علی نفس الماهیة فقط، کذلک قد نحتاج إلی النظر إلیه بوصف تمیّزه عن سائر الأجناس، فنحتاج حینئذٍ إلی وضع لفظ للماهیّة بوصف تمیّزها وتعیّنها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عَلَم الجنس أیضاً یقع مصبّاً للإطلاق والتقیید کاسم الجنس من دون إشکال</w:t>
      </w:r>
      <w:r>
        <w:rPr>
          <w:rFonts w:eastAsia="IRNazanin" w:cs="IRNazanin"/>
          <w:color w:val="111111"/>
          <w:sz w:val="28"/>
          <w:szCs w:val="28"/>
          <w:rtl w:val="true"/>
          <w:lang w:bidi="fa-IR"/>
        </w:rPr>
        <w:t>.</w:t>
      </w:r>
    </w:p>
    <w:p>
      <w:pPr>
        <w:pStyle w:val="Heading5"/>
        <w:numPr>
          <w:ilvl w:val="4"/>
          <w:numId w:val="1"/>
        </w:numPr>
        <w:rPr/>
      </w:pPr>
      <w:bookmarkStart w:id="798" w:name="__RefHeading___Toc96524_3244359995"/>
      <w:bookmarkStart w:id="799" w:name="_Toc302"/>
      <w:bookmarkEnd w:id="798"/>
      <w:r>
        <w:rPr>
          <w:rtl w:val="true"/>
        </w:rPr>
        <w:t>ثالثها</w:t>
      </w:r>
      <w:r>
        <w:rPr>
          <w:rtl w:val="true"/>
        </w:rPr>
        <w:t xml:space="preserve">: </w:t>
      </w:r>
      <w:r>
        <w:rPr>
          <w:rtl w:val="true"/>
        </w:rPr>
        <w:t>المفرد المحلّی باللام</w:t>
      </w:r>
      <w:bookmarkEnd w:id="799"/>
    </w:p>
    <w:p>
      <w:pPr>
        <w:pStyle w:val="BookText"/>
        <w:rPr/>
      </w:pPr>
      <w:r>
        <w:rPr>
          <w:rFonts w:ascii="IRNazanin" w:hAnsi="IRNazanin" w:eastAsia="IRNazanin"/>
          <w:color w:val="111111"/>
          <w:sz w:val="28"/>
          <w:sz w:val="28"/>
          <w:szCs w:val="28"/>
          <w:rtl w:val="true"/>
          <w:lang w:bidi="fa-IR"/>
        </w:rPr>
        <w:t xml:space="preserve">إنّ الألف واللام تارةً تکون لتعریف الجنس، واخری للاستغراق وثالثة للعهد، ولا یخفی أنّه بناءً علی ما بیّناه فی علم الجنس یکون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أنّ الأوّل یدلّ علی مجرّد ماهیة الإنسان من دون أن یلاحظ تمیّزه عن سائر الأجناس والموجودات، وأمّا الثانی فإنّه یشار به إلی تلک الماهیة بوصف کونه متمیّزة ومتشخّصة عن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لام العهد فلا إشکال فی کونها للتعریف، وهی فی مثال الإنسان إمّا أن تکون إشارة إلی الإنسان المذکور فی الکلام، أو الإنسان المعهود فی الذهن، أو الإنسان الحاضر، وهکذا لام الاستغراق فهی أیضاً للتعریف، ویدلّ علی أقصی مراتب الجمع کالجمع المحلّی باللام؛ لأنّه هو المتعیّن خارجاً بخلاف سائر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یکون مصبّاً للإطلاق والتقیید هو القسم الأوّل الذی هو لتعریف الجنس</w:t>
      </w:r>
      <w:r>
        <w:rPr>
          <w:rFonts w:eastAsia="IRNazanin" w:cs="IRNazanin"/>
          <w:color w:val="111111"/>
          <w:sz w:val="28"/>
          <w:szCs w:val="28"/>
          <w:rtl w:val="true"/>
          <w:lang w:bidi="fa-IR"/>
        </w:rPr>
        <w:t>.</w:t>
      </w:r>
    </w:p>
    <w:p>
      <w:pPr>
        <w:pStyle w:val="Heading5"/>
        <w:numPr>
          <w:ilvl w:val="4"/>
          <w:numId w:val="1"/>
        </w:numPr>
        <w:rPr/>
      </w:pPr>
      <w:bookmarkStart w:id="800" w:name="__RefHeading___Toc96526_3244359995"/>
      <w:bookmarkStart w:id="801" w:name="_Toc303"/>
      <w:bookmarkEnd w:id="800"/>
      <w:r>
        <w:rPr>
          <w:rtl w:val="true"/>
        </w:rPr>
        <w:t>رابعها</w:t>
      </w:r>
      <w:r>
        <w:rPr>
          <w:rtl w:val="true"/>
        </w:rPr>
        <w:t xml:space="preserve">: </w:t>
      </w:r>
      <w:r>
        <w:rPr>
          <w:rtl w:val="true"/>
        </w:rPr>
        <w:t>النکرة</w:t>
      </w:r>
      <w:bookmarkEnd w:id="801"/>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نفس اسم الجنس إذا دخل علیه تنوین النکرة نحو انسانٌ ورجلٌ، وقد</w:t>
      </w:r>
      <w:bookmarkStart w:id="802" w:name="pg16918_187591"/>
    </w:p>
    <w:p>
      <w:pPr>
        <w:pStyle w:val="BookText"/>
        <w:rPr/>
      </w:pPr>
      <w:bookmarkEnd w:id="802"/>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الاستعمالات مختلفة فتارةً یکون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مفهوم النکرة حینئذٍ هو الفرد المعیّن فی الواقع المجهول فی الظاهر، واخری یکون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مفهومها الطبیعة المقیّدة بالوحدة لا تعیّن لها لا فی الواقع ولا فی الظاهر لأنّها حینئذٍ صادقة علی کثیرین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الظاهر أنّ الموضوع له فیه کلّی فی جمیع الموارد لکن مع قید الوحدة، ففی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من أقصی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یکون الموضوع له کلّیاً لکنّه ینطبق علی فرد خاصّ وتستفاد الجزئیّة من تطبیق الکلّی علی الفرد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من باب تعدّد الدالّ والمدلول، أی استفیدت الوحدة والجزئیّة من التنوین، واستفیدت الطبیعة من اسم الجنس الداخل علیه التنوین لا أن تکون الجزئیّة جزءً للموضوع له وإلّا یستلزم تغییر الموضوع له فی الاستعمالات المختلفة والجمل المستعمل فیها النکرة وهو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مفادها الفرد المردّد؛ لأنّ المتکلّم إنّما یقصده فیما إذا کانت الأفراد قابلة للإحصاء وإلّا فلا یمکن أن یکون مقصوداً بل لابدّ حینئذٍ من تصوّر کلّی جامع یکون عنواناً ومرآةً للأفراد إجمالًا، وهذا الکلّی لا یمکن أن یکون الفرد المردّد لأنّه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فیحتاج فیه إلی تصوّر جمیع الأفراد تفصیلًا لمکان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یمکن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یحصی عدد الأفراد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أنّ الموضوع له فی النکرة مطلقاً هو الکلّی المقیّد بقید الوحدة، والظاهر دلالتها علی الشیاع والسریان إذا اجتمعت فیها مقدّمات الحکمة</w:t>
      </w:r>
      <w:r>
        <w:rPr>
          <w:rFonts w:eastAsia="IRNazanin" w:cs="IRNazanin"/>
          <w:color w:val="111111"/>
          <w:sz w:val="28"/>
          <w:szCs w:val="28"/>
          <w:rtl w:val="true"/>
          <w:lang w:bidi="fa-IR"/>
        </w:rPr>
        <w:t>.</w:t>
      </w:r>
    </w:p>
    <w:p>
      <w:pPr>
        <w:pStyle w:val="Heading4"/>
        <w:numPr>
          <w:ilvl w:val="3"/>
          <w:numId w:val="1"/>
        </w:numPr>
        <w:rPr/>
      </w:pPr>
      <w:bookmarkStart w:id="803" w:name="__RefHeading___Toc96528_3244359995"/>
      <w:bookmarkStart w:id="804" w:name="_Toc304"/>
      <w:bookmarkEnd w:id="803"/>
      <w:r>
        <w:rPr/>
        <w:t>3</w:t>
      </w:r>
      <w:r>
        <w:rPr>
          <w:rtl w:val="true"/>
        </w:rPr>
        <w:t xml:space="preserve">. </w:t>
      </w:r>
      <w:r>
        <w:rPr>
          <w:rtl w:val="true"/>
        </w:rPr>
        <w:t>استعمال المطلق فی المقیّد حقیقة أو مجاز؟</w:t>
      </w:r>
      <w:bookmarkEnd w:id="804"/>
    </w:p>
    <w:p>
      <w:pPr>
        <w:pStyle w:val="BookText"/>
        <w:rPr/>
      </w:pPr>
      <w:r>
        <w:rPr>
          <w:rFonts w:ascii="IRNazanin" w:hAnsi="IRNazanin" w:eastAsia="IRNazanin"/>
          <w:color w:val="111111"/>
          <w:sz w:val="28"/>
          <w:sz w:val="28"/>
          <w:szCs w:val="28"/>
          <w:rtl w:val="true"/>
          <w:lang w:bidi="fa-IR"/>
        </w:rPr>
        <w:t>الحقّ فی المسألة التفصیل بین أنحاء الاستعمالات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استعمال المطلق فی المقیّد بنحو تعدّد الدالّ والمدلول بأن یراد</w:t>
      </w:r>
      <w:bookmarkStart w:id="805" w:name="pg16918_187592"/>
    </w:p>
    <w:p>
      <w:pPr>
        <w:pStyle w:val="BookText"/>
        <w:rPr/>
      </w:pPr>
      <w:bookmarkEnd w:id="805"/>
      <w:r>
        <w:rPr>
          <w:rFonts w:ascii="IRNazanin" w:hAnsi="IRNazanin" w:eastAsia="IRNazanin"/>
          <w:color w:val="111111"/>
          <w:sz w:val="28"/>
          <w:sz w:val="28"/>
          <w:szCs w:val="28"/>
          <w:rtl w:val="true"/>
          <w:lang w:bidi="fa-IR"/>
        </w:rPr>
        <w:t>أصل الطبیعة من المطلق ویراد القید من قرینة حالیة أو مقالیة،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الذوق السلیم یقضی بأنّ لفظ المطلق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یدلّ علی نفس الطبیعة وهو الماهیة اللابشرط،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القید لا أنّ الرقبة استعملت فی المقیّد وکانت المؤمنة قرینة علی ذلک، وعلیه یکون الاستعمال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من قبیل التطبیق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فیه رجل خاصّ وفرد معیّن منه، وفی هذه الصورة أیضاً یکون الاستعمال حقیقة؛ لأنّ الرجل استعمل فی معناه الحقیقی وهو الماهیة اللابشرط، لکنّه انطبق علی فرد واحد ومصداق واحد وهو لا یوجب کونه مجازاً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المطلق فی المقیّد بأن ارید القید من نفس المطلق لا من دالّ آخر، کما إذا 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کونه مجازاً فی هذه الصورة</w:t>
      </w:r>
      <w:r>
        <w:rPr>
          <w:rFonts w:eastAsia="IRNazanin" w:cs="IRNazanin"/>
          <w:color w:val="111111"/>
          <w:sz w:val="28"/>
          <w:szCs w:val="28"/>
          <w:rtl w:val="true"/>
          <w:lang w:bidi="fa-IR"/>
        </w:rPr>
        <w:t>.</w:t>
      </w:r>
    </w:p>
    <w:p>
      <w:pPr>
        <w:pStyle w:val="Heading4"/>
        <w:numPr>
          <w:ilvl w:val="3"/>
          <w:numId w:val="1"/>
        </w:numPr>
        <w:rPr/>
      </w:pPr>
      <w:bookmarkStart w:id="806" w:name="__RefHeading___Toc96530_3244359995"/>
      <w:bookmarkStart w:id="807" w:name="_Toc305"/>
      <w:bookmarkEnd w:id="806"/>
      <w:r>
        <w:rPr/>
        <w:t>4</w:t>
      </w:r>
      <w:r>
        <w:rPr>
          <w:rtl w:val="true"/>
        </w:rPr>
        <w:t xml:space="preserve">. </w:t>
      </w:r>
      <w:r>
        <w:rPr>
          <w:rtl w:val="true"/>
        </w:rPr>
        <w:t>کیفیة دلالة المطلق علی الشمول والسریان</w:t>
      </w:r>
      <w:bookmarkEnd w:id="807"/>
    </w:p>
    <w:p>
      <w:pPr>
        <w:pStyle w:val="Heading5"/>
        <w:numPr>
          <w:ilvl w:val="4"/>
          <w:numId w:val="1"/>
        </w:numPr>
        <w:rPr/>
      </w:pPr>
      <w:bookmarkStart w:id="808" w:name="__RefHeading___Toc96532_3244359995"/>
      <w:bookmarkStart w:id="809" w:name="_Toc306"/>
      <w:bookmarkEnd w:id="808"/>
      <w:r>
        <w:rPr>
          <w:rtl w:val="true"/>
        </w:rPr>
        <w:t>اشارة</w:t>
      </w:r>
      <w:bookmarkEnd w:id="809"/>
    </w:p>
    <w:p>
      <w:pPr>
        <w:pStyle w:val="BookText"/>
        <w:rPr/>
      </w:pPr>
      <w:r>
        <w:rPr>
          <w:rFonts w:ascii="IRNazanin" w:hAnsi="IRNazanin" w:eastAsia="IRNazanin"/>
          <w:color w:val="111111"/>
          <w:sz w:val="28"/>
          <w:sz w:val="28"/>
          <w:szCs w:val="28"/>
          <w:rtl w:val="true"/>
          <w:lang w:bidi="fa-IR"/>
        </w:rPr>
        <w:t xml:space="preserve">نسب إلی مشهور القدماء أنّ دلالة المطلق علی الشمول بمقتضی الوضع، فوضع لفظ الإنسان مثلًا للشمول والسریان فی أفراده </w:t>
      </w:r>
      <w:r>
        <w:rPr>
          <w:rStyle w:val="FootnoteAnchor"/>
          <w:rtl w:val="true"/>
        </w:rPr>
        <w:footnoteReference w:id="572"/>
      </w:r>
      <w:r>
        <w:rPr>
          <w:rFonts w:ascii="IRNazanin" w:hAnsi="IRNazanin" w:eastAsia="IRNazanin"/>
          <w:color w:val="111111"/>
          <w:sz w:val="28"/>
          <w:sz w:val="28"/>
          <w:szCs w:val="28"/>
          <w:rtl w:val="true"/>
          <w:lang w:bidi="fa-IR"/>
        </w:rPr>
        <w:t xml:space="preserve">، لکن ذهب سلطان العلماء رحمه الله إلی أنّه ناشٍ من مقدّمات الحکمة وتبعه مشهور المتأخّرین </w:t>
      </w:r>
      <w:r>
        <w:rPr>
          <w:rStyle w:val="FootnoteAnchor"/>
          <w:rtl w:val="true"/>
        </w:rPr>
        <w:footnoteReference w:id="573"/>
      </w:r>
      <w:r>
        <w:rPr>
          <w:rFonts w:ascii="IRNazanin" w:hAnsi="IRNazanin" w:eastAsia="IRNazanin"/>
          <w:color w:val="111111"/>
          <w:sz w:val="28"/>
          <w:sz w:val="28"/>
          <w:szCs w:val="28"/>
          <w:rtl w:val="true"/>
          <w:lang w:bidi="fa-IR"/>
        </w:rPr>
        <w:t>، وهو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لوجهین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التبادر فإنّ المتبادر من إطلاق اسم الجنس مثل لفظ الإنسان مثلًا صرف الطبیعة مجرّدة عن سریانها فی أفرادها، وکذلک فی النکرة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إنساناً</w:t>
      </w:r>
      <w:r>
        <w:rPr>
          <w:rFonts w:eastAsia="IRNazanin" w:cs="IRNazanin"/>
          <w:color w:val="111111"/>
          <w:sz w:val="28"/>
          <w:szCs w:val="28"/>
          <w:rtl w:val="true"/>
          <w:lang w:bidi="fa-IR"/>
        </w:rPr>
        <w:t>».</w:t>
      </w:r>
      <w:bookmarkStart w:id="810" w:name="pg16918_187593"/>
    </w:p>
    <w:p>
      <w:pPr>
        <w:pStyle w:val="BookText"/>
        <w:rPr/>
      </w:pPr>
      <w:bookmarkEnd w:id="810"/>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کون الدلالة بالوضع یستلزم المجاز فیما إذا استعمل المطلق فی المقیّد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خلاف الوجدان</w:t>
      </w:r>
      <w:r>
        <w:rPr>
          <w:rFonts w:eastAsia="IRNazanin" w:cs="IRNazanin"/>
          <w:color w:val="111111"/>
          <w:sz w:val="28"/>
          <w:szCs w:val="28"/>
          <w:rtl w:val="true"/>
          <w:lang w:bidi="fa-IR"/>
        </w:rPr>
        <w:t>.</w:t>
      </w:r>
    </w:p>
    <w:p>
      <w:pPr>
        <w:pStyle w:val="Heading5"/>
        <w:numPr>
          <w:ilvl w:val="4"/>
          <w:numId w:val="1"/>
        </w:numPr>
        <w:rPr/>
      </w:pPr>
      <w:bookmarkStart w:id="811" w:name="__RefHeading___Toc96534_3244359995"/>
      <w:bookmarkStart w:id="812" w:name="_Toc307"/>
      <w:bookmarkEnd w:id="811"/>
      <w:r>
        <w:rPr>
          <w:rtl w:val="true"/>
        </w:rPr>
        <w:t>مقدّمات الحکمة ما هی؟</w:t>
      </w:r>
      <w:bookmarkEnd w:id="812"/>
    </w:p>
    <w:p>
      <w:pPr>
        <w:pStyle w:val="BookText"/>
        <w:rPr/>
      </w:pPr>
      <w:r>
        <w:rPr>
          <w:rFonts w:ascii="IRNazanin" w:hAnsi="IRNazanin" w:eastAsia="IRNazanin"/>
          <w:color w:val="111111"/>
          <w:sz w:val="28"/>
          <w:sz w:val="28"/>
          <w:szCs w:val="28"/>
          <w:rtl w:val="true"/>
          <w:lang w:bidi="fa-IR"/>
        </w:rPr>
        <w:t>اختلفت کلمات الأصحاب فیها والمشهور أنّها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المتکلّم فی مقام بیان تمام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بیان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الانصراف إلی مصداق أو مصادیق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القدر المتیقّن فی مقام التخاطب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واللازم البحث عنها واحدة بعد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لازمة بالوجدان حیث إنّ الوجدان أقوی شاهد علی عدم صحّة الأخذ بإطلاق کلام المولی إذا لم یکن فی مقام بیان تمام المراد، فإذا قال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لی ثوباً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أثاثاً للبیت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للعبد أن یشتری من السوق لباساً أو أثاثاً أیّاًما کان ویتمسّک بإطلاق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شکّ فی أنّ المتکلّم هل کان فی مقام بیان تمام المراد أو لا، فالأصل کونه بصدد بیان تمام المراد، فکونه فی مقام الإهمال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عدم بیان القید، فلزومها من الواضحات حیث إنّ المفروض فی جواز التمسّک بالإطلاق وعدمه، عدم وجود قید بالنسبة إلی الجهة الّتی نحاول التمسّک بإطلاق الکلام فیها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عدم الانصراف فنقول فی توضیحها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الانصراف هو أن توجد من ناحیة کثرة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لفظ ومعنی علاقة فی الأذهان بحیث توجب انسباق ذلک المعنی من اللفظ حین إطلاقه، ولیس المراد منه صیرورة اللفظ حقیقة ثانویة فی ذلک المعنی، وهو نظیر انصراف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یومنا هذا</w:t>
      </w:r>
      <w:bookmarkStart w:id="813" w:name="pg16918_187594"/>
    </w:p>
    <w:p>
      <w:pPr>
        <w:pStyle w:val="BookText"/>
        <w:rPr/>
      </w:pPr>
      <w:bookmarkEnd w:id="813"/>
      <w:r>
        <w:rPr>
          <w:rFonts w:ascii="IRNazanin" w:hAnsi="IRNazanin" w:eastAsia="IRNazanin"/>
          <w:color w:val="111111"/>
          <w:sz w:val="28"/>
          <w:sz w:val="28"/>
          <w:szCs w:val="28"/>
          <w:rtl w:val="true"/>
          <w:lang w:bidi="fa-IR"/>
        </w:rPr>
        <w:t>إلی العالم الدینی مع أنّ غیره أیضاً من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والانصراف ینقسم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بدوی یزول بالتأمّل، وثابت مستمرّ، والذی یعدّ من مقدّمات الحکمة هو عدم الانصراف بالمعنی الثانی، أی عدم الانصراف الثابت، لکنّ الحقّ أنّ هذه المقدّمة ترجع حقیقة إلی المقدّمة الثانیة، وهی انتفاء ما یوجب التعیین؛ حیث إنّ الانصراف یکون ممّا یوجب تعیین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انتفاء القدر المتیقّن فی مقام التخاطب، فلأنّه إذا کان المتیقّن تمام مراد المولی وهو لم یذکر القید اعتماداً علی ذلک المتیقّن لم یخلّ بغرضه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عدم اعتبار هذه المقدّمة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استلزامها عدم إمکان التمسّک بکثیر من الإطلاقات الواردة فی الکتاب والسنّة؛ لوجود القدر المتیقّن فی جمیعها، مع أنّ السیرة العملیّة للفقهاء والمتشرّعین قامت علی خلافه، فإنّهم لا یعتنون بشأن نزول الآیات ومورد السؤال فی الروایات إذا کان الجواب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القدر المتیقّن لیس من قبیل القیود الاحترازیة الّتی یأخذها المتکلّم فی کلامه ویکون لها لسان إثبات لنفسها ولسان نفی الحکم عن غیرها، بل غایة ما یستفاد من وجوده ثبوت الحکم بالنسبة إلی نفسه، وأمّا عدم ثبوته بالنسبة إلی غیره فهو ساکت عنه وغیر مفید له، وحینئذٍ لا مانع من التمسّک بالإطلاق وإسراء الحکم إلی ذلک الغیر، وإلّا یلزم إهمال المولی بالنسبة إلی غیر القدر المتیقّن وسکوته عن بیان حکمه، مع أنّ المفروض أنّه فی مقام بیان تمام المراد</w:t>
      </w:r>
      <w:r>
        <w:rPr>
          <w:rFonts w:eastAsia="IRNazanin" w:cs="IRNazanin"/>
          <w:color w:val="111111"/>
          <w:sz w:val="28"/>
          <w:szCs w:val="28"/>
          <w:rtl w:val="true"/>
          <w:lang w:bidi="fa-IR"/>
        </w:rPr>
        <w:t>.</w:t>
      </w:r>
    </w:p>
    <w:p>
      <w:pPr>
        <w:pStyle w:val="Heading5"/>
        <w:numPr>
          <w:ilvl w:val="4"/>
          <w:numId w:val="1"/>
        </w:numPr>
        <w:rPr/>
      </w:pPr>
      <w:bookmarkStart w:id="814" w:name="__RefHeading___Toc96536_3244359995"/>
      <w:bookmarkStart w:id="815" w:name="_Toc308"/>
      <w:bookmarkEnd w:id="814"/>
      <w:r>
        <w:rPr>
          <w:rtl w:val="true"/>
        </w:rPr>
        <w:t>تنبیه</w:t>
      </w:r>
      <w:r>
        <w:rPr>
          <w:rtl w:val="true"/>
        </w:rPr>
        <w:t>:</w:t>
      </w:r>
      <w:bookmarkEnd w:id="81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شکّ فی أنّ المولی هل هو فی مقام البیان أو لا، فمقتضی الأصل والقاعدة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فی مقام البیان ویؤیّده السیرة المستمرّة للفقهاء والمجتهدین فی التمسّک بالإطلاقات والعمومات مطلقاً إلّافیما إذا احرز کونه فی</w:t>
      </w:r>
      <w:bookmarkStart w:id="816" w:name="pg16918_187595"/>
    </w:p>
    <w:p>
      <w:pPr>
        <w:pStyle w:val="BookText"/>
        <w:rPr/>
      </w:pPr>
      <w:bookmarkEnd w:id="816"/>
      <w:r>
        <w:rPr>
          <w:rFonts w:ascii="IRNazanin" w:hAnsi="IRNazanin" w:eastAsia="IRNazanin"/>
          <w:color w:val="111111"/>
          <w:sz w:val="28"/>
          <w:sz w:val="28"/>
          <w:szCs w:val="28"/>
          <w:rtl w:val="true"/>
          <w:lang w:bidi="fa-IR"/>
        </w:rPr>
        <w:t>مقام الإجمال أو 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یکون المولی فی مقام البیان من جهة ولا یکون فی مقام البیان من جهة اخری، کما إذا سأل السائل مثلًا عن الإمام علیه السلام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لی أربعین شاة هل فیها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أربعین شاة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علیه السلام فی هذا البیان إنّما یکون فی مقام بیان أصل النصاب فی جمیع أنواع الشیاه، ولیس فی مقام بیان مقدار الزکاة، فلا یمکن الأخذ بإطلاقه من هذه الجهة، فإنّ الإطلاق والتقیید أمران إضافیان کما مرّ</w:t>
      </w:r>
      <w:r>
        <w:rPr>
          <w:rFonts w:eastAsia="IRNazanin" w:cs="IRNazanin"/>
          <w:color w:val="111111"/>
          <w:sz w:val="28"/>
          <w:szCs w:val="28"/>
          <w:rtl w:val="true"/>
          <w:lang w:bidi="fa-IR"/>
        </w:rPr>
        <w:t>.</w:t>
      </w:r>
    </w:p>
    <w:p>
      <w:pPr>
        <w:pStyle w:val="Heading4"/>
        <w:numPr>
          <w:ilvl w:val="3"/>
          <w:numId w:val="1"/>
        </w:numPr>
        <w:rPr/>
      </w:pPr>
      <w:bookmarkStart w:id="817" w:name="__RefHeading___Toc96538_3244359995"/>
      <w:bookmarkStart w:id="818" w:name="_Toc309"/>
      <w:bookmarkEnd w:id="817"/>
      <w:r>
        <w:rPr/>
        <w:t>5</w:t>
      </w:r>
      <w:r>
        <w:rPr>
          <w:rtl w:val="true"/>
        </w:rPr>
        <w:t xml:space="preserve">. </w:t>
      </w:r>
      <w:r>
        <w:rPr>
          <w:rtl w:val="true"/>
        </w:rPr>
        <w:t>فیما إذا ورد مطلق ومقیّد</w:t>
      </w:r>
      <w:bookmarkEnd w:id="818"/>
    </w:p>
    <w:p>
      <w:pPr>
        <w:pStyle w:val="Heading5"/>
        <w:numPr>
          <w:ilvl w:val="4"/>
          <w:numId w:val="1"/>
        </w:numPr>
        <w:rPr/>
      </w:pPr>
      <w:bookmarkStart w:id="819" w:name="__RefHeading___Toc96540_3244359995"/>
      <w:bookmarkStart w:id="820" w:name="_Toc310"/>
      <w:bookmarkEnd w:id="819"/>
      <w:r>
        <w:rPr>
          <w:rtl w:val="true"/>
        </w:rPr>
        <w:t>اشارة</w:t>
      </w:r>
      <w:bookmarkEnd w:id="820"/>
    </w:p>
    <w:p>
      <w:pPr>
        <w:pStyle w:val="BookText"/>
        <w:rPr/>
      </w:pPr>
      <w:r>
        <w:rPr>
          <w:rFonts w:ascii="IRNazanin" w:hAnsi="IRNazanin" w:eastAsia="IRNazanin"/>
          <w:color w:val="111111"/>
          <w:sz w:val="28"/>
          <w:sz w:val="28"/>
          <w:szCs w:val="28"/>
          <w:rtl w:val="true"/>
          <w:lang w:bidi="fa-IR"/>
        </w:rPr>
        <w:t>وفیه ثلاث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الدلیلان مختلفین فی النفی والإثبات،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فی لزوم التقیید فیها؛ لأنّ المطلق لیس ظهوره فی الإطلاق أقوی من ظهور العامّ فی العموم، فکما أنّ العامّ یخصّص بالدلیل المخصصّ، کذلک المطلق یقیّد بالدلیل المقیّد، بل التقیید هنا أولی من التخصیص هناک؛ لأنّ ظهور المطلق فی الإطلاق مستفاد من مقدّمات الحکمة، وأمّا الظهور فی العامّ فهو مستفاد من الوضع، ولا إشکال فی أنّ رفع الید عن الظهور الإطلاقی أخفّ وأسهل من رفع الید عن الظهور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ما مرّ فی العامّ والخاصّ من أنّ ورود الخاصّ بعد العامّ یعدّ من قبیل التناقض عند العرف بخلاف المقیّد، فإنّ العرف لا یری تناقضاً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کلاهما مثبتین أو منفیین مع عدم إحراز وحدة الحکم فیهما فیکون الظاهر حینئذٍ أنّهما حکمان مختلفان؛ إمّا لأجل تعدّد الشرط مثلًا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أفطرت فاعتق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لعدم المنافاة بین الحکمین عند إحراز التعدّد،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هذه</w:t>
      </w:r>
      <w:bookmarkStart w:id="821" w:name="pg16918_187596"/>
    </w:p>
    <w:p>
      <w:pPr>
        <w:pStyle w:val="BookText"/>
        <w:rPr/>
      </w:pPr>
      <w:bookmarkEnd w:id="821"/>
      <w:r>
        <w:rPr>
          <w:rFonts w:ascii="IRNazanin" w:hAnsi="IRNazanin" w:eastAsia="IRNazanin"/>
          <w:color w:val="111111"/>
          <w:sz w:val="28"/>
          <w:sz w:val="28"/>
          <w:szCs w:val="28"/>
          <w:rtl w:val="true"/>
          <w:lang w:bidi="fa-IR"/>
        </w:rPr>
        <w:t>الصورة أیضاً لا إشکال فی عدم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الحالة الثانیة مع إحراز وحدة الحکم،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فاعتق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الظهر إخفاتاً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والمشهور فی هذه الحالة التقیید کما جرت به سیرة الفقهاء فی الفقه، واستدلّ له بأنّ الجمع مهما أمکن أولی من الطرح، وهو فی المقام یحصل بالتقیید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لنا علی ثبوت هذه القاعدة فی جمیع الموارد فلیس الجمع أولی من الطرح حتّی فیما إذا کان الجمع جمعاً تبرعیاً غیر عرفی، بل الأولویّة ثابتة فی باب تزاحم الملاکات، فإذا ثبت هناک ملاکان لحکمین مختلفین، فمهما أمکن الجمع بین هاتین المصلحتین 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الجمع هنا جمع دلالی عرفی؛ لأنّ ظهور المقیّد فی التقیید أقوی من ظهور المطلق فی الإطلاق عرفاً</w:t>
      </w:r>
      <w:r>
        <w:rPr>
          <w:rFonts w:eastAsia="IRNazanin" w:cs="IRNazanin"/>
          <w:color w:val="111111"/>
          <w:sz w:val="28"/>
          <w:szCs w:val="28"/>
          <w:rtl w:val="true"/>
          <w:lang w:bidi="fa-IR"/>
        </w:rPr>
        <w:t>.</w:t>
      </w:r>
    </w:p>
    <w:p>
      <w:pPr>
        <w:pStyle w:val="Heading5"/>
        <w:numPr>
          <w:ilvl w:val="4"/>
          <w:numId w:val="1"/>
        </w:numPr>
        <w:rPr/>
      </w:pPr>
      <w:bookmarkStart w:id="822" w:name="__RefHeading___Toc96542_3244359995"/>
      <w:bookmarkStart w:id="823" w:name="_Toc311"/>
      <w:bookmarkEnd w:id="822"/>
      <w:r>
        <w:rPr>
          <w:rtl w:val="true"/>
        </w:rPr>
        <w:t>کیفیّة الجمع بین المطلق والمقیّد فی المستحبّات</w:t>
      </w:r>
      <w:bookmarkEnd w:id="823"/>
    </w:p>
    <w:p>
      <w:pPr>
        <w:pStyle w:val="BookText"/>
        <w:rPr/>
      </w:pPr>
      <w:r>
        <w:rPr>
          <w:rFonts w:ascii="IRNazanin" w:hAnsi="IRNazanin" w:eastAsia="IRNazanin"/>
          <w:color w:val="111111"/>
          <w:sz w:val="28"/>
          <w:sz w:val="28"/>
          <w:szCs w:val="28"/>
          <w:rtl w:val="true"/>
          <w:lang w:bidi="fa-IR"/>
        </w:rPr>
        <w:t>المشهور أنّ المطلق الوارد فی المستحبّات لا یحمل علی المقیّد بل الدلیل المقیّد یحمل علی تعدّد مراتب المحبوبیّة وتعدّد المطلوب، نحو ما إذا ورد مثلًا دلیل علی استحباب صلاة اللیل، ووردت أیضاً روایة تأمر بإتیانها فی الثلث الآخر من اللیل، وروایة اخری تأمر بالقنوت فی صلاة الوتر أوّلًا وبالدعاء لأربعین مؤمناً ثانیاً وبالاستغفار سبعین مرّة وطلب العفو ثلاثمائة مرّة ثالثاً، ونحوه ما وردت من روایات تدلّ علی استحباب زیارة الحسین علیه السلام، ثمّ وردت روایات تدلّ علی استحبابها فی لیلة الجمعة أو یوم عرفة، إلی غیر ذلک، فالمشهور حملها علی تعدّد المطلوب وبیان مراتب المطلوبیّة والفضل، إلّاإذا قام دلیل خاصّ علی التقیید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فالقاعدة الأوّلیة فی المستحبّات عدم التقیید؛ لأنّ الغالب فی باب المستحبّات أن یکون القید لأجل التأکید ومزید المحبوبیّة لا لأجل الاحتراز وبیان أصل المطلوبیّة</w:t>
      </w:r>
      <w:bookmarkStart w:id="824" w:name="pg16918_187597"/>
    </w:p>
    <w:p>
      <w:pPr>
        <w:pStyle w:val="BookText"/>
        <w:rPr/>
      </w:pPr>
      <w:bookmarkEnd w:id="824"/>
      <w:r>
        <w:rPr>
          <w:rFonts w:ascii="IRNazanin" w:hAnsi="IRNazanin" w:eastAsia="IRNazanin"/>
          <w:color w:val="111111"/>
          <w:sz w:val="28"/>
          <w:sz w:val="28"/>
          <w:szCs w:val="28"/>
          <w:rtl w:val="true"/>
          <w:lang w:bidi="fa-IR"/>
        </w:rPr>
        <w:t>کی یحمل المطلق علی المقیّد، وهذه الغلبة توجب ظهور الأوامر فیها فی تعدّد المطلوب وتفاوت مراتب المحبوبیّة</w:t>
      </w:r>
      <w:r>
        <w:rPr>
          <w:rFonts w:eastAsia="IRNazanin" w:cs="IRNazanin"/>
          <w:color w:val="111111"/>
          <w:sz w:val="28"/>
          <w:szCs w:val="28"/>
          <w:rtl w:val="true"/>
          <w:lang w:bidi="fa-IR"/>
        </w:rPr>
        <w:t>.</w:t>
      </w:r>
    </w:p>
    <w:p>
      <w:pPr>
        <w:pStyle w:val="Heading5"/>
        <w:numPr>
          <w:ilvl w:val="4"/>
          <w:numId w:val="1"/>
        </w:numPr>
        <w:rPr/>
      </w:pPr>
      <w:bookmarkStart w:id="825" w:name="__RefHeading___Toc96544_3244359995"/>
      <w:bookmarkStart w:id="826" w:name="_Toc312"/>
      <w:bookmarkEnd w:id="825"/>
      <w:r>
        <w:rPr>
          <w:rtl w:val="true"/>
        </w:rPr>
        <w:t>کیفیّة الجمع بین المطلق والمقیّد فی الأحکام الوضعیة</w:t>
      </w:r>
      <w:bookmarkEnd w:id="826"/>
    </w:p>
    <w:p>
      <w:pPr>
        <w:pStyle w:val="BookText"/>
        <w:rPr/>
      </w:pPr>
      <w:r>
        <w:rPr>
          <w:rFonts w:ascii="IRNazanin" w:hAnsi="IRNazanin" w:eastAsia="IRNazanin"/>
          <w:color w:val="111111"/>
          <w:sz w:val="28"/>
          <w:sz w:val="28"/>
          <w:szCs w:val="28"/>
          <w:rtl w:val="true"/>
          <w:lang w:bidi="fa-IR"/>
        </w:rPr>
        <w:t>أنّ ما مرّ کان فی المطلق والمقیّد من الأحکام التکلیفیّة، وأمّا فی الأحکام الوضعیة فالمسألة لا تخلو من 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کان المطلق والمقیّد متخالفین فی الإثبات والنفی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574"/>
      </w: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فلا إشکال فی لزوم الجمع بینهما بالتقیید علی مرّ فی الأحکام التکلیفیة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کانا مثبتین أو منفیین مع کون القید فی المقیّد احترازیاً، وبتعبیر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للتقیّد مفهوم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تَأْکُلُوا أَمْوَالَکُمْ بَیْنَکُمْ بِالْبَاطِلِ إِلَّا أَنْ تَکُونَ تِجَارَةً عَنْ تَرَاضٍ</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فی قبال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إنّ التقیید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مقام الاحتراز، فلا إشکال أیضاً فی التقیید لأنّهما یرجعان إلی المتخالفین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الصورة السابقة مع عدم کون القید فی مقام الاحتراز وعدم وجود مفهوم له، کما إذا ورد دلیل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 بالصیغة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وفرضنا عدم کون ذکر القید للاحتراز، فی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لبیع المعاطاة، ففی هذه الصورة ینحصر الدلیل للتقیید فی إحراز وحدة الحکم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جج</w:t>
      </w:r>
      <w:bookmarkStart w:id="827" w:name="pg16918_187598"/>
    </w:p>
    <w:p>
      <w:pPr>
        <w:pStyle w:val="Heading3"/>
        <w:numPr>
          <w:ilvl w:val="2"/>
          <w:numId w:val="1"/>
        </w:numPr>
        <w:rPr/>
      </w:pPr>
      <w:bookmarkStart w:id="828" w:name="__RefHeading___Toc96546_3244359995"/>
      <w:bookmarkStart w:id="829" w:name="_Toc313"/>
      <w:bookmarkEnd w:id="827"/>
      <w:bookmarkEnd w:id="828"/>
      <w:r>
        <w:rPr>
          <w:rtl w:val="true"/>
        </w:rPr>
        <w:t>الفصل التاسع</w:t>
      </w:r>
      <w:r>
        <w:rPr>
          <w:rtl w:val="true"/>
        </w:rPr>
        <w:t xml:space="preserve">: </w:t>
      </w:r>
      <w:r>
        <w:rPr>
          <w:rtl w:val="true"/>
        </w:rPr>
        <w:t>المجمل والمبیّن</w:t>
      </w:r>
      <w:bookmarkEnd w:id="829"/>
    </w:p>
    <w:p>
      <w:pPr>
        <w:pStyle w:val="Heading4"/>
        <w:numPr>
          <w:ilvl w:val="3"/>
          <w:numId w:val="1"/>
        </w:numPr>
        <w:rPr/>
      </w:pPr>
      <w:bookmarkStart w:id="830" w:name="__RefHeading___Toc96548_3244359995"/>
      <w:bookmarkStart w:id="831" w:name="_Toc314"/>
      <w:bookmarkEnd w:id="830"/>
      <w:r>
        <w:rPr>
          <w:rtl w:val="true"/>
        </w:rPr>
        <w:t>اشارة</w:t>
      </w:r>
      <w:bookmarkEnd w:id="831"/>
    </w:p>
    <w:p>
      <w:pPr>
        <w:pStyle w:val="BookText"/>
        <w:rPr/>
      </w:pPr>
      <w:r>
        <w:rPr>
          <w:rFonts w:ascii="IRNazanin" w:hAnsi="IRNazanin" w:eastAsia="IRNazanin"/>
          <w:color w:val="111111"/>
          <w:sz w:val="28"/>
          <w:sz w:val="28"/>
          <w:szCs w:val="28"/>
          <w:rtl w:val="true"/>
          <w:lang w:bidi="fa-IR"/>
        </w:rPr>
        <w:t xml:space="preserve">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معناه اللغوی وهو فی الکلام یطلق علی ما جمع من غیر تفصیل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بخلافه ولیس لهما اصطلاح خاصّ فی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وهما أمران إضافیان، فهیئة الأمر مثلًا مبیّنة من حیث دلالتها علی الوجوب، ومجملة من حیث الفور والتراخی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والإجمال تارةً یکون فی الهیئة کإجمال فعل المضارع بالإضافة إلی زمان الحال والاستقبال، واخری فی المادّة، کإجمال لفظ القرء، المتردّد بین الطهر والحیض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ومنشأ الإجمال تارةً یکون الاشتراک اللفظی واخری کون الکلام محفوفاً بما یصلح للقرینیة أو متّصلًا بلفظ مجمل یسری إجماله إلیه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إلّا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أنّه لا إشکال فی حجّیة المبیّن لأنّه إمّا نصّ أو ظاهر وکلاهما حجّتان، کما لا إشکال فی عدم حجّیة المجمل إلّاإذا نصبت قرینة عقلیة أو حالیة أو مقالیة توجب خروجه من الإجمال وهذا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موارد من الآیات والروایات الّتی وقع البحث عنها فی کلمات القوم فی أنّها هل هی مجملة أو مبیّنة؟</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والبحث عن کثیر منها لیس من شأن الاصولی کالبحث عن معنی القطع الوارد</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السَّارِقُ وَالسَّارِقَةُ فَاقْطَعُوا أَیْدِیَهُمَا</w:t>
      </w:r>
      <w:r>
        <w:rPr>
          <w:rFonts w:eastAsia="Amiri" w:cs="Amiri" w:ascii="Amiri" w:hAnsi="Amiri"/>
          <w:color w:val="111111"/>
          <w:sz w:val="28"/>
          <w:szCs w:val="28"/>
          <w:rtl w:val="true"/>
          <w:lang w:bidi="ar-SA"/>
        </w:rPr>
        <w:t>»</w:t>
      </w:r>
      <w:r>
        <w:rPr>
          <w:rStyle w:val="FootnoteAnchor"/>
          <w:rtl w:val="true"/>
        </w:rPr>
        <w:footnoteReference w:id="577"/>
      </w:r>
      <w:r>
        <w:rPr>
          <w:rFonts w:ascii="IRNazanin" w:hAnsi="IRNazanin" w:eastAsia="IRNazanin"/>
          <w:color w:val="111111"/>
          <w:sz w:val="28"/>
          <w:sz w:val="28"/>
          <w:szCs w:val="28"/>
          <w:rtl w:val="true"/>
          <w:lang w:bidi="fa-IR"/>
        </w:rPr>
        <w:t>فی أنّه هل المقصود منه مطلق القطع أو القطع مع إنفصال العضو مثلًا؟</w:t>
      </w:r>
    </w:p>
    <w:p>
      <w:pPr>
        <w:pStyle w:val="BookText"/>
        <w:rPr/>
      </w:pPr>
      <w:r>
        <w:rPr>
          <w:rFonts w:ascii="IRNazanin" w:hAnsi="IRNazanin" w:eastAsia="IRNazanin"/>
          <w:color w:val="111111"/>
          <w:sz w:val="28"/>
          <w:sz w:val="28"/>
          <w:szCs w:val="28"/>
          <w:rtl w:val="true"/>
          <w:lang w:bidi="fa-IR"/>
        </w:rPr>
        <w:t>فإنّ هذا ونظائره الّتی لیس البحث فیها ساریاً فی الأبواب المختلفة من الفقه لیس من شأن الاصولی قطعاً، بل للبحث عنه محلّ آخر وهو تفسیر آیات الأحکام، لکن یوجد بینها موارد ساریة فی أبواب متعدّدة من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وردت بصیغة لا النافیة للجنس نحو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صیام لمن لا یبیّت الصیام من اللیل</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إلّابطهور</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إلّابفاتحة الکتاب</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نکاح إلّابولی</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وغیر ذلک ممّا تعلّق النفی فیه بنفس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التحریم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أُمَّهَاتُکُمْ</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 وَالدَّمُ</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عَلَیْکُمْ صَیْدُ الْبَرِّ مَا دُمْتُمْ حُرُماً</w:t>
      </w:r>
      <w:r>
        <w:rPr>
          <w:rFonts w:eastAsia="Amiri" w:cs="Amiri" w:ascii="Amiri" w:hAnsi="Amiri"/>
          <w:color w:val="111111"/>
          <w:sz w:val="28"/>
          <w:szCs w:val="28"/>
          <w:rtl w:val="true"/>
          <w:lang w:bidi="ar-SA"/>
        </w:rPr>
        <w:t>»</w:t>
      </w:r>
      <w:r>
        <w:rPr>
          <w:rStyle w:val="FootnoteAnchor"/>
          <w:rtl w:val="true"/>
        </w:rPr>
        <w:footnoteReference w:id="584"/>
      </w:r>
      <w:r>
        <w:rPr>
          <w:rFonts w:ascii="IRNazanin" w:hAnsi="IRNazanin" w:eastAsia="IRNazanin"/>
          <w:color w:val="111111"/>
          <w:sz w:val="28"/>
          <w:sz w:val="28"/>
          <w:szCs w:val="28"/>
          <w:rtl w:val="true"/>
          <w:lang w:bidi="fa-IR"/>
        </w:rPr>
        <w:t>ونظائرها من التحریم المضاف إلی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البحث عن أمثالهما یمکن أن یکون من شأن الاصولی؛ لأنّ فی کلّ منهما توجد قاعدة کلّیة تقع کبری لاستنباط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الجمل المشتملة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للجنس فاختلف فی أنّها هل هی من المبیّن أو المجمل؟</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فعدّها بعض من المجمل مستدلًا بأنّ العرف فی مثلها یفهم نفی الصحّة تارةً ونفی الکمال اخری، وذلک یوجب التردّد الموجب للإجمال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والأکثر علی أنّها مبیّنة فیحمل النفی علی نفی الماهیة إن قلنا بمذهب الصحیحی، وإن قلنا بمذهب الأعمّی یحمل علی نفی أقرب المجازات بالنسبة إلی الحقیقة المتعذّرة وهو الصحّة، وإلّا فإن تعذّر الحمل علی نفی الصحّة لقیام قرینة علیه مثلًا، یحمل علی نفی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فی المسألة ما ذهب إلیه المشهور من کون المورد المذکور من المبیّن لکن لا بالطریق الذی مشی علیه المشهور من کون المستعمل فیه فی کلّ مرتبة من المراتب الثلاثة المذکورة فی کلامهم غیره فی الآخرین، بل المستعمل فیه فی جمیع المراتب إنّما هو نفی وجود الماهیة، إلّاأنّه فی المرتبة الثانیة والثالثة یکون ادعائیاً، بأنّ عدم الصحّة أو عدم الکمال بمنزلة عدم وجود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التحریم المضاف إلی الأعیان فعدّه بعضهم من المجمل نظراً إلی أنّ إضافة التحریم إلی العین غیر معقولة، فلابدّ من إضمار فعل یصلح أن یکون متعلّقاً له، وحیث إنّ الأفعال کثیرة ففی مثل صید البرّ یحتمل أن یکون المحرّم اصطیاده أو أکله، فیصیر الکلام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مثله حیثما یطلق یتبادر منه عرفاً نفی الفعل المقصود منه والمناسب له کالأکل فی المأکول والشرب فی المشروب واللبس فی الملبوس والنکاح فی المنکوح إلی غیر ذلک، فهو کافٍ فی ترجیح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إنّما یصحّ فیما کان الفعل المناسب له واحداً، وأمّا إذا کان متعدّداً کما فی مثال الصید حیث یناسبه کلّ واحد من الاصطیاد والأکل فالقول بالإجمال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المشهور أرسلوا تقدیر الفعل فی المقام إرسال المسلّم بزعم أنّ إضافة التحریم إلی العین غیر معقولة، مع أنّ الحقّ جواز عدم التقدیر بلا إشکال، بل هو المتعیّن؛ لأنّ التحریم بمعنی الممنوعیة، ولا ریب فی تعلّق جواز المنع بالعین 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الشی‌ء والعین الخارجیّة محرّمة ممنوعة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المنع ینصرف إلی الأثر الظاهر والمناسب، والانصراف غیر التقدیر</w:t>
      </w:r>
      <w:r>
        <w:rPr>
          <w:rFonts w:eastAsia="IRNazanin" w:cs="IRNazanin"/>
          <w:color w:val="111111"/>
          <w:sz w:val="28"/>
          <w:szCs w:val="28"/>
          <w:rtl w:val="true"/>
          <w:lang w:bidi="fa-IR"/>
        </w:rPr>
        <w:t>.</w:t>
      </w:r>
      <w:bookmarkStart w:id="832" w:name="pg16918_187601"/>
    </w:p>
    <w:p>
      <w:pPr>
        <w:pStyle w:val="Heading4"/>
        <w:numPr>
          <w:ilvl w:val="3"/>
          <w:numId w:val="1"/>
        </w:numPr>
        <w:rPr/>
      </w:pPr>
      <w:bookmarkStart w:id="833" w:name="__RefHeading___Toc96550_3244359995"/>
      <w:bookmarkStart w:id="834" w:name="_Toc315"/>
      <w:bookmarkEnd w:id="832"/>
      <w:bookmarkEnd w:id="833"/>
      <w:r>
        <w:rPr>
          <w:rtl w:val="true"/>
        </w:rPr>
        <w:t>تنبیه حول الأصول اللفظیّة الجاریّة عند الشکّ فی الإجمال</w:t>
      </w:r>
      <w:bookmarkEnd w:id="834"/>
    </w:p>
    <w:p>
      <w:pPr>
        <w:pStyle w:val="BookText"/>
        <w:rPr/>
      </w:pPr>
      <w:r>
        <w:rPr>
          <w:rFonts w:ascii="IRNazanin" w:hAnsi="IRNazanin" w:eastAsia="IRNazanin"/>
          <w:color w:val="111111"/>
          <w:sz w:val="28"/>
          <w:sz w:val="28"/>
          <w:szCs w:val="28"/>
          <w:rtl w:val="true"/>
          <w:lang w:bidi="fa-IR"/>
        </w:rPr>
        <w:t xml:space="preserve">إذا شککنا فی وجود قرینة توجب الاختلاف فی الظهور، أو شککنا فی قرینیة الموجود کقرینیة الاستثناء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للجمل السابقة فیما إذا تعقّبت الجمل المتعدّدة باستثناء واحد فما هو الأصل فی ذلک؟</w:t>
      </w:r>
    </w:p>
    <w:p>
      <w:pPr>
        <w:pStyle w:val="BookText"/>
        <w:rPr/>
      </w:pPr>
      <w:r>
        <w:rPr>
          <w:rFonts w:ascii="IRNazanin" w:hAnsi="IRNazanin" w:eastAsia="IRNazanin"/>
          <w:color w:val="111111"/>
          <w:sz w:val="28"/>
          <w:sz w:val="28"/>
          <w:szCs w:val="28"/>
          <w:rtl w:val="true"/>
          <w:lang w:bidi="fa-IR"/>
        </w:rPr>
        <w:t>أمّا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أنّ الأصل فیها عدم وجود القرینة، نعم یقع الإشکال فی أنّ أصالة عدم القرینة هل هی أصل تعبّدی وحجّة تعبّداً، أو أنّها ترجع إلی أصالة الظهور فتکون حجّیتها من باب حجّیة أصالة الظهور؟</w:t>
      </w:r>
    </w:p>
    <w:p>
      <w:pPr>
        <w:pStyle w:val="BookText"/>
        <w:rPr/>
      </w:pPr>
      <w:r>
        <w:rPr>
          <w:rFonts w:ascii="IRNazanin" w:hAnsi="IRNazanin" w:eastAsia="IRNazanin"/>
          <w:color w:val="111111"/>
          <w:sz w:val="28"/>
          <w:sz w:val="28"/>
          <w:szCs w:val="28"/>
          <w:rtl w:val="true"/>
          <w:lang w:bidi="fa-IR"/>
        </w:rPr>
        <w:t>فعلی الأوّل یکون الأصل عدم وجود قرینة فی البین فیؤخذ بالمعنی الظاهر العرفی، وأمّا علی الثانی فلابدّ من ملاحظة ظهور الکلام وأنّه هل یوجب احتمال وجود القرینة إجمال اللفظ أو الظهور باقٍ علی حاله؟ فالملاک کلّه حینئذٍ هو الظهور اللفظی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الشکّ فی قرینیة الموجود، فهی أیضاً مبنیة علی ما مرّ من النزاع آنفاً، فبناءً علی کون أصالة عدم القرینة حجّة تعبّداً فلا إشکال فی الأخذ بالعمومات السابقة علی العامّ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أصالة الظهور یصبح الکلام مجملًا وتسقط العمومات السابقة عن الحجّیة؛ لاحتفافها بما یحتمل القرینیة، وبما أنّ بناء العقلاء استقرّ علی حجّیة الظواهر فقط، فلابدّ لإثبات حجّیة أصالة عدم القرینة تعبّداً من دلیل یدلّ علیها، مع أنّها ممّا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تمّ الکلام فی المقصد الأوّل والثانی وما یتعلّق بمباحث الألفاظ وبها یتمّ هذا الجزء ویقع البحث عن سائر مقاصد هذا العلم فی الجزء الثانی إن شاء اللَّه تعالی</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 والصلاة علی رسوله المصطفی وآله الغرّ المیامین</w:t>
      </w:r>
      <w:r>
        <w:rPr>
          <w:rFonts w:eastAsia="IRNazanin" w:cs="IRNazanin"/>
          <w:color w:val="111111"/>
          <w:sz w:val="28"/>
          <w:szCs w:val="28"/>
          <w:rtl w:val="true"/>
          <w:lang w:bidi="fa-IR"/>
        </w:rPr>
        <w:t>.</w:t>
      </w:r>
      <w:bookmarkStart w:id="835" w:name="pg16918_187602"/>
    </w:p>
    <w:p>
      <w:pPr>
        <w:pStyle w:val="Heading4"/>
        <w:numPr>
          <w:ilvl w:val="3"/>
          <w:numId w:val="1"/>
        </w:numPr>
        <w:rPr/>
      </w:pPr>
      <w:bookmarkStart w:id="836" w:name="__RefHeading___Toc96552_3244359995"/>
      <w:bookmarkStart w:id="837" w:name="_Toc316"/>
      <w:bookmarkEnd w:id="835"/>
      <w:bookmarkEnd w:id="836"/>
      <w:r>
        <w:rPr>
          <w:rtl w:val="true"/>
        </w:rPr>
        <w:t>فهرس الموضوعات</w:t>
      </w:r>
      <w:bookmarkEnd w:id="837"/>
    </w:p>
    <w:p>
      <w:pPr>
        <w:pStyle w:val="BookText"/>
        <w:rPr/>
      </w:pPr>
      <w:r>
        <w:rPr>
          <w:rFonts w:ascii="IRNazanin" w:hAnsi="IRNazanin" w:eastAsia="IRNazanin"/>
          <w:color w:val="111111"/>
          <w:sz w:val="28"/>
          <w:sz w:val="28"/>
          <w:szCs w:val="28"/>
          <w:rtl w:val="true"/>
          <w:lang w:bidi="fa-IR"/>
        </w:rPr>
        <w:t>کلام جوهری حول نظم الکتاب ومقاصده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تقسیم المباحث الأصولیّة وترتیبها علی ما ینبغی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علم الاصول وبیان موضوعه وفائدته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معنی الحجّة وأقسامها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حجّیة القطع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حجّیة القطع الحاصل من المقدّمات العقلیّة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عدم حصول القطع من المقدّمات العقلیّة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حجّیة القطع الحاصل من المقدّمات العقلیّة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أقسام القطع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القطع الطریقی والموضوعی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 حجّیة العلم الإجمالی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أصالة عدم حجّیة الظنّ إلّاما خرج بالدلیل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کیفیة الجمع بین الحکم الواقعی والظاهری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دعوی حجّیة مطلق الظنّ بدلیل الانسداد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مطلق الظنّ علی فرض الانسداد </w:t>
      </w:r>
      <w:r>
        <w:rPr>
          <w:rFonts w:eastAsia="IRNazanin" w:cs="IRNazanin"/>
          <w:color w:val="111111"/>
          <w:sz w:val="28"/>
          <w:szCs w:val="28"/>
          <w:lang w:bidi="fa-IR"/>
        </w:rPr>
        <w:t>34</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حجّیة مطلق الظنّ فی مقام الإمتثال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حجّیة کتاب اللَّه سنداً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حجّیة ظواهر الألفاظ عموماً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تحدید حجّیة الظواهر عند بعض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حجّیة ظواهر الکتاب بالخصوص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أدلّة الأخباریین حول تقیید حجّیة ظواهر الکتاب ونقدها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الکلام فی عدم تحریف الکتاب العزیز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موضع النزاع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أدلّة القائلین بعدم التحریف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أدلّة القائلین بالتحریف ونقدها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الخبر المتواتر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أقسام التواتر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الواحد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أدلّة القائلین بعدم الحجّیة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أدلّة القائلین بحجّیة خبر الواحد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lang w:bidi="fa-IR"/>
        </w:rPr>
        <w:t>76</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مناقشات فی دلالة الآیة و حلّها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نتیجة البحث فی حجّیة خبر الواحد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بقی هنا امور مهمّة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حجّیة خبر الواحد فی الاصول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الواحد هل یکون حجّة فی الموضوعات أو لا؟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المعیار فی حجّیة خبر الواحد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ذا یرجع إلی الکتب الرجالیة فی إثبات وثاقة الرواة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نظرة عاجلة إلی روایات الکتب الأربعة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حکم تعارض الروایات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الفرق بین التعارض والتزاحم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أنحاء التعارضات البدویّة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التخصیص والتخصّص والحکومة والورود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التعارض بین أدلّة الأمارات والاصول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التعارض بین العناوین الأوّلیّة والعناوین الثانویّة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التعارض فی موارد الجمع العرفی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الضوابط العامّة للجمع الدلالی العرفی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تعارض العامّ مع المطلق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تعارض الإطلاق الشمولی مع الإطلاق البدلی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الأمر بین النسخ والتخصیص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بقی شی‌ء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الأمر بین التصرّف فی منطوق أحد الخبرین ومفهوم الآخر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الأمر بین التخصیص والمجاز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التعارض الحقیقی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الأصل الأوّلی فی المتعارضین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التفصیل بین المبانی فی القول بالتساقط أو التخییر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عدم دلالة المتعارضین علی نفی الثالث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الأصل الثانوی فی المتعارضین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أخبار التعادل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یدلّ علی التخییر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یدلّ علی التوقّف والاحتیاط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أخبار الترجیح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نتیجة الجمع بین روایات الترجیح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بقی هنا امور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الاقتصار علی المرجّحات المنصوصة وعدمه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أقسام الشهرة وکیفیة الترجیح بها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لماذا تکون مخالفة العامّة من المرجّحات؟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ترتیب المرجّحات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المرجّحات الخارجیّة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انقلاب النسبة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التعارض بین العامّین من وجه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الألفاظ الواردة فی الکتاب والسنّة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153</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ویشتمل علی فصول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قول اللّغوی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وأنحاء الإستعمال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وأحکامه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حقیقة الوضع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هو الواضع؟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أقسام الوضع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حول المعانی الحرفیة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أقسام الحروف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 بین الإخبار والإنشاء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الکلام فی معنی أسماء الإشارة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وتحقیق معنی هذه الأسماء یتمّ فی ضمن امور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الکلام فی الضمائر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الکلام فی الموصولات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وضع الهیئات والمرکّبات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المجاز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صحّة الاستعمالات المجازیة هل هی بالوضع أو بالطبع؟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علائم الحقیقة والمجاز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التبادر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صحّة السلب </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الاطّراد وعدمه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تنصیص أهل اللغة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الشرعیّة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أدلّة القولین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الحقائق الشرعیّة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الشکّ فی تاریخ الاستعمال وتاریخ النقل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والأعمّ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محلّ النزاع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معنی الصحّة والفساد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دخول الشرائط فی المسمّی وعدمه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تصویر الجامع علی القولین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أدلّة القول بالصحیح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التبادر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السلب عن الفاسد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روایات تلائم مذهب الصحیحی فقط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أدلّة القول بالأعمّ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التبادر وعدم صحّة السلب عن الفاسد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تقسیم الصلاة إلی صحیحها وفاسدها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وهاهنا تنبیهان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دخول أسامی المعاملات فی محلّ النزاع وعدمه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بإطلاقات المعاملات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الاشتراک واستعمال اللفظ فی أکثر من معنی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إمکان وضع الألفاظ المشترکة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علّة الاشتراک ومنشؤه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إمکان وقوعه فی کلام اللَّه تعالی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استعمال اللفظ فی أکثر من معنی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والأقوال فی المسألة کثیرة أهمّها أربعة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الأوامر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الجهة الاولی فی معنی مادّة الأمر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العلوّ أو الاستعلاء فیه شرط؟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دلالة مادّة الأمر علی الوجوب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صیغة الأمر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مفادها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دلالتها علی الوجوب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 الخبریّة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کیفیة استعمالها فی الطلب الإنشائی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حول دلالتها علی الوجوب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سائر مدالیل الأمر والطلب الإنشائی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الأمر بالأمر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الأمر عقیب الحظر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نسخ الوجوب فهل یبقی الجواز أو لا؟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الأمر متعلّق بالطبائع أو بالأفراد؟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المرّة والتکرار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الأمر بعد الأمر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الفور والتراخی </w:t>
      </w:r>
      <w:r>
        <w:rPr>
          <w:rFonts w:eastAsia="IRNazanin" w:cs="IRNazanin"/>
          <w:color w:val="111111"/>
          <w:sz w:val="28"/>
          <w:szCs w:val="28"/>
          <w:lang w:bidi="fa-IR"/>
        </w:rPr>
        <w:t>228</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تقسیمات الواجب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فأمّا من جهة نفس التکلیف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وأمّا من جهة المتعلّق والمکلّف به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وأمّا من جهة المکلّف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المطلق والمشروط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المنجّز والمعلّق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حکم الشکّ فی رجوع القید إلی المادّة أو الهیئة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النفسی والغیری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حکم الشکّ فی النفسیّة والغیریّة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ترتّب الثواب علی الواجب الغیری وعدمه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کلمة حول الطهارات الثلاث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الأصلی والتبعی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التعبّدی والتوصّلی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الفرق بین التعبّدی والتوصّلی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إمکان أخذ قصد الأمر فی المأمور به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هل الأصل فی الأوامر هو التعبّدیّة أو التوصّلیّة؟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الأصل العملی فی المقام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الموقّت وغیر الموقّت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هل القضاء تابع للأداء، أو بأمر جدید؟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التخییری والتعیینی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التخییر بین الأقلّ والأکثر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العینی والکفائی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المباشری والتسبیبی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النواهی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حقیقة النهی ومدلول صیغته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الأمر والنهی فی کیفیّة الإمتثال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النهی علی التحریم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النهی علی التکرار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المشتقّات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 محلّ النزاع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خروج اسم الزمان عن محلّ النزاع وعدمه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خروج اسم المفعول واسم الآلة عن حریم النزاع وعدمه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المبادئ فی المشتقّات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الأقوال فی المسألة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أدلّة القول بالأخصّ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أدلّة القول بالأعمّ </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بساطة مفهوم المشتقّ وترکّبه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الباری تعالی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المبدأ بالذات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 مبدأ المشتقّات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المفاهیم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أقسام المفهوم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مفهوم المخالفة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المختار فی المسألة هو التفصیل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أدلّة المنکرین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بقی هنا أمران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تعدّد الشرط ووحدة الجزاء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تداخل الأسباب والمسبّبات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تداخل الأسباب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تداخل المسبّبات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الوصف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أدلّة المنکرین للمفهوم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أدلّة المثبتین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الغایة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الحصر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ومن أداة الحصر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ومنها تعریف المسند إلیه باللام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اللقب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العدد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والخاصّ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العامّ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أقسام العامّ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ألفاظ العموم </w:t>
      </w:r>
      <w:r>
        <w:rPr>
          <w:rFonts w:eastAsia="IRNazanin" w:cs="IRNazanin"/>
          <w:color w:val="111111"/>
          <w:sz w:val="28"/>
          <w:szCs w:val="28"/>
          <w:lang w:bidi="fa-IR"/>
        </w:rPr>
        <w:t>320</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النکرة فی سیاق النفی أو النهی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کلّ وما شابهها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المحلّی باللام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 المحلّی باللام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حجّیة العامّ المخصّص فی الباقی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التمسّک بالعامّ فی الشبهات المفهومیّة للمخصّص </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التمسّک بالعامّ فی الشبهات المصداقیّة للمخصّص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التفصیل بین المخصص اللفظی واللبی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التمسّک باستصحاب العدم الأزلی فی تعیین حال الفرد المشتبه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حول دوران الأمر بین التخصیص والتخصّص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التمسّک بالعامّ قبل الفحص عن المخصّص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المخصّص المنفصل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المخصّص المتّصل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الکلام فی الخطابات الشفاهیّة </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تعقّب العامّ ضمیر یرجع إلی البعض </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تخصیص العامّ بالمفهوم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الاستثناء المتعقّب للجمل المتعدّدة </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تخصیص عمومات الکتاب بخبر الواحد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العامّ والخاصّ بین النسخ والتخصیص </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الکلام فی النسخ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هل یجوز النسخ فی حکم اللَّه تعالی أو لا؟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 والمقیّد </w:t>
      </w:r>
      <w:r>
        <w:rPr>
          <w:rFonts w:eastAsia="IRNazanin" w:cs="IRNazanin"/>
          <w:color w:val="111111"/>
          <w:sz w:val="28"/>
          <w:szCs w:val="28"/>
          <w:lang w:bidi="fa-IR"/>
        </w:rPr>
        <w:t>353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أنحاء الإطلاق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الألفاظ الّتی یراد منها الإطلاق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الجنس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ثانیها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الجنس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 المحلّی باللام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النکرة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استعمال المطلق فی المقیّد حقیقة أو مجاز؟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کیفیة دلالة المطلق علی الشمول والسریان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مقدّمات الحکمة ما هی؟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إذا ورد مطلق ومقیّد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کیفیّة الجمع بین المطلق والمقیّد فی المستحبّات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کیفیّة الجمع بین المطلق والمقیّد فی الأحکام الوضعیة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المجمل والمبیّن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تنبیه حول الأصول اللفظیّة الجاریّة عند الشکّ فی الإجمال </w:t>
      </w:r>
      <w:r>
        <w:rPr>
          <w:rFonts w:eastAsia="IRNazanin" w:cs="IRNazanin"/>
          <w:color w:val="111111"/>
          <w:sz w:val="28"/>
          <w:szCs w:val="28"/>
          <w:lang w:bidi="fa-IR"/>
        </w:rPr>
        <w:t>368</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369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کتابنا 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معجم مقاییس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الشمسیّة،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الجوهر النضید، ص </w:t>
      </w:r>
      <w:r>
        <w:rPr>
          <w:rFonts w:eastAsia="IRNazanin" w:cs="IRNazanin"/>
          <w:b w:val="false"/>
          <w:bCs w:val="false"/>
          <w:i w:val="false"/>
          <w:iCs w:val="false"/>
          <w:color w:val="333333"/>
          <w:sz w:val="20"/>
          <w:szCs w:val="20"/>
        </w:rPr>
        <w:t>193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القطّاع مثلًا فی الحکم بالنجاسة، الشکّاک فی تحصیل الطهارة، فهو مقابل القطّاع فی الاصطلاح</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129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73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ح </w:t>
      </w:r>
      <w:r>
        <w:rPr>
          <w:rFonts w:eastAsia="IRNazanin" w:cs="IRNazanin"/>
          <w:b w:val="false"/>
          <w:bCs w:val="false"/>
          <w:i w:val="false"/>
          <w:iCs w:val="false"/>
          <w:color w:val="333333"/>
          <w:sz w:val="20"/>
          <w:szCs w:val="20"/>
        </w:rPr>
        <w:t>62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الشهادات،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باب حقّ العالم</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الحجّ، أبواب أحکام العشرة، الباب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w:t>
      </w:r>
      <w:r>
        <w:rPr>
          <w:rFonts w:eastAsia="IRNazanin" w:cs="IRNazanin"/>
          <w:b w:val="false"/>
          <w:bCs w:val="false"/>
          <w:i w:val="false"/>
          <w:iCs w:val="false"/>
          <w:color w:val="333333"/>
          <w:sz w:val="20"/>
          <w:szCs w:val="20"/>
        </w:rPr>
        <w:t>58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فبعد إنحلال العلم الإجمالی بکثیر من التکالیف بسبب الروایات والاصول المثبتة للتکالیف الإلزامیّة کالاحتیاط والاستصحاب علی القول بجریانه فی الأحکام، یجری الاصول النافیة من غیر نکیر</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عقد فی الوافی باب فی أنّه لیس شی‌ء ممّا یحتاج إلیه الناس إلّاوقد جاء فیه کتاب أو سنّة،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أبواب العقل والعلم، الباب </w:t>
      </w:r>
      <w:r>
        <w:rPr>
          <w:rFonts w:eastAsia="IRNazanin" w:cs="IRNazanin"/>
          <w:b w:val="false"/>
          <w:bCs w:val="false"/>
          <w:i w:val="false"/>
          <w:iCs w:val="false"/>
          <w:color w:val="333333"/>
          <w:sz w:val="20"/>
          <w:szCs w:val="20"/>
        </w:rPr>
        <w:t>23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أشهر مصنّفات علمائنا الإمامیّة فی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للقطب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275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29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الآیة </w:t>
      </w:r>
      <w:r>
        <w:rPr>
          <w:rFonts w:eastAsia="IRNazanin" w:cs="IRNazanin"/>
          <w:b w:val="false"/>
          <w:bCs w:val="false"/>
          <w:i w:val="false"/>
          <w:iCs w:val="false"/>
          <w:color w:val="333333"/>
          <w:sz w:val="20"/>
          <w:szCs w:val="20"/>
        </w:rPr>
        <w:t>78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24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75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الآیة </w:t>
      </w:r>
      <w:r>
        <w:rPr>
          <w:rFonts w:eastAsia="IRNazanin" w:cs="IRNazanin"/>
          <w:b w:val="false"/>
          <w:bCs w:val="false"/>
          <w:i w:val="false"/>
          <w:iCs w:val="false"/>
          <w:color w:val="333333"/>
          <w:sz w:val="20"/>
          <w:szCs w:val="20"/>
        </w:rPr>
        <w:t>38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الآیات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سورة النساء، الآیة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سورة الطلاق، الآیة </w:t>
      </w:r>
      <w:r>
        <w:rPr>
          <w:rFonts w:eastAsia="IRNazanin" w:cs="IRNazanin"/>
          <w:b w:val="false"/>
          <w:bCs w:val="false"/>
          <w:i w:val="false"/>
          <w:iCs w:val="false"/>
          <w:color w:val="333333"/>
          <w:sz w:val="20"/>
          <w:szCs w:val="20"/>
        </w:rPr>
        <w:t>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89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16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القراءة فی الصلاة،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الآیتان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الآیات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الآیة </w:t>
      </w:r>
      <w:r>
        <w:rPr>
          <w:rFonts w:eastAsia="IRNazanin" w:cs="IRNazanin"/>
          <w:b w:val="false"/>
          <w:bCs w:val="false"/>
          <w:i w:val="false"/>
          <w:iCs w:val="false"/>
          <w:color w:val="333333"/>
          <w:sz w:val="20"/>
          <w:szCs w:val="20"/>
        </w:rPr>
        <w:t>24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وسائل الشیعة، کتاب القضاء، أبواب صفات القاضی،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الباب الرابع من أبواب المقدّمة</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قراءة القرآن ولو فی غیر الصلاة،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الخیار، الباب </w:t>
      </w:r>
      <w:r>
        <w:rPr>
          <w:rFonts w:eastAsia="IRNazanin" w:cs="IRNazanin"/>
          <w:b w:val="false"/>
          <w:bCs w:val="false"/>
          <w:i w:val="false"/>
          <w:iCs w:val="false"/>
          <w:color w:val="333333"/>
          <w:sz w:val="20"/>
          <w:szCs w:val="20"/>
        </w:rPr>
        <w:t>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الآیة </w:t>
      </w:r>
      <w:r>
        <w:rPr>
          <w:rFonts w:eastAsia="IRNazanin" w:cs="IRNazanin"/>
          <w:b w:val="false"/>
          <w:bCs w:val="false"/>
          <w:i w:val="false"/>
          <w:iCs w:val="false"/>
          <w:color w:val="333333"/>
          <w:sz w:val="20"/>
          <w:szCs w:val="20"/>
        </w:rPr>
        <w:t>78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کتاب الحجّ، أبواب وجوب الحجّ،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کتاب الأمربالمعروف،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الوصایا،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الصید،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الحدود والتعزیرات،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275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القضاء، أبواب صفات القاضی،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55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207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الآیتان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 </w:t>
      </w:r>
      <w:r>
        <w:rPr>
          <w:rFonts w:eastAsia="IRNazanin" w:cs="IRNazanin"/>
          <w:b w:val="false"/>
          <w:bCs w:val="false"/>
          <w:i w:val="false"/>
          <w:iCs w:val="false"/>
          <w:color w:val="333333"/>
          <w:sz w:val="20"/>
          <w:szCs w:val="20"/>
        </w:rPr>
        <w:t>84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الفنّ الخامس من المقدّمة</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إعجاز القرآن، ص </w:t>
      </w:r>
      <w:r>
        <w:rPr>
          <w:rFonts w:eastAsia="IRNazanin" w:cs="IRNazanin"/>
          <w:b w:val="false"/>
          <w:bCs w:val="false"/>
          <w:i w:val="false"/>
          <w:iCs w:val="false"/>
          <w:color w:val="333333"/>
          <w:sz w:val="20"/>
          <w:szCs w:val="20"/>
        </w:rPr>
        <w:t>41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تاریخ القرآن لأبی عبداللَّه الزنجانی، ص </w:t>
      </w:r>
      <w:r>
        <w:rPr>
          <w:rFonts w:eastAsia="IRNazanin" w:cs="IRNazanin"/>
          <w:b w:val="false"/>
          <w:bCs w:val="false"/>
          <w:i w:val="false"/>
          <w:iCs w:val="false"/>
          <w:color w:val="333333"/>
          <w:sz w:val="20"/>
          <w:szCs w:val="20"/>
        </w:rPr>
        <w:t>42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 إنّ القرآن جمع علی عهد أبی بکر، وقیل علی عهد عمر، وجماعة کثیرة یقولون بأنّه جمع فی زمن‌عثمان، والحقّ أنّه جمع علی عهد رسول اللَّه صلی الله علیه و آله ولم یقبض رسول اللَّه صلی الله علیه و آله إلّابعد أن جمع تمامه، وأمّا عثمان فهو إنّما نظّم القراءات المختلفة وجمع المسلمین علی قراءة واحدة وهی القراءة الّتی کانت مشهورة بین المسلمین الّتی تلقّوها عن النّبی صلی الله علیه و آله ومنع عن القراءات الاخری المبتنیة علی أحادیث نزول القرآن علی سبعة أحرف، حیث إنّ اختلاف القراءات لم یکن مقصوراً علی مجرّد اختلاف الإعراب والحرکات بل یعمّ التغییر لبعض الکلمات أیضاً کما روی أنّ عمر کان یقرأ فی 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عن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واسعوا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الآیة </w:t>
      </w:r>
      <w:r>
        <w:rPr>
          <w:rFonts w:eastAsia="IRNazanin" w:cs="IRNazanin"/>
          <w:b w:val="false"/>
          <w:bCs w:val="false"/>
          <w:i w:val="false"/>
          <w:iCs w:val="false"/>
          <w:color w:val="333333"/>
          <w:sz w:val="20"/>
          <w:szCs w:val="20"/>
        </w:rPr>
        <w:t>20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الآیتان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الآیتان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الباب الرابع من أبواب المقدّمة</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الخطبة </w:t>
      </w:r>
      <w:r>
        <w:rPr>
          <w:rFonts w:eastAsia="IRNazanin" w:cs="IRNazanin"/>
          <w:b w:val="false"/>
          <w:bCs w:val="false"/>
          <w:i w:val="false"/>
          <w:iCs w:val="false"/>
          <w:color w:val="333333"/>
          <w:sz w:val="20"/>
          <w:szCs w:val="20"/>
        </w:rPr>
        <w:t>133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الخطبة </w:t>
      </w:r>
      <w:r>
        <w:rPr>
          <w:rFonts w:eastAsia="IRNazanin" w:cs="IRNazanin"/>
          <w:b w:val="false"/>
          <w:bCs w:val="false"/>
          <w:i w:val="false"/>
          <w:iCs w:val="false"/>
          <w:color w:val="333333"/>
          <w:sz w:val="20"/>
          <w:szCs w:val="20"/>
        </w:rPr>
        <w:t>198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مرکّب من کاف التشبیه وأیّ المنوّنة، وجاز الوقف علیها بالنون، ویفید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الاستفهامیّة، راجع مغنی اللبیب،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جماعة من العامّة لتوجیه کثیر من الروایات الواردة من طرقهم حول تحریف القرآن إلی القول بنسخ التلاوة وهو أن تنسخ تلاوة آیة من الآیات سواء نسخ حکمها أیضاً أو لم ینسخ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یکون الحکم باقیاً من دون بقاء الآیة الدالّة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مقابله نسخ الحکم، وهو أن ینسخ الحکم من دون أن تنسخ الآیة الدالّة علیه، أمّا نسخ الحکم مع بقاء التلاوة فهو أمر ظاهر مفهوماً ومصداقاً، وأمّا نسخ التلاوة بعد نزولها قرآناً فهو أمر لا معنی محصّل له؛ لأنّه لو کان المقصود منه أنّ رسول اللَّه صلی الله علیه و آله نهی عن تلاوة هذا القبیل من الآیات وأنّ نسخ التلاوة قد وقع من رسول اللَّه فهذا أمر غیر معقول، وإن کان المراد وقوعه ممّن تصدّی للزعامة من بعد النّبی صلی الله علیه و آله فهو عین القول بالتحریف بالنقصان واقعاً وإن لم یسمّ بالتحریف لفظاً، وعلیه فیمکن أن یدّعی أنّ القول بالتحریف هو مذهب کثیر من علماء أهل السنّة لأنّهم یقولون بجواز نسخ التلاوة، بل یمکن أن یدّعی أنّ أوّل من قال عندهم بالتحریف هو عائشة، والثانی عمر، والثالث ابن عبّاس، وقد عرفت أنّ المحقّقین منّا ومنهم رفضوا القول بالتحریف مطلقاً</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المنزل من عند اللَّه تبارک وتعالی علی 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انزل علی سبیل الإعجاز وهو القرآن، وقسم انزل لاعلی سبیل الإعجاز، وهو الحدیث القدسی</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238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الثلاثة، ح </w:t>
      </w:r>
      <w:r>
        <w:rPr>
          <w:rFonts w:eastAsia="IRNazanin" w:cs="IRNazanin"/>
          <w:b w:val="false"/>
          <w:bCs w:val="false"/>
          <w:i w:val="false"/>
          <w:iCs w:val="false"/>
          <w:color w:val="333333"/>
          <w:sz w:val="20"/>
          <w:szCs w:val="20"/>
        </w:rPr>
        <w:t>232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186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معجم رجال‌الحدیث،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الآیتان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59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المقدّمة، ولا یخفی أنّ الأحادیث المرویة عن أئمّة أهل البیت علیهم السلام کلّها ترجع إلی أحادیث رسول اللَّه صلی الله علیه و آله ویدلّ علی ذلک روایات کثیرة مستفیضة، فهم رواة العلم عنه صلی الله علیه و آله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الإحکام فی اصول الأحکام، للآمدی،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یصر إلی حدٍّ یکون التواتر لفظیاً؛ بمعنی کون المعنی المشترک مطابقیاً فی بعضها و تضمّنیاً أو التزامیاًفی بعضها الآخر، من غیر بلوغ ما یدلّ علیه اللفظ مطابقة حدّ التواتر</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کفایة الاصول، ص </w:t>
      </w:r>
      <w:r>
        <w:rPr>
          <w:rFonts w:eastAsia="IRNazanin" w:cs="IRNazanin"/>
          <w:b w:val="false"/>
          <w:bCs w:val="false"/>
          <w:i w:val="false"/>
          <w:iCs w:val="false"/>
          <w:color w:val="333333"/>
          <w:sz w:val="20"/>
          <w:szCs w:val="20"/>
        </w:rPr>
        <w:t>294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w:t>
      </w:r>
      <w:r>
        <w:rPr>
          <w:rFonts w:eastAsia="IRNazanin" w:cs="IRNazanin"/>
          <w:b w:val="false"/>
          <w:bCs w:val="false"/>
          <w:i w:val="false"/>
          <w:iCs w:val="false"/>
          <w:color w:val="333333"/>
          <w:sz w:val="20"/>
          <w:szCs w:val="20"/>
        </w:rPr>
        <w:t>36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الآیة </w:t>
      </w:r>
      <w:r>
        <w:rPr>
          <w:rFonts w:eastAsia="IRNazanin" w:cs="IRNazanin"/>
          <w:b w:val="false"/>
          <w:bCs w:val="false"/>
          <w:i w:val="false"/>
          <w:iCs w:val="false"/>
          <w:color w:val="333333"/>
          <w:sz w:val="20"/>
          <w:szCs w:val="20"/>
        </w:rPr>
        <w:t>28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36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46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317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الآیة </w:t>
      </w:r>
      <w:r>
        <w:rPr>
          <w:rFonts w:eastAsia="IRNazanin" w:cs="IRNazanin"/>
          <w:b w:val="false"/>
          <w:bCs w:val="false"/>
          <w:i w:val="false"/>
          <w:iCs w:val="false"/>
          <w:color w:val="333333"/>
          <w:sz w:val="20"/>
          <w:szCs w:val="20"/>
        </w:rPr>
        <w:t>17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الآیة </w:t>
      </w:r>
      <w:r>
        <w:rPr>
          <w:rFonts w:eastAsia="IRNazanin" w:cs="IRNazanin"/>
          <w:b w:val="false"/>
          <w:bCs w:val="false"/>
          <w:i w:val="false"/>
          <w:iCs w:val="false"/>
          <w:color w:val="333333"/>
          <w:sz w:val="20"/>
          <w:szCs w:val="20"/>
        </w:rPr>
        <w:t>23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w:t>
      </w:r>
      <w:r>
        <w:rPr>
          <w:rFonts w:eastAsia="IRNazanin" w:cs="IRNazanin"/>
          <w:b w:val="false"/>
          <w:bCs w:val="false"/>
          <w:i w:val="false"/>
          <w:iCs w:val="false"/>
          <w:color w:val="333333"/>
          <w:sz w:val="20"/>
          <w:szCs w:val="20"/>
        </w:rPr>
        <w:t>35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w:t>
      </w:r>
      <w:r>
        <w:rPr>
          <w:rFonts w:eastAsia="IRNazanin" w:cs="IRNazanin"/>
          <w:b w:val="false"/>
          <w:bCs w:val="false"/>
          <w:i w:val="false"/>
          <w:iCs w:val="false"/>
          <w:color w:val="333333"/>
          <w:sz w:val="20"/>
          <w:szCs w:val="20"/>
        </w:rPr>
        <w:t>66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36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أنّه یمکن القول بأنّ ما قام علی حجّیته الدلیل القطعی یکون علماً عرفاً بحسب اللغة، وخبر الواحد کذلک علی ما سیأتی تفصیله، فیخرج عن شمول الآیة الشریفة تخصّصاً</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103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رسائل الشریف المرتضی،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الأنبیاء</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w:t>
      </w:r>
      <w:r>
        <w:rPr>
          <w:rFonts w:eastAsia="IRNazanin" w:cs="IRNazanin"/>
          <w:b w:val="false"/>
          <w:bCs w:val="false"/>
          <w:i w:val="false"/>
          <w:iCs w:val="false"/>
          <w:color w:val="333333"/>
          <w:sz w:val="20"/>
          <w:szCs w:val="20"/>
        </w:rPr>
        <w:t>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296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122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249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65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159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نزلت فی الیهود و النصاری الذین کتموا أمر نبوّة نبیّنا صلی الله علیه و آله وهم یجدونه مکتوباً عندهم فی التوراة والإنجیل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43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50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الآیتان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300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الشیعة،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فی اصول الفقه، ص </w:t>
      </w:r>
      <w:r>
        <w:rPr>
          <w:rFonts w:eastAsia="IRNazanin" w:cs="IRNazanin"/>
          <w:b w:val="false"/>
          <w:bCs w:val="false"/>
          <w:i w:val="false"/>
          <w:iCs w:val="false"/>
          <w:color w:val="333333"/>
          <w:sz w:val="20"/>
          <w:szCs w:val="20"/>
        </w:rPr>
        <w:t>159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عقد النکاح،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الوکالة،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کتابنا القواعد الفقهیّة،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قاعدة حجّیة خبر الواحد فی الموضوعات</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الشهادات،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ص </w:t>
      </w:r>
      <w:r>
        <w:rPr>
          <w:rFonts w:eastAsia="IRNazanin" w:cs="IRNazanin"/>
          <w:b w:val="false"/>
          <w:bCs w:val="false"/>
          <w:i w:val="false"/>
          <w:iCs w:val="false"/>
          <w:color w:val="333333"/>
          <w:sz w:val="20"/>
          <w:szCs w:val="20"/>
        </w:rPr>
        <w:t>70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ص </w:t>
      </w:r>
      <w:r>
        <w:rPr>
          <w:rFonts w:eastAsia="IRNazanin" w:cs="IRNazanin"/>
          <w:b w:val="false"/>
          <w:bCs w:val="false"/>
          <w:i w:val="false"/>
          <w:iCs w:val="false"/>
          <w:color w:val="333333"/>
          <w:sz w:val="20"/>
          <w:szCs w:val="20"/>
        </w:rPr>
        <w:t>56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237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249</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438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429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بحثنا عنه تفصیلًا فی کتاب البیع عند البحث عن ولایة الفقیه، راجع أنوار الفقاهة، کتاب البیع،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الآیة </w:t>
      </w:r>
      <w:r>
        <w:rPr>
          <w:rFonts w:eastAsia="IRNazanin" w:cs="IRNazanin"/>
          <w:b w:val="false"/>
          <w:bCs w:val="false"/>
          <w:i w:val="false"/>
          <w:iCs w:val="false"/>
          <w:color w:val="333333"/>
          <w:sz w:val="20"/>
          <w:szCs w:val="20"/>
        </w:rPr>
        <w:t>78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آداب التجارة،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البیوع، الباب </w:t>
      </w:r>
      <w:r>
        <w:rPr>
          <w:rFonts w:eastAsia="IRNazanin" w:cs="IRNazanin"/>
          <w:b w:val="false"/>
          <w:bCs w:val="false"/>
          <w:i w:val="false"/>
          <w:iCs w:val="false"/>
          <w:color w:val="333333"/>
          <w:sz w:val="20"/>
          <w:szCs w:val="20"/>
        </w:rPr>
        <w:t>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450</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هدایة المسترشدین،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فرائد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کثیرة، وقد تقدّم بعضها فی أوائل هذا المقصد</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صلاة المسافر، الباب </w:t>
      </w:r>
      <w:r>
        <w:rPr>
          <w:rFonts w:eastAsia="IRNazanin" w:cs="IRNazanin"/>
          <w:b w:val="false"/>
          <w:bCs w:val="false"/>
          <w:i w:val="false"/>
          <w:iCs w:val="false"/>
          <w:color w:val="333333"/>
          <w:sz w:val="20"/>
          <w:szCs w:val="20"/>
        </w:rPr>
        <w:t>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درر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نهایة الأفکار،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کتاب العقل والجهل، باب اختلاف الحدیث، ح </w:t>
      </w:r>
      <w:r>
        <w:rPr>
          <w:rFonts w:eastAsia="IRNazanin" w:cs="IRNazanin"/>
          <w:b w:val="false"/>
          <w:bCs w:val="false"/>
          <w:i w:val="false"/>
          <w:iCs w:val="false"/>
          <w:color w:val="333333"/>
          <w:sz w:val="20"/>
          <w:szCs w:val="20"/>
        </w:rPr>
        <w:t>10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هذا المجال کتابنا أنوار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ورواه عنه فی 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درر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نهایة الأفکار،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فوائد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46</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عوائد الأیّام،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العائدة </w:t>
      </w:r>
      <w:r>
        <w:rPr>
          <w:rFonts w:eastAsia="IRNazanin" w:cs="IRNazanin"/>
          <w:b w:val="false"/>
          <w:bCs w:val="false"/>
          <w:i w:val="false"/>
          <w:iCs w:val="false"/>
          <w:color w:val="333333"/>
          <w:sz w:val="20"/>
          <w:szCs w:val="20"/>
        </w:rPr>
        <w:t>40</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حکی عن السیّد المرتضی قدس سره دعوی الإجماع علی ذلک، بل استظهر الشیخ الأنصاری قدس سره من کلامه‌المحکی اتفاق المسلمین، وحکی عن الفاضل السبزواری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صحّة المراجعة إلی أصحاب الصناعات البارزین فی صنعتهم البارعین فی فنّهم فیما اختصّ بصناعتهم، ممّا اتّفق علیه العقلاء فی کلّ 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287</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ذلک عن سلیمان بن عبّاد الصیمری، مستدلّاً بأنّ دلالة الألفاظ علی معانیها لو کانت بالوضع ومن غیر مناسبة بینهما للزم منه الترجیح من غیر مرجّح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القواعد،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الفصول الغرویة، ص </w:t>
      </w:r>
      <w:r>
        <w:rPr>
          <w:rFonts w:eastAsia="IRNazanin" w:cs="IRNazanin"/>
          <w:b w:val="false"/>
          <w:bCs w:val="false"/>
          <w:i w:val="false"/>
          <w:iCs w:val="false"/>
          <w:color w:val="333333"/>
          <w:sz w:val="20"/>
          <w:szCs w:val="20"/>
        </w:rPr>
        <w:t>23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9</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الآیة </w:t>
      </w:r>
      <w:r>
        <w:rPr>
          <w:rFonts w:eastAsia="IRNazanin" w:cs="IRNazanin"/>
          <w:b w:val="false"/>
          <w:bCs w:val="false"/>
          <w:i w:val="false"/>
          <w:iCs w:val="false"/>
          <w:color w:val="333333"/>
          <w:sz w:val="20"/>
          <w:szCs w:val="20"/>
        </w:rPr>
        <w:t>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منسوب إلی رضی الدین الإسترآبادی، لکن بعد التأمّل وإمعان النظر فیما ذکره یستفاد موافقته للقول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التقریرات،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الهامش</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نهایة الدرایة،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لمحات الاصول،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12</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ص </w:t>
      </w:r>
      <w:r>
        <w:rPr>
          <w:rFonts w:eastAsia="IRNazanin" w:cs="IRNazanin"/>
          <w:b w:val="false"/>
          <w:bCs w:val="false"/>
          <w:i w:val="false"/>
          <w:iCs w:val="false"/>
          <w:color w:val="333333"/>
          <w:sz w:val="20"/>
          <w:szCs w:val="20"/>
        </w:rPr>
        <w:t>28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المطوّل،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الفصول الغرویة،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وقایة الأذهان،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الفرزدق،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منتهی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مبادی الوصول،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کفایة الاصول،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تهذیب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41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هدایة المسترشدین،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الفصول الغرویة،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نهایة الأفکار،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الفصول الغرویة، ص </w:t>
      </w:r>
      <w:r>
        <w:rPr>
          <w:rFonts w:eastAsia="IRNazanin" w:cs="IRNazanin"/>
          <w:b w:val="false"/>
          <w:bCs w:val="false"/>
          <w:i w:val="false"/>
          <w:iCs w:val="false"/>
          <w:color w:val="333333"/>
          <w:sz w:val="20"/>
          <w:szCs w:val="20"/>
        </w:rPr>
        <w:t>45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دررالفوائد،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وإن تکرّر فی ألسنة فقهائنا وکتبهم، ولکن لم یرد من طرقنا،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275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1</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الفصول الغرویة،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کفایة الاصول،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من علم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الإحکام فی اصول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حقائق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محاضرات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ولکن سیأتی فی مبحث التوصّلی والتعبّدی إن شاء اللَّه إمکان أخذه فی المأمور به شرعاً من غیر لزوم محذور</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أجود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بدائع الأفکار للمحقّق الرشتی، </w:t>
      </w:r>
      <w:r>
        <w:rPr>
          <w:rFonts w:eastAsia="IRNazanin" w:cs="IRNazanin"/>
          <w:b w:val="false"/>
          <w:bCs w:val="false"/>
          <w:i w:val="false"/>
          <w:iCs w:val="false"/>
          <w:color w:val="333333"/>
          <w:sz w:val="20"/>
          <w:szCs w:val="20"/>
        </w:rPr>
        <w:t>155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وارتضاه المحقّق الخوئی فی المحاضرات،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منسوب إلی جماعة من القائلین بالأعمّ،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ص </w:t>
      </w:r>
      <w:r>
        <w:rPr>
          <w:rFonts w:eastAsia="IRNazanin" w:cs="IRNazanin"/>
          <w:b w:val="false"/>
          <w:bCs w:val="false"/>
          <w:i w:val="false"/>
          <w:iCs w:val="false"/>
          <w:color w:val="333333"/>
          <w:sz w:val="20"/>
          <w:szCs w:val="20"/>
        </w:rPr>
        <w:t>8</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أعداد الفرائض،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الجوامع الروائیّة، نعم ذکره المجلسی رحمه الله فی اعتقاداته،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والفخر الرازی فی تفسیره،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القرائة،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الحیض،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فی علم الاصول للفخر الرازی،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مفاتیح الاصول، ص </w:t>
      </w:r>
      <w:r>
        <w:rPr>
          <w:rFonts w:eastAsia="IRNazanin" w:cs="IRNazanin"/>
          <w:b w:val="false"/>
          <w:bCs w:val="false"/>
          <w:i w:val="false"/>
          <w:iCs w:val="false"/>
          <w:color w:val="333333"/>
          <w:sz w:val="20"/>
          <w:szCs w:val="20"/>
        </w:rPr>
        <w:t>23</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فی هذا المجال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فی تفسیر کتاب اللَّه المنزل، ذیل الآیة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355</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الآیة </w:t>
      </w:r>
      <w:r>
        <w:rPr>
          <w:rFonts w:eastAsia="IRNazanin" w:cs="IRNazanin"/>
          <w:b w:val="false"/>
          <w:bCs w:val="false"/>
          <w:i w:val="false"/>
          <w:iCs w:val="false"/>
          <w:color w:val="333333"/>
          <w:sz w:val="20"/>
          <w:szCs w:val="20"/>
        </w:rPr>
        <w:t>45</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الآیة </w:t>
      </w:r>
      <w:r>
        <w:rPr>
          <w:rFonts w:eastAsia="IRNazanin" w:cs="IRNazanin"/>
          <w:b w:val="false"/>
          <w:bCs w:val="false"/>
          <w:i w:val="false"/>
          <w:iCs w:val="false"/>
          <w:color w:val="333333"/>
          <w:sz w:val="20"/>
          <w:szCs w:val="20"/>
        </w:rPr>
        <w:t>84</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أجود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نهایة الأفکار،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للمحقّق الرشتی، ص </w:t>
      </w:r>
      <w:r>
        <w:rPr>
          <w:rFonts w:eastAsia="IRNazanin" w:cs="IRNazanin"/>
          <w:b w:val="false"/>
          <w:bCs w:val="false"/>
          <w:i w:val="false"/>
          <w:iCs w:val="false"/>
          <w:color w:val="333333"/>
          <w:sz w:val="20"/>
          <w:szCs w:val="20"/>
        </w:rPr>
        <w:t>163</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محاضرات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کتاب القرآن،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 للقرآن ظهراً وبطناً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أورد فیه العلّامة المجلسی قدس سره أکثر من ثمانین روایة کثیر منها یدلّ علی المطلوب</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97</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82</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مال إلیه المحقّق النائینی،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بإرجاعها مثلًا إلی القول المخصوص والشی‌ء والشأن، کما اختاره المحقّق فی معارج الاصول،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أو إلی الطلب والشأن کما فی الفصول،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وهدایة المسترشدین،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المنجد، ص </w:t>
      </w:r>
      <w:r>
        <w:rPr>
          <w:rFonts w:eastAsia="IRNazanin" w:cs="IRNazanin"/>
          <w:b w:val="false"/>
          <w:bCs w:val="false"/>
          <w:i w:val="false"/>
          <w:iCs w:val="false"/>
          <w:color w:val="333333"/>
          <w:sz w:val="20"/>
          <w:szCs w:val="20"/>
        </w:rPr>
        <w:t>18</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مختار السیّد المرتضی، 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وارتضاه جماعة من الأعلام، انظر کفایة الاصول،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نهایة الدرایة،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ونسبه فی مفاتیح الاصول،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جمهور المعتزلة وعدّة من الأشاعرة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خیرة جمع منهم المحقّق و العلّامة رحمهما الله،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مبادی الوصول،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واختاره الفخر الرازی فی المحصول،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إلی جمیع النحاة وعلماء البیان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108</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ونسبه فی هدایة المسترشدین،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بعض المتأخّرین</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إلیه المحقّق البروجردی قدس سره نهایة الاصول،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وهو المحکی عن العضدی وغیره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63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السواک،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114</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وقد ورد فیه الأمر باتباع ما أمر اللَّه به فی کتابه من فرائضه وسننه</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63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69</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70</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الآیة </w:t>
      </w:r>
      <w:r>
        <w:rPr>
          <w:rFonts w:eastAsia="IRNazanin" w:cs="IRNazanin"/>
          <w:b w:val="false"/>
          <w:bCs w:val="false"/>
          <w:i w:val="false"/>
          <w:iCs w:val="false"/>
          <w:color w:val="333333"/>
          <w:sz w:val="20"/>
          <w:szCs w:val="20"/>
        </w:rPr>
        <w:t>77</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228</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تکبیرة الأحرام،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المحصول للفخر الرازی،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ویلحق بها غیرها من الکنایات المستعملة لإنشاء الطلب، کالجمل الاستفهامیّة مثل ما قاله عیسی بن مریم علیه السلام للحواریین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أنصارِی إلَی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سیدنا أبی‌عبد اللَّه الحسین علیه السلام فی یوم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ذابّ یذبّ عن حرم رسول اللَّه صلی الله علیه و آله وهل من موحّد یخاف اللَّه فینا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کفایة الاصول،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نهایة الأفکار،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30</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الآیة </w:t>
      </w:r>
      <w:r>
        <w:rPr>
          <w:rFonts w:eastAsia="IRNazanin" w:cs="IRNazanin"/>
          <w:b w:val="false"/>
          <w:bCs w:val="false"/>
          <w:i w:val="false"/>
          <w:iCs w:val="false"/>
          <w:color w:val="333333"/>
          <w:sz w:val="20"/>
          <w:szCs w:val="20"/>
        </w:rPr>
        <w:t>132</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کروایة الفضیل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فضیل أبلغ شیعتی عنّی السلام وقل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لا اغنی‌عنهم إلّابالورع، فاحفظوا ألسنتکم وکفّوا أیدیکم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222</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ذلک إلی أکثر الاصولیین فی 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مختار المفید رحمه الله فی مختصر التذکرة،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وشیخنا البهائی فی زبدة الاصول،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والمحقّق القمّی فی القوانین، ص </w:t>
      </w:r>
      <w:r>
        <w:rPr>
          <w:rFonts w:eastAsia="IRNazanin" w:cs="IRNazanin"/>
          <w:b w:val="false"/>
          <w:bCs w:val="false"/>
          <w:i w:val="false"/>
          <w:iCs w:val="false"/>
          <w:color w:val="333333"/>
          <w:sz w:val="20"/>
          <w:szCs w:val="20"/>
        </w:rPr>
        <w:t>89</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کأبی اسحاق الشیرازی فی اللمع،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الفخر الرازی فی المحصول،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ظاهر جمع من قدمائنا قدس سرهم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المعارج،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مبادی الوصول، ص </w:t>
      </w:r>
      <w:r>
        <w:rPr>
          <w:rFonts w:eastAsia="IRNazanin" w:cs="IRNazanin"/>
          <w:b w:val="false"/>
          <w:bCs w:val="false"/>
          <w:i w:val="false"/>
          <w:iCs w:val="false"/>
          <w:color w:val="333333"/>
          <w:sz w:val="20"/>
          <w:szCs w:val="20"/>
        </w:rPr>
        <w:t>93</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نهایة الأفکار،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نهایة الدرایة،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سیأتی تفصیله فی ذیل مبحث المجمل والمبیّن</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65</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66</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کفایة الاصول، ص </w:t>
      </w:r>
      <w:r>
        <w:rPr>
          <w:rFonts w:eastAsia="IRNazanin" w:cs="IRNazanin"/>
          <w:b w:val="false"/>
          <w:bCs w:val="false"/>
          <w:i w:val="false"/>
          <w:iCs w:val="false"/>
          <w:color w:val="333333"/>
          <w:sz w:val="20"/>
          <w:szCs w:val="20"/>
        </w:rPr>
        <w:t>140</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مبادی الوصول، ص </w:t>
      </w:r>
      <w:r>
        <w:rPr>
          <w:rFonts w:eastAsia="IRNazanin" w:cs="IRNazanin"/>
          <w:b w:val="false"/>
          <w:bCs w:val="false"/>
          <w:i w:val="false"/>
          <w:iCs w:val="false"/>
          <w:color w:val="333333"/>
          <w:sz w:val="20"/>
          <w:szCs w:val="20"/>
        </w:rPr>
        <w:t>108</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138</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کفایة الاصول، ص </w:t>
      </w:r>
      <w:r>
        <w:rPr>
          <w:rFonts w:eastAsia="IRNazanin" w:cs="IRNazanin"/>
          <w:b w:val="false"/>
          <w:bCs w:val="false"/>
          <w:i w:val="false"/>
          <w:iCs w:val="false"/>
          <w:color w:val="333333"/>
          <w:sz w:val="20"/>
          <w:szCs w:val="20"/>
        </w:rPr>
        <w:t>77</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نهایة الدرایة،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محاضرات فی اصول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ص </w:t>
      </w:r>
      <w:r>
        <w:rPr>
          <w:rFonts w:eastAsia="IRNazanin" w:cs="IRNazanin"/>
          <w:b w:val="false"/>
          <w:bCs w:val="false"/>
          <w:i w:val="false"/>
          <w:iCs w:val="false"/>
          <w:color w:val="333333"/>
          <w:sz w:val="20"/>
          <w:szCs w:val="20"/>
        </w:rPr>
        <w:t>73</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التذکرة باصول الفقه،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121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الشیخ قدس سره فی العدّة،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الجبائیین</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مبادی الوصول، ص </w:t>
      </w:r>
      <w:r>
        <w:rPr>
          <w:rFonts w:eastAsia="IRNazanin" w:cs="IRNazanin"/>
          <w:b w:val="false"/>
          <w:bCs w:val="false"/>
          <w:i w:val="false"/>
          <w:iCs w:val="false"/>
          <w:color w:val="333333"/>
          <w:sz w:val="20"/>
          <w:szCs w:val="20"/>
        </w:rPr>
        <w:t>96</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مقالات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80</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المطلق ما لا یتوقّف وجوبه علی أمر زائد علی الامور المعتبرة فی التکلیف، والمشروط ما کان‌وجوبه موقوفاً علی أمر آخر أیضاً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ص </w:t>
      </w:r>
      <w:r>
        <w:rPr>
          <w:rFonts w:eastAsia="IRNazanin" w:cs="IRNazanin"/>
          <w:b w:val="false"/>
          <w:bCs w:val="false"/>
          <w:i w:val="false"/>
          <w:iCs w:val="false"/>
          <w:color w:val="333333"/>
          <w:sz w:val="20"/>
          <w:szCs w:val="20"/>
        </w:rPr>
        <w:t>46</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122</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ص </w:t>
      </w:r>
      <w:r>
        <w:rPr>
          <w:rFonts w:eastAsia="IRNazanin" w:cs="IRNazanin"/>
          <w:b w:val="false"/>
          <w:bCs w:val="false"/>
          <w:i w:val="false"/>
          <w:iCs w:val="false"/>
          <w:color w:val="333333"/>
          <w:sz w:val="20"/>
          <w:szCs w:val="20"/>
        </w:rPr>
        <w:t>79</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تشریح الاصول،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درر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الآیة </w:t>
      </w:r>
      <w:r>
        <w:rPr>
          <w:rFonts w:eastAsia="IRNazanin" w:cs="IRNazanin"/>
          <w:b w:val="false"/>
          <w:bCs w:val="false"/>
          <w:i w:val="false"/>
          <w:iCs w:val="false"/>
          <w:color w:val="333333"/>
          <w:sz w:val="20"/>
          <w:szCs w:val="20"/>
        </w:rPr>
        <w:t>9</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مفاتیح الاصول،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مطارح الأنظار، ص </w:t>
      </w:r>
      <w:r>
        <w:rPr>
          <w:rFonts w:eastAsia="IRNazanin" w:cs="IRNazanin"/>
          <w:b w:val="false"/>
          <w:bCs w:val="false"/>
          <w:i w:val="false"/>
          <w:iCs w:val="false"/>
          <w:color w:val="333333"/>
          <w:sz w:val="20"/>
          <w:szCs w:val="20"/>
        </w:rPr>
        <w:t>66</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کفایة الاصول،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نهایة الاصول،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کقول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احتفظوا بکتبکم، فإنّکم سوف تحتاجون إلیها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علیه السلام لمفضّل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اکتب‌وبثّ علمک فی إخوانک، فإن متّ فأورث کتبک بنیک، فإنّه یأتی علی الناس زمان هرج لا یأنسون فیه إلّابکتبهم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العنکوت، الآیة </w:t>
      </w:r>
      <w:r>
        <w:rPr>
          <w:rFonts w:eastAsia="IRNazanin" w:cs="IRNazanin"/>
          <w:b w:val="false"/>
          <w:bCs w:val="false"/>
          <w:i w:val="false"/>
          <w:iCs w:val="false"/>
          <w:color w:val="333333"/>
          <w:sz w:val="20"/>
          <w:szCs w:val="20"/>
        </w:rPr>
        <w:t>45</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بدائع الأفکار للمحقّق الرشتی،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کفایة الاصول، ص </w:t>
      </w:r>
      <w:r>
        <w:rPr>
          <w:rFonts w:eastAsia="IRNazanin" w:cs="IRNazanin"/>
          <w:b w:val="false"/>
          <w:bCs w:val="false"/>
          <w:i w:val="false"/>
          <w:iCs w:val="false"/>
          <w:color w:val="333333"/>
          <w:sz w:val="20"/>
          <w:szCs w:val="20"/>
        </w:rPr>
        <w:t>108</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ص </w:t>
      </w:r>
      <w:r>
        <w:rPr>
          <w:rFonts w:eastAsia="IRNazanin" w:cs="IRNazanin"/>
          <w:b w:val="false"/>
          <w:bCs w:val="false"/>
          <w:i w:val="false"/>
          <w:iCs w:val="false"/>
          <w:color w:val="333333"/>
          <w:sz w:val="20"/>
          <w:szCs w:val="20"/>
        </w:rPr>
        <w:t>67</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بدائع الأفکار، للآملی،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رحمه الله،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الاقتصاد،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کشف المراد،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کفایة الاصول، ص </w:t>
      </w:r>
      <w:r>
        <w:rPr>
          <w:rFonts w:eastAsia="IRNazanin" w:cs="IRNazanin"/>
          <w:b w:val="false"/>
          <w:bCs w:val="false"/>
          <w:i w:val="false"/>
          <w:iCs w:val="false"/>
          <w:color w:val="333333"/>
          <w:sz w:val="20"/>
          <w:szCs w:val="20"/>
        </w:rPr>
        <w:t>110</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ذلک إلی المفید فی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ولعلّه لبعض عبائره الموهمة لذلک، کما فی أوائل‌المقالات،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ولکن الظاهر موافقته مع مشهور المتکلمین، انظر النکت فی مقدمات الاصول،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نعم التزم بذلک جمع من المتأخّرین،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تهذیب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173</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110</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الآیتان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کتاب الحجّ، أبواب المزار، الباب </w:t>
      </w:r>
      <w:r>
        <w:rPr>
          <w:rFonts w:eastAsia="IRNazanin" w:cs="IRNazanin"/>
          <w:b w:val="false"/>
          <w:bCs w:val="false"/>
          <w:i w:val="false"/>
          <w:iCs w:val="false"/>
          <w:color w:val="333333"/>
          <w:sz w:val="20"/>
          <w:szCs w:val="20"/>
        </w:rPr>
        <w:t>41</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من الآیتین قوله تعالی فی سورة الأحقاف، الآیة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وَحَملُهُ وَفِصالُهُ ثَلاثُونَ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تعالی فی سورة البقرة، الآیة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وَالوالِداتُ یُرضِعنَ أولادَهُنَّ حَولَینِ کامِلَینِ لِمَن أرادَ أن یُتِمَّ الرَضاعَة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ص </w:t>
      </w:r>
      <w:r>
        <w:rPr>
          <w:rFonts w:eastAsia="IRNazanin" w:cs="IRNazanin"/>
          <w:b w:val="false"/>
          <w:bCs w:val="false"/>
          <w:i w:val="false"/>
          <w:iCs w:val="false"/>
          <w:color w:val="333333"/>
          <w:sz w:val="20"/>
          <w:szCs w:val="20"/>
        </w:rPr>
        <w:t>82</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ص </w:t>
      </w:r>
      <w:r>
        <w:rPr>
          <w:rFonts w:eastAsia="IRNazanin" w:cs="IRNazanin"/>
          <w:b w:val="false"/>
          <w:bCs w:val="false"/>
          <w:i w:val="false"/>
          <w:iCs w:val="false"/>
          <w:color w:val="333333"/>
          <w:sz w:val="20"/>
          <w:szCs w:val="20"/>
        </w:rPr>
        <w:t>78</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کفایة الاصول،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نهایة الأفکار،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74</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کفایة الاصول،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74</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البیّنة، الآیة </w:t>
      </w:r>
      <w:r>
        <w:rPr>
          <w:rFonts w:eastAsia="IRNazanin" w:cs="IRNazanin"/>
          <w:b w:val="false"/>
          <w:bCs w:val="false"/>
          <w:i w:val="false"/>
          <w:iCs w:val="false"/>
          <w:color w:val="333333"/>
          <w:sz w:val="20"/>
          <w:szCs w:val="20"/>
        </w:rPr>
        <w:t>5</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75</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هذا الإشکال فی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ویلحق بهذه الصورة، صورتی تعارض المصلحتین وتزاحمهما؛ أی فیما لا یمکن الجمع بین أمرین فی مقام الجعل لما فیهما من التباین والتضادّ کدواءین مختلفین یؤثّران فی علاج مرضین مختلفین یزیل کلّ منهما أثر الآخر، أو لا یمکن الجمع بینهما لعدم تمکّن المکلّف منه کإنقاذ غریقین فی زمان لا یسع لذلک</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89</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38</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104</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2</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وحکاه عن کثیر من قدماء الاصولیین فی مفاتیح الاصول، ص </w:t>
      </w:r>
      <w:r>
        <w:rPr>
          <w:rFonts w:eastAsia="IRNazanin" w:cs="IRNazanin"/>
          <w:b w:val="false"/>
          <w:bCs w:val="false"/>
          <w:i w:val="false"/>
          <w:iCs w:val="false"/>
          <w:color w:val="333333"/>
          <w:sz w:val="20"/>
          <w:szCs w:val="20"/>
        </w:rPr>
        <w:t>145</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کفایة الاصول،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نهایة الاصول،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تهذیب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الفصول الغرویة، ص </w:t>
      </w:r>
      <w:r>
        <w:rPr>
          <w:rFonts w:eastAsia="IRNazanin" w:cs="IRNazanin"/>
          <w:b w:val="false"/>
          <w:bCs w:val="false"/>
          <w:i w:val="false"/>
          <w:iCs w:val="false"/>
          <w:color w:val="333333"/>
          <w:sz w:val="20"/>
          <w:szCs w:val="20"/>
        </w:rPr>
        <w:t>120</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149</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کفایة الاصول،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تهذیب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محاضرات،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للفخر الرازی،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نهایة السؤل،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14</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الوصول،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إیضاح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رسائل المحقّق الکرکی،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مواهب الجلیل،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ص </w:t>
      </w:r>
      <w:r>
        <w:rPr>
          <w:rFonts w:eastAsia="IRNazanin" w:cs="IRNazanin"/>
          <w:b w:val="false"/>
          <w:bCs w:val="false"/>
          <w:i w:val="false"/>
          <w:iCs w:val="false"/>
          <w:color w:val="333333"/>
          <w:sz w:val="20"/>
          <w:szCs w:val="20"/>
        </w:rPr>
        <w:t>60</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38</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القواعد، ص </w:t>
      </w:r>
      <w:r>
        <w:rPr>
          <w:rFonts w:eastAsia="IRNazanin" w:cs="IRNazanin"/>
          <w:b w:val="false"/>
          <w:bCs w:val="false"/>
          <w:i w:val="false"/>
          <w:iCs w:val="false"/>
          <w:color w:val="333333"/>
          <w:sz w:val="20"/>
          <w:szCs w:val="20"/>
        </w:rPr>
        <w:t>85</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124</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جملتها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کان إبراهیم نبیّاً لیس بإمام حتّی قال اللَّه تبارک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جَاعِلُکَ لِلنَّاسِ‌إِمَاماً قَالَ وَمِنْ ذُرِّیَّتِی قَالَ لَایَنَالُ عَهْدِی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عبد صنماً أو وثناً أو مثالًا لا یکون 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2</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المطالع،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میر سید شریف، شرح العضدی علی المختصر،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المحصول للفخر الرازی،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القوشجی،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المحقّق الدوانی؛ کفایة الاصول،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منتهی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الشواهد الربوبیّة، ص </w:t>
      </w:r>
      <w:r>
        <w:rPr>
          <w:rFonts w:eastAsia="IRNazanin" w:cs="IRNazanin"/>
          <w:b w:val="false"/>
          <w:bCs w:val="false"/>
          <w:i w:val="false"/>
          <w:iCs w:val="false"/>
          <w:color w:val="333333"/>
          <w:sz w:val="20"/>
          <w:szCs w:val="20"/>
        </w:rPr>
        <w:t>43</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رحمه الله علی الکافیة،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وفهمت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عقلته وعرفته،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وقد یقال فی الفرق بین الفهم‌والعلم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الفهم هو العلم بمعانی الکلام،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اللغویّة،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دلّ علیه اللفظ لا فی محلّ النطق وهذا التعریف منسوب إلی الحاجبی وهو مختار کثیر من‌المتقدّمین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العضدی علی مختصر الاصول،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تمهید القواعد،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الفصول الغرویة،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23</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مطارح الأنظار، ص </w:t>
      </w:r>
      <w:r>
        <w:rPr>
          <w:rFonts w:eastAsia="IRNazanin" w:cs="IRNazanin"/>
          <w:b w:val="false"/>
          <w:bCs w:val="false"/>
          <w:i w:val="false"/>
          <w:iCs w:val="false"/>
          <w:color w:val="333333"/>
          <w:sz w:val="20"/>
          <w:szCs w:val="20"/>
        </w:rPr>
        <w:t>170</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کفایة الاصول،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کفایة الاصول، ص </w:t>
      </w:r>
      <w:r>
        <w:rPr>
          <w:rFonts w:eastAsia="IRNazanin" w:cs="IRNazanin"/>
          <w:b w:val="false"/>
          <w:bCs w:val="false"/>
          <w:i w:val="false"/>
          <w:iCs w:val="false"/>
          <w:color w:val="333333"/>
          <w:sz w:val="20"/>
          <w:szCs w:val="20"/>
        </w:rPr>
        <w:t>196</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282</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33</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کفایة الاصول،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للفخر الرازی،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معالم الدین، ص </w:t>
      </w:r>
      <w:r>
        <w:rPr>
          <w:rFonts w:eastAsia="IRNazanin" w:cs="IRNazanin"/>
          <w:b w:val="false"/>
          <w:bCs w:val="false"/>
          <w:i w:val="false"/>
          <w:iCs w:val="false"/>
          <w:color w:val="333333"/>
          <w:sz w:val="20"/>
          <w:szCs w:val="20"/>
        </w:rPr>
        <w:t>79</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صلاة المسافر، الباب </w:t>
      </w:r>
      <w:r>
        <w:rPr>
          <w:rFonts w:eastAsia="IRNazanin" w:cs="IRNazanin"/>
          <w:b w:val="false"/>
          <w:bCs w:val="false"/>
          <w:i w:val="false"/>
          <w:iCs w:val="false"/>
          <w:color w:val="333333"/>
          <w:sz w:val="20"/>
          <w:szCs w:val="20"/>
        </w:rPr>
        <w:t>6</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 فی عدم قبول التکرار من أن یکون ذلک من جهة الاستحالة العقلیّة کالقتل، أو من جهة امتناعه شرعاً کتکرار الصلاة بصورة القصر فی المبحث السابق، لقیام الضرورة علی عدم وجوب صلاة الظهر قصراً مثلًا فی کلّ یومٍ إلّامرّة واحدة</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204</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الدین والقرض،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سنن أبی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کتاب الأقضیة، باب فی الحبس فی الدین، ح </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w:t>
      </w:r>
      <w:r>
        <w:rPr>
          <w:rFonts w:eastAsia="IRNazanin" w:cs="IRNazanin"/>
          <w:b w:val="false"/>
          <w:bCs w:val="false"/>
          <w:i w:val="false"/>
          <w:iCs w:val="false"/>
          <w:color w:val="333333"/>
          <w:sz w:val="20"/>
          <w:szCs w:val="20"/>
        </w:rPr>
        <w:t>6</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فی هذا المجال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للآمدی،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هدایة المسترشدین،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کفایة الاصول، ص </w:t>
      </w:r>
      <w:r>
        <w:rPr>
          <w:rFonts w:eastAsia="IRNazanin" w:cs="IRNazanin"/>
          <w:b w:val="false"/>
          <w:bCs w:val="false"/>
          <w:i w:val="false"/>
          <w:iCs w:val="false"/>
          <w:color w:val="333333"/>
          <w:sz w:val="20"/>
          <w:szCs w:val="20"/>
        </w:rPr>
        <w:t>206</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المیاه وأحکامها، ح </w:t>
      </w:r>
      <w:r>
        <w:rPr>
          <w:rFonts w:eastAsia="IRNazanin" w:cs="IRNazanin"/>
          <w:b w:val="false"/>
          <w:bCs w:val="false"/>
          <w:i w:val="false"/>
          <w:iCs w:val="false"/>
          <w:color w:val="333333"/>
          <w:sz w:val="20"/>
          <w:szCs w:val="20"/>
        </w:rPr>
        <w:t>26</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تخریجه</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23</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العضدی علی مختصر الاصول،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معارج الاصول،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معالم الدین،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قوانین‌الاصول،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مطارح الأنظار،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العدّة فی اصول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الوافیة،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الأطعمة والأشربة، أبواب الأطعمة المباحة،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نهایة الأفکار،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المحاضرات،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ص </w:t>
      </w:r>
      <w:r>
        <w:rPr>
          <w:rFonts w:eastAsia="IRNazanin" w:cs="IRNazanin"/>
          <w:b w:val="false"/>
          <w:bCs w:val="false"/>
          <w:i w:val="false"/>
          <w:iCs w:val="false"/>
          <w:color w:val="333333"/>
          <w:sz w:val="20"/>
          <w:szCs w:val="20"/>
        </w:rPr>
        <w:t>185</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کفایة الاصول،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تهذیب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6</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187</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فی علم الاصول، للفخر الرازی،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من علم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هدایة المسترشدین،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أبواب الطهارة،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تقبل صلاة إلّابطهور</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للفخر الرازی،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مطارح الأنظار،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وتعلیقة المحقّق المشکینی علی الکفایة،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للفخر الرازی،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210</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ص </w:t>
      </w:r>
      <w:r>
        <w:rPr>
          <w:rFonts w:eastAsia="IRNazanin" w:cs="IRNazanin"/>
          <w:b w:val="false"/>
          <w:bCs w:val="false"/>
          <w:i w:val="false"/>
          <w:iCs w:val="false"/>
          <w:color w:val="333333"/>
          <w:sz w:val="20"/>
          <w:szCs w:val="20"/>
        </w:rPr>
        <w:t>188</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کفایة الاصول،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الإحکام للآمدی،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المستصفی من علم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 xml:space="preserve">؛ شرح الرضی رحمه الله علی الکافیة،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مغنی اللبیب،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ص </w:t>
      </w:r>
      <w:r>
        <w:rPr>
          <w:rFonts w:eastAsia="IRNazanin" w:cs="IRNazanin"/>
          <w:b w:val="false"/>
          <w:bCs w:val="false"/>
          <w:i w:val="false"/>
          <w:iCs w:val="false"/>
          <w:color w:val="333333"/>
          <w:sz w:val="20"/>
          <w:szCs w:val="20"/>
        </w:rPr>
        <w:t>188</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هدایة المسترشدین،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کفایة الاصول؛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المستصفی من علم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الإحکام للآمدی،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حکی الخلاف فی ذلک عن أبی بکر الدقّاق وبعض الحنابلة،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هدایة المسترشدین،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کفایة الاصول،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المحصول للفخرالرازی،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80</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البئر یقع فیها ما یغیّر أحد أوصاف الماء،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 المفید لاستغراق جمیع ما یصلح له، العدّة فی اصول الفقه،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معالم الدین،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المستصفی من علم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للآمدی،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103</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للفخر الرازی،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معارج الاصول،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معالم الدین،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نهایة الاصول، ص </w:t>
      </w:r>
      <w:r>
        <w:rPr>
          <w:rFonts w:eastAsia="IRNazanin" w:cs="IRNazanin"/>
          <w:b w:val="false"/>
          <w:bCs w:val="false"/>
          <w:i w:val="false"/>
          <w:iCs w:val="false"/>
          <w:color w:val="333333"/>
          <w:sz w:val="20"/>
          <w:szCs w:val="20"/>
        </w:rPr>
        <w:t>320</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217</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الآیة </w:t>
      </w:r>
      <w:r>
        <w:rPr>
          <w:rFonts w:eastAsia="IRNazanin" w:cs="IRNazanin"/>
          <w:b w:val="false"/>
          <w:bCs w:val="false"/>
          <w:i w:val="false"/>
          <w:iCs w:val="false"/>
          <w:color w:val="333333"/>
          <w:sz w:val="20"/>
          <w:szCs w:val="20"/>
        </w:rPr>
        <w:t>32</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محاضرات فی اصول الفقه،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تهذیب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محاضرات فی اصول الفقه،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هدایة المسترشدین،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درر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للآمدی،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العصر، الآیتان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زبدة الاصول،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مطارح الأنظار،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کفایة الاصول،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المستصفی من علم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الإحکام فی اصول الأحکام للآمدی،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 القدریة فی المستصفی،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وإلی عیسی بن أبان وأبی ثور فی الإحکام فی اصول الأحکام للآمدی،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 الکرخی فی المحصول للفخر الرازی،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وإلی البلخی فی الإحکام فی اصول الأحکام للآمدی،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ص </w:t>
      </w:r>
      <w:r>
        <w:rPr>
          <w:rFonts w:eastAsia="IRNazanin" w:cs="IRNazanin"/>
          <w:b w:val="false"/>
          <w:bCs w:val="false"/>
          <w:i w:val="false"/>
          <w:iCs w:val="false"/>
          <w:color w:val="333333"/>
          <w:sz w:val="20"/>
          <w:szCs w:val="20"/>
        </w:rPr>
        <w:t>192</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الإحکام فی اصول الأحکام للآمدی،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فی اصول الفقه،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کفایة الاصول،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فوائد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معارج الاصول،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الوصول،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المستصفی من علم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للآمدی،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تهذیب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ولاحظ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نهایة الاصول، ص </w:t>
      </w:r>
      <w:r>
        <w:rPr>
          <w:rFonts w:eastAsia="IRNazanin" w:cs="IRNazanin"/>
          <w:b w:val="false"/>
          <w:bCs w:val="false"/>
          <w:i w:val="false"/>
          <w:iCs w:val="false"/>
          <w:color w:val="333333"/>
          <w:sz w:val="20"/>
          <w:szCs w:val="20"/>
        </w:rPr>
        <w:t>232</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218</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الآیة </w:t>
      </w:r>
      <w:r>
        <w:rPr>
          <w:rFonts w:eastAsia="IRNazanin" w:cs="IRNazanin"/>
          <w:b w:val="false"/>
          <w:bCs w:val="false"/>
          <w:i w:val="false"/>
          <w:iCs w:val="false"/>
          <w:color w:val="333333"/>
          <w:sz w:val="20"/>
          <w:szCs w:val="20"/>
        </w:rPr>
        <w:t>14</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220</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الغصب،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30</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222</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223</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کفایة الاصول،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المستصفی من علم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الإحکام فی اصول الأحکام للآمدی،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1</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101</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227</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النهایة،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1</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183</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47</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228</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233</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زبدة الاصول،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والمحصول للفخر الرازی،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4</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مبادئ الوصول،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اللمع لأبی إسحاق لشیرازی، ص </w:t>
      </w:r>
      <w:r>
        <w:rPr>
          <w:rFonts w:eastAsia="IRNazanin" w:cs="IRNazanin"/>
          <w:b w:val="false"/>
          <w:bCs w:val="false"/>
          <w:i w:val="false"/>
          <w:iCs w:val="false"/>
          <w:color w:val="333333"/>
          <w:sz w:val="20"/>
          <w:szCs w:val="20"/>
        </w:rPr>
        <w:t>128</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القول منسوب إلی الحنفیة،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للآمدی،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المستصفی من علم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تهذیب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المحصول للفخر الرازی،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ورد فی خبر القاسم بن سلیمان عن أبی عبداللَّه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أبی یقول إذا تاب ولم یعلم منه إلّاخیرجازت شهادته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الشهادات،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29</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103</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12</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ص </w:t>
      </w:r>
      <w:r>
        <w:rPr>
          <w:rFonts w:eastAsia="IRNazanin" w:cs="IRNazanin"/>
          <w:b w:val="false"/>
          <w:bCs w:val="false"/>
          <w:i w:val="false"/>
          <w:iCs w:val="false"/>
          <w:color w:val="333333"/>
          <w:sz w:val="20"/>
          <w:szCs w:val="20"/>
        </w:rPr>
        <w:t>212</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ص </w:t>
      </w:r>
      <w:r>
        <w:rPr>
          <w:rFonts w:eastAsia="IRNazanin" w:cs="IRNazanin"/>
          <w:b w:val="false"/>
          <w:bCs w:val="false"/>
          <w:i w:val="false"/>
          <w:iCs w:val="false"/>
          <w:color w:val="333333"/>
          <w:sz w:val="20"/>
          <w:szCs w:val="20"/>
        </w:rPr>
        <w:t>490</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239</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المنخول للغزالی،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نواسخ القرآن لابن جوزی،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البیان فی تفسیر القرآن، ص </w:t>
      </w:r>
      <w:r>
        <w:rPr>
          <w:rFonts w:eastAsia="IRNazanin" w:cs="IRNazanin"/>
          <w:b w:val="false"/>
          <w:bCs w:val="false"/>
          <w:i w:val="false"/>
          <w:iCs w:val="false"/>
          <w:color w:val="333333"/>
          <w:sz w:val="20"/>
          <w:szCs w:val="20"/>
        </w:rPr>
        <w:t>279</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فی هذا المجال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الأمثل فی تفسیر کتاب اللَّه المنزل، ذیل الآیة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من‌سورة البقرة؛ العجاب فی بیان الأسباب،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الآیتان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144</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82</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کفایة الاصول، ص </w:t>
      </w:r>
      <w:r>
        <w:rPr>
          <w:rFonts w:eastAsia="IRNazanin" w:cs="IRNazanin"/>
          <w:b w:val="false"/>
          <w:bCs w:val="false"/>
          <w:i w:val="false"/>
          <w:iCs w:val="false"/>
          <w:color w:val="333333"/>
          <w:sz w:val="20"/>
          <w:szCs w:val="20"/>
        </w:rPr>
        <w:t>243</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275</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246</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إلیهم فی فوائد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وانظر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معارج الاصول،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معالم الدین،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سلطان العلماء علی المعالم،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مطارح الأنظار،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کفایة الاصول،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فوائد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275</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آداب التجارة،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29</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38</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الصوم، أبواب وجوب الصوم،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أحکام الخلوة،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القراءة فی الصلاة،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عقد النکاح،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23</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3</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96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image" Target="media/image2.jpeg"/><Relationship Id="rId373" Type="http://schemas.openxmlformats.org/officeDocument/2006/relationships/image" Target="media/image2.jpeg"/><Relationship Id="rId374" Type="http://schemas.openxmlformats.org/officeDocument/2006/relationships/footer" Target="footer367.xml"/><Relationship Id="rId375" Type="http://schemas.openxmlformats.org/officeDocument/2006/relationships/footnotes" Target="footnotes.xml"/><Relationship Id="rId376" Type="http://schemas.openxmlformats.org/officeDocument/2006/relationships/numbering" Target="numbering.xml"/><Relationship Id="rId377" Type="http://schemas.openxmlformats.org/officeDocument/2006/relationships/fontTable" Target="fontTable.xml"/><Relationship Id="rId378" Type="http://schemas.openxmlformats.org/officeDocument/2006/relationships/settings" Target="settings.xml"/><Relationship Id="rId3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376</Pages>
  <Words>49459</Words>
  <Characters>224224</Characters>
  <CharactersWithSpaces>271499</CharactersWithSpaces>
  <Paragraphs>2185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2026-08-24T01:02:14Z</dcterms:created>
  <dc:creator>ghaemiyeh.com</dc:creator>
  <dc:description/>
  <dc:language>en-US</dc:language>
  <cp:lastModifiedBy/>
  <dcterms:modified xsi:type="dcterms:W3CDTF">2026-08-24T04:32:52Z</dcterms:modified>
  <cp:revision>1</cp:revision>
  <dc:subject/>
  <dc:title>طریق الوصول الی مهمات علم الاصول اصول الفقه باسلوب حدیث و آراء جدیدة جلد 1</dc:title>
</cp:coreProperties>
</file>

<file path=docProps/custom.xml><?xml version="1.0" encoding="utf-8"?>
<Properties xmlns="http://schemas.openxmlformats.org/officeDocument/2006/custom-properties" xmlns:vt="http://schemas.openxmlformats.org/officeDocument/2006/docPropsVTypes"/>
</file>