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17</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0204_2870459653">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3380206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380208_2870459653">
            <w:r>
              <w:rPr>
                <w:webHidden/>
                <w:rStyle w:val="IndexLink"/>
                <w:rtl w:val="true"/>
              </w:rPr>
              <w:t>الأُسس المعتمدة للنّشر</w:t>
            </w:r>
            <w:r>
              <w:rPr>
                <w:rStyle w:val="IndexLink"/>
                <w:rtl w:val="true"/>
              </w:rPr>
              <w:tab/>
            </w:r>
            <w:r>
              <w:rPr>
                <w:rStyle w:val="IndexLink"/>
              </w:rPr>
              <w:t>14</w:t>
            </w:r>
          </w:hyperlink>
        </w:p>
        <w:p>
          <w:pPr>
            <w:pStyle w:val="Contents2"/>
            <w:tabs>
              <w:tab w:val="clear" w:pos="8743"/>
              <w:tab w:val="right" w:pos="9026" w:leader="dot"/>
            </w:tabs>
            <w:rPr/>
          </w:pPr>
          <w:hyperlink w:anchor="__RefHeading___Toc3380210_2870459653">
            <w:r>
              <w:rPr>
                <w:webHidden/>
                <w:rStyle w:val="IndexLink"/>
                <w:rtl w:val="true"/>
              </w:rPr>
              <w:t>المحتوی</w:t>
            </w:r>
            <w:r>
              <w:rPr>
                <w:rStyle w:val="IndexLink"/>
                <w:rtl w:val="true"/>
              </w:rPr>
              <w:tab/>
            </w:r>
            <w:r>
              <w:rPr>
                <w:rStyle w:val="IndexLink"/>
              </w:rPr>
              <w:t>15</w:t>
            </w:r>
          </w:hyperlink>
        </w:p>
        <w:p>
          <w:pPr>
            <w:pStyle w:val="Contents2"/>
            <w:tabs>
              <w:tab w:val="clear" w:pos="8743"/>
              <w:tab w:val="right" w:pos="9026" w:leader="dot"/>
            </w:tabs>
            <w:rPr/>
          </w:pPr>
          <w:hyperlink w:anchor="__RefHeading___Toc3380212_2870459653">
            <w:r>
              <w:rPr>
                <w:webHidden/>
                <w:rStyle w:val="IndexLink"/>
                <w:rtl w:val="true"/>
              </w:rPr>
              <w:t>کلمة العدد</w:t>
            </w:r>
            <w:r>
              <w:rPr>
                <w:rStyle w:val="IndexLink"/>
                <w:rtl w:val="true"/>
              </w:rPr>
              <w:tab/>
            </w:r>
            <w:r>
              <w:rPr>
                <w:rStyle w:val="IndexLink"/>
              </w:rPr>
              <w:t>17</w:t>
            </w:r>
          </w:hyperlink>
        </w:p>
        <w:p>
          <w:pPr>
            <w:pStyle w:val="Contents2"/>
            <w:tabs>
              <w:tab w:val="clear" w:pos="8743"/>
              <w:tab w:val="right" w:pos="9026" w:leader="dot"/>
            </w:tabs>
            <w:rPr/>
          </w:pPr>
          <w:hyperlink w:anchor="__RefHeading___Toc3380214_2870459653">
            <w:r>
              <w:rPr>
                <w:webHidden/>
                <w:rStyle w:val="IndexLink"/>
                <w:rtl w:val="true"/>
              </w:rPr>
              <w:t xml:space="preserve">سنّ البلوغ في الأنثى </w:t>
            </w:r>
            <w:r>
              <w:rPr>
                <w:rStyle w:val="IndexLink"/>
                <w:rtl w:val="true"/>
              </w:rPr>
              <w:t>(</w:t>
            </w:r>
            <w:r>
              <w:rPr>
                <w:rStyle w:val="IndexLink"/>
                <w:rtl w:val="true"/>
              </w:rPr>
              <w:t>الحلقة الاولی</w:t>
            </w:r>
            <w:r>
              <w:rPr>
                <w:rStyle w:val="IndexLink"/>
                <w:rtl w:val="true"/>
              </w:rPr>
              <w:t xml:space="preserve">) - </w:t>
            </w:r>
            <w:r>
              <w:rPr>
                <w:rStyle w:val="IndexLink"/>
                <w:rtl w:val="true"/>
              </w:rPr>
              <w:t xml:space="preserve">الشّيخ وسام عبد الرّسول </w:t>
            </w:r>
            <w:r>
              <w:rPr>
                <w:rStyle w:val="IndexLink"/>
                <w:rtl w:val="true"/>
              </w:rPr>
              <w:t>(</w:t>
            </w:r>
            <w:r>
              <w:rPr>
                <w:rStyle w:val="IndexLink"/>
                <w:rtl w:val="true"/>
              </w:rPr>
              <w:t>دام عزه</w:t>
            </w:r>
            <w:r>
              <w:rPr>
                <w:rStyle w:val="IndexLink"/>
                <w:rtl w:val="true"/>
              </w:rPr>
              <w:t>)</w:t>
              <w:tab/>
            </w:r>
            <w:r>
              <w:rPr>
                <w:rStyle w:val="IndexLink"/>
              </w:rPr>
              <w:t>21</w:t>
            </w:r>
          </w:hyperlink>
        </w:p>
        <w:p>
          <w:pPr>
            <w:pStyle w:val="Contents3"/>
            <w:tabs>
              <w:tab w:val="clear" w:pos="8459"/>
              <w:tab w:val="right" w:pos="9026" w:leader="dot"/>
            </w:tabs>
            <w:rPr/>
          </w:pPr>
          <w:hyperlink w:anchor="__RefHeading___Toc3380216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380218_2870459653">
            <w:r>
              <w:rPr>
                <w:webHidden/>
                <w:rStyle w:val="IndexLink"/>
                <w:rtl w:val="true"/>
              </w:rPr>
              <w:t>المقدّمة</w:t>
            </w:r>
            <w:r>
              <w:rPr>
                <w:rStyle w:val="IndexLink"/>
                <w:rtl w:val="true"/>
              </w:rPr>
              <w:tab/>
            </w:r>
            <w:r>
              <w:rPr>
                <w:rStyle w:val="IndexLink"/>
              </w:rPr>
              <w:t>23</w:t>
            </w:r>
          </w:hyperlink>
        </w:p>
        <w:p>
          <w:pPr>
            <w:pStyle w:val="Contents3"/>
            <w:tabs>
              <w:tab w:val="clear" w:pos="8459"/>
              <w:tab w:val="right" w:pos="9026" w:leader="dot"/>
            </w:tabs>
            <w:rPr/>
          </w:pPr>
          <w:hyperlink w:anchor="__RefHeading___Toc3380220_2870459653">
            <w:r>
              <w:rPr>
                <w:webHidden/>
                <w:rStyle w:val="IndexLink"/>
                <w:rtl w:val="true"/>
              </w:rPr>
              <w:t>المحور الأوَّل</w:t>
            </w:r>
            <w:r>
              <w:rPr>
                <w:rStyle w:val="IndexLink"/>
                <w:rtl w:val="true"/>
              </w:rPr>
              <w:t xml:space="preserve">: </w:t>
            </w:r>
            <w:r>
              <w:rPr>
                <w:rStyle w:val="IndexLink"/>
                <w:rtl w:val="true"/>
              </w:rPr>
              <w:t>الأقوال في المسألة</w:t>
            </w:r>
            <w:r>
              <w:rPr>
                <w:rStyle w:val="IndexLink"/>
                <w:rtl w:val="true"/>
              </w:rPr>
              <w:tab/>
            </w:r>
            <w:r>
              <w:rPr>
                <w:rStyle w:val="IndexLink"/>
              </w:rPr>
              <w:t>24</w:t>
            </w:r>
          </w:hyperlink>
        </w:p>
        <w:p>
          <w:pPr>
            <w:pStyle w:val="Contents4"/>
            <w:tabs>
              <w:tab w:val="clear" w:pos="8176"/>
              <w:tab w:val="right" w:pos="9026" w:leader="dot"/>
            </w:tabs>
            <w:rPr/>
          </w:pPr>
          <w:hyperlink w:anchor="__RefHeading___Toc3380222_2870459653">
            <w:r>
              <w:rPr>
                <w:webHidden/>
                <w:rStyle w:val="IndexLink"/>
                <w:rtl w:val="true"/>
              </w:rPr>
              <w:t>أقوال الإمامية</w:t>
            </w:r>
            <w:r>
              <w:rPr>
                <w:rStyle w:val="IndexLink"/>
                <w:rtl w:val="true"/>
              </w:rPr>
              <w:tab/>
            </w:r>
            <w:r>
              <w:rPr>
                <w:rStyle w:val="IndexLink"/>
              </w:rPr>
              <w:t>24</w:t>
            </w:r>
          </w:hyperlink>
        </w:p>
        <w:p>
          <w:pPr>
            <w:pStyle w:val="Contents5"/>
            <w:tabs>
              <w:tab w:val="clear" w:pos="7892"/>
              <w:tab w:val="right" w:pos="9026" w:leader="dot"/>
            </w:tabs>
            <w:rPr/>
          </w:pPr>
          <w:hyperlink w:anchor="__RefHeading___Toc3380224_287045965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380226_2870459653">
            <w:r>
              <w:rPr>
                <w:webHidden/>
                <w:rStyle w:val="IndexLink"/>
                <w:rtl w:val="true"/>
              </w:rPr>
              <w:t>القول الأوّل</w:t>
            </w:r>
            <w:r>
              <w:rPr>
                <w:rStyle w:val="IndexLink"/>
                <w:rtl w:val="true"/>
              </w:rPr>
              <w:t xml:space="preserve">: </w:t>
            </w:r>
            <w:r>
              <w:rPr>
                <w:rStyle w:val="IndexLink"/>
                <w:rtl w:val="true"/>
              </w:rPr>
              <w:t>إكمال تسع سنين هلالية</w:t>
            </w:r>
            <w:r>
              <w:rPr>
                <w:rStyle w:val="IndexLink"/>
                <w:rtl w:val="true"/>
              </w:rPr>
              <w:tab/>
            </w:r>
            <w:r>
              <w:rPr>
                <w:rStyle w:val="IndexLink"/>
              </w:rPr>
              <w:t>24</w:t>
            </w:r>
          </w:hyperlink>
        </w:p>
        <w:p>
          <w:pPr>
            <w:pStyle w:val="Contents5"/>
            <w:tabs>
              <w:tab w:val="clear" w:pos="7892"/>
              <w:tab w:val="right" w:pos="9026" w:leader="dot"/>
            </w:tabs>
            <w:rPr/>
          </w:pPr>
          <w:hyperlink w:anchor="__RefHeading___Toc3380228_2870459653">
            <w:r>
              <w:rPr>
                <w:webHidden/>
                <w:rStyle w:val="IndexLink"/>
                <w:rtl w:val="true"/>
              </w:rPr>
              <w:t>القول الثاني</w:t>
            </w:r>
            <w:r>
              <w:rPr>
                <w:rStyle w:val="IndexLink"/>
                <w:rtl w:val="true"/>
              </w:rPr>
              <w:t xml:space="preserve">: </w:t>
            </w:r>
            <w:r>
              <w:rPr>
                <w:rStyle w:val="IndexLink"/>
                <w:rtl w:val="true"/>
              </w:rPr>
              <w:t>إكمال عشر سنين هلالية</w:t>
            </w:r>
            <w:r>
              <w:rPr>
                <w:rStyle w:val="IndexLink"/>
                <w:rtl w:val="true"/>
              </w:rPr>
              <w:tab/>
            </w:r>
            <w:r>
              <w:rPr>
                <w:rStyle w:val="IndexLink"/>
              </w:rPr>
              <w:t>25</w:t>
            </w:r>
          </w:hyperlink>
        </w:p>
        <w:p>
          <w:pPr>
            <w:pStyle w:val="Contents5"/>
            <w:tabs>
              <w:tab w:val="clear" w:pos="7892"/>
              <w:tab w:val="right" w:pos="9026" w:leader="dot"/>
            </w:tabs>
            <w:rPr/>
          </w:pPr>
          <w:hyperlink w:anchor="__RefHeading___Toc3380230_2870459653">
            <w:r>
              <w:rPr>
                <w:webHidden/>
                <w:rStyle w:val="IndexLink"/>
                <w:rtl w:val="true"/>
              </w:rPr>
              <w:t>القول الثالث</w:t>
            </w:r>
            <w:r>
              <w:rPr>
                <w:rStyle w:val="IndexLink"/>
                <w:rtl w:val="true"/>
              </w:rPr>
              <w:t xml:space="preserve">: </w:t>
            </w:r>
            <w:r>
              <w:rPr>
                <w:rStyle w:val="IndexLink"/>
                <w:rtl w:val="true"/>
              </w:rPr>
              <w:t>إكمال ثلاث عشرة سنة هلالية</w:t>
            </w:r>
            <w:r>
              <w:rPr>
                <w:rStyle w:val="IndexLink"/>
                <w:rtl w:val="true"/>
              </w:rPr>
              <w:tab/>
            </w:r>
            <w:r>
              <w:rPr>
                <w:rStyle w:val="IndexLink"/>
              </w:rPr>
              <w:t>26</w:t>
            </w:r>
          </w:hyperlink>
        </w:p>
        <w:p>
          <w:pPr>
            <w:pStyle w:val="Contents5"/>
            <w:tabs>
              <w:tab w:val="clear" w:pos="7892"/>
              <w:tab w:val="right" w:pos="9026" w:leader="dot"/>
            </w:tabs>
            <w:rPr/>
          </w:pPr>
          <w:hyperlink w:anchor="__RefHeading___Toc3380232_2870459653">
            <w:r>
              <w:rPr>
                <w:webHidden/>
                <w:rStyle w:val="IndexLink"/>
                <w:rtl w:val="true"/>
              </w:rPr>
              <w:t>القول الرابع</w:t>
            </w:r>
            <w:r>
              <w:rPr>
                <w:rStyle w:val="IndexLink"/>
                <w:rtl w:val="true"/>
              </w:rPr>
              <w:t xml:space="preserve">: </w:t>
            </w:r>
            <w:r>
              <w:rPr>
                <w:rStyle w:val="IndexLink"/>
                <w:rtl w:val="true"/>
              </w:rPr>
              <w:t>اختلاف سنّ البلوغ حسب الأبواب الفقهية</w:t>
            </w:r>
            <w:r>
              <w:rPr>
                <w:rStyle w:val="IndexLink"/>
                <w:rtl w:val="true"/>
              </w:rPr>
              <w:tab/>
            </w:r>
            <w:r>
              <w:rPr>
                <w:rStyle w:val="IndexLink"/>
              </w:rPr>
              <w:t>27</w:t>
            </w:r>
          </w:hyperlink>
        </w:p>
        <w:p>
          <w:pPr>
            <w:pStyle w:val="Contents4"/>
            <w:tabs>
              <w:tab w:val="clear" w:pos="8176"/>
              <w:tab w:val="right" w:pos="9026" w:leader="dot"/>
            </w:tabs>
            <w:rPr/>
          </w:pPr>
          <w:hyperlink w:anchor="__RefHeading___Toc3380234_2870459653">
            <w:r>
              <w:rPr>
                <w:webHidden/>
                <w:rStyle w:val="IndexLink"/>
                <w:rtl w:val="true"/>
              </w:rPr>
              <w:t>أقوال العامّة</w:t>
            </w:r>
            <w:r>
              <w:rPr>
                <w:rStyle w:val="IndexLink"/>
                <w:rtl w:val="true"/>
              </w:rPr>
              <w:tab/>
            </w:r>
            <w:r>
              <w:rPr>
                <w:rStyle w:val="IndexLink"/>
              </w:rPr>
              <w:t>27</w:t>
            </w:r>
          </w:hyperlink>
        </w:p>
        <w:p>
          <w:pPr>
            <w:pStyle w:val="Contents3"/>
            <w:tabs>
              <w:tab w:val="clear" w:pos="8459"/>
              <w:tab w:val="right" w:pos="9026" w:leader="dot"/>
            </w:tabs>
            <w:rPr/>
          </w:pPr>
          <w:hyperlink w:anchor="__RefHeading___Toc3380236_2870459653">
            <w:r>
              <w:rPr>
                <w:webHidden/>
                <w:rStyle w:val="IndexLink"/>
                <w:rtl w:val="true"/>
              </w:rPr>
              <w:t>المحور الثاني</w:t>
            </w:r>
            <w:r>
              <w:rPr>
                <w:rStyle w:val="IndexLink"/>
                <w:rtl w:val="true"/>
              </w:rPr>
              <w:t xml:space="preserve">: </w:t>
            </w:r>
            <w:r>
              <w:rPr>
                <w:rStyle w:val="IndexLink"/>
                <w:rtl w:val="true"/>
              </w:rPr>
              <w:t>الأدلّة وكيفيّة الجمع بين الروايات والترجيح بينها والعمومات الفوقانية</w:t>
            </w:r>
            <w:r>
              <w:rPr>
                <w:rStyle w:val="IndexLink"/>
                <w:rtl w:val="true"/>
              </w:rPr>
              <w:tab/>
            </w:r>
            <w:r>
              <w:rPr>
                <w:rStyle w:val="IndexLink"/>
              </w:rPr>
              <w:t>29</w:t>
            </w:r>
          </w:hyperlink>
        </w:p>
        <w:p>
          <w:pPr>
            <w:pStyle w:val="Contents4"/>
            <w:tabs>
              <w:tab w:val="clear" w:pos="8176"/>
              <w:tab w:val="right" w:pos="9026" w:leader="dot"/>
            </w:tabs>
            <w:rPr/>
          </w:pPr>
          <w:hyperlink w:anchor="__RefHeading___Toc3380238_2870459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380240_2870459653">
            <w:r>
              <w:rPr>
                <w:webHidden/>
                <w:rStyle w:val="IndexLink"/>
                <w:rtl w:val="true"/>
              </w:rPr>
              <w:t>أوّلاً</w:t>
            </w:r>
            <w:r>
              <w:rPr>
                <w:rStyle w:val="IndexLink"/>
                <w:rtl w:val="true"/>
              </w:rPr>
              <w:t xml:space="preserve">: </w:t>
            </w:r>
            <w:r>
              <w:rPr>
                <w:rStyle w:val="IndexLink"/>
                <w:rtl w:val="true"/>
              </w:rPr>
              <w:t>الإجماع</w:t>
            </w:r>
            <w:r>
              <w:rPr>
                <w:rStyle w:val="IndexLink"/>
                <w:rtl w:val="true"/>
              </w:rPr>
              <w:tab/>
            </w:r>
            <w:r>
              <w:rPr>
                <w:rStyle w:val="IndexLink"/>
              </w:rPr>
              <w:t>29</w:t>
            </w:r>
          </w:hyperlink>
        </w:p>
        <w:p>
          <w:pPr>
            <w:pStyle w:val="Contents4"/>
            <w:tabs>
              <w:tab w:val="clear" w:pos="8176"/>
              <w:tab w:val="right" w:pos="9026" w:leader="dot"/>
            </w:tabs>
            <w:rPr/>
          </w:pPr>
          <w:hyperlink w:anchor="__RefHeading___Toc3380242_2870459653">
            <w:r>
              <w:rPr>
                <w:webHidden/>
                <w:rStyle w:val="IndexLink"/>
                <w:rtl w:val="true"/>
              </w:rPr>
              <w:t>ثانياً</w:t>
            </w:r>
            <w:r>
              <w:rPr>
                <w:rStyle w:val="IndexLink"/>
                <w:rtl w:val="true"/>
              </w:rPr>
              <w:t xml:space="preserve">: </w:t>
            </w:r>
            <w:r>
              <w:rPr>
                <w:rStyle w:val="IndexLink"/>
                <w:rtl w:val="true"/>
              </w:rPr>
              <w:t>الروايات الخاصّة</w:t>
            </w:r>
            <w:r>
              <w:rPr>
                <w:rStyle w:val="IndexLink"/>
                <w:rtl w:val="true"/>
              </w:rPr>
              <w:tab/>
            </w:r>
            <w:r>
              <w:rPr>
                <w:rStyle w:val="IndexLink"/>
              </w:rPr>
              <w:t>30</w:t>
            </w:r>
          </w:hyperlink>
        </w:p>
        <w:p>
          <w:pPr>
            <w:pStyle w:val="Contents5"/>
            <w:tabs>
              <w:tab w:val="clear" w:pos="7892"/>
              <w:tab w:val="right" w:pos="9026" w:leader="dot"/>
            </w:tabs>
            <w:rPr/>
          </w:pPr>
          <w:hyperlink w:anchor="__RefHeading___Toc3380244_2870459653">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380246_2870459653">
            <w:r>
              <w:rPr>
                <w:webHidden/>
                <w:rStyle w:val="IndexLink"/>
                <w:rtl w:val="true"/>
              </w:rPr>
              <w:t>الطائفة الأولى</w:t>
            </w:r>
            <w:r>
              <w:rPr>
                <w:rStyle w:val="IndexLink"/>
                <w:rtl w:val="true"/>
              </w:rPr>
              <w:t xml:space="preserve">: </w:t>
            </w:r>
            <w:r>
              <w:rPr>
                <w:rStyle w:val="IndexLink"/>
                <w:rtl w:val="true"/>
              </w:rPr>
              <w:t>ما دلّ على أنّ البلوغ يحصل بتسع سنين</w:t>
            </w:r>
            <w:r>
              <w:rPr>
                <w:rStyle w:val="IndexLink"/>
                <w:rtl w:val="true"/>
              </w:rPr>
              <w:tab/>
            </w:r>
            <w:r>
              <w:rPr>
                <w:rStyle w:val="IndexLink"/>
              </w:rPr>
              <w:t>30</w:t>
            </w:r>
          </w:hyperlink>
        </w:p>
        <w:p>
          <w:pPr>
            <w:pStyle w:val="Contents6"/>
            <w:tabs>
              <w:tab w:val="clear" w:pos="7609"/>
              <w:tab w:val="right" w:pos="9026" w:leader="dot"/>
            </w:tabs>
            <w:rPr/>
          </w:pPr>
          <w:hyperlink w:anchor="__RefHeading___Toc3380248_287045965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380250_2870459653">
            <w:r>
              <w:rPr>
                <w:webHidden/>
                <w:rStyle w:val="IndexLink"/>
                <w:rtl w:val="true"/>
              </w:rPr>
              <w:t>الرواية الأولى</w:t>
            </w:r>
            <w:r>
              <w:rPr>
                <w:rStyle w:val="IndexLink"/>
                <w:rtl w:val="true"/>
              </w:rPr>
              <w:t xml:space="preserve">: </w:t>
            </w:r>
            <w:r>
              <w:rPr>
                <w:rStyle w:val="IndexLink"/>
                <w:rtl w:val="true"/>
              </w:rPr>
              <w:t>مرسلة ابن أبي عمير الأولى</w:t>
            </w:r>
            <w:r>
              <w:rPr>
                <w:rStyle w:val="IndexLink"/>
                <w:rtl w:val="true"/>
              </w:rPr>
              <w:tab/>
            </w:r>
            <w:r>
              <w:rPr>
                <w:rStyle w:val="IndexLink"/>
              </w:rPr>
              <w:t>30</w:t>
            </w:r>
          </w:hyperlink>
        </w:p>
        <w:p>
          <w:pPr>
            <w:pStyle w:val="Contents6"/>
            <w:tabs>
              <w:tab w:val="clear" w:pos="7609"/>
              <w:tab w:val="right" w:pos="9026" w:leader="dot"/>
            </w:tabs>
            <w:rPr/>
          </w:pPr>
          <w:hyperlink w:anchor="__RefHeading___Toc3380252_287045965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380254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30</w:t>
            </w:r>
          </w:hyperlink>
        </w:p>
        <w:p>
          <w:pPr>
            <w:pStyle w:val="Contents6"/>
            <w:tabs>
              <w:tab w:val="clear" w:pos="7609"/>
              <w:tab w:val="right" w:pos="9026" w:leader="dot"/>
            </w:tabs>
            <w:rPr/>
          </w:pPr>
          <w:hyperlink w:anchor="__RefHeading___Toc3380256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30</w:t>
            </w:r>
          </w:hyperlink>
        </w:p>
        <w:p>
          <w:pPr>
            <w:pStyle w:val="Contents6"/>
            <w:tabs>
              <w:tab w:val="clear" w:pos="7609"/>
              <w:tab w:val="right" w:pos="9026" w:leader="dot"/>
            </w:tabs>
            <w:rPr/>
          </w:pPr>
          <w:hyperlink w:anchor="__RefHeading___Toc3380258_2870459653">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380260_2870459653">
            <w:r>
              <w:rPr>
                <w:webHidden/>
                <w:rStyle w:val="IndexLink"/>
                <w:rtl w:val="true"/>
              </w:rPr>
              <w:t>الأمر الأوّل</w:t>
            </w:r>
            <w:r>
              <w:rPr>
                <w:rStyle w:val="IndexLink"/>
                <w:rtl w:val="true"/>
              </w:rPr>
              <w:t xml:space="preserve">: </w:t>
            </w:r>
            <w:r>
              <w:rPr>
                <w:rStyle w:val="IndexLink"/>
                <w:rtl w:val="true"/>
              </w:rPr>
              <w:t xml:space="preserve">ما هو المراد من قول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والسائل</w:t>
            </w:r>
            <w:r>
              <w:rPr>
                <w:rStyle w:val="IndexLink"/>
                <w:rtl w:val="true"/>
              </w:rPr>
              <w:t>: (</w:t>
            </w:r>
            <w:r>
              <w:rPr>
                <w:rStyle w:val="IndexLink"/>
                <w:rtl w:val="true"/>
              </w:rPr>
              <w:t>لا تستصبى</w:t>
            </w:r>
            <w:r>
              <w:rPr>
                <w:rStyle w:val="IndexLink"/>
                <w:rtl w:val="true"/>
              </w:rPr>
              <w:t>)</w:t>
            </w:r>
            <w:r>
              <w:rPr>
                <w:rStyle w:val="IndexLink"/>
                <w:rtl w:val="true"/>
              </w:rPr>
              <w:t>؟</w:t>
            </w:r>
            <w:r>
              <w:rPr>
                <w:rStyle w:val="IndexLink"/>
                <w:rtl w:val="true"/>
              </w:rPr>
              <w:tab/>
            </w:r>
            <w:r>
              <w:rPr>
                <w:rStyle w:val="IndexLink"/>
              </w:rPr>
              <w:t>31</w:t>
            </w:r>
          </w:hyperlink>
        </w:p>
        <w:p>
          <w:pPr>
            <w:pStyle w:val="Contents6"/>
            <w:tabs>
              <w:tab w:val="clear" w:pos="7609"/>
              <w:tab w:val="right" w:pos="9026" w:leader="dot"/>
            </w:tabs>
            <w:rPr/>
          </w:pPr>
          <w:hyperlink w:anchor="__RefHeading___Toc3380262_2870459653">
            <w:r>
              <w:rPr>
                <w:webHidden/>
                <w:rStyle w:val="IndexLink"/>
                <w:rtl w:val="true"/>
              </w:rPr>
              <w:t>الأمر الثاني</w:t>
            </w:r>
            <w:r>
              <w:rPr>
                <w:rStyle w:val="IndexLink"/>
                <w:rtl w:val="true"/>
              </w:rPr>
              <w:t xml:space="preserve">: </w:t>
            </w:r>
            <w:r>
              <w:rPr>
                <w:rStyle w:val="IndexLink"/>
                <w:rtl w:val="true"/>
              </w:rPr>
              <w:t>في الإجماع المنقول في الرواية</w:t>
            </w:r>
            <w:r>
              <w:rPr>
                <w:rStyle w:val="IndexLink"/>
                <w:rtl w:val="true"/>
              </w:rPr>
              <w:tab/>
            </w:r>
            <w:r>
              <w:rPr>
                <w:rStyle w:val="IndexLink"/>
              </w:rPr>
              <w:t>33</w:t>
            </w:r>
          </w:hyperlink>
        </w:p>
        <w:p>
          <w:pPr>
            <w:pStyle w:val="Contents6"/>
            <w:tabs>
              <w:tab w:val="clear" w:pos="7609"/>
              <w:tab w:val="right" w:pos="9026" w:leader="dot"/>
            </w:tabs>
            <w:rPr/>
          </w:pPr>
          <w:hyperlink w:anchor="__RefHeading___Toc3380264_2870459653">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3380266_2870459653">
            <w:r>
              <w:rPr>
                <w:webHidden/>
                <w:rStyle w:val="IndexLink"/>
                <w:rtl w:val="true"/>
              </w:rPr>
              <w:t>البحث الأوّل</w:t>
            </w:r>
            <w:r>
              <w:rPr>
                <w:rStyle w:val="IndexLink"/>
                <w:rtl w:val="true"/>
              </w:rPr>
              <w:tab/>
            </w:r>
            <w:r>
              <w:rPr>
                <w:rStyle w:val="IndexLink"/>
              </w:rPr>
              <w:t>33</w:t>
            </w:r>
          </w:hyperlink>
        </w:p>
        <w:p>
          <w:pPr>
            <w:pStyle w:val="Contents6"/>
            <w:tabs>
              <w:tab w:val="clear" w:pos="7609"/>
              <w:tab w:val="right" w:pos="9026" w:leader="dot"/>
            </w:tabs>
            <w:rPr/>
          </w:pPr>
          <w:hyperlink w:anchor="__RefHeading___Toc3380268_2870459653">
            <w:r>
              <w:rPr>
                <w:webHidden/>
                <w:rStyle w:val="IndexLink"/>
                <w:rtl w:val="true"/>
              </w:rPr>
              <w:t>البحث الآخر</w:t>
            </w:r>
            <w:r>
              <w:rPr>
                <w:rStyle w:val="IndexLink"/>
                <w:rtl w:val="true"/>
              </w:rPr>
              <w:tab/>
            </w:r>
            <w:r>
              <w:rPr>
                <w:rStyle w:val="IndexLink"/>
              </w:rPr>
              <w:t>33</w:t>
            </w:r>
          </w:hyperlink>
        </w:p>
        <w:p>
          <w:pPr>
            <w:pStyle w:val="Contents6"/>
            <w:tabs>
              <w:tab w:val="clear" w:pos="7609"/>
              <w:tab w:val="right" w:pos="9026" w:leader="dot"/>
            </w:tabs>
            <w:rPr/>
          </w:pPr>
          <w:hyperlink w:anchor="__RefHeading___Toc3380270_2870459653">
            <w:r>
              <w:rPr>
                <w:webHidden/>
                <w:rStyle w:val="IndexLink"/>
                <w:rtl w:val="true"/>
              </w:rPr>
              <w:t>الرواية الأخرى</w:t>
            </w:r>
            <w:r>
              <w:rPr>
                <w:rStyle w:val="IndexLink"/>
                <w:rtl w:val="true"/>
              </w:rPr>
              <w:t xml:space="preserve">: </w:t>
            </w:r>
            <w:r>
              <w:rPr>
                <w:rStyle w:val="IndexLink"/>
                <w:rtl w:val="true"/>
              </w:rPr>
              <w:t>مرسلة ابن أبي عمير الثانية</w:t>
            </w:r>
            <w:r>
              <w:rPr>
                <w:rStyle w:val="IndexLink"/>
                <w:rtl w:val="true"/>
              </w:rPr>
              <w:tab/>
            </w:r>
            <w:r>
              <w:rPr>
                <w:rStyle w:val="IndexLink"/>
              </w:rPr>
              <w:t>34</w:t>
            </w:r>
          </w:hyperlink>
        </w:p>
        <w:p>
          <w:pPr>
            <w:pStyle w:val="Contents6"/>
            <w:tabs>
              <w:tab w:val="clear" w:pos="7609"/>
              <w:tab w:val="right" w:pos="9026" w:leader="dot"/>
            </w:tabs>
            <w:rPr/>
          </w:pPr>
          <w:hyperlink w:anchor="__RefHeading___Toc3380272_2870459653">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3380274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34</w:t>
            </w:r>
          </w:hyperlink>
        </w:p>
        <w:p>
          <w:pPr>
            <w:pStyle w:val="Contents6"/>
            <w:tabs>
              <w:tab w:val="clear" w:pos="7609"/>
              <w:tab w:val="right" w:pos="9026" w:leader="dot"/>
            </w:tabs>
            <w:rPr/>
          </w:pPr>
          <w:hyperlink w:anchor="__RefHeading___Toc3380276_2870459653">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3380278_2870459653">
            <w:r>
              <w:rPr>
                <w:webHidden/>
                <w:rStyle w:val="IndexLink"/>
                <w:rtl w:val="true"/>
              </w:rPr>
              <w:t>المناقشة الأولى</w:t>
            </w:r>
            <w:r>
              <w:rPr>
                <w:rStyle w:val="IndexLink"/>
                <w:rtl w:val="true"/>
              </w:rPr>
              <w:tab/>
            </w:r>
            <w:r>
              <w:rPr>
                <w:rStyle w:val="IndexLink"/>
              </w:rPr>
              <w:t>34</w:t>
            </w:r>
          </w:hyperlink>
        </w:p>
        <w:p>
          <w:pPr>
            <w:pStyle w:val="Contents6"/>
            <w:tabs>
              <w:tab w:val="clear" w:pos="7609"/>
              <w:tab w:val="right" w:pos="9026" w:leader="dot"/>
            </w:tabs>
            <w:rPr/>
          </w:pPr>
          <w:hyperlink w:anchor="__RefHeading___Toc3380280_2870459653">
            <w:r>
              <w:rPr>
                <w:webHidden/>
                <w:rStyle w:val="IndexLink"/>
                <w:rtl w:val="true"/>
              </w:rPr>
              <w:t>المناقشة الأخرى</w:t>
            </w:r>
            <w:r>
              <w:rPr>
                <w:rStyle w:val="IndexLink"/>
                <w:rtl w:val="true"/>
              </w:rPr>
              <w:tab/>
            </w:r>
            <w:r>
              <w:rPr>
                <w:rStyle w:val="IndexLink"/>
              </w:rPr>
              <w:t>38</w:t>
            </w:r>
          </w:hyperlink>
        </w:p>
        <w:p>
          <w:pPr>
            <w:pStyle w:val="Contents6"/>
            <w:tabs>
              <w:tab w:val="clear" w:pos="7609"/>
              <w:tab w:val="right" w:pos="9026" w:leader="dot"/>
            </w:tabs>
            <w:rPr/>
          </w:pPr>
          <w:hyperlink w:anchor="__RefHeading___Toc3380282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39</w:t>
            </w:r>
          </w:hyperlink>
        </w:p>
        <w:p>
          <w:pPr>
            <w:pStyle w:val="Contents5"/>
            <w:tabs>
              <w:tab w:val="clear" w:pos="7892"/>
              <w:tab w:val="right" w:pos="9026" w:leader="dot"/>
            </w:tabs>
            <w:rPr/>
          </w:pPr>
          <w:hyperlink w:anchor="__RefHeading___Toc3380284_2870459653">
            <w:r>
              <w:rPr>
                <w:webHidden/>
                <w:rStyle w:val="IndexLink"/>
                <w:rtl w:val="true"/>
              </w:rPr>
              <w:t>الطائفة الثانية</w:t>
            </w:r>
            <w:r>
              <w:rPr>
                <w:rStyle w:val="IndexLink"/>
                <w:rtl w:val="true"/>
              </w:rPr>
              <w:t xml:space="preserve">: </w:t>
            </w:r>
            <w:r>
              <w:rPr>
                <w:rStyle w:val="IndexLink"/>
                <w:rtl w:val="true"/>
              </w:rPr>
              <w:t>ما دلّ على البلوغ بتسع سنين بشرط الدخول والزواج</w:t>
            </w:r>
            <w:r>
              <w:rPr>
                <w:rStyle w:val="IndexLink"/>
                <w:rtl w:val="true"/>
              </w:rPr>
              <w:tab/>
            </w:r>
            <w:r>
              <w:rPr>
                <w:rStyle w:val="IndexLink"/>
              </w:rPr>
              <w:t>40</w:t>
            </w:r>
          </w:hyperlink>
        </w:p>
        <w:p>
          <w:pPr>
            <w:pStyle w:val="Contents6"/>
            <w:tabs>
              <w:tab w:val="clear" w:pos="7609"/>
              <w:tab w:val="right" w:pos="9026" w:leader="dot"/>
            </w:tabs>
            <w:rPr/>
          </w:pPr>
          <w:hyperlink w:anchor="__RefHeading___Toc3380286_2870459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380288_2870459653">
            <w:r>
              <w:rPr>
                <w:webHidden/>
                <w:rStyle w:val="IndexLink"/>
                <w:rtl w:val="true"/>
              </w:rPr>
              <w:t>الرواية الأولى</w:t>
            </w:r>
            <w:r>
              <w:rPr>
                <w:rStyle w:val="IndexLink"/>
                <w:rtl w:val="true"/>
              </w:rPr>
              <w:t xml:space="preserve">: </w:t>
            </w:r>
            <w:r>
              <w:rPr>
                <w:rStyle w:val="IndexLink"/>
                <w:rtl w:val="true"/>
              </w:rPr>
              <w:t>رواية حمران أو حمزة بن حمران بنقل ابن إدريس</w:t>
            </w:r>
            <w:r>
              <w:rPr>
                <w:rStyle w:val="IndexLink"/>
                <w:rtl w:val="true"/>
              </w:rPr>
              <w:tab/>
            </w:r>
            <w:r>
              <w:rPr>
                <w:rStyle w:val="IndexLink"/>
              </w:rPr>
              <w:t>40</w:t>
            </w:r>
          </w:hyperlink>
        </w:p>
        <w:p>
          <w:pPr>
            <w:pStyle w:val="Contents6"/>
            <w:tabs>
              <w:tab w:val="clear" w:pos="7609"/>
              <w:tab w:val="right" w:pos="9026" w:leader="dot"/>
            </w:tabs>
            <w:rPr/>
          </w:pPr>
          <w:hyperlink w:anchor="__RefHeading___Toc3380290_2870459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380292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41</w:t>
            </w:r>
          </w:hyperlink>
        </w:p>
        <w:p>
          <w:pPr>
            <w:pStyle w:val="Contents6"/>
            <w:tabs>
              <w:tab w:val="clear" w:pos="7609"/>
              <w:tab w:val="right" w:pos="9026" w:leader="dot"/>
            </w:tabs>
            <w:rPr/>
          </w:pPr>
          <w:hyperlink w:anchor="__RefHeading___Toc3380294_2870459653">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380296_2870459653">
            <w:r>
              <w:rPr>
                <w:webHidden/>
                <w:rStyle w:val="IndexLink"/>
                <w:rtl w:val="true"/>
              </w:rPr>
              <w:t>الرجل الأوّل</w:t>
            </w:r>
            <w:r>
              <w:rPr>
                <w:rStyle w:val="IndexLink"/>
                <w:rtl w:val="true"/>
              </w:rPr>
              <w:tab/>
            </w:r>
            <w:r>
              <w:rPr>
                <w:rStyle w:val="IndexLink"/>
              </w:rPr>
              <w:t>41</w:t>
            </w:r>
          </w:hyperlink>
        </w:p>
        <w:p>
          <w:pPr>
            <w:pStyle w:val="Contents6"/>
            <w:tabs>
              <w:tab w:val="clear" w:pos="7609"/>
              <w:tab w:val="right" w:pos="9026" w:leader="dot"/>
            </w:tabs>
            <w:rPr/>
          </w:pPr>
          <w:hyperlink w:anchor="__RefHeading___Toc3380298_2870459653">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380300_2870459653">
            <w:r>
              <w:rPr>
                <w:webHidden/>
                <w:rStyle w:val="IndexLink"/>
                <w:rtl w:val="true"/>
              </w:rPr>
              <w:t>المحاولة الأولى</w:t>
            </w:r>
            <w:r>
              <w:rPr>
                <w:rStyle w:val="IndexLink"/>
                <w:rtl w:val="true"/>
              </w:rPr>
              <w:tab/>
            </w:r>
            <w:r>
              <w:rPr>
                <w:rStyle w:val="IndexLink"/>
              </w:rPr>
              <w:t>41</w:t>
            </w:r>
          </w:hyperlink>
        </w:p>
        <w:p>
          <w:pPr>
            <w:pStyle w:val="Contents6"/>
            <w:tabs>
              <w:tab w:val="clear" w:pos="7609"/>
              <w:tab w:val="right" w:pos="9026" w:leader="dot"/>
            </w:tabs>
            <w:rPr/>
          </w:pPr>
          <w:hyperlink w:anchor="__RefHeading___Toc3380302_2870459653">
            <w:r>
              <w:rPr>
                <w:webHidden/>
                <w:rStyle w:val="IndexLink"/>
                <w:rtl w:val="true"/>
              </w:rPr>
              <w:t>المحاولة الثانية</w:t>
            </w:r>
            <w:r>
              <w:rPr>
                <w:rStyle w:val="IndexLink"/>
                <w:rtl w:val="true"/>
              </w:rPr>
              <w:tab/>
            </w:r>
            <w:r>
              <w:rPr>
                <w:rStyle w:val="IndexLink"/>
              </w:rPr>
              <w:t>42</w:t>
            </w:r>
          </w:hyperlink>
        </w:p>
        <w:p>
          <w:pPr>
            <w:pStyle w:val="Contents6"/>
            <w:tabs>
              <w:tab w:val="clear" w:pos="7609"/>
              <w:tab w:val="right" w:pos="9026" w:leader="dot"/>
            </w:tabs>
            <w:rPr/>
          </w:pPr>
          <w:hyperlink w:anchor="__RefHeading___Toc3380304_2870459653">
            <w:r>
              <w:rPr>
                <w:webHidden/>
                <w:rStyle w:val="IndexLink"/>
                <w:rtl w:val="true"/>
              </w:rPr>
              <w:t>المحاولة الثالثة</w:t>
            </w:r>
            <w:r>
              <w:rPr>
                <w:rStyle w:val="IndexLink"/>
                <w:rtl w:val="true"/>
              </w:rPr>
              <w:tab/>
            </w:r>
            <w:r>
              <w:rPr>
                <w:rStyle w:val="IndexLink"/>
              </w:rPr>
              <w:t>43</w:t>
            </w:r>
          </w:hyperlink>
        </w:p>
        <w:p>
          <w:pPr>
            <w:pStyle w:val="Contents6"/>
            <w:tabs>
              <w:tab w:val="clear" w:pos="7609"/>
              <w:tab w:val="right" w:pos="9026" w:leader="dot"/>
            </w:tabs>
            <w:rPr/>
          </w:pPr>
          <w:hyperlink w:anchor="__RefHeading___Toc3380306_2870459653">
            <w:r>
              <w:rPr>
                <w:webHidden/>
                <w:rStyle w:val="IndexLink"/>
                <w:rtl w:val="true"/>
              </w:rPr>
              <w:t>الرجل الآخر</w:t>
            </w:r>
            <w:r>
              <w:rPr>
                <w:rStyle w:val="IndexLink"/>
                <w:rtl w:val="true"/>
              </w:rPr>
              <w:tab/>
            </w:r>
            <w:r>
              <w:rPr>
                <w:rStyle w:val="IndexLink"/>
              </w:rPr>
              <w:t>43</w:t>
            </w:r>
          </w:hyperlink>
        </w:p>
        <w:p>
          <w:pPr>
            <w:pStyle w:val="Contents6"/>
            <w:tabs>
              <w:tab w:val="clear" w:pos="7609"/>
              <w:tab w:val="right" w:pos="9026" w:leader="dot"/>
            </w:tabs>
            <w:rPr/>
          </w:pPr>
          <w:hyperlink w:anchor="__RefHeading___Toc3380308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44</w:t>
            </w:r>
          </w:hyperlink>
        </w:p>
        <w:p>
          <w:pPr>
            <w:pStyle w:val="Contents6"/>
            <w:tabs>
              <w:tab w:val="clear" w:pos="7609"/>
              <w:tab w:val="right" w:pos="9026" w:leader="dot"/>
            </w:tabs>
            <w:rPr/>
          </w:pPr>
          <w:hyperlink w:anchor="__RefHeading___Toc3380310_2870459653">
            <w:r>
              <w:rPr>
                <w:webHidden/>
                <w:rStyle w:val="IndexLink"/>
                <w:rtl w:val="true"/>
              </w:rPr>
              <w:t>الرواية الأخرى</w:t>
            </w:r>
            <w:r>
              <w:rPr>
                <w:rStyle w:val="IndexLink"/>
                <w:rtl w:val="true"/>
              </w:rPr>
              <w:t xml:space="preserve">: </w:t>
            </w:r>
            <w:r>
              <w:rPr>
                <w:rStyle w:val="IndexLink"/>
                <w:rtl w:val="true"/>
              </w:rPr>
              <w:t>رواية بريد أو يزيد الكناسيّ</w:t>
            </w:r>
            <w:r>
              <w:rPr>
                <w:rStyle w:val="IndexLink"/>
                <w:rtl w:val="true"/>
              </w:rPr>
              <w:tab/>
            </w:r>
            <w:r>
              <w:rPr>
                <w:rStyle w:val="IndexLink"/>
              </w:rPr>
              <w:t>45</w:t>
            </w:r>
          </w:hyperlink>
        </w:p>
        <w:p>
          <w:pPr>
            <w:pStyle w:val="Contents6"/>
            <w:tabs>
              <w:tab w:val="clear" w:pos="7609"/>
              <w:tab w:val="right" w:pos="9026" w:leader="dot"/>
            </w:tabs>
            <w:rPr/>
          </w:pPr>
          <w:hyperlink w:anchor="__RefHeading___Toc3380312_2870459653">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380314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46</w:t>
            </w:r>
          </w:hyperlink>
        </w:p>
        <w:p>
          <w:pPr>
            <w:pStyle w:val="Contents6"/>
            <w:tabs>
              <w:tab w:val="clear" w:pos="7609"/>
              <w:tab w:val="right" w:pos="9026" w:leader="dot"/>
            </w:tabs>
            <w:rPr/>
          </w:pPr>
          <w:hyperlink w:anchor="__RefHeading___Toc3380316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46</w:t>
            </w:r>
          </w:hyperlink>
        </w:p>
        <w:p>
          <w:pPr>
            <w:pStyle w:val="Contents5"/>
            <w:tabs>
              <w:tab w:val="clear" w:pos="7892"/>
              <w:tab w:val="right" w:pos="9026" w:leader="dot"/>
            </w:tabs>
            <w:rPr/>
          </w:pPr>
          <w:hyperlink w:anchor="__RefHeading___Toc3380318_2870459653">
            <w:r>
              <w:rPr>
                <w:webHidden/>
                <w:rStyle w:val="IndexLink"/>
                <w:rtl w:val="true"/>
              </w:rPr>
              <w:t>الطائفة الثالثة</w:t>
            </w:r>
            <w:r>
              <w:rPr>
                <w:rStyle w:val="IndexLink"/>
                <w:rtl w:val="true"/>
              </w:rPr>
              <w:t xml:space="preserve">: </w:t>
            </w:r>
            <w:r>
              <w:rPr>
                <w:rStyle w:val="IndexLink"/>
                <w:rtl w:val="true"/>
              </w:rPr>
              <w:t>ما دلّ على البلوغ بتسع سنين؛ لأنّها تحيض في هذا السنّ</w:t>
            </w:r>
            <w:r>
              <w:rPr>
                <w:rStyle w:val="IndexLink"/>
                <w:rtl w:val="true"/>
              </w:rPr>
              <w:tab/>
            </w:r>
            <w:r>
              <w:rPr>
                <w:rStyle w:val="IndexLink"/>
              </w:rPr>
              <w:t>47</w:t>
            </w:r>
          </w:hyperlink>
        </w:p>
        <w:p>
          <w:pPr>
            <w:pStyle w:val="Contents6"/>
            <w:tabs>
              <w:tab w:val="clear" w:pos="7609"/>
              <w:tab w:val="right" w:pos="9026" w:leader="dot"/>
            </w:tabs>
            <w:rPr/>
          </w:pPr>
          <w:hyperlink w:anchor="__RefHeading___Toc3380320_2870459653">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380322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47</w:t>
            </w:r>
          </w:hyperlink>
        </w:p>
        <w:p>
          <w:pPr>
            <w:pStyle w:val="Contents6"/>
            <w:tabs>
              <w:tab w:val="clear" w:pos="7609"/>
              <w:tab w:val="right" w:pos="9026" w:leader="dot"/>
            </w:tabs>
            <w:rPr/>
          </w:pPr>
          <w:hyperlink w:anchor="__RefHeading___Toc3380324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48</w:t>
            </w:r>
          </w:hyperlink>
        </w:p>
        <w:p>
          <w:pPr>
            <w:pStyle w:val="Contents5"/>
            <w:tabs>
              <w:tab w:val="clear" w:pos="7892"/>
              <w:tab w:val="right" w:pos="9026" w:leader="dot"/>
            </w:tabs>
            <w:rPr/>
          </w:pPr>
          <w:hyperlink w:anchor="__RefHeading___Toc3380326_2870459653">
            <w:r>
              <w:rPr>
                <w:webHidden/>
                <w:rStyle w:val="IndexLink"/>
                <w:rtl w:val="true"/>
              </w:rPr>
              <w:t>الطائفة الرابعة</w:t>
            </w:r>
            <w:r>
              <w:rPr>
                <w:rStyle w:val="IndexLink"/>
                <w:rtl w:val="true"/>
              </w:rPr>
              <w:t xml:space="preserve">: </w:t>
            </w:r>
            <w:r>
              <w:rPr>
                <w:rStyle w:val="IndexLink"/>
                <w:rtl w:val="true"/>
              </w:rPr>
              <w:t>ما دلّ على حصول البلوغ بثلاث عشرة سنة، أو بالحيض قبل ذلك</w:t>
            </w:r>
            <w:r>
              <w:rPr>
                <w:rStyle w:val="IndexLink"/>
                <w:rtl w:val="true"/>
              </w:rPr>
              <w:tab/>
            </w:r>
            <w:r>
              <w:rPr>
                <w:rStyle w:val="IndexLink"/>
              </w:rPr>
              <w:t>48</w:t>
            </w:r>
          </w:hyperlink>
        </w:p>
        <w:p>
          <w:pPr>
            <w:pStyle w:val="Contents5"/>
            <w:tabs>
              <w:tab w:val="clear" w:pos="7892"/>
              <w:tab w:val="right" w:pos="9026" w:leader="dot"/>
            </w:tabs>
            <w:rPr/>
          </w:pPr>
          <w:hyperlink w:anchor="__RefHeading___Toc3380328_2870459653">
            <w:r>
              <w:rPr>
                <w:webHidden/>
                <w:rStyle w:val="IndexLink"/>
                <w:rtl w:val="true"/>
              </w:rPr>
              <w:t>الطائفة الخامسة</w:t>
            </w:r>
            <w:r>
              <w:rPr>
                <w:rStyle w:val="IndexLink"/>
                <w:rtl w:val="true"/>
              </w:rPr>
              <w:t xml:space="preserve">: </w:t>
            </w:r>
            <w:r>
              <w:rPr>
                <w:rStyle w:val="IndexLink"/>
                <w:rtl w:val="true"/>
              </w:rPr>
              <w:t>ما دلّ على حصول البلوغ بسنّ السابعة</w:t>
            </w:r>
            <w:r>
              <w:rPr>
                <w:rStyle w:val="IndexLink"/>
                <w:rtl w:val="true"/>
              </w:rPr>
              <w:tab/>
            </w:r>
            <w:r>
              <w:rPr>
                <w:rStyle w:val="IndexLink"/>
              </w:rPr>
              <w:t>50</w:t>
            </w:r>
          </w:hyperlink>
        </w:p>
        <w:p>
          <w:pPr>
            <w:pStyle w:val="Contents6"/>
            <w:tabs>
              <w:tab w:val="clear" w:pos="7609"/>
              <w:tab w:val="right" w:pos="9026" w:leader="dot"/>
            </w:tabs>
            <w:rPr/>
          </w:pPr>
          <w:hyperlink w:anchor="__RefHeading___Toc3380330_2870459653">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380332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51</w:t>
            </w:r>
          </w:hyperlink>
        </w:p>
        <w:p>
          <w:pPr>
            <w:pStyle w:val="Contents6"/>
            <w:tabs>
              <w:tab w:val="clear" w:pos="7609"/>
              <w:tab w:val="right" w:pos="9026" w:leader="dot"/>
            </w:tabs>
            <w:rPr/>
          </w:pPr>
          <w:hyperlink w:anchor="__RefHeading___Toc3380334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53</w:t>
            </w:r>
          </w:hyperlink>
        </w:p>
        <w:p>
          <w:pPr>
            <w:pStyle w:val="Contents6"/>
            <w:tabs>
              <w:tab w:val="clear" w:pos="7609"/>
              <w:tab w:val="right" w:pos="9026" w:leader="dot"/>
            </w:tabs>
            <w:rPr/>
          </w:pPr>
          <w:hyperlink w:anchor="__RefHeading___Toc3380336_2870459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380338_2870459653">
            <w:r>
              <w:rPr>
                <w:webHidden/>
                <w:rStyle w:val="IndexLink"/>
                <w:rtl w:val="true"/>
              </w:rPr>
              <w:t>النقطة الأولى</w:t>
            </w:r>
            <w:r>
              <w:rPr>
                <w:rStyle w:val="IndexLink"/>
                <w:rtl w:val="true"/>
              </w:rPr>
              <w:tab/>
            </w:r>
            <w:r>
              <w:rPr>
                <w:rStyle w:val="IndexLink"/>
              </w:rPr>
              <w:t>53</w:t>
            </w:r>
          </w:hyperlink>
        </w:p>
        <w:p>
          <w:pPr>
            <w:pStyle w:val="Contents6"/>
            <w:tabs>
              <w:tab w:val="clear" w:pos="7609"/>
              <w:tab w:val="right" w:pos="9026" w:leader="dot"/>
            </w:tabs>
            <w:rPr/>
          </w:pPr>
          <w:hyperlink w:anchor="__RefHeading___Toc3380340_2870459653">
            <w:r>
              <w:rPr>
                <w:webHidden/>
                <w:rStyle w:val="IndexLink"/>
                <w:rtl w:val="true"/>
              </w:rPr>
              <w:t>النقطة الأخرى</w:t>
            </w:r>
            <w:r>
              <w:rPr>
                <w:rStyle w:val="IndexLink"/>
                <w:rtl w:val="true"/>
              </w:rPr>
              <w:tab/>
            </w:r>
            <w:r>
              <w:rPr>
                <w:rStyle w:val="IndexLink"/>
              </w:rPr>
              <w:t>54</w:t>
            </w:r>
          </w:hyperlink>
        </w:p>
        <w:p>
          <w:pPr>
            <w:pStyle w:val="Contents5"/>
            <w:tabs>
              <w:tab w:val="clear" w:pos="7892"/>
              <w:tab w:val="right" w:pos="9026" w:leader="dot"/>
            </w:tabs>
            <w:rPr/>
          </w:pPr>
          <w:hyperlink w:anchor="__RefHeading___Toc3380342_2870459653">
            <w:r>
              <w:rPr>
                <w:webHidden/>
                <w:rStyle w:val="IndexLink"/>
                <w:rtl w:val="true"/>
              </w:rPr>
              <w:t>الطائفة السادسة</w:t>
            </w:r>
            <w:r>
              <w:rPr>
                <w:rStyle w:val="IndexLink"/>
                <w:rtl w:val="true"/>
              </w:rPr>
              <w:t xml:space="preserve">: </w:t>
            </w:r>
            <w:r>
              <w:rPr>
                <w:rStyle w:val="IndexLink"/>
                <w:rtl w:val="true"/>
              </w:rPr>
              <w:t>ما دلّ على أنّ حصول البلوغ لدى الأنثى مردّد بين سنّ التاسعة وسنّ العاشرة</w:t>
            </w:r>
            <w:r>
              <w:rPr>
                <w:rStyle w:val="IndexLink"/>
                <w:rtl w:val="true"/>
              </w:rPr>
              <w:tab/>
            </w:r>
            <w:r>
              <w:rPr>
                <w:rStyle w:val="IndexLink"/>
              </w:rPr>
              <w:t>54</w:t>
            </w:r>
          </w:hyperlink>
        </w:p>
        <w:p>
          <w:pPr>
            <w:pStyle w:val="Contents6"/>
            <w:tabs>
              <w:tab w:val="clear" w:pos="7609"/>
              <w:tab w:val="right" w:pos="9026" w:leader="dot"/>
            </w:tabs>
            <w:rPr/>
          </w:pPr>
          <w:hyperlink w:anchor="__RefHeading___Toc3380344_2870459653">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380346_2870459653">
            <w:r>
              <w:rPr>
                <w:webHidden/>
                <w:rStyle w:val="IndexLink"/>
                <w:rtl w:val="true"/>
              </w:rPr>
              <w:t>الرواية الأولى</w:t>
            </w:r>
            <w:r>
              <w:rPr>
                <w:rStyle w:val="IndexLink"/>
                <w:rtl w:val="true"/>
              </w:rPr>
              <w:t xml:space="preserve">: </w:t>
            </w:r>
            <w:r>
              <w:rPr>
                <w:rStyle w:val="IndexLink"/>
                <w:rtl w:val="true"/>
              </w:rPr>
              <w:t>معتبرة زرارة</w:t>
            </w:r>
            <w:r>
              <w:rPr>
                <w:rStyle w:val="IndexLink"/>
                <w:rtl w:val="true"/>
              </w:rPr>
              <w:tab/>
            </w:r>
            <w:r>
              <w:rPr>
                <w:rStyle w:val="IndexLink"/>
              </w:rPr>
              <w:t>54</w:t>
            </w:r>
          </w:hyperlink>
        </w:p>
        <w:p>
          <w:pPr>
            <w:pStyle w:val="Contents6"/>
            <w:tabs>
              <w:tab w:val="clear" w:pos="7609"/>
              <w:tab w:val="right" w:pos="9026" w:leader="dot"/>
            </w:tabs>
            <w:rPr/>
          </w:pPr>
          <w:hyperlink w:anchor="__RefHeading___Toc3380348_2870459653">
            <w:r>
              <w:rPr>
                <w:webHidden/>
                <w:rStyle w:val="IndexLink"/>
                <w:rtl w:val="true"/>
              </w:rPr>
              <w:t>الرواية الأخرى</w:t>
            </w:r>
            <w:r>
              <w:rPr>
                <w:rStyle w:val="IndexLink"/>
                <w:rtl w:val="true"/>
              </w:rPr>
              <w:t xml:space="preserve">: </w:t>
            </w:r>
            <w:r>
              <w:rPr>
                <w:rStyle w:val="IndexLink"/>
                <w:rtl w:val="true"/>
              </w:rPr>
              <w:t>رواية أبي بصير</w:t>
            </w:r>
            <w:r>
              <w:rPr>
                <w:rStyle w:val="IndexLink"/>
                <w:rtl w:val="true"/>
              </w:rPr>
              <w:tab/>
            </w:r>
            <w:r>
              <w:rPr>
                <w:rStyle w:val="IndexLink"/>
              </w:rPr>
              <w:t>55</w:t>
            </w:r>
          </w:hyperlink>
        </w:p>
        <w:p>
          <w:pPr>
            <w:pStyle w:val="Contents6"/>
            <w:tabs>
              <w:tab w:val="clear" w:pos="7609"/>
              <w:tab w:val="right" w:pos="9026" w:leader="dot"/>
            </w:tabs>
            <w:rPr/>
          </w:pPr>
          <w:hyperlink w:anchor="__RefHeading___Toc3380350_2870459653">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380352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55</w:t>
            </w:r>
          </w:hyperlink>
        </w:p>
        <w:p>
          <w:pPr>
            <w:pStyle w:val="Contents6"/>
            <w:tabs>
              <w:tab w:val="clear" w:pos="7609"/>
              <w:tab w:val="right" w:pos="9026" w:leader="dot"/>
            </w:tabs>
            <w:rPr/>
          </w:pPr>
          <w:hyperlink w:anchor="__RefHeading___Toc3380354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55</w:t>
            </w:r>
          </w:hyperlink>
        </w:p>
        <w:p>
          <w:pPr>
            <w:pStyle w:val="Contents6"/>
            <w:tabs>
              <w:tab w:val="clear" w:pos="7609"/>
              <w:tab w:val="right" w:pos="9026" w:leader="dot"/>
            </w:tabs>
            <w:rPr/>
          </w:pPr>
          <w:hyperlink w:anchor="__RefHeading___Toc3380356_2870459653">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380358_2870459653">
            <w:r>
              <w:rPr>
                <w:webHidden/>
                <w:rStyle w:val="IndexLink"/>
                <w:rtl w:val="true"/>
              </w:rPr>
              <w:t>الاحتمال الأوّل</w:t>
            </w:r>
            <w:r>
              <w:rPr>
                <w:rStyle w:val="IndexLink"/>
                <w:rtl w:val="true"/>
              </w:rPr>
              <w:tab/>
            </w:r>
            <w:r>
              <w:rPr>
                <w:rStyle w:val="IndexLink"/>
              </w:rPr>
              <w:t>56</w:t>
            </w:r>
          </w:hyperlink>
        </w:p>
        <w:p>
          <w:pPr>
            <w:pStyle w:val="Contents6"/>
            <w:tabs>
              <w:tab w:val="clear" w:pos="7609"/>
              <w:tab w:val="right" w:pos="9026" w:leader="dot"/>
            </w:tabs>
            <w:rPr/>
          </w:pPr>
          <w:hyperlink w:anchor="__RefHeading___Toc3380360_2870459653">
            <w:r>
              <w:rPr>
                <w:webHidden/>
                <w:rStyle w:val="IndexLink"/>
                <w:rtl w:val="true"/>
              </w:rPr>
              <w:t>الاحتمال الثاني</w:t>
            </w:r>
            <w:r>
              <w:rPr>
                <w:rStyle w:val="IndexLink"/>
                <w:rtl w:val="true"/>
              </w:rPr>
              <w:tab/>
            </w:r>
            <w:r>
              <w:rPr>
                <w:rStyle w:val="IndexLink"/>
              </w:rPr>
              <w:t>57</w:t>
            </w:r>
          </w:hyperlink>
        </w:p>
        <w:p>
          <w:pPr>
            <w:pStyle w:val="Contents6"/>
            <w:tabs>
              <w:tab w:val="clear" w:pos="7609"/>
              <w:tab w:val="right" w:pos="9026" w:leader="dot"/>
            </w:tabs>
            <w:rPr/>
          </w:pPr>
          <w:hyperlink w:anchor="__RefHeading___Toc3380362_2870459653">
            <w:r>
              <w:rPr>
                <w:webHidden/>
                <w:rStyle w:val="IndexLink"/>
                <w:rtl w:val="true"/>
              </w:rPr>
              <w:t>الاحتمال الثالث</w:t>
            </w:r>
            <w:r>
              <w:rPr>
                <w:rStyle w:val="IndexLink"/>
                <w:rtl w:val="true"/>
              </w:rPr>
              <w:tab/>
            </w:r>
            <w:r>
              <w:rPr>
                <w:rStyle w:val="IndexLink"/>
              </w:rPr>
              <w:t>57</w:t>
            </w:r>
          </w:hyperlink>
        </w:p>
        <w:p>
          <w:pPr>
            <w:pStyle w:val="Contents6"/>
            <w:tabs>
              <w:tab w:val="clear" w:pos="7609"/>
              <w:tab w:val="right" w:pos="9026" w:leader="dot"/>
            </w:tabs>
            <w:rPr/>
          </w:pPr>
          <w:hyperlink w:anchor="__RefHeading___Toc3380364_2870459653">
            <w:r>
              <w:rPr>
                <w:webHidden/>
                <w:rStyle w:val="IndexLink"/>
                <w:rtl w:val="true"/>
              </w:rPr>
              <w:t>الاحتمال الرابع</w:t>
            </w:r>
            <w:r>
              <w:rPr>
                <w:rStyle w:val="IndexLink"/>
                <w:rtl w:val="true"/>
              </w:rPr>
              <w:tab/>
            </w:r>
            <w:r>
              <w:rPr>
                <w:rStyle w:val="IndexLink"/>
              </w:rPr>
              <w:t>58</w:t>
            </w:r>
          </w:hyperlink>
        </w:p>
        <w:p>
          <w:pPr>
            <w:pStyle w:val="Contents6"/>
            <w:tabs>
              <w:tab w:val="clear" w:pos="7609"/>
              <w:tab w:val="right" w:pos="9026" w:leader="dot"/>
            </w:tabs>
            <w:rPr/>
          </w:pPr>
          <w:hyperlink w:anchor="__RefHeading___Toc3380366_2870459653">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3380368_2870459653">
            <w:r>
              <w:rPr>
                <w:webHidden/>
                <w:rStyle w:val="IndexLink"/>
                <w:rtl w:val="true"/>
              </w:rPr>
              <w:t>الدليل الأوّل</w:t>
            </w:r>
            <w:r>
              <w:rPr>
                <w:rStyle w:val="IndexLink"/>
                <w:rtl w:val="true"/>
              </w:rPr>
              <w:tab/>
            </w:r>
            <w:r>
              <w:rPr>
                <w:rStyle w:val="IndexLink"/>
              </w:rPr>
              <w:t>59</w:t>
            </w:r>
          </w:hyperlink>
        </w:p>
        <w:p>
          <w:pPr>
            <w:pStyle w:val="Contents6"/>
            <w:tabs>
              <w:tab w:val="clear" w:pos="7609"/>
              <w:tab w:val="right" w:pos="9026" w:leader="dot"/>
            </w:tabs>
            <w:rPr/>
          </w:pPr>
          <w:hyperlink w:anchor="__RefHeading___Toc3380370_2870459653">
            <w:r>
              <w:rPr>
                <w:webHidden/>
                <w:rStyle w:val="IndexLink"/>
                <w:rtl w:val="true"/>
              </w:rPr>
              <w:t>الدليل الثاني</w:t>
            </w:r>
            <w:r>
              <w:rPr>
                <w:rStyle w:val="IndexLink"/>
                <w:rtl w:val="true"/>
              </w:rPr>
              <w:tab/>
            </w:r>
            <w:r>
              <w:rPr>
                <w:rStyle w:val="IndexLink"/>
              </w:rPr>
              <w:t>64</w:t>
            </w:r>
          </w:hyperlink>
        </w:p>
        <w:p>
          <w:pPr>
            <w:pStyle w:val="Contents6"/>
            <w:tabs>
              <w:tab w:val="clear" w:pos="7609"/>
              <w:tab w:val="right" w:pos="9026" w:leader="dot"/>
            </w:tabs>
            <w:rPr/>
          </w:pPr>
          <w:hyperlink w:anchor="__RefHeading___Toc3380372_2870459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380374_2870459653">
            <w:r>
              <w:rPr>
                <w:webHidden/>
                <w:rStyle w:val="IndexLink"/>
                <w:rtl w:val="true"/>
              </w:rPr>
              <w:t>الاحتمال الأوّل</w:t>
            </w:r>
            <w:r>
              <w:rPr>
                <w:rStyle w:val="IndexLink"/>
                <w:rtl w:val="true"/>
              </w:rPr>
              <w:tab/>
            </w:r>
            <w:r>
              <w:rPr>
                <w:rStyle w:val="IndexLink"/>
              </w:rPr>
              <w:t>64</w:t>
            </w:r>
          </w:hyperlink>
        </w:p>
        <w:p>
          <w:pPr>
            <w:pStyle w:val="Contents6"/>
            <w:tabs>
              <w:tab w:val="clear" w:pos="7609"/>
              <w:tab w:val="right" w:pos="9026" w:leader="dot"/>
            </w:tabs>
            <w:rPr/>
          </w:pPr>
          <w:hyperlink w:anchor="__RefHeading___Toc3380376_2870459653">
            <w:r>
              <w:rPr>
                <w:webHidden/>
                <w:rStyle w:val="IndexLink"/>
                <w:rtl w:val="true"/>
              </w:rPr>
              <w:t>الاحتمال الآخر</w:t>
            </w:r>
            <w:r>
              <w:rPr>
                <w:rStyle w:val="IndexLink"/>
                <w:rtl w:val="true"/>
              </w:rPr>
              <w:tab/>
            </w:r>
            <w:r>
              <w:rPr>
                <w:rStyle w:val="IndexLink"/>
              </w:rPr>
              <w:t>64</w:t>
            </w:r>
          </w:hyperlink>
        </w:p>
        <w:p>
          <w:pPr>
            <w:pStyle w:val="Contents6"/>
            <w:tabs>
              <w:tab w:val="clear" w:pos="7609"/>
              <w:tab w:val="right" w:pos="9026" w:leader="dot"/>
            </w:tabs>
            <w:rPr/>
          </w:pPr>
          <w:hyperlink w:anchor="__RefHeading___Toc3380378_2870459653">
            <w:r>
              <w:rPr>
                <w:webHidden/>
                <w:rStyle w:val="IndexLink"/>
                <w:rtl w:val="true"/>
              </w:rPr>
              <w:t>الدليل الثالث</w:t>
            </w:r>
            <w:r>
              <w:rPr>
                <w:rStyle w:val="IndexLink"/>
                <w:rtl w:val="true"/>
              </w:rPr>
              <w:tab/>
            </w:r>
            <w:r>
              <w:rPr>
                <w:rStyle w:val="IndexLink"/>
              </w:rPr>
              <w:t>65</w:t>
            </w:r>
          </w:hyperlink>
        </w:p>
        <w:p>
          <w:pPr>
            <w:pStyle w:val="Contents5"/>
            <w:tabs>
              <w:tab w:val="clear" w:pos="7892"/>
              <w:tab w:val="right" w:pos="9026" w:leader="dot"/>
            </w:tabs>
            <w:rPr/>
          </w:pPr>
          <w:hyperlink w:anchor="__RefHeading___Toc3380380_2870459653">
            <w:r>
              <w:rPr>
                <w:webHidden/>
                <w:rStyle w:val="IndexLink"/>
                <w:rtl w:val="true"/>
              </w:rPr>
              <w:t>الطائفة السابعة</w:t>
            </w:r>
            <w:r>
              <w:rPr>
                <w:rStyle w:val="IndexLink"/>
                <w:rtl w:val="true"/>
              </w:rPr>
              <w:t xml:space="preserve">: </w:t>
            </w:r>
            <w:r>
              <w:rPr>
                <w:rStyle w:val="IndexLink"/>
                <w:rtl w:val="true"/>
              </w:rPr>
              <w:t>ما دلّ على حصول البلوغ بسنّ العاشرة</w:t>
            </w:r>
            <w:r>
              <w:rPr>
                <w:rStyle w:val="IndexLink"/>
                <w:rtl w:val="true"/>
              </w:rPr>
              <w:tab/>
            </w:r>
            <w:r>
              <w:rPr>
                <w:rStyle w:val="IndexLink"/>
              </w:rPr>
              <w:t>65</w:t>
            </w:r>
          </w:hyperlink>
        </w:p>
        <w:p>
          <w:pPr>
            <w:pStyle w:val="Contents6"/>
            <w:tabs>
              <w:tab w:val="clear" w:pos="7609"/>
              <w:tab w:val="right" w:pos="9026" w:leader="dot"/>
            </w:tabs>
            <w:rPr/>
          </w:pPr>
          <w:hyperlink w:anchor="__RefHeading___Toc3380382_287045965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380384_2870459653">
            <w:r>
              <w:rPr>
                <w:webHidden/>
                <w:rStyle w:val="IndexLink"/>
                <w:rtl w:val="true"/>
              </w:rPr>
              <w:t>الرواية الأولى</w:t>
            </w:r>
            <w:r>
              <w:rPr>
                <w:rStyle w:val="IndexLink"/>
                <w:rtl w:val="true"/>
              </w:rPr>
              <w:tab/>
            </w:r>
            <w:r>
              <w:rPr>
                <w:rStyle w:val="IndexLink"/>
              </w:rPr>
              <w:t>65</w:t>
            </w:r>
          </w:hyperlink>
        </w:p>
        <w:p>
          <w:pPr>
            <w:pStyle w:val="Contents6"/>
            <w:tabs>
              <w:tab w:val="clear" w:pos="7609"/>
              <w:tab w:val="right" w:pos="9026" w:leader="dot"/>
            </w:tabs>
            <w:rPr/>
          </w:pPr>
          <w:hyperlink w:anchor="__RefHeading___Toc3380386_287045965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380388_2870459653">
            <w:r>
              <w:rPr>
                <w:webHidden/>
                <w:rStyle w:val="IndexLink"/>
                <w:rtl w:val="true"/>
              </w:rPr>
              <w:t>الجهة الأولى</w:t>
            </w:r>
            <w:r>
              <w:rPr>
                <w:rStyle w:val="IndexLink"/>
                <w:rtl w:val="true"/>
              </w:rPr>
              <w:t xml:space="preserve">: </w:t>
            </w:r>
            <w:r>
              <w:rPr>
                <w:rStyle w:val="IndexLink"/>
                <w:rtl w:val="true"/>
              </w:rPr>
              <w:t>السند</w:t>
            </w:r>
            <w:r>
              <w:rPr>
                <w:rStyle w:val="IndexLink"/>
                <w:rtl w:val="true"/>
              </w:rPr>
              <w:tab/>
            </w:r>
            <w:r>
              <w:rPr>
                <w:rStyle w:val="IndexLink"/>
              </w:rPr>
              <w:t>66</w:t>
            </w:r>
          </w:hyperlink>
        </w:p>
        <w:p>
          <w:pPr>
            <w:pStyle w:val="Contents6"/>
            <w:tabs>
              <w:tab w:val="clear" w:pos="7609"/>
              <w:tab w:val="right" w:pos="9026" w:leader="dot"/>
            </w:tabs>
            <w:rPr/>
          </w:pPr>
          <w:hyperlink w:anchor="__RefHeading___Toc3380390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68</w:t>
            </w:r>
          </w:hyperlink>
        </w:p>
        <w:p>
          <w:pPr>
            <w:pStyle w:val="Contents6"/>
            <w:tabs>
              <w:tab w:val="clear" w:pos="7609"/>
              <w:tab w:val="right" w:pos="9026" w:leader="dot"/>
            </w:tabs>
            <w:rPr/>
          </w:pPr>
          <w:hyperlink w:anchor="__RefHeading___Toc3380392_2870459653">
            <w:r>
              <w:rPr>
                <w:webHidden/>
                <w:rStyle w:val="IndexLink"/>
                <w:rtl w:val="true"/>
              </w:rPr>
              <w:t>الرواية الثانية</w:t>
            </w:r>
            <w:r>
              <w:rPr>
                <w:rStyle w:val="IndexLink"/>
                <w:rtl w:val="true"/>
              </w:rPr>
              <w:tab/>
            </w:r>
            <w:r>
              <w:rPr>
                <w:rStyle w:val="IndexLink"/>
              </w:rPr>
              <w:t>68</w:t>
            </w:r>
          </w:hyperlink>
        </w:p>
        <w:p>
          <w:pPr>
            <w:pStyle w:val="Contents6"/>
            <w:tabs>
              <w:tab w:val="clear" w:pos="7609"/>
              <w:tab w:val="right" w:pos="9026" w:leader="dot"/>
            </w:tabs>
            <w:rPr/>
          </w:pPr>
          <w:hyperlink w:anchor="__RefHeading___Toc3380394_2870459653">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3380396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68</w:t>
            </w:r>
          </w:hyperlink>
        </w:p>
        <w:p>
          <w:pPr>
            <w:pStyle w:val="Contents6"/>
            <w:tabs>
              <w:tab w:val="clear" w:pos="7609"/>
              <w:tab w:val="right" w:pos="9026" w:leader="dot"/>
            </w:tabs>
            <w:rPr/>
          </w:pPr>
          <w:hyperlink w:anchor="__RefHeading___Toc3380398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69</w:t>
            </w:r>
          </w:hyperlink>
        </w:p>
        <w:p>
          <w:pPr>
            <w:pStyle w:val="Contents6"/>
            <w:tabs>
              <w:tab w:val="clear" w:pos="7609"/>
              <w:tab w:val="right" w:pos="9026" w:leader="dot"/>
            </w:tabs>
            <w:rPr/>
          </w:pPr>
          <w:hyperlink w:anchor="__RefHeading___Toc3380400_2870459653">
            <w:r>
              <w:rPr>
                <w:webHidden/>
                <w:rStyle w:val="IndexLink"/>
                <w:rtl w:val="true"/>
              </w:rPr>
              <w:t>الرواية الثالثة</w:t>
            </w:r>
            <w:r>
              <w:rPr>
                <w:rStyle w:val="IndexLink"/>
                <w:rtl w:val="true"/>
              </w:rPr>
              <w:tab/>
            </w:r>
            <w:r>
              <w:rPr>
                <w:rStyle w:val="IndexLink"/>
              </w:rPr>
              <w:t>70</w:t>
            </w:r>
          </w:hyperlink>
        </w:p>
        <w:p>
          <w:pPr>
            <w:pStyle w:val="Contents6"/>
            <w:tabs>
              <w:tab w:val="clear" w:pos="7609"/>
              <w:tab w:val="right" w:pos="9026" w:leader="dot"/>
            </w:tabs>
            <w:rPr/>
          </w:pPr>
          <w:hyperlink w:anchor="__RefHeading___Toc3380402_2870459653">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380404_2870459653">
            <w:r>
              <w:rPr>
                <w:webHidden/>
                <w:rStyle w:val="IndexLink"/>
                <w:rtl w:val="true"/>
              </w:rPr>
              <w:t>الجهة الأولى</w:t>
            </w:r>
            <w:r>
              <w:rPr>
                <w:rStyle w:val="IndexLink"/>
                <w:rtl w:val="true"/>
              </w:rPr>
              <w:t xml:space="preserve">: </w:t>
            </w:r>
            <w:r>
              <w:rPr>
                <w:rStyle w:val="IndexLink"/>
                <w:rtl w:val="true"/>
              </w:rPr>
              <w:t>في السند</w:t>
            </w:r>
            <w:r>
              <w:rPr>
                <w:rStyle w:val="IndexLink"/>
                <w:rtl w:val="true"/>
              </w:rPr>
              <w:tab/>
            </w:r>
            <w:r>
              <w:rPr>
                <w:rStyle w:val="IndexLink"/>
              </w:rPr>
              <w:t>70</w:t>
            </w:r>
          </w:hyperlink>
        </w:p>
        <w:p>
          <w:pPr>
            <w:pStyle w:val="Contents6"/>
            <w:tabs>
              <w:tab w:val="clear" w:pos="7609"/>
              <w:tab w:val="right" w:pos="9026" w:leader="dot"/>
            </w:tabs>
            <w:rPr/>
          </w:pPr>
          <w:hyperlink w:anchor="__RefHeading___Toc3380406_2870459653">
            <w:r>
              <w:rPr>
                <w:webHidden/>
                <w:rStyle w:val="IndexLink"/>
                <w:rtl w:val="true"/>
              </w:rPr>
              <w:t>الجهة الأخرى</w:t>
            </w:r>
            <w:r>
              <w:rPr>
                <w:rStyle w:val="IndexLink"/>
                <w:rtl w:val="true"/>
              </w:rPr>
              <w:t xml:space="preserve">: </w:t>
            </w:r>
            <w:r>
              <w:rPr>
                <w:rStyle w:val="IndexLink"/>
                <w:rtl w:val="true"/>
              </w:rPr>
              <w:t>في الدلالة</w:t>
            </w:r>
            <w:r>
              <w:rPr>
                <w:rStyle w:val="IndexLink"/>
                <w:rtl w:val="true"/>
              </w:rPr>
              <w:tab/>
            </w:r>
            <w:r>
              <w:rPr>
                <w:rStyle w:val="IndexLink"/>
              </w:rPr>
              <w:t>70</w:t>
            </w:r>
          </w:hyperlink>
        </w:p>
        <w:p>
          <w:pPr>
            <w:pStyle w:val="Contents3"/>
            <w:tabs>
              <w:tab w:val="clear" w:pos="8459"/>
              <w:tab w:val="right" w:pos="9026" w:leader="dot"/>
            </w:tabs>
            <w:rPr/>
          </w:pPr>
          <w:hyperlink w:anchor="__RefHeading___Toc3380408_2870459653">
            <w:r>
              <w:rPr>
                <w:webHidden/>
                <w:rStyle w:val="IndexLink"/>
                <w:rtl w:val="true"/>
              </w:rPr>
              <w:t>التوجيهات العامّة لروايات العشرة</w:t>
            </w:r>
            <w:r>
              <w:rPr>
                <w:rStyle w:val="IndexLink"/>
                <w:rtl w:val="true"/>
              </w:rPr>
              <w:tab/>
            </w:r>
            <w:r>
              <w:rPr>
                <w:rStyle w:val="IndexLink"/>
              </w:rPr>
              <w:t>72</w:t>
            </w:r>
          </w:hyperlink>
        </w:p>
        <w:p>
          <w:pPr>
            <w:pStyle w:val="Contents2"/>
            <w:tabs>
              <w:tab w:val="clear" w:pos="8743"/>
              <w:tab w:val="right" w:pos="9026" w:leader="dot"/>
            </w:tabs>
            <w:rPr/>
          </w:pPr>
          <w:hyperlink w:anchor="__RefHeading___Toc3380410_2870459653">
            <w:r>
              <w:rPr>
                <w:webHidden/>
                <w:rStyle w:val="IndexLink"/>
                <w:rtl w:val="true"/>
              </w:rPr>
              <w:t xml:space="preserve">وجوب صلاة العيدين وشرط حضور المعصوم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الشّيخ فاضل الحسّانيّ </w:t>
            </w:r>
            <w:r>
              <w:rPr>
                <w:rStyle w:val="IndexLink"/>
                <w:rtl w:val="true"/>
              </w:rPr>
              <w:t>(</w:t>
            </w:r>
            <w:r>
              <w:rPr>
                <w:rStyle w:val="IndexLink"/>
                <w:rtl w:val="true"/>
              </w:rPr>
              <w:t>دام عزه</w:t>
            </w:r>
            <w:r>
              <w:rPr>
                <w:rStyle w:val="IndexLink"/>
                <w:rtl w:val="true"/>
              </w:rPr>
              <w:t>)</w:t>
              <w:tab/>
            </w:r>
            <w:r>
              <w:rPr>
                <w:rStyle w:val="IndexLink"/>
              </w:rPr>
              <w:t>75</w:t>
            </w:r>
          </w:hyperlink>
        </w:p>
        <w:p>
          <w:pPr>
            <w:pStyle w:val="Contents3"/>
            <w:tabs>
              <w:tab w:val="clear" w:pos="8459"/>
              <w:tab w:val="right" w:pos="9026" w:leader="dot"/>
            </w:tabs>
            <w:rPr/>
          </w:pPr>
          <w:hyperlink w:anchor="__RefHeading___Toc3380412_2870459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380414_2870459653">
            <w:r>
              <w:rPr>
                <w:webHidden/>
                <w:rStyle w:val="IndexLink"/>
                <w:rtl w:val="true"/>
              </w:rPr>
              <w:t>المقام الأوّل</w:t>
            </w:r>
            <w:r>
              <w:rPr>
                <w:rStyle w:val="IndexLink"/>
                <w:rtl w:val="true"/>
              </w:rPr>
              <w:t xml:space="preserve">: </w:t>
            </w:r>
            <w:r>
              <w:rPr>
                <w:rStyle w:val="IndexLink"/>
                <w:rtl w:val="true"/>
              </w:rPr>
              <w:t>في وجوب صلاة العيدين</w:t>
            </w:r>
            <w:r>
              <w:rPr>
                <w:rStyle w:val="IndexLink"/>
                <w:rtl w:val="true"/>
              </w:rPr>
              <w:tab/>
            </w:r>
            <w:r>
              <w:rPr>
                <w:rStyle w:val="IndexLink"/>
              </w:rPr>
              <w:t>79</w:t>
            </w:r>
          </w:hyperlink>
        </w:p>
        <w:p>
          <w:pPr>
            <w:pStyle w:val="Contents4"/>
            <w:tabs>
              <w:tab w:val="clear" w:pos="8176"/>
              <w:tab w:val="right" w:pos="9026" w:leader="dot"/>
            </w:tabs>
            <w:rPr/>
          </w:pPr>
          <w:hyperlink w:anchor="__RefHeading___Toc3380416_287045965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3380418_2870459653">
            <w:r>
              <w:rPr>
                <w:webHidden/>
                <w:rStyle w:val="IndexLink"/>
                <w:rtl w:val="true"/>
              </w:rPr>
              <w:t>الأمر الأوّل</w:t>
            </w:r>
            <w:r>
              <w:rPr>
                <w:rStyle w:val="IndexLink"/>
                <w:rtl w:val="true"/>
              </w:rPr>
              <w:t xml:space="preserve">: </w:t>
            </w:r>
            <w:r>
              <w:rPr>
                <w:rStyle w:val="IndexLink"/>
                <w:rtl w:val="true"/>
              </w:rPr>
              <w:t>الكتاب العزيز</w:t>
            </w:r>
            <w:r>
              <w:rPr>
                <w:rStyle w:val="IndexLink"/>
                <w:rtl w:val="true"/>
              </w:rPr>
              <w:tab/>
            </w:r>
            <w:r>
              <w:rPr>
                <w:rStyle w:val="IndexLink"/>
              </w:rPr>
              <w:t>79</w:t>
            </w:r>
          </w:hyperlink>
        </w:p>
        <w:p>
          <w:pPr>
            <w:pStyle w:val="Contents4"/>
            <w:tabs>
              <w:tab w:val="clear" w:pos="8176"/>
              <w:tab w:val="right" w:pos="9026" w:leader="dot"/>
            </w:tabs>
            <w:rPr/>
          </w:pPr>
          <w:hyperlink w:anchor="__RefHeading___Toc3380420_2870459653">
            <w:r>
              <w:rPr>
                <w:webHidden/>
                <w:rStyle w:val="IndexLink"/>
                <w:rtl w:val="true"/>
              </w:rPr>
              <w:t>الأمر الثاني</w:t>
            </w:r>
            <w:r>
              <w:rPr>
                <w:rStyle w:val="IndexLink"/>
                <w:rtl w:val="true"/>
              </w:rPr>
              <w:t xml:space="preserve">: </w:t>
            </w:r>
            <w:r>
              <w:rPr>
                <w:rStyle w:val="IndexLink"/>
                <w:rtl w:val="true"/>
              </w:rPr>
              <w:t>الإجماع</w:t>
            </w:r>
            <w:r>
              <w:rPr>
                <w:rStyle w:val="IndexLink"/>
                <w:rtl w:val="true"/>
              </w:rPr>
              <w:tab/>
            </w:r>
            <w:r>
              <w:rPr>
                <w:rStyle w:val="IndexLink"/>
              </w:rPr>
              <w:t>84</w:t>
            </w:r>
          </w:hyperlink>
        </w:p>
        <w:p>
          <w:pPr>
            <w:pStyle w:val="Contents4"/>
            <w:tabs>
              <w:tab w:val="clear" w:pos="8176"/>
              <w:tab w:val="right" w:pos="9026" w:leader="dot"/>
            </w:tabs>
            <w:rPr/>
          </w:pPr>
          <w:hyperlink w:anchor="__RefHeading___Toc3380422_2870459653">
            <w:r>
              <w:rPr>
                <w:webHidden/>
                <w:rStyle w:val="IndexLink"/>
                <w:rtl w:val="true"/>
              </w:rPr>
              <w:t>الأمر الثالث</w:t>
            </w:r>
            <w:r>
              <w:rPr>
                <w:rStyle w:val="IndexLink"/>
                <w:rtl w:val="true"/>
              </w:rPr>
              <w:t xml:space="preserve">: </w:t>
            </w:r>
            <w:r>
              <w:rPr>
                <w:rStyle w:val="IndexLink"/>
                <w:rtl w:val="true"/>
              </w:rPr>
              <w:t xml:space="preserve">مداومة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على الإتيان بها طيلة فترة حياته الشريفة</w:t>
            </w:r>
            <w:r>
              <w:rPr>
                <w:rStyle w:val="IndexLink"/>
                <w:rtl w:val="true"/>
              </w:rPr>
              <w:tab/>
            </w:r>
            <w:r>
              <w:rPr>
                <w:rStyle w:val="IndexLink"/>
              </w:rPr>
              <w:t>85</w:t>
            </w:r>
          </w:hyperlink>
        </w:p>
        <w:p>
          <w:pPr>
            <w:pStyle w:val="Contents4"/>
            <w:tabs>
              <w:tab w:val="clear" w:pos="8176"/>
              <w:tab w:val="right" w:pos="9026" w:leader="dot"/>
            </w:tabs>
            <w:rPr/>
          </w:pPr>
          <w:hyperlink w:anchor="__RefHeading___Toc3380424_2870459653">
            <w:r>
              <w:rPr>
                <w:webHidden/>
                <w:rStyle w:val="IndexLink"/>
                <w:rtl w:val="true"/>
              </w:rPr>
              <w:t>الأمر الرابع</w:t>
            </w:r>
            <w:r>
              <w:rPr>
                <w:rStyle w:val="IndexLink"/>
                <w:rtl w:val="true"/>
              </w:rPr>
              <w:t xml:space="preserve">: </w:t>
            </w:r>
            <w:r>
              <w:rPr>
                <w:rStyle w:val="IndexLink"/>
                <w:rtl w:val="true"/>
              </w:rPr>
              <w:t>وجوب قتال تاركيها، ولا يكون ذلك إلّا لكونها واجبة في الشريعة</w:t>
            </w:r>
            <w:r>
              <w:rPr>
                <w:rStyle w:val="IndexLink"/>
                <w:rtl w:val="true"/>
              </w:rPr>
              <w:tab/>
            </w:r>
            <w:r>
              <w:rPr>
                <w:rStyle w:val="IndexLink"/>
              </w:rPr>
              <w:t>87</w:t>
            </w:r>
          </w:hyperlink>
        </w:p>
        <w:p>
          <w:pPr>
            <w:pStyle w:val="Contents4"/>
            <w:tabs>
              <w:tab w:val="clear" w:pos="8176"/>
              <w:tab w:val="right" w:pos="9026" w:leader="dot"/>
            </w:tabs>
            <w:rPr/>
          </w:pPr>
          <w:hyperlink w:anchor="__RefHeading___Toc3380426_2870459653">
            <w:r>
              <w:rPr>
                <w:webHidden/>
                <w:rStyle w:val="IndexLink"/>
                <w:rtl w:val="true"/>
              </w:rPr>
              <w:t>الأمر الخامس</w:t>
            </w:r>
            <w:r>
              <w:rPr>
                <w:rStyle w:val="IndexLink"/>
                <w:rtl w:val="true"/>
              </w:rPr>
              <w:t xml:space="preserve">: </w:t>
            </w:r>
            <w:r>
              <w:rPr>
                <w:rStyle w:val="IndexLink"/>
                <w:rtl w:val="true"/>
              </w:rPr>
              <w:t>نصوص روائية من طرقنا دلّت على وجوبها</w:t>
            </w:r>
            <w:r>
              <w:rPr>
                <w:rStyle w:val="IndexLink"/>
                <w:rtl w:val="true"/>
              </w:rPr>
              <w:tab/>
            </w:r>
            <w:r>
              <w:rPr>
                <w:rStyle w:val="IndexLink"/>
              </w:rPr>
              <w:t>88</w:t>
            </w:r>
          </w:hyperlink>
        </w:p>
        <w:p>
          <w:pPr>
            <w:pStyle w:val="Contents5"/>
            <w:tabs>
              <w:tab w:val="clear" w:pos="7892"/>
              <w:tab w:val="right" w:pos="9026" w:leader="dot"/>
            </w:tabs>
            <w:rPr/>
          </w:pPr>
          <w:hyperlink w:anchor="__RefHeading___Toc3380428_2870459653">
            <w:r>
              <w:rPr>
                <w:webHidden/>
                <w:rStyle w:val="IndexLink"/>
                <w:rtl w:val="true"/>
              </w:rPr>
              <w:t>الرواية الأولى</w:t>
            </w:r>
            <w:r>
              <w:rPr>
                <w:rStyle w:val="IndexLink"/>
                <w:rtl w:val="true"/>
              </w:rPr>
              <w:tab/>
            </w:r>
            <w:r>
              <w:rPr>
                <w:rStyle w:val="IndexLink"/>
              </w:rPr>
              <w:t>88</w:t>
            </w:r>
          </w:hyperlink>
        </w:p>
        <w:p>
          <w:pPr>
            <w:pStyle w:val="Contents5"/>
            <w:tabs>
              <w:tab w:val="clear" w:pos="7892"/>
              <w:tab w:val="right" w:pos="9026" w:leader="dot"/>
            </w:tabs>
            <w:rPr/>
          </w:pPr>
          <w:hyperlink w:anchor="__RefHeading___Toc3380430_2870459653">
            <w:r>
              <w:rPr>
                <w:webHidden/>
                <w:rStyle w:val="IndexLink"/>
                <w:rtl w:val="true"/>
              </w:rPr>
              <w:t>الرواية الثانية</w:t>
            </w:r>
            <w:r>
              <w:rPr>
                <w:rStyle w:val="IndexLink"/>
                <w:rtl w:val="true"/>
              </w:rPr>
              <w:tab/>
            </w:r>
            <w:r>
              <w:rPr>
                <w:rStyle w:val="IndexLink"/>
              </w:rPr>
              <w:t>89</w:t>
            </w:r>
          </w:hyperlink>
        </w:p>
        <w:p>
          <w:pPr>
            <w:pStyle w:val="Contents6"/>
            <w:tabs>
              <w:tab w:val="clear" w:pos="7609"/>
              <w:tab w:val="right" w:pos="9026" w:leader="dot"/>
            </w:tabs>
            <w:rPr/>
          </w:pPr>
          <w:hyperlink w:anchor="__RefHeading___Toc3380432_287045965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380434_2870459653">
            <w:r>
              <w:rPr>
                <w:webHidden/>
                <w:rStyle w:val="IndexLink"/>
                <w:rtl w:val="true"/>
              </w:rPr>
              <w:t>الطريق الأوّل</w:t>
            </w:r>
            <w:r>
              <w:rPr>
                <w:rStyle w:val="IndexLink"/>
                <w:rtl w:val="true"/>
              </w:rPr>
              <w:tab/>
            </w:r>
            <w:r>
              <w:rPr>
                <w:rStyle w:val="IndexLink"/>
              </w:rPr>
              <w:t>91</w:t>
            </w:r>
          </w:hyperlink>
        </w:p>
        <w:p>
          <w:pPr>
            <w:pStyle w:val="Contents6"/>
            <w:tabs>
              <w:tab w:val="clear" w:pos="7609"/>
              <w:tab w:val="right" w:pos="9026" w:leader="dot"/>
            </w:tabs>
            <w:rPr/>
          </w:pPr>
          <w:hyperlink w:anchor="__RefHeading___Toc3380436_2870459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380438_2870459653">
            <w:r>
              <w:rPr>
                <w:webHidden/>
                <w:rStyle w:val="IndexLink"/>
                <w:rtl w:val="true"/>
              </w:rPr>
              <w:t>الأمر الأوّل</w:t>
            </w:r>
            <w:r>
              <w:rPr>
                <w:rStyle w:val="IndexLink"/>
                <w:rtl w:val="true"/>
              </w:rPr>
              <w:tab/>
            </w:r>
            <w:r>
              <w:rPr>
                <w:rStyle w:val="IndexLink"/>
              </w:rPr>
              <w:t>91</w:t>
            </w:r>
          </w:hyperlink>
        </w:p>
        <w:p>
          <w:pPr>
            <w:pStyle w:val="Contents6"/>
            <w:tabs>
              <w:tab w:val="clear" w:pos="7609"/>
              <w:tab w:val="right" w:pos="9026" w:leader="dot"/>
            </w:tabs>
            <w:rPr/>
          </w:pPr>
          <w:hyperlink w:anchor="__RefHeading___Toc3380440_2870459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380442_2870459653">
            <w:r>
              <w:rPr>
                <w:webHidden/>
                <w:rStyle w:val="IndexLink"/>
                <w:rtl w:val="true"/>
              </w:rPr>
              <w:t>الحالة الأولى</w:t>
            </w:r>
            <w:r>
              <w:rPr>
                <w:rStyle w:val="IndexLink"/>
                <w:rtl w:val="true"/>
              </w:rPr>
              <w:tab/>
            </w:r>
            <w:r>
              <w:rPr>
                <w:rStyle w:val="IndexLink"/>
              </w:rPr>
              <w:t>92</w:t>
            </w:r>
          </w:hyperlink>
        </w:p>
        <w:p>
          <w:pPr>
            <w:pStyle w:val="Contents6"/>
            <w:tabs>
              <w:tab w:val="clear" w:pos="7609"/>
              <w:tab w:val="right" w:pos="9026" w:leader="dot"/>
            </w:tabs>
            <w:rPr/>
          </w:pPr>
          <w:hyperlink w:anchor="__RefHeading___Toc3380444_2870459653">
            <w:r>
              <w:rPr>
                <w:webHidden/>
                <w:rStyle w:val="IndexLink"/>
                <w:rtl w:val="true"/>
              </w:rPr>
              <w:t>الحالة الثانية</w:t>
            </w:r>
            <w:r>
              <w:rPr>
                <w:rStyle w:val="IndexLink"/>
                <w:rtl w:val="true"/>
              </w:rPr>
              <w:tab/>
            </w:r>
            <w:r>
              <w:rPr>
                <w:rStyle w:val="IndexLink"/>
              </w:rPr>
              <w:t>92</w:t>
            </w:r>
          </w:hyperlink>
        </w:p>
        <w:p>
          <w:pPr>
            <w:pStyle w:val="Contents6"/>
            <w:tabs>
              <w:tab w:val="clear" w:pos="7609"/>
              <w:tab w:val="right" w:pos="9026" w:leader="dot"/>
            </w:tabs>
            <w:rPr/>
          </w:pPr>
          <w:hyperlink w:anchor="__RefHeading___Toc3380446_2870459653">
            <w:r>
              <w:rPr>
                <w:webHidden/>
                <w:rStyle w:val="IndexLink"/>
                <w:rtl w:val="true"/>
              </w:rPr>
              <w:t>الحالة الثالثة</w:t>
            </w:r>
            <w:r>
              <w:rPr>
                <w:rStyle w:val="IndexLink"/>
                <w:rtl w:val="true"/>
              </w:rPr>
              <w:tab/>
            </w:r>
            <w:r>
              <w:rPr>
                <w:rStyle w:val="IndexLink"/>
              </w:rPr>
              <w:t>93</w:t>
            </w:r>
          </w:hyperlink>
        </w:p>
        <w:p>
          <w:pPr>
            <w:pStyle w:val="Contents6"/>
            <w:tabs>
              <w:tab w:val="clear" w:pos="7609"/>
              <w:tab w:val="right" w:pos="9026" w:leader="dot"/>
            </w:tabs>
            <w:rPr/>
          </w:pPr>
          <w:hyperlink w:anchor="__RefHeading___Toc3380448_2870459653">
            <w:r>
              <w:rPr>
                <w:webHidden/>
                <w:rStyle w:val="IndexLink"/>
                <w:rtl w:val="true"/>
              </w:rPr>
              <w:t>الحالة الرابعة</w:t>
            </w:r>
            <w:r>
              <w:rPr>
                <w:rStyle w:val="IndexLink"/>
                <w:rtl w:val="true"/>
              </w:rPr>
              <w:tab/>
            </w:r>
            <w:r>
              <w:rPr>
                <w:rStyle w:val="IndexLink"/>
              </w:rPr>
              <w:t>93</w:t>
            </w:r>
          </w:hyperlink>
        </w:p>
        <w:p>
          <w:pPr>
            <w:pStyle w:val="Contents6"/>
            <w:tabs>
              <w:tab w:val="clear" w:pos="7609"/>
              <w:tab w:val="right" w:pos="9026" w:leader="dot"/>
            </w:tabs>
            <w:rPr/>
          </w:pPr>
          <w:hyperlink w:anchor="__RefHeading___Toc3380450_2870459653">
            <w:r>
              <w:rPr>
                <w:webHidden/>
                <w:rStyle w:val="IndexLink"/>
                <w:rtl w:val="true"/>
              </w:rPr>
              <w:t>الطريق الآخر</w:t>
            </w:r>
            <w:r>
              <w:rPr>
                <w:rStyle w:val="IndexLink"/>
                <w:rtl w:val="true"/>
              </w:rPr>
              <w:tab/>
            </w:r>
            <w:r>
              <w:rPr>
                <w:rStyle w:val="IndexLink"/>
              </w:rPr>
              <w:t>95</w:t>
            </w:r>
          </w:hyperlink>
        </w:p>
        <w:p>
          <w:pPr>
            <w:pStyle w:val="Contents5"/>
            <w:tabs>
              <w:tab w:val="clear" w:pos="7892"/>
              <w:tab w:val="right" w:pos="9026" w:leader="dot"/>
            </w:tabs>
            <w:rPr/>
          </w:pPr>
          <w:hyperlink w:anchor="__RefHeading___Toc3380452_2870459653">
            <w:r>
              <w:rPr>
                <w:webHidden/>
                <w:rStyle w:val="IndexLink"/>
                <w:rtl w:val="true"/>
              </w:rPr>
              <w:t>الرواية الثالثة</w:t>
            </w:r>
            <w:r>
              <w:rPr>
                <w:rStyle w:val="IndexLink"/>
                <w:rtl w:val="true"/>
              </w:rPr>
              <w:tab/>
            </w:r>
            <w:r>
              <w:rPr>
                <w:rStyle w:val="IndexLink"/>
              </w:rPr>
              <w:t>95</w:t>
            </w:r>
          </w:hyperlink>
        </w:p>
        <w:p>
          <w:pPr>
            <w:pStyle w:val="Contents5"/>
            <w:tabs>
              <w:tab w:val="clear" w:pos="7892"/>
              <w:tab w:val="right" w:pos="9026" w:leader="dot"/>
            </w:tabs>
            <w:rPr/>
          </w:pPr>
          <w:hyperlink w:anchor="__RefHeading___Toc3380454_2870459653">
            <w:r>
              <w:rPr>
                <w:webHidden/>
                <w:rStyle w:val="IndexLink"/>
                <w:rtl w:val="true"/>
              </w:rPr>
              <w:t>الرواية الرابعة</w:t>
            </w:r>
            <w:r>
              <w:rPr>
                <w:rStyle w:val="IndexLink"/>
                <w:rtl w:val="true"/>
              </w:rPr>
              <w:tab/>
            </w:r>
            <w:r>
              <w:rPr>
                <w:rStyle w:val="IndexLink"/>
              </w:rPr>
              <w:t>95</w:t>
            </w:r>
          </w:hyperlink>
        </w:p>
        <w:p>
          <w:pPr>
            <w:pStyle w:val="Contents5"/>
            <w:tabs>
              <w:tab w:val="clear" w:pos="7892"/>
              <w:tab w:val="right" w:pos="9026" w:leader="dot"/>
            </w:tabs>
            <w:rPr/>
          </w:pPr>
          <w:hyperlink w:anchor="__RefHeading___Toc3380456_2870459653">
            <w:r>
              <w:rPr>
                <w:webHidden/>
                <w:rStyle w:val="IndexLink"/>
                <w:rtl w:val="true"/>
              </w:rPr>
              <w:t>الروايات المعارضة</w:t>
            </w:r>
            <w:r>
              <w:rPr>
                <w:rStyle w:val="IndexLink"/>
                <w:rtl w:val="true"/>
              </w:rPr>
              <w:tab/>
            </w:r>
            <w:r>
              <w:rPr>
                <w:rStyle w:val="IndexLink"/>
              </w:rPr>
              <w:t>96</w:t>
            </w:r>
          </w:hyperlink>
        </w:p>
        <w:p>
          <w:pPr>
            <w:pStyle w:val="Contents6"/>
            <w:tabs>
              <w:tab w:val="clear" w:pos="7609"/>
              <w:tab w:val="right" w:pos="9026" w:leader="dot"/>
            </w:tabs>
            <w:rPr/>
          </w:pPr>
          <w:hyperlink w:anchor="__RefHeading___Toc3380458_2870459653">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3380460_2870459653">
            <w:r>
              <w:rPr>
                <w:webHidden/>
                <w:rStyle w:val="IndexLink"/>
                <w:rtl w:val="true"/>
              </w:rPr>
              <w:t>الوجه الأوّل</w:t>
            </w:r>
            <w:r>
              <w:rPr>
                <w:rStyle w:val="IndexLink"/>
                <w:rtl w:val="true"/>
              </w:rPr>
              <w:tab/>
            </w:r>
            <w:r>
              <w:rPr>
                <w:rStyle w:val="IndexLink"/>
              </w:rPr>
              <w:t>100</w:t>
            </w:r>
          </w:hyperlink>
        </w:p>
        <w:p>
          <w:pPr>
            <w:pStyle w:val="Contents6"/>
            <w:tabs>
              <w:tab w:val="clear" w:pos="7609"/>
              <w:tab w:val="right" w:pos="9026" w:leader="dot"/>
            </w:tabs>
            <w:rPr/>
          </w:pPr>
          <w:hyperlink w:anchor="__RefHeading___Toc3380462_2870459653">
            <w:r>
              <w:rPr>
                <w:webHidden/>
                <w:rStyle w:val="IndexLink"/>
                <w:rtl w:val="true"/>
              </w:rPr>
              <w:t>الوجه الثاني</w:t>
            </w:r>
            <w:r>
              <w:rPr>
                <w:rStyle w:val="IndexLink"/>
                <w:rtl w:val="true"/>
              </w:rPr>
              <w:tab/>
            </w:r>
            <w:r>
              <w:rPr>
                <w:rStyle w:val="IndexLink"/>
              </w:rPr>
              <w:t>109</w:t>
            </w:r>
          </w:hyperlink>
        </w:p>
        <w:p>
          <w:pPr>
            <w:pStyle w:val="Contents6"/>
            <w:tabs>
              <w:tab w:val="clear" w:pos="7609"/>
              <w:tab w:val="right" w:pos="9026" w:leader="dot"/>
            </w:tabs>
            <w:rPr/>
          </w:pPr>
          <w:hyperlink w:anchor="__RefHeading___Toc3380464_2870459653">
            <w:r>
              <w:rPr>
                <w:webHidden/>
                <w:rStyle w:val="IndexLink"/>
                <w:rtl w:val="true"/>
              </w:rPr>
              <w:t>الوجه الثالث</w:t>
            </w:r>
            <w:r>
              <w:rPr>
                <w:rStyle w:val="IndexLink"/>
                <w:rtl w:val="true"/>
              </w:rPr>
              <w:tab/>
            </w:r>
            <w:r>
              <w:rPr>
                <w:rStyle w:val="IndexLink"/>
              </w:rPr>
              <w:t>110</w:t>
            </w:r>
          </w:hyperlink>
        </w:p>
        <w:p>
          <w:pPr>
            <w:pStyle w:val="Contents6"/>
            <w:tabs>
              <w:tab w:val="clear" w:pos="7609"/>
              <w:tab w:val="right" w:pos="9026" w:leader="dot"/>
            </w:tabs>
            <w:rPr/>
          </w:pPr>
          <w:hyperlink w:anchor="__RefHeading___Toc3380466_2870459653">
            <w:r>
              <w:rPr>
                <w:webHidden/>
                <w:rStyle w:val="IndexLink"/>
                <w:rtl w:val="true"/>
              </w:rPr>
              <w:t>الوجه الرابع</w:t>
            </w:r>
            <w:r>
              <w:rPr>
                <w:rStyle w:val="IndexLink"/>
                <w:rtl w:val="true"/>
              </w:rPr>
              <w:tab/>
            </w:r>
            <w:r>
              <w:rPr>
                <w:rStyle w:val="IndexLink"/>
              </w:rPr>
              <w:t>111</w:t>
            </w:r>
          </w:hyperlink>
        </w:p>
        <w:p>
          <w:pPr>
            <w:pStyle w:val="Contents6"/>
            <w:tabs>
              <w:tab w:val="clear" w:pos="7609"/>
              <w:tab w:val="right" w:pos="9026" w:leader="dot"/>
            </w:tabs>
            <w:rPr/>
          </w:pPr>
          <w:hyperlink w:anchor="__RefHeading___Toc3380468_2870459653">
            <w:r>
              <w:rPr>
                <w:webHidden/>
                <w:rStyle w:val="IndexLink"/>
                <w:rtl w:val="true"/>
              </w:rPr>
              <w:t>الوجه الخامس</w:t>
            </w:r>
            <w:r>
              <w:rPr>
                <w:rStyle w:val="IndexLink"/>
                <w:rtl w:val="true"/>
              </w:rPr>
              <w:tab/>
            </w:r>
            <w:r>
              <w:rPr>
                <w:rStyle w:val="IndexLink"/>
              </w:rPr>
              <w:t>111</w:t>
            </w:r>
          </w:hyperlink>
        </w:p>
        <w:p>
          <w:pPr>
            <w:pStyle w:val="Contents6"/>
            <w:tabs>
              <w:tab w:val="clear" w:pos="7609"/>
              <w:tab w:val="right" w:pos="9026" w:leader="dot"/>
            </w:tabs>
            <w:rPr/>
          </w:pPr>
          <w:hyperlink w:anchor="__RefHeading___Toc3380470_2870459653">
            <w:r>
              <w:rPr>
                <w:webHidden/>
                <w:rStyle w:val="IndexLink"/>
                <w:rtl w:val="true"/>
              </w:rPr>
              <w:t>الوجه السادس</w:t>
            </w:r>
            <w:r>
              <w:rPr>
                <w:rStyle w:val="IndexLink"/>
                <w:rtl w:val="true"/>
              </w:rPr>
              <w:tab/>
            </w:r>
            <w:r>
              <w:rPr>
                <w:rStyle w:val="IndexLink"/>
              </w:rPr>
              <w:t>112</w:t>
            </w:r>
          </w:hyperlink>
        </w:p>
        <w:p>
          <w:pPr>
            <w:pStyle w:val="Contents6"/>
            <w:tabs>
              <w:tab w:val="clear" w:pos="7609"/>
              <w:tab w:val="right" w:pos="9026" w:leader="dot"/>
            </w:tabs>
            <w:rPr/>
          </w:pPr>
          <w:hyperlink w:anchor="__RefHeading___Toc3380472_2870459653">
            <w:r>
              <w:rPr>
                <w:webHidden/>
                <w:rStyle w:val="IndexLink"/>
                <w:rtl w:val="true"/>
              </w:rPr>
              <w:t>الوجه السابع</w:t>
            </w:r>
            <w:r>
              <w:rPr>
                <w:rStyle w:val="IndexLink"/>
                <w:rtl w:val="true"/>
              </w:rPr>
              <w:tab/>
            </w:r>
            <w:r>
              <w:rPr>
                <w:rStyle w:val="IndexLink"/>
              </w:rPr>
              <w:t>112</w:t>
            </w:r>
          </w:hyperlink>
        </w:p>
        <w:p>
          <w:pPr>
            <w:pStyle w:val="Contents6"/>
            <w:tabs>
              <w:tab w:val="clear" w:pos="7609"/>
              <w:tab w:val="right" w:pos="9026" w:leader="dot"/>
            </w:tabs>
            <w:rPr/>
          </w:pPr>
          <w:hyperlink w:anchor="__RefHeading___Toc3380474_2870459653">
            <w:r>
              <w:rPr>
                <w:webHidden/>
                <w:rStyle w:val="IndexLink"/>
                <w:rtl w:val="true"/>
              </w:rPr>
              <w:t>الوجه الثامن</w:t>
            </w:r>
            <w:r>
              <w:rPr>
                <w:rStyle w:val="IndexLink"/>
                <w:rtl w:val="true"/>
              </w:rPr>
              <w:tab/>
            </w:r>
            <w:r>
              <w:rPr>
                <w:rStyle w:val="IndexLink"/>
              </w:rPr>
              <w:t>112</w:t>
            </w:r>
          </w:hyperlink>
        </w:p>
        <w:p>
          <w:pPr>
            <w:pStyle w:val="Contents3"/>
            <w:tabs>
              <w:tab w:val="clear" w:pos="8459"/>
              <w:tab w:val="right" w:pos="9026" w:leader="dot"/>
            </w:tabs>
            <w:rPr/>
          </w:pPr>
          <w:hyperlink w:anchor="__RefHeading___Toc3380476_2870459653">
            <w:r>
              <w:rPr>
                <w:webHidden/>
                <w:rStyle w:val="IndexLink"/>
                <w:rtl w:val="true"/>
              </w:rPr>
              <w:t>المقام الثاني</w:t>
            </w:r>
            <w:r>
              <w:rPr>
                <w:rStyle w:val="IndexLink"/>
                <w:rtl w:val="true"/>
              </w:rPr>
              <w:t xml:space="preserve">: </w:t>
            </w:r>
            <w:r>
              <w:rPr>
                <w:rStyle w:val="IndexLink"/>
                <w:rtl w:val="true"/>
              </w:rPr>
              <w:t>في شرائط تحقّق الوجوب</w:t>
            </w:r>
            <w:r>
              <w:rPr>
                <w:rStyle w:val="IndexLink"/>
                <w:rtl w:val="true"/>
              </w:rPr>
              <w:tab/>
            </w:r>
            <w:r>
              <w:rPr>
                <w:rStyle w:val="IndexLink"/>
              </w:rPr>
              <w:t>114</w:t>
            </w:r>
          </w:hyperlink>
        </w:p>
        <w:p>
          <w:pPr>
            <w:pStyle w:val="Contents4"/>
            <w:tabs>
              <w:tab w:val="clear" w:pos="8176"/>
              <w:tab w:val="right" w:pos="9026" w:leader="dot"/>
            </w:tabs>
            <w:rPr/>
          </w:pPr>
          <w:hyperlink w:anchor="__RefHeading___Toc3380478_2870459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380480_2870459653">
            <w:r>
              <w:rPr>
                <w:webHidden/>
                <w:rStyle w:val="IndexLink"/>
                <w:rtl w:val="true"/>
              </w:rPr>
              <w:t>الرواية الأولى</w:t>
            </w:r>
            <w:r>
              <w:rPr>
                <w:rStyle w:val="IndexLink"/>
                <w:rtl w:val="true"/>
              </w:rPr>
              <w:tab/>
            </w:r>
            <w:r>
              <w:rPr>
                <w:rStyle w:val="IndexLink"/>
              </w:rPr>
              <w:t>120</w:t>
            </w:r>
          </w:hyperlink>
        </w:p>
        <w:p>
          <w:pPr>
            <w:pStyle w:val="Contents4"/>
            <w:tabs>
              <w:tab w:val="clear" w:pos="8176"/>
              <w:tab w:val="right" w:pos="9026" w:leader="dot"/>
            </w:tabs>
            <w:rPr/>
          </w:pPr>
          <w:hyperlink w:anchor="__RefHeading___Toc3380482_2870459653">
            <w:r>
              <w:rPr>
                <w:webHidden/>
                <w:rStyle w:val="IndexLink"/>
                <w:rtl w:val="true"/>
              </w:rPr>
              <w:t>الرواية الثانية</w:t>
            </w:r>
            <w:r>
              <w:rPr>
                <w:rStyle w:val="IndexLink"/>
                <w:rtl w:val="true"/>
              </w:rPr>
              <w:tab/>
            </w:r>
            <w:r>
              <w:rPr>
                <w:rStyle w:val="IndexLink"/>
              </w:rPr>
              <w:t>123</w:t>
            </w:r>
          </w:hyperlink>
        </w:p>
        <w:p>
          <w:pPr>
            <w:pStyle w:val="Contents4"/>
            <w:tabs>
              <w:tab w:val="clear" w:pos="8176"/>
              <w:tab w:val="right" w:pos="9026" w:leader="dot"/>
            </w:tabs>
            <w:rPr/>
          </w:pPr>
          <w:hyperlink w:anchor="__RefHeading___Toc3380484_2870459653">
            <w:r>
              <w:rPr>
                <w:webHidden/>
                <w:rStyle w:val="IndexLink"/>
                <w:rtl w:val="true"/>
              </w:rPr>
              <w:t>الرواية الثالثة</w:t>
            </w:r>
            <w:r>
              <w:rPr>
                <w:rStyle w:val="IndexLink"/>
                <w:rtl w:val="true"/>
              </w:rPr>
              <w:tab/>
            </w:r>
            <w:r>
              <w:rPr>
                <w:rStyle w:val="IndexLink"/>
              </w:rPr>
              <w:t>124</w:t>
            </w:r>
          </w:hyperlink>
        </w:p>
        <w:p>
          <w:pPr>
            <w:pStyle w:val="Contents4"/>
            <w:tabs>
              <w:tab w:val="clear" w:pos="8176"/>
              <w:tab w:val="right" w:pos="9026" w:leader="dot"/>
            </w:tabs>
            <w:rPr/>
          </w:pPr>
          <w:hyperlink w:anchor="__RefHeading___Toc3380486_2870459653">
            <w:r>
              <w:rPr>
                <w:webHidden/>
                <w:rStyle w:val="IndexLink"/>
                <w:rtl w:val="true"/>
              </w:rPr>
              <w:t>الرواية الرابعة</w:t>
            </w:r>
            <w:r>
              <w:rPr>
                <w:rStyle w:val="IndexLink"/>
                <w:rtl w:val="true"/>
              </w:rPr>
              <w:tab/>
            </w:r>
            <w:r>
              <w:rPr>
                <w:rStyle w:val="IndexLink"/>
              </w:rPr>
              <w:t>124</w:t>
            </w:r>
          </w:hyperlink>
        </w:p>
        <w:p>
          <w:pPr>
            <w:pStyle w:val="Contents4"/>
            <w:tabs>
              <w:tab w:val="clear" w:pos="8176"/>
              <w:tab w:val="right" w:pos="9026" w:leader="dot"/>
            </w:tabs>
            <w:rPr/>
          </w:pPr>
          <w:hyperlink w:anchor="__RefHeading___Toc3380488_2870459653">
            <w:r>
              <w:rPr>
                <w:webHidden/>
                <w:rStyle w:val="IndexLink"/>
                <w:rtl w:val="true"/>
              </w:rPr>
              <w:t>الرواية الخامسة</w:t>
            </w:r>
            <w:r>
              <w:rPr>
                <w:rStyle w:val="IndexLink"/>
                <w:rtl w:val="true"/>
              </w:rPr>
              <w:tab/>
            </w:r>
            <w:r>
              <w:rPr>
                <w:rStyle w:val="IndexLink"/>
              </w:rPr>
              <w:t>125</w:t>
            </w:r>
          </w:hyperlink>
        </w:p>
        <w:p>
          <w:pPr>
            <w:pStyle w:val="Contents5"/>
            <w:tabs>
              <w:tab w:val="clear" w:pos="7892"/>
              <w:tab w:val="right" w:pos="9026" w:leader="dot"/>
            </w:tabs>
            <w:rPr/>
          </w:pPr>
          <w:hyperlink w:anchor="__RefHeading___Toc3380490_2870459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380492_2870459653">
            <w:r>
              <w:rPr>
                <w:webHidden/>
                <w:rStyle w:val="IndexLink"/>
                <w:rtl w:val="true"/>
              </w:rPr>
              <w:t>التقريب الأوّل</w:t>
            </w:r>
            <w:r>
              <w:rPr>
                <w:rStyle w:val="IndexLink"/>
                <w:rtl w:val="true"/>
              </w:rPr>
              <w:tab/>
            </w:r>
            <w:r>
              <w:rPr>
                <w:rStyle w:val="IndexLink"/>
              </w:rPr>
              <w:t>126</w:t>
            </w:r>
          </w:hyperlink>
        </w:p>
        <w:p>
          <w:pPr>
            <w:pStyle w:val="Contents5"/>
            <w:tabs>
              <w:tab w:val="clear" w:pos="7892"/>
              <w:tab w:val="right" w:pos="9026" w:leader="dot"/>
            </w:tabs>
            <w:rPr/>
          </w:pPr>
          <w:hyperlink w:anchor="__RefHeading___Toc3380494_2870459653">
            <w:r>
              <w:rPr>
                <w:webHidden/>
                <w:rStyle w:val="IndexLink"/>
                <w:rtl w:val="true"/>
              </w:rPr>
              <w:t>التقريب الثاني</w:t>
            </w:r>
            <w:r>
              <w:rPr>
                <w:rStyle w:val="IndexLink"/>
                <w:rtl w:val="true"/>
              </w:rPr>
              <w:tab/>
            </w:r>
            <w:r>
              <w:rPr>
                <w:rStyle w:val="IndexLink"/>
              </w:rPr>
              <w:t>132</w:t>
            </w:r>
          </w:hyperlink>
        </w:p>
        <w:p>
          <w:pPr>
            <w:pStyle w:val="Contents5"/>
            <w:tabs>
              <w:tab w:val="clear" w:pos="7892"/>
              <w:tab w:val="right" w:pos="9026" w:leader="dot"/>
            </w:tabs>
            <w:rPr/>
          </w:pPr>
          <w:hyperlink w:anchor="__RefHeading___Toc3380496_2870459653">
            <w:r>
              <w:rPr>
                <w:webHidden/>
                <w:rStyle w:val="IndexLink"/>
                <w:rtl w:val="true"/>
              </w:rPr>
              <w:t>التقريب الثالث</w:t>
            </w:r>
            <w:r>
              <w:rPr>
                <w:rStyle w:val="IndexLink"/>
                <w:rtl w:val="true"/>
              </w:rPr>
              <w:tab/>
            </w:r>
            <w:r>
              <w:rPr>
                <w:rStyle w:val="IndexLink"/>
              </w:rPr>
              <w:t>133</w:t>
            </w:r>
          </w:hyperlink>
        </w:p>
        <w:p>
          <w:pPr>
            <w:pStyle w:val="Contents4"/>
            <w:tabs>
              <w:tab w:val="clear" w:pos="8176"/>
              <w:tab w:val="right" w:pos="9026" w:leader="dot"/>
            </w:tabs>
            <w:rPr/>
          </w:pPr>
          <w:hyperlink w:anchor="__RefHeading___Toc3380498_2870459653">
            <w:r>
              <w:rPr>
                <w:webHidden/>
                <w:rStyle w:val="IndexLink"/>
                <w:rtl w:val="true"/>
              </w:rPr>
              <w:t>الرواية السادسة</w:t>
            </w:r>
            <w:r>
              <w:rPr>
                <w:rStyle w:val="IndexLink"/>
                <w:rtl w:val="true"/>
              </w:rPr>
              <w:tab/>
            </w:r>
            <w:r>
              <w:rPr>
                <w:rStyle w:val="IndexLink"/>
              </w:rPr>
              <w:t>135</w:t>
            </w:r>
          </w:hyperlink>
        </w:p>
        <w:p>
          <w:pPr>
            <w:pStyle w:val="Contents4"/>
            <w:tabs>
              <w:tab w:val="clear" w:pos="8176"/>
              <w:tab w:val="right" w:pos="9026" w:leader="dot"/>
            </w:tabs>
            <w:rPr/>
          </w:pPr>
          <w:hyperlink w:anchor="__RefHeading___Toc3380500_2870459653">
            <w:r>
              <w:rPr>
                <w:webHidden/>
                <w:rStyle w:val="IndexLink"/>
                <w:rtl w:val="true"/>
              </w:rPr>
              <w:t>الرواية السابعة</w:t>
            </w:r>
            <w:r>
              <w:rPr>
                <w:rStyle w:val="IndexLink"/>
                <w:rtl w:val="true"/>
              </w:rPr>
              <w:tab/>
            </w:r>
            <w:r>
              <w:rPr>
                <w:rStyle w:val="IndexLink"/>
              </w:rPr>
              <w:t>137</w:t>
            </w:r>
          </w:hyperlink>
        </w:p>
        <w:p>
          <w:pPr>
            <w:pStyle w:val="Contents4"/>
            <w:tabs>
              <w:tab w:val="clear" w:pos="8176"/>
              <w:tab w:val="right" w:pos="9026" w:leader="dot"/>
            </w:tabs>
            <w:rPr/>
          </w:pPr>
          <w:hyperlink w:anchor="__RefHeading___Toc3380502_2870459653">
            <w:r>
              <w:rPr>
                <w:webHidden/>
                <w:rStyle w:val="IndexLink"/>
                <w:rtl w:val="true"/>
              </w:rPr>
              <w:t>الرواية الثامنة</w:t>
            </w:r>
            <w:r>
              <w:rPr>
                <w:rStyle w:val="IndexLink"/>
                <w:rtl w:val="true"/>
              </w:rPr>
              <w:tab/>
            </w:r>
            <w:r>
              <w:rPr>
                <w:rStyle w:val="IndexLink"/>
              </w:rPr>
              <w:t>138</w:t>
            </w:r>
          </w:hyperlink>
        </w:p>
        <w:p>
          <w:pPr>
            <w:pStyle w:val="Contents3"/>
            <w:tabs>
              <w:tab w:val="clear" w:pos="8459"/>
              <w:tab w:val="right" w:pos="9026" w:leader="dot"/>
            </w:tabs>
            <w:rPr/>
          </w:pPr>
          <w:hyperlink w:anchor="__RefHeading___Toc3380504_2870459653">
            <w:r>
              <w:rPr>
                <w:webHidden/>
                <w:rStyle w:val="IndexLink"/>
                <w:rtl w:val="true"/>
              </w:rPr>
              <w:t>المصادر</w:t>
            </w:r>
            <w:r>
              <w:rPr>
                <w:rStyle w:val="IndexLink"/>
                <w:rtl w:val="true"/>
              </w:rPr>
              <w:tab/>
            </w:r>
            <w:r>
              <w:rPr>
                <w:rStyle w:val="IndexLink"/>
              </w:rPr>
              <w:t>141</w:t>
            </w:r>
          </w:hyperlink>
        </w:p>
        <w:p>
          <w:pPr>
            <w:pStyle w:val="Contents2"/>
            <w:tabs>
              <w:tab w:val="clear" w:pos="8743"/>
              <w:tab w:val="right" w:pos="9026" w:leader="dot"/>
            </w:tabs>
            <w:rPr/>
          </w:pPr>
          <w:hyperlink w:anchor="__RefHeading___Toc3380506_2870459653">
            <w:r>
              <w:rPr>
                <w:webHidden/>
                <w:rStyle w:val="IndexLink"/>
                <w:rtl w:val="true"/>
              </w:rPr>
              <w:t xml:space="preserve">استثناء الواقف المنافع لنفسه </w:t>
            </w:r>
            <w:r>
              <w:rPr>
                <w:rStyle w:val="IndexLink"/>
                <w:rtl w:val="true"/>
              </w:rPr>
              <w:t>(</w:t>
            </w:r>
            <w:r>
              <w:rPr>
                <w:rStyle w:val="IndexLink"/>
                <w:rtl w:val="true"/>
              </w:rPr>
              <w:t>الحلقة الاولی</w:t>
            </w:r>
            <w:r>
              <w:rPr>
                <w:rStyle w:val="IndexLink"/>
                <w:rtl w:val="true"/>
              </w:rPr>
              <w:t xml:space="preserve">) - </w:t>
            </w:r>
            <w:r>
              <w:rPr>
                <w:rStyle w:val="IndexLink"/>
                <w:rtl w:val="true"/>
              </w:rPr>
              <w:t xml:space="preserve">الشّيخ أمجد رياض </w:t>
            </w:r>
            <w:r>
              <w:rPr>
                <w:rStyle w:val="IndexLink"/>
                <w:rtl w:val="true"/>
              </w:rPr>
              <w:t>(</w:t>
            </w:r>
            <w:r>
              <w:rPr>
                <w:rStyle w:val="IndexLink"/>
                <w:rtl w:val="true"/>
              </w:rPr>
              <w:t>دام عزه</w:t>
            </w:r>
            <w:r>
              <w:rPr>
                <w:rStyle w:val="IndexLink"/>
                <w:rtl w:val="true"/>
              </w:rPr>
              <w:t>)</w:t>
              <w:tab/>
            </w:r>
            <w:r>
              <w:rPr>
                <w:rStyle w:val="IndexLink"/>
              </w:rPr>
              <w:t>153</w:t>
            </w:r>
          </w:hyperlink>
        </w:p>
        <w:p>
          <w:pPr>
            <w:pStyle w:val="Contents3"/>
            <w:tabs>
              <w:tab w:val="clear" w:pos="8459"/>
              <w:tab w:val="right" w:pos="9026" w:leader="dot"/>
            </w:tabs>
            <w:rPr/>
          </w:pPr>
          <w:hyperlink w:anchor="__RefHeading___Toc3380508_2870459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3380510_2870459653">
            <w:r>
              <w:rPr>
                <w:webHidden/>
                <w:rStyle w:val="IndexLink"/>
                <w:rtl w:val="true"/>
              </w:rPr>
              <w:t>الأمر الأوّل</w:t>
            </w:r>
            <w:r>
              <w:rPr>
                <w:rStyle w:val="IndexLink"/>
                <w:rtl w:val="true"/>
              </w:rPr>
              <w:t xml:space="preserve">: </w:t>
            </w:r>
            <w:r>
              <w:rPr>
                <w:rStyle w:val="IndexLink"/>
                <w:rtl w:val="true"/>
              </w:rPr>
              <w:t>في المراد من الوقف</w:t>
            </w:r>
            <w:r>
              <w:rPr>
                <w:rStyle w:val="IndexLink"/>
                <w:rtl w:val="true"/>
              </w:rPr>
              <w:tab/>
            </w:r>
            <w:r>
              <w:rPr>
                <w:rStyle w:val="IndexLink"/>
              </w:rPr>
              <w:t>161</w:t>
            </w:r>
          </w:hyperlink>
        </w:p>
        <w:p>
          <w:pPr>
            <w:pStyle w:val="Contents3"/>
            <w:tabs>
              <w:tab w:val="clear" w:pos="8459"/>
              <w:tab w:val="right" w:pos="9026" w:leader="dot"/>
            </w:tabs>
            <w:rPr/>
          </w:pPr>
          <w:hyperlink w:anchor="__RefHeading___Toc3380512_2870459653">
            <w:r>
              <w:rPr>
                <w:webHidden/>
                <w:rStyle w:val="IndexLink"/>
                <w:rtl w:val="true"/>
              </w:rPr>
              <w:t>الأمر الثاني</w:t>
            </w:r>
            <w:r>
              <w:rPr>
                <w:rStyle w:val="IndexLink"/>
                <w:rtl w:val="true"/>
              </w:rPr>
              <w:t xml:space="preserve">: </w:t>
            </w:r>
            <w:r>
              <w:rPr>
                <w:rStyle w:val="IndexLink"/>
                <w:rtl w:val="true"/>
              </w:rPr>
              <w:t>تحرير محلّ النزاع</w:t>
            </w:r>
            <w:r>
              <w:rPr>
                <w:rStyle w:val="IndexLink"/>
                <w:rtl w:val="true"/>
              </w:rPr>
              <w:tab/>
            </w:r>
            <w:r>
              <w:rPr>
                <w:rStyle w:val="IndexLink"/>
              </w:rPr>
              <w:t>170</w:t>
            </w:r>
          </w:hyperlink>
        </w:p>
        <w:p>
          <w:pPr>
            <w:pStyle w:val="Contents3"/>
            <w:tabs>
              <w:tab w:val="clear" w:pos="8459"/>
              <w:tab w:val="right" w:pos="9026" w:leader="dot"/>
            </w:tabs>
            <w:rPr/>
          </w:pPr>
          <w:hyperlink w:anchor="__RefHeading___Toc3380514_2870459653">
            <w:r>
              <w:rPr>
                <w:webHidden/>
                <w:rStyle w:val="IndexLink"/>
                <w:rtl w:val="true"/>
              </w:rPr>
              <w:t>الأمر الثالث</w:t>
            </w:r>
            <w:r>
              <w:rPr>
                <w:rStyle w:val="IndexLink"/>
                <w:rtl w:val="true"/>
              </w:rPr>
              <w:t xml:space="preserve">: </w:t>
            </w:r>
            <w:r>
              <w:rPr>
                <w:rStyle w:val="IndexLink"/>
                <w:rtl w:val="true"/>
              </w:rPr>
              <w:t>الأقوال في المسألة</w:t>
            </w:r>
            <w:r>
              <w:rPr>
                <w:rStyle w:val="IndexLink"/>
                <w:rtl w:val="true"/>
              </w:rPr>
              <w:tab/>
            </w:r>
            <w:r>
              <w:rPr>
                <w:rStyle w:val="IndexLink"/>
              </w:rPr>
              <w:t>171</w:t>
            </w:r>
          </w:hyperlink>
        </w:p>
        <w:p>
          <w:pPr>
            <w:pStyle w:val="Contents4"/>
            <w:tabs>
              <w:tab w:val="clear" w:pos="8176"/>
              <w:tab w:val="right" w:pos="9026" w:leader="dot"/>
            </w:tabs>
            <w:rPr/>
          </w:pPr>
          <w:hyperlink w:anchor="__RefHeading___Toc3380516_2870459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380518_2870459653">
            <w:r>
              <w:rPr>
                <w:webHidden/>
                <w:rStyle w:val="IndexLink"/>
                <w:rtl w:val="true"/>
              </w:rPr>
              <w:t>القول الأول</w:t>
            </w:r>
            <w:r>
              <w:rPr>
                <w:rStyle w:val="IndexLink"/>
                <w:rtl w:val="true"/>
              </w:rPr>
              <w:tab/>
            </w:r>
            <w:r>
              <w:rPr>
                <w:rStyle w:val="IndexLink"/>
              </w:rPr>
              <w:t>172</w:t>
            </w:r>
          </w:hyperlink>
        </w:p>
        <w:p>
          <w:pPr>
            <w:pStyle w:val="Contents4"/>
            <w:tabs>
              <w:tab w:val="clear" w:pos="8176"/>
              <w:tab w:val="right" w:pos="9026" w:leader="dot"/>
            </w:tabs>
            <w:rPr/>
          </w:pPr>
          <w:hyperlink w:anchor="__RefHeading___Toc3380520_2870459653">
            <w:r>
              <w:rPr>
                <w:webHidden/>
                <w:rStyle w:val="IndexLink"/>
                <w:rtl w:val="true"/>
              </w:rPr>
              <w:t>القول الثاني</w:t>
            </w:r>
            <w:r>
              <w:rPr>
                <w:rStyle w:val="IndexLink"/>
                <w:rtl w:val="true"/>
              </w:rPr>
              <w:tab/>
            </w:r>
            <w:r>
              <w:rPr>
                <w:rStyle w:val="IndexLink"/>
              </w:rPr>
              <w:t>173</w:t>
            </w:r>
          </w:hyperlink>
        </w:p>
        <w:p>
          <w:pPr>
            <w:pStyle w:val="Contents4"/>
            <w:tabs>
              <w:tab w:val="clear" w:pos="8176"/>
              <w:tab w:val="right" w:pos="9026" w:leader="dot"/>
            </w:tabs>
            <w:rPr/>
          </w:pPr>
          <w:hyperlink w:anchor="__RefHeading___Toc3380522_2870459653">
            <w:r>
              <w:rPr>
                <w:webHidden/>
                <w:rStyle w:val="IndexLink"/>
                <w:rtl w:val="true"/>
              </w:rPr>
              <w:t>القول الثالث</w:t>
            </w:r>
            <w:r>
              <w:rPr>
                <w:rStyle w:val="IndexLink"/>
                <w:rtl w:val="true"/>
              </w:rPr>
              <w:tab/>
            </w:r>
            <w:r>
              <w:rPr>
                <w:rStyle w:val="IndexLink"/>
              </w:rPr>
              <w:t>174</w:t>
            </w:r>
          </w:hyperlink>
        </w:p>
        <w:p>
          <w:pPr>
            <w:pStyle w:val="Contents4"/>
            <w:tabs>
              <w:tab w:val="clear" w:pos="8176"/>
              <w:tab w:val="right" w:pos="9026" w:leader="dot"/>
            </w:tabs>
            <w:rPr/>
          </w:pPr>
          <w:hyperlink w:anchor="__RefHeading___Toc3380524_2870459653">
            <w:r>
              <w:rPr>
                <w:webHidden/>
                <w:rStyle w:val="IndexLink"/>
                <w:rtl w:val="true"/>
              </w:rPr>
              <w:t>القول الرابع</w:t>
            </w:r>
            <w:r>
              <w:rPr>
                <w:rStyle w:val="IndexLink"/>
                <w:rtl w:val="true"/>
              </w:rPr>
              <w:tab/>
            </w:r>
            <w:r>
              <w:rPr>
                <w:rStyle w:val="IndexLink"/>
              </w:rPr>
              <w:t>175</w:t>
            </w:r>
          </w:hyperlink>
        </w:p>
        <w:p>
          <w:pPr>
            <w:pStyle w:val="Contents3"/>
            <w:tabs>
              <w:tab w:val="clear" w:pos="8459"/>
              <w:tab w:val="right" w:pos="9026" w:leader="dot"/>
            </w:tabs>
            <w:rPr/>
          </w:pPr>
          <w:hyperlink w:anchor="__RefHeading___Toc3380526_2870459653">
            <w:r>
              <w:rPr>
                <w:webHidden/>
                <w:rStyle w:val="IndexLink"/>
                <w:rtl w:val="true"/>
              </w:rPr>
              <w:t>الأدلة في المسألة</w:t>
            </w:r>
            <w:r>
              <w:rPr>
                <w:rStyle w:val="IndexLink"/>
                <w:rtl w:val="true"/>
              </w:rPr>
              <w:tab/>
            </w:r>
            <w:r>
              <w:rPr>
                <w:rStyle w:val="IndexLink"/>
              </w:rPr>
              <w:t>176</w:t>
            </w:r>
          </w:hyperlink>
        </w:p>
        <w:p>
          <w:pPr>
            <w:pStyle w:val="Contents2"/>
            <w:tabs>
              <w:tab w:val="clear" w:pos="8743"/>
              <w:tab w:val="right" w:pos="9026" w:leader="dot"/>
            </w:tabs>
            <w:rPr/>
          </w:pPr>
          <w:hyperlink w:anchor="__RefHeading___Toc3380528_2870459653">
            <w:r>
              <w:rPr>
                <w:webHidden/>
                <w:rStyle w:val="IndexLink"/>
                <w:rtl w:val="true"/>
              </w:rPr>
              <w:t xml:space="preserve">القرائن المعنويّة العامّة وأثرها في الدّلالة </w:t>
            </w:r>
            <w:r>
              <w:rPr>
                <w:rStyle w:val="IndexLink"/>
                <w:rtl w:val="true"/>
              </w:rPr>
              <w:t>(</w:t>
            </w:r>
            <w:r>
              <w:rPr>
                <w:rStyle w:val="IndexLink"/>
                <w:rtl w:val="true"/>
              </w:rPr>
              <w:t>مناسبة الحكم والموضوع أنموذجاً</w:t>
            </w:r>
            <w:r>
              <w:rPr>
                <w:rStyle w:val="IndexLink"/>
                <w:rtl w:val="true"/>
              </w:rPr>
              <w:t>) (</w:t>
            </w:r>
            <w:r>
              <w:rPr>
                <w:rStyle w:val="IndexLink"/>
                <w:rtl w:val="true"/>
              </w:rPr>
              <w:t>الحلقة الاولی</w:t>
            </w:r>
            <w:r>
              <w:rPr>
                <w:rStyle w:val="IndexLink"/>
                <w:rtl w:val="true"/>
              </w:rPr>
              <w:t xml:space="preserve">) - </w:t>
            </w:r>
            <w:r>
              <w:rPr>
                <w:rStyle w:val="IndexLink"/>
                <w:rtl w:val="true"/>
              </w:rPr>
              <w:t xml:space="preserve">الشّيخ عليّ الجزيريّ </w:t>
            </w:r>
            <w:r>
              <w:rPr>
                <w:rStyle w:val="IndexLink"/>
                <w:rtl w:val="true"/>
              </w:rPr>
              <w:t>(</w:t>
            </w:r>
            <w:r>
              <w:rPr>
                <w:rStyle w:val="IndexLink"/>
                <w:rtl w:val="true"/>
              </w:rPr>
              <w:t>دام عزه</w:t>
            </w:r>
            <w:r>
              <w:rPr>
                <w:rStyle w:val="IndexLink"/>
                <w:rtl w:val="true"/>
              </w:rPr>
              <w:t>)</w:t>
              <w:tab/>
            </w:r>
            <w:r>
              <w:rPr>
                <w:rStyle w:val="IndexLink"/>
              </w:rPr>
              <w:t>199</w:t>
            </w:r>
          </w:hyperlink>
        </w:p>
        <w:p>
          <w:pPr>
            <w:pStyle w:val="Contents3"/>
            <w:tabs>
              <w:tab w:val="clear" w:pos="8459"/>
              <w:tab w:val="right" w:pos="9026" w:leader="dot"/>
            </w:tabs>
            <w:rPr/>
          </w:pPr>
          <w:hyperlink w:anchor="__RefHeading___Toc3380530_2870459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3380532_2870459653">
            <w:r>
              <w:rPr>
                <w:webHidden/>
                <w:rStyle w:val="IndexLink"/>
                <w:rtl w:val="true"/>
              </w:rPr>
              <w:t>مقدّمة</w:t>
            </w:r>
            <w:r>
              <w:rPr>
                <w:rStyle w:val="IndexLink"/>
                <w:rtl w:val="true"/>
              </w:rPr>
              <w:tab/>
            </w:r>
            <w:r>
              <w:rPr>
                <w:rStyle w:val="IndexLink"/>
              </w:rPr>
              <w:t>205</w:t>
            </w:r>
          </w:hyperlink>
        </w:p>
        <w:p>
          <w:pPr>
            <w:pStyle w:val="Contents4"/>
            <w:tabs>
              <w:tab w:val="clear" w:pos="8176"/>
              <w:tab w:val="right" w:pos="9026" w:leader="dot"/>
            </w:tabs>
            <w:rPr/>
          </w:pPr>
          <w:hyperlink w:anchor="__RefHeading___Toc3380534_2870459653">
            <w:r>
              <w:rPr>
                <w:webHidden/>
                <w:rStyle w:val="IndexLink"/>
                <w:rtl w:val="true"/>
              </w:rPr>
              <w:t>أثر القرائن المعنوية في الدلالة</w:t>
            </w:r>
            <w:r>
              <w:rPr>
                <w:rStyle w:val="IndexLink"/>
                <w:rtl w:val="true"/>
              </w:rPr>
              <w:tab/>
            </w:r>
            <w:r>
              <w:rPr>
                <w:rStyle w:val="IndexLink"/>
              </w:rPr>
              <w:t>205</w:t>
            </w:r>
          </w:hyperlink>
        </w:p>
        <w:p>
          <w:pPr>
            <w:pStyle w:val="Contents4"/>
            <w:tabs>
              <w:tab w:val="clear" w:pos="8176"/>
              <w:tab w:val="right" w:pos="9026" w:leader="dot"/>
            </w:tabs>
            <w:rPr/>
          </w:pPr>
          <w:hyperlink w:anchor="__RefHeading___Toc3380536_2870459653">
            <w:r>
              <w:rPr>
                <w:webHidden/>
                <w:rStyle w:val="IndexLink"/>
                <w:rtl w:val="true"/>
              </w:rPr>
              <w:t>أهمّية القرائن المعنوية</w:t>
            </w:r>
            <w:r>
              <w:rPr>
                <w:rStyle w:val="IndexLink"/>
                <w:rtl w:val="true"/>
              </w:rPr>
              <w:tab/>
            </w:r>
            <w:r>
              <w:rPr>
                <w:rStyle w:val="IndexLink"/>
              </w:rPr>
              <w:t>207</w:t>
            </w:r>
          </w:hyperlink>
        </w:p>
        <w:p>
          <w:pPr>
            <w:pStyle w:val="Contents4"/>
            <w:tabs>
              <w:tab w:val="clear" w:pos="8176"/>
              <w:tab w:val="right" w:pos="9026" w:leader="dot"/>
            </w:tabs>
            <w:rPr/>
          </w:pPr>
          <w:hyperlink w:anchor="__RefHeading___Toc3380538_2870459653">
            <w:r>
              <w:rPr>
                <w:webHidden/>
                <w:rStyle w:val="IndexLink"/>
                <w:rtl w:val="true"/>
              </w:rPr>
              <w:t>أهمّ موارد القرائن المعنويّة العامّة</w:t>
            </w:r>
            <w:r>
              <w:rPr>
                <w:rStyle w:val="IndexLink"/>
                <w:rtl w:val="true"/>
              </w:rPr>
              <w:tab/>
            </w:r>
            <w:r>
              <w:rPr>
                <w:rStyle w:val="IndexLink"/>
              </w:rPr>
              <w:t>210</w:t>
            </w:r>
          </w:hyperlink>
        </w:p>
        <w:p>
          <w:pPr>
            <w:pStyle w:val="Contents4"/>
            <w:tabs>
              <w:tab w:val="clear" w:pos="8176"/>
              <w:tab w:val="right" w:pos="9026" w:leader="dot"/>
            </w:tabs>
            <w:rPr/>
          </w:pPr>
          <w:hyperlink w:anchor="__RefHeading___Toc3380540_2870459653">
            <w:r>
              <w:rPr>
                <w:webHidden/>
                <w:rStyle w:val="IndexLink"/>
                <w:rtl w:val="true"/>
              </w:rPr>
              <w:t>بحث القرائن المعنوية لا يخصّ اللغة العربية</w:t>
            </w:r>
            <w:r>
              <w:rPr>
                <w:rStyle w:val="IndexLink"/>
                <w:rtl w:val="true"/>
              </w:rPr>
              <w:tab/>
            </w:r>
            <w:r>
              <w:rPr>
                <w:rStyle w:val="IndexLink"/>
              </w:rPr>
              <w:t>211</w:t>
            </w:r>
          </w:hyperlink>
        </w:p>
        <w:p>
          <w:pPr>
            <w:pStyle w:val="Contents4"/>
            <w:tabs>
              <w:tab w:val="clear" w:pos="8176"/>
              <w:tab w:val="right" w:pos="9026" w:leader="dot"/>
            </w:tabs>
            <w:rPr/>
          </w:pPr>
          <w:hyperlink w:anchor="__RefHeading___Toc3380542_2870459653">
            <w:r>
              <w:rPr>
                <w:webHidden/>
                <w:rStyle w:val="IndexLink"/>
                <w:rtl w:val="true"/>
              </w:rPr>
              <w:t>مناسبة الحكم والموضوع</w:t>
            </w:r>
            <w:r>
              <w:rPr>
                <w:rStyle w:val="IndexLink"/>
                <w:rtl w:val="true"/>
              </w:rPr>
              <w:tab/>
            </w:r>
            <w:r>
              <w:rPr>
                <w:rStyle w:val="IndexLink"/>
              </w:rPr>
              <w:t>220</w:t>
            </w:r>
          </w:hyperlink>
        </w:p>
        <w:p>
          <w:pPr>
            <w:pStyle w:val="Contents4"/>
            <w:tabs>
              <w:tab w:val="clear" w:pos="8176"/>
              <w:tab w:val="right" w:pos="9026" w:leader="dot"/>
            </w:tabs>
            <w:rPr/>
          </w:pPr>
          <w:hyperlink w:anchor="__RefHeading___Toc3380544_2870459653">
            <w:r>
              <w:rPr>
                <w:webHidden/>
                <w:rStyle w:val="IndexLink"/>
                <w:rtl w:val="true"/>
              </w:rPr>
              <w:t>مسألتنا في علم الأصول</w:t>
            </w:r>
            <w:r>
              <w:rPr>
                <w:rStyle w:val="IndexLink"/>
                <w:rtl w:val="true"/>
              </w:rPr>
              <w:tab/>
            </w:r>
            <w:r>
              <w:rPr>
                <w:rStyle w:val="IndexLink"/>
              </w:rPr>
              <w:t>220</w:t>
            </w:r>
          </w:hyperlink>
        </w:p>
        <w:p>
          <w:pPr>
            <w:pStyle w:val="Contents4"/>
            <w:tabs>
              <w:tab w:val="clear" w:pos="8176"/>
              <w:tab w:val="right" w:pos="9026" w:leader="dot"/>
            </w:tabs>
            <w:rPr/>
          </w:pPr>
          <w:hyperlink w:anchor="__RefHeading___Toc3380546_2870459653">
            <w:r>
              <w:rPr>
                <w:webHidden/>
                <w:rStyle w:val="IndexLink"/>
                <w:rtl w:val="true"/>
              </w:rPr>
              <w:t>تقسيم مقترح لمباحث السُنّة في علم الأصول</w:t>
            </w:r>
            <w:r>
              <w:rPr>
                <w:rStyle w:val="IndexLink"/>
                <w:rtl w:val="true"/>
              </w:rPr>
              <w:tab/>
            </w:r>
            <w:r>
              <w:rPr>
                <w:rStyle w:val="IndexLink"/>
              </w:rPr>
              <w:t>221</w:t>
            </w:r>
          </w:hyperlink>
        </w:p>
        <w:p>
          <w:pPr>
            <w:pStyle w:val="Contents4"/>
            <w:tabs>
              <w:tab w:val="clear" w:pos="8176"/>
              <w:tab w:val="right" w:pos="9026" w:leader="dot"/>
            </w:tabs>
            <w:rPr/>
          </w:pPr>
          <w:hyperlink w:anchor="__RefHeading___Toc3380548_2870459653">
            <w:r>
              <w:rPr>
                <w:webHidden/>
                <w:rStyle w:val="IndexLink"/>
                <w:rtl w:val="true"/>
              </w:rPr>
              <w:t>موضع مسألتنا في أصول الفقه</w:t>
            </w:r>
            <w:r>
              <w:rPr>
                <w:rStyle w:val="IndexLink"/>
                <w:rtl w:val="true"/>
              </w:rPr>
              <w:tab/>
            </w:r>
            <w:r>
              <w:rPr>
                <w:rStyle w:val="IndexLink"/>
              </w:rPr>
              <w:t>224</w:t>
            </w:r>
          </w:hyperlink>
        </w:p>
        <w:p>
          <w:pPr>
            <w:pStyle w:val="Contents3"/>
            <w:tabs>
              <w:tab w:val="clear" w:pos="8459"/>
              <w:tab w:val="right" w:pos="9026" w:leader="dot"/>
            </w:tabs>
            <w:rPr/>
          </w:pPr>
          <w:hyperlink w:anchor="__RefHeading___Toc3380550_2870459653">
            <w:r>
              <w:rPr>
                <w:webHidden/>
                <w:rStyle w:val="IndexLink"/>
                <w:rtl w:val="true"/>
              </w:rPr>
              <w:t>الجهة الأولى</w:t>
            </w:r>
            <w:r>
              <w:rPr>
                <w:rStyle w:val="IndexLink"/>
                <w:rtl w:val="true"/>
              </w:rPr>
              <w:t xml:space="preserve">: </w:t>
            </w:r>
            <w:r>
              <w:rPr>
                <w:rStyle w:val="IndexLink"/>
                <w:rtl w:val="true"/>
              </w:rPr>
              <w:t>تاريخ هذه المسألة</w:t>
            </w:r>
            <w:r>
              <w:rPr>
                <w:rStyle w:val="IndexLink"/>
                <w:rtl w:val="true"/>
              </w:rPr>
              <w:tab/>
            </w:r>
            <w:r>
              <w:rPr>
                <w:rStyle w:val="IndexLink"/>
              </w:rPr>
              <w:t>226</w:t>
            </w:r>
          </w:hyperlink>
        </w:p>
        <w:p>
          <w:pPr>
            <w:pStyle w:val="Contents4"/>
            <w:tabs>
              <w:tab w:val="clear" w:pos="8176"/>
              <w:tab w:val="right" w:pos="9026" w:leader="dot"/>
            </w:tabs>
            <w:rPr/>
          </w:pPr>
          <w:hyperlink w:anchor="__RefHeading___Toc3380552_2870459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380554_2870459653">
            <w:r>
              <w:rPr>
                <w:webHidden/>
                <w:rStyle w:val="IndexLink"/>
                <w:rtl w:val="true"/>
              </w:rPr>
              <w:t>سبب انتشار مناسبة الحكم والموضوع</w:t>
            </w:r>
            <w:r>
              <w:rPr>
                <w:rStyle w:val="IndexLink"/>
                <w:rtl w:val="true"/>
              </w:rPr>
              <w:tab/>
            </w:r>
            <w:r>
              <w:rPr>
                <w:rStyle w:val="IndexLink"/>
              </w:rPr>
              <w:t>238</w:t>
            </w:r>
          </w:hyperlink>
        </w:p>
        <w:p>
          <w:pPr>
            <w:pStyle w:val="Contents4"/>
            <w:tabs>
              <w:tab w:val="clear" w:pos="8176"/>
              <w:tab w:val="right" w:pos="9026" w:leader="dot"/>
            </w:tabs>
            <w:rPr/>
          </w:pPr>
          <w:hyperlink w:anchor="__RefHeading___Toc3380556_2870459653">
            <w:r>
              <w:rPr>
                <w:webHidden/>
                <w:rStyle w:val="IndexLink"/>
                <w:rtl w:val="true"/>
              </w:rPr>
              <w:t>مراد العلماء بمناسبة الحكم والموضوع</w:t>
            </w:r>
            <w:r>
              <w:rPr>
                <w:rStyle w:val="IndexLink"/>
                <w:rtl w:val="true"/>
              </w:rPr>
              <w:tab/>
            </w:r>
            <w:r>
              <w:rPr>
                <w:rStyle w:val="IndexLink"/>
              </w:rPr>
              <w:t>239</w:t>
            </w:r>
          </w:hyperlink>
        </w:p>
        <w:p>
          <w:pPr>
            <w:pStyle w:val="Contents3"/>
            <w:tabs>
              <w:tab w:val="clear" w:pos="8459"/>
              <w:tab w:val="right" w:pos="9026" w:leader="dot"/>
            </w:tabs>
            <w:rPr/>
          </w:pPr>
          <w:hyperlink w:anchor="__RefHeading___Toc3380558_2870459653">
            <w:r>
              <w:rPr>
                <w:webHidden/>
                <w:rStyle w:val="IndexLink"/>
                <w:rtl w:val="true"/>
              </w:rPr>
              <w:t>الجهة الثانية</w:t>
            </w:r>
            <w:r>
              <w:rPr>
                <w:rStyle w:val="IndexLink"/>
                <w:rtl w:val="true"/>
              </w:rPr>
              <w:t xml:space="preserve">: </w:t>
            </w:r>
            <w:r>
              <w:rPr>
                <w:rStyle w:val="IndexLink"/>
                <w:rtl w:val="true"/>
              </w:rPr>
              <w:t>في مفادها ومضمونها</w:t>
            </w:r>
            <w:r>
              <w:rPr>
                <w:rStyle w:val="IndexLink"/>
                <w:rtl w:val="true"/>
              </w:rPr>
              <w:tab/>
            </w:r>
            <w:r>
              <w:rPr>
                <w:rStyle w:val="IndexLink"/>
              </w:rPr>
              <w:t>240</w:t>
            </w:r>
          </w:hyperlink>
        </w:p>
        <w:p>
          <w:pPr>
            <w:pStyle w:val="Contents4"/>
            <w:tabs>
              <w:tab w:val="clear" w:pos="8176"/>
              <w:tab w:val="right" w:pos="9026" w:leader="dot"/>
            </w:tabs>
            <w:rPr/>
          </w:pPr>
          <w:hyperlink w:anchor="__RefHeading___Toc3380560_2870459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380562_2870459653">
            <w:r>
              <w:rPr>
                <w:webHidden/>
                <w:rStyle w:val="IndexLink"/>
                <w:rtl w:val="true"/>
              </w:rPr>
              <w:t>المعنى اللغوي</w:t>
            </w:r>
            <w:r>
              <w:rPr>
                <w:rStyle w:val="IndexLink"/>
                <w:rtl w:val="true"/>
              </w:rPr>
              <w:tab/>
            </w:r>
            <w:r>
              <w:rPr>
                <w:rStyle w:val="IndexLink"/>
              </w:rPr>
              <w:t>240</w:t>
            </w:r>
          </w:hyperlink>
        </w:p>
        <w:p>
          <w:pPr>
            <w:pStyle w:val="Contents4"/>
            <w:tabs>
              <w:tab w:val="clear" w:pos="8176"/>
              <w:tab w:val="right" w:pos="9026" w:leader="dot"/>
            </w:tabs>
            <w:rPr/>
          </w:pPr>
          <w:hyperlink w:anchor="__RefHeading___Toc3380564_2870459653">
            <w:r>
              <w:rPr>
                <w:webHidden/>
                <w:rStyle w:val="IndexLink"/>
                <w:rtl w:val="true"/>
              </w:rPr>
              <w:t>المعنى الاصطلاحي</w:t>
            </w:r>
            <w:r>
              <w:rPr>
                <w:rStyle w:val="IndexLink"/>
                <w:rtl w:val="true"/>
              </w:rPr>
              <w:tab/>
            </w:r>
            <w:r>
              <w:rPr>
                <w:rStyle w:val="IndexLink"/>
              </w:rPr>
              <w:t>243</w:t>
            </w:r>
          </w:hyperlink>
        </w:p>
        <w:p>
          <w:pPr>
            <w:pStyle w:val="Contents5"/>
            <w:tabs>
              <w:tab w:val="clear" w:pos="7892"/>
              <w:tab w:val="right" w:pos="9026" w:leader="dot"/>
            </w:tabs>
            <w:rPr/>
          </w:pPr>
          <w:hyperlink w:anchor="__RefHeading___Toc3380566_2870459653">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3380568_2870459653">
            <w:r>
              <w:rPr>
                <w:webHidden/>
                <w:rStyle w:val="IndexLink"/>
                <w:rtl w:val="true"/>
              </w:rPr>
              <w:t>الاحتمال الأوّل</w:t>
            </w:r>
            <w:r>
              <w:rPr>
                <w:rStyle w:val="IndexLink"/>
                <w:rtl w:val="true"/>
              </w:rPr>
              <w:t xml:space="preserve">: </w:t>
            </w:r>
            <w:r>
              <w:rPr>
                <w:rStyle w:val="IndexLink"/>
                <w:rtl w:val="true"/>
              </w:rPr>
              <w:t>أن يكون مرادهم المشابهة والمشاكلة</w:t>
            </w:r>
            <w:r>
              <w:rPr>
                <w:rStyle w:val="IndexLink"/>
                <w:rtl w:val="true"/>
              </w:rPr>
              <w:tab/>
            </w:r>
            <w:r>
              <w:rPr>
                <w:rStyle w:val="IndexLink"/>
              </w:rPr>
              <w:t>243</w:t>
            </w:r>
          </w:hyperlink>
        </w:p>
        <w:p>
          <w:pPr>
            <w:pStyle w:val="Contents5"/>
            <w:tabs>
              <w:tab w:val="clear" w:pos="7892"/>
              <w:tab w:val="right" w:pos="9026" w:leader="dot"/>
            </w:tabs>
            <w:rPr/>
          </w:pPr>
          <w:hyperlink w:anchor="__RefHeading___Toc3380570_2870459653">
            <w:r>
              <w:rPr>
                <w:webHidden/>
                <w:rStyle w:val="IndexLink"/>
                <w:rtl w:val="true"/>
              </w:rPr>
              <w:t>الاحتمال الثاني</w:t>
            </w:r>
            <w:r>
              <w:rPr>
                <w:rStyle w:val="IndexLink"/>
                <w:rtl w:val="true"/>
              </w:rPr>
              <w:t xml:space="preserve">: </w:t>
            </w:r>
            <w:r>
              <w:rPr>
                <w:rStyle w:val="IndexLink"/>
                <w:rtl w:val="true"/>
              </w:rPr>
              <w:t>أن يكون مرادهم بها الأليقية</w:t>
            </w:r>
            <w:r>
              <w:rPr>
                <w:rStyle w:val="IndexLink"/>
                <w:rtl w:val="true"/>
              </w:rPr>
              <w:tab/>
            </w:r>
            <w:r>
              <w:rPr>
                <w:rStyle w:val="IndexLink"/>
              </w:rPr>
              <w:t>243</w:t>
            </w:r>
          </w:hyperlink>
        </w:p>
        <w:p>
          <w:pPr>
            <w:pStyle w:val="Contents5"/>
            <w:tabs>
              <w:tab w:val="clear" w:pos="7892"/>
              <w:tab w:val="right" w:pos="9026" w:leader="dot"/>
            </w:tabs>
            <w:rPr/>
          </w:pPr>
          <w:hyperlink w:anchor="__RefHeading___Toc3380572_2870459653">
            <w:r>
              <w:rPr>
                <w:webHidden/>
                <w:rStyle w:val="IndexLink"/>
                <w:rtl w:val="true"/>
              </w:rPr>
              <w:t>الاحتمال الثالث</w:t>
            </w:r>
            <w:r>
              <w:rPr>
                <w:rStyle w:val="IndexLink"/>
                <w:rtl w:val="true"/>
              </w:rPr>
              <w:t xml:space="preserve">: </w:t>
            </w:r>
            <w:r>
              <w:rPr>
                <w:rStyle w:val="IndexLink"/>
                <w:rtl w:val="true"/>
              </w:rPr>
              <w:t>أن يكون مرادهم ضرباً من القرب المعنوي</w:t>
            </w:r>
            <w:r>
              <w:rPr>
                <w:rStyle w:val="IndexLink"/>
                <w:rtl w:val="true"/>
              </w:rPr>
              <w:tab/>
            </w:r>
            <w:r>
              <w:rPr>
                <w:rStyle w:val="IndexLink"/>
              </w:rPr>
              <w:t>244</w:t>
            </w:r>
          </w:hyperlink>
        </w:p>
        <w:p>
          <w:pPr>
            <w:pStyle w:val="Contents5"/>
            <w:tabs>
              <w:tab w:val="clear" w:pos="7892"/>
              <w:tab w:val="right" w:pos="9026" w:leader="dot"/>
            </w:tabs>
            <w:rPr/>
          </w:pPr>
          <w:hyperlink w:anchor="__RefHeading___Toc3380574_2870459653">
            <w:r>
              <w:rPr>
                <w:webHidden/>
                <w:rStyle w:val="IndexLink"/>
                <w:rtl w:val="true"/>
              </w:rPr>
              <w:t xml:space="preserve">الاحتمال الرابع </w:t>
            </w:r>
            <w:r>
              <w:rPr>
                <w:rStyle w:val="IndexLink"/>
                <w:rtl w:val="true"/>
              </w:rPr>
              <w:t xml:space="preserve">- </w:t>
            </w:r>
            <w:r>
              <w:rPr>
                <w:rStyle w:val="IndexLink"/>
                <w:rtl w:val="true"/>
              </w:rPr>
              <w:t xml:space="preserve">وهو الأقرب لتطبيقاتهم </w:t>
            </w:r>
            <w:r>
              <w:rPr>
                <w:rStyle w:val="IndexLink"/>
                <w:rtl w:val="true"/>
              </w:rPr>
              <w:t xml:space="preserve">-: </w:t>
            </w:r>
            <w:r>
              <w:rPr>
                <w:rStyle w:val="IndexLink"/>
                <w:rtl w:val="true"/>
              </w:rPr>
              <w:t>أن يراد بها علم المخاطب بشمول الحكم أو عدم شموله لبعض أفراد الطبيعي</w:t>
            </w:r>
            <w:r>
              <w:rPr>
                <w:rStyle w:val="IndexLink"/>
                <w:rtl w:val="true"/>
              </w:rPr>
              <w:tab/>
            </w:r>
            <w:r>
              <w:rPr>
                <w:rStyle w:val="IndexLink"/>
              </w:rPr>
              <w:t>246</w:t>
            </w:r>
          </w:hyperlink>
        </w:p>
        <w:p>
          <w:pPr>
            <w:pStyle w:val="Contents4"/>
            <w:tabs>
              <w:tab w:val="clear" w:pos="8176"/>
              <w:tab w:val="right" w:pos="9026" w:leader="dot"/>
            </w:tabs>
            <w:rPr/>
          </w:pPr>
          <w:hyperlink w:anchor="__RefHeading___Toc3380576_2870459653">
            <w:r>
              <w:rPr>
                <w:webHidden/>
                <w:rStyle w:val="IndexLink"/>
                <w:rtl w:val="true"/>
              </w:rPr>
              <w:t>التشخيص التفريقي</w:t>
            </w:r>
            <w:r>
              <w:rPr>
                <w:rStyle w:val="IndexLink"/>
                <w:rtl w:val="true"/>
              </w:rPr>
              <w:tab/>
            </w:r>
            <w:r>
              <w:rPr>
                <w:rStyle w:val="IndexLink"/>
              </w:rPr>
              <w:t>249</w:t>
            </w:r>
          </w:hyperlink>
        </w:p>
        <w:p>
          <w:pPr>
            <w:pStyle w:val="Contents2"/>
            <w:tabs>
              <w:tab w:val="clear" w:pos="8743"/>
              <w:tab w:val="right" w:pos="9026" w:leader="dot"/>
            </w:tabs>
            <w:rPr/>
          </w:pPr>
          <w:hyperlink w:anchor="__RefHeading___Toc3380578_2870459653">
            <w:r>
              <w:rPr>
                <w:webHidden/>
                <w:rStyle w:val="IndexLink"/>
                <w:rtl w:val="true"/>
              </w:rPr>
              <w:t xml:space="preserve">السّيرة العقلائيّة </w:t>
            </w:r>
            <w:r>
              <w:rPr>
                <w:rStyle w:val="IndexLink"/>
                <w:rtl w:val="true"/>
              </w:rPr>
              <w:t>(</w:t>
            </w:r>
            <w:r>
              <w:rPr>
                <w:rStyle w:val="IndexLink"/>
                <w:rtl w:val="true"/>
              </w:rPr>
              <w:t>الحلقظ الثانیة</w:t>
            </w:r>
            <w:r>
              <w:rPr>
                <w:rStyle w:val="IndexLink"/>
                <w:rtl w:val="true"/>
              </w:rPr>
              <w:t xml:space="preserve">) - </w:t>
            </w:r>
            <w:r>
              <w:rPr>
                <w:rStyle w:val="IndexLink"/>
                <w:rtl w:val="true"/>
              </w:rPr>
              <w:t xml:space="preserve">الشّيخ نجم التّرابيّ </w:t>
            </w:r>
            <w:r>
              <w:rPr>
                <w:rStyle w:val="IndexLink"/>
                <w:rtl w:val="true"/>
              </w:rPr>
              <w:t>(</w:t>
            </w:r>
            <w:r>
              <w:rPr>
                <w:rStyle w:val="IndexLink"/>
                <w:rtl w:val="true"/>
              </w:rPr>
              <w:t>دام عزه</w:t>
            </w:r>
            <w:r>
              <w:rPr>
                <w:rStyle w:val="IndexLink"/>
                <w:rtl w:val="true"/>
              </w:rPr>
              <w:t>)</w:t>
              <w:tab/>
            </w:r>
            <w:r>
              <w:rPr>
                <w:rStyle w:val="IndexLink"/>
              </w:rPr>
              <w:t>257</w:t>
            </w:r>
          </w:hyperlink>
        </w:p>
        <w:p>
          <w:pPr>
            <w:pStyle w:val="Contents3"/>
            <w:tabs>
              <w:tab w:val="clear" w:pos="8459"/>
              <w:tab w:val="right" w:pos="9026" w:leader="dot"/>
            </w:tabs>
            <w:rPr/>
          </w:pPr>
          <w:hyperlink w:anchor="__RefHeading___Toc3380580_2870459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3380582_2870459653">
            <w:r>
              <w:rPr>
                <w:webHidden/>
                <w:rStyle w:val="IndexLink"/>
                <w:rtl w:val="true"/>
              </w:rPr>
              <w:t>الشرط الثالث</w:t>
            </w:r>
            <w:r>
              <w:rPr>
                <w:rStyle w:val="IndexLink"/>
                <w:rtl w:val="true"/>
              </w:rPr>
              <w:t xml:space="preserve">: </w:t>
            </w:r>
            <w:r>
              <w:rPr>
                <w:rStyle w:val="IndexLink"/>
                <w:rtl w:val="true"/>
              </w:rPr>
              <w:t>معاصرة السيرة للشارع وطرق إثباتها</w:t>
            </w:r>
            <w:r>
              <w:rPr>
                <w:rStyle w:val="IndexLink"/>
                <w:rtl w:val="true"/>
              </w:rPr>
              <w:tab/>
            </w:r>
            <w:r>
              <w:rPr>
                <w:rStyle w:val="IndexLink"/>
              </w:rPr>
              <w:t>259</w:t>
            </w:r>
          </w:hyperlink>
        </w:p>
        <w:p>
          <w:pPr>
            <w:pStyle w:val="Contents4"/>
            <w:tabs>
              <w:tab w:val="clear" w:pos="8176"/>
              <w:tab w:val="right" w:pos="9026" w:leader="dot"/>
            </w:tabs>
            <w:rPr/>
          </w:pPr>
          <w:hyperlink w:anchor="__RefHeading___Toc3380584_2870459653">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3380586_2870459653">
            <w:r>
              <w:rPr>
                <w:webHidden/>
                <w:rStyle w:val="IndexLink"/>
                <w:rtl w:val="true"/>
              </w:rPr>
              <w:t>الوجه الأوّل</w:t>
            </w:r>
            <w:r>
              <w:rPr>
                <w:rStyle w:val="IndexLink"/>
                <w:rtl w:val="true"/>
              </w:rPr>
              <w:tab/>
            </w:r>
            <w:r>
              <w:rPr>
                <w:rStyle w:val="IndexLink"/>
              </w:rPr>
              <w:t>262</w:t>
            </w:r>
          </w:hyperlink>
        </w:p>
        <w:p>
          <w:pPr>
            <w:pStyle w:val="Contents4"/>
            <w:tabs>
              <w:tab w:val="clear" w:pos="8176"/>
              <w:tab w:val="right" w:pos="9026" w:leader="dot"/>
            </w:tabs>
            <w:rPr/>
          </w:pPr>
          <w:hyperlink w:anchor="__RefHeading___Toc3380588_2870459653">
            <w:r>
              <w:rPr>
                <w:webHidden/>
                <w:rStyle w:val="IndexLink"/>
                <w:rtl w:val="true"/>
              </w:rPr>
              <w:t>الوجه الثاني</w:t>
            </w:r>
            <w:r>
              <w:rPr>
                <w:rStyle w:val="IndexLink"/>
                <w:rtl w:val="true"/>
              </w:rPr>
              <w:tab/>
            </w:r>
            <w:r>
              <w:rPr>
                <w:rStyle w:val="IndexLink"/>
              </w:rPr>
              <w:t>265</w:t>
            </w:r>
          </w:hyperlink>
        </w:p>
        <w:p>
          <w:pPr>
            <w:pStyle w:val="Contents5"/>
            <w:tabs>
              <w:tab w:val="clear" w:pos="7892"/>
              <w:tab w:val="right" w:pos="9026" w:leader="dot"/>
            </w:tabs>
            <w:rPr/>
          </w:pPr>
          <w:hyperlink w:anchor="__RefHeading___Toc3380590_2870459653">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3380592_2870459653">
            <w:r>
              <w:rPr>
                <w:webHidden/>
                <w:rStyle w:val="IndexLink"/>
                <w:rtl w:val="true"/>
              </w:rPr>
              <w:t>الطريق الأوّل</w:t>
            </w:r>
            <w:r>
              <w:rPr>
                <w:rStyle w:val="IndexLink"/>
                <w:rtl w:val="true"/>
              </w:rPr>
              <w:tab/>
            </w:r>
            <w:r>
              <w:rPr>
                <w:rStyle w:val="IndexLink"/>
              </w:rPr>
              <w:t>268</w:t>
            </w:r>
          </w:hyperlink>
        </w:p>
        <w:p>
          <w:pPr>
            <w:pStyle w:val="Contents5"/>
            <w:tabs>
              <w:tab w:val="clear" w:pos="7892"/>
              <w:tab w:val="right" w:pos="9026" w:leader="dot"/>
            </w:tabs>
            <w:rPr/>
          </w:pPr>
          <w:hyperlink w:anchor="__RefHeading___Toc3380594_2870459653">
            <w:r>
              <w:rPr>
                <w:webHidden/>
                <w:rStyle w:val="IndexLink"/>
                <w:rtl w:val="true"/>
              </w:rPr>
              <w:t>الطريق الثاني</w:t>
            </w:r>
            <w:r>
              <w:rPr>
                <w:rStyle w:val="IndexLink"/>
                <w:rtl w:val="true"/>
              </w:rPr>
              <w:tab/>
            </w:r>
            <w:r>
              <w:rPr>
                <w:rStyle w:val="IndexLink"/>
              </w:rPr>
              <w:t>268</w:t>
            </w:r>
          </w:hyperlink>
        </w:p>
        <w:p>
          <w:pPr>
            <w:pStyle w:val="Contents6"/>
            <w:tabs>
              <w:tab w:val="clear" w:pos="7609"/>
              <w:tab w:val="right" w:pos="9026" w:leader="dot"/>
            </w:tabs>
            <w:rPr/>
          </w:pPr>
          <w:hyperlink w:anchor="__RefHeading___Toc3380596_2870459653">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380598_2870459653">
            <w:r>
              <w:rPr>
                <w:webHidden/>
                <w:rStyle w:val="IndexLink"/>
                <w:rtl w:val="true"/>
              </w:rPr>
              <w:t>السبيل الأوّل</w:t>
            </w:r>
            <w:r>
              <w:rPr>
                <w:rStyle w:val="IndexLink"/>
                <w:rtl w:val="true"/>
              </w:rPr>
              <w:tab/>
            </w:r>
            <w:r>
              <w:rPr>
                <w:rStyle w:val="IndexLink"/>
              </w:rPr>
              <w:t>269</w:t>
            </w:r>
          </w:hyperlink>
        </w:p>
        <w:p>
          <w:pPr>
            <w:pStyle w:val="Contents6"/>
            <w:tabs>
              <w:tab w:val="clear" w:pos="7609"/>
              <w:tab w:val="right" w:pos="9026" w:leader="dot"/>
            </w:tabs>
            <w:rPr/>
          </w:pPr>
          <w:hyperlink w:anchor="__RefHeading___Toc3380600_2870459653">
            <w:r>
              <w:rPr>
                <w:webHidden/>
                <w:rStyle w:val="IndexLink"/>
                <w:rtl w:val="true"/>
              </w:rPr>
              <w:t>السبيل الثاني</w:t>
            </w:r>
            <w:r>
              <w:rPr>
                <w:rStyle w:val="IndexLink"/>
                <w:rtl w:val="true"/>
              </w:rPr>
              <w:tab/>
            </w:r>
            <w:r>
              <w:rPr>
                <w:rStyle w:val="IndexLink"/>
              </w:rPr>
              <w:t>269</w:t>
            </w:r>
          </w:hyperlink>
        </w:p>
        <w:p>
          <w:pPr>
            <w:pStyle w:val="Contents5"/>
            <w:tabs>
              <w:tab w:val="clear" w:pos="7892"/>
              <w:tab w:val="right" w:pos="9026" w:leader="dot"/>
            </w:tabs>
            <w:rPr/>
          </w:pPr>
          <w:hyperlink w:anchor="__RefHeading___Toc3380602_2870459653">
            <w:r>
              <w:rPr>
                <w:webHidden/>
                <w:rStyle w:val="IndexLink"/>
                <w:rtl w:val="true"/>
              </w:rPr>
              <w:t>الطريق الثالث</w:t>
            </w:r>
            <w:r>
              <w:rPr>
                <w:rStyle w:val="IndexLink"/>
                <w:rtl w:val="true"/>
              </w:rPr>
              <w:tab/>
            </w:r>
            <w:r>
              <w:rPr>
                <w:rStyle w:val="IndexLink"/>
              </w:rPr>
              <w:t>270</w:t>
            </w:r>
          </w:hyperlink>
        </w:p>
        <w:p>
          <w:pPr>
            <w:pStyle w:val="Contents5"/>
            <w:tabs>
              <w:tab w:val="clear" w:pos="7892"/>
              <w:tab w:val="right" w:pos="9026" w:leader="dot"/>
            </w:tabs>
            <w:rPr/>
          </w:pPr>
          <w:hyperlink w:anchor="__RefHeading___Toc3380604_2870459653">
            <w:r>
              <w:rPr>
                <w:webHidden/>
                <w:rStyle w:val="IndexLink"/>
                <w:rtl w:val="true"/>
              </w:rPr>
              <w:t>الطريق الرابع</w:t>
            </w:r>
            <w:r>
              <w:rPr>
                <w:rStyle w:val="IndexLink"/>
                <w:rtl w:val="true"/>
              </w:rPr>
              <w:tab/>
            </w:r>
            <w:r>
              <w:rPr>
                <w:rStyle w:val="IndexLink"/>
              </w:rPr>
              <w:t>271</w:t>
            </w:r>
          </w:hyperlink>
        </w:p>
        <w:p>
          <w:pPr>
            <w:pStyle w:val="Contents5"/>
            <w:tabs>
              <w:tab w:val="clear" w:pos="7892"/>
              <w:tab w:val="right" w:pos="9026" w:leader="dot"/>
            </w:tabs>
            <w:rPr/>
          </w:pPr>
          <w:hyperlink w:anchor="__RefHeading___Toc3380606_2870459653">
            <w:r>
              <w:rPr>
                <w:webHidden/>
                <w:rStyle w:val="IndexLink"/>
                <w:rtl w:val="true"/>
              </w:rPr>
              <w:t>الطريق الخامس</w:t>
            </w:r>
            <w:r>
              <w:rPr>
                <w:rStyle w:val="IndexLink"/>
                <w:rtl w:val="true"/>
              </w:rPr>
              <w:tab/>
            </w:r>
            <w:r>
              <w:rPr>
                <w:rStyle w:val="IndexLink"/>
              </w:rPr>
              <w:t>272</w:t>
            </w:r>
          </w:hyperlink>
        </w:p>
        <w:p>
          <w:pPr>
            <w:pStyle w:val="Contents3"/>
            <w:tabs>
              <w:tab w:val="clear" w:pos="8459"/>
              <w:tab w:val="right" w:pos="9026" w:leader="dot"/>
            </w:tabs>
            <w:rPr/>
          </w:pPr>
          <w:hyperlink w:anchor="__RefHeading___Toc3380608_2870459653">
            <w:r>
              <w:rPr>
                <w:webHidden/>
                <w:rStyle w:val="IndexLink"/>
                <w:rtl w:val="true"/>
              </w:rPr>
              <w:t>الشرط الرابع</w:t>
            </w:r>
            <w:r>
              <w:rPr>
                <w:rStyle w:val="IndexLink"/>
                <w:rtl w:val="true"/>
              </w:rPr>
              <w:t xml:space="preserve">: </w:t>
            </w:r>
            <w:r>
              <w:rPr>
                <w:rStyle w:val="IndexLink"/>
                <w:rtl w:val="true"/>
              </w:rPr>
              <w:t>في لزوم امتداد السلوك العقلائي إلى دائرة الأحكام الشرعية أم كفاية كونه في معرض الامتداد</w:t>
            </w:r>
            <w:r>
              <w:rPr>
                <w:rStyle w:val="IndexLink"/>
                <w:rtl w:val="true"/>
              </w:rPr>
              <w:tab/>
            </w:r>
            <w:r>
              <w:rPr>
                <w:rStyle w:val="IndexLink"/>
              </w:rPr>
              <w:t>274</w:t>
            </w:r>
          </w:hyperlink>
        </w:p>
        <w:p>
          <w:pPr>
            <w:pStyle w:val="Contents4"/>
            <w:tabs>
              <w:tab w:val="clear" w:pos="8176"/>
              <w:tab w:val="right" w:pos="9026" w:leader="dot"/>
            </w:tabs>
            <w:rPr/>
          </w:pPr>
          <w:hyperlink w:anchor="__RefHeading___Toc3380610_2870459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380612_2870459653">
            <w:r>
              <w:rPr>
                <w:webHidden/>
                <w:rStyle w:val="IndexLink"/>
                <w:rtl w:val="true"/>
              </w:rPr>
              <w:t>الرأي الأوّل</w:t>
            </w:r>
            <w:r>
              <w:rPr>
                <w:rStyle w:val="IndexLink"/>
                <w:rtl w:val="true"/>
              </w:rPr>
              <w:tab/>
            </w:r>
            <w:r>
              <w:rPr>
                <w:rStyle w:val="IndexLink"/>
              </w:rPr>
              <w:t>274</w:t>
            </w:r>
          </w:hyperlink>
        </w:p>
        <w:p>
          <w:pPr>
            <w:pStyle w:val="Contents4"/>
            <w:tabs>
              <w:tab w:val="clear" w:pos="8176"/>
              <w:tab w:val="right" w:pos="9026" w:leader="dot"/>
            </w:tabs>
            <w:rPr/>
          </w:pPr>
          <w:hyperlink w:anchor="__RefHeading___Toc3380614_2870459653">
            <w:r>
              <w:rPr>
                <w:webHidden/>
                <w:rStyle w:val="IndexLink"/>
                <w:rtl w:val="true"/>
              </w:rPr>
              <w:t>الرأي الثاني</w:t>
            </w:r>
            <w:r>
              <w:rPr>
                <w:rStyle w:val="IndexLink"/>
                <w:rtl w:val="true"/>
              </w:rPr>
              <w:tab/>
            </w:r>
            <w:r>
              <w:rPr>
                <w:rStyle w:val="IndexLink"/>
              </w:rPr>
              <w:t>275</w:t>
            </w:r>
          </w:hyperlink>
        </w:p>
        <w:p>
          <w:pPr>
            <w:pStyle w:val="Contents4"/>
            <w:tabs>
              <w:tab w:val="clear" w:pos="8176"/>
              <w:tab w:val="right" w:pos="9026" w:leader="dot"/>
            </w:tabs>
            <w:rPr/>
          </w:pPr>
          <w:hyperlink w:anchor="__RefHeading___Toc3380616_2870459653">
            <w:r>
              <w:rPr>
                <w:webHidden/>
                <w:rStyle w:val="IndexLink"/>
                <w:rtl w:val="true"/>
              </w:rPr>
              <w:t>الرأي الثالث</w:t>
            </w:r>
            <w:r>
              <w:rPr>
                <w:rStyle w:val="IndexLink"/>
                <w:rtl w:val="true"/>
              </w:rPr>
              <w:tab/>
            </w:r>
            <w:r>
              <w:rPr>
                <w:rStyle w:val="IndexLink"/>
              </w:rPr>
              <w:t>276</w:t>
            </w:r>
          </w:hyperlink>
        </w:p>
        <w:p>
          <w:pPr>
            <w:pStyle w:val="Contents3"/>
            <w:tabs>
              <w:tab w:val="clear" w:pos="8459"/>
              <w:tab w:val="right" w:pos="9026" w:leader="dot"/>
            </w:tabs>
            <w:rPr/>
          </w:pPr>
          <w:hyperlink w:anchor="__RefHeading___Toc3380618_2870459653">
            <w:r>
              <w:rPr>
                <w:webHidden/>
                <w:rStyle w:val="IndexLink"/>
                <w:rtl w:val="true"/>
              </w:rPr>
              <w:t>الفصل الثالث</w:t>
            </w:r>
            <w:r>
              <w:rPr>
                <w:rStyle w:val="IndexLink"/>
                <w:rtl w:val="true"/>
              </w:rPr>
              <w:t xml:space="preserve">: </w:t>
            </w:r>
            <w:r>
              <w:rPr>
                <w:rStyle w:val="IndexLink"/>
                <w:rtl w:val="true"/>
              </w:rPr>
              <w:t>في مدلول السيرة العقلائية</w:t>
            </w:r>
            <w:r>
              <w:rPr>
                <w:rStyle w:val="IndexLink"/>
                <w:rtl w:val="true"/>
              </w:rPr>
              <w:tab/>
            </w:r>
            <w:r>
              <w:rPr>
                <w:rStyle w:val="IndexLink"/>
              </w:rPr>
              <w:t>278</w:t>
            </w:r>
          </w:hyperlink>
        </w:p>
        <w:p>
          <w:pPr>
            <w:pStyle w:val="Contents4"/>
            <w:tabs>
              <w:tab w:val="clear" w:pos="8176"/>
              <w:tab w:val="right" w:pos="9026" w:leader="dot"/>
            </w:tabs>
            <w:rPr/>
          </w:pPr>
          <w:hyperlink w:anchor="__RefHeading___Toc3380620_2870459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3380622_2870459653">
            <w:r>
              <w:rPr>
                <w:webHidden/>
                <w:rStyle w:val="IndexLink"/>
                <w:rtl w:val="true"/>
              </w:rPr>
              <w:t>الجانب الأوّل</w:t>
            </w:r>
            <w:r>
              <w:rPr>
                <w:rStyle w:val="IndexLink"/>
                <w:rtl w:val="true"/>
              </w:rPr>
              <w:t xml:space="preserve">: </w:t>
            </w:r>
            <w:r>
              <w:rPr>
                <w:rStyle w:val="IndexLink"/>
                <w:rtl w:val="true"/>
              </w:rPr>
              <w:t>في حدود المقدار الممضى من السيرة العقلائية</w:t>
            </w:r>
            <w:r>
              <w:rPr>
                <w:rStyle w:val="IndexLink"/>
                <w:rtl w:val="true"/>
              </w:rPr>
              <w:tab/>
            </w:r>
            <w:r>
              <w:rPr>
                <w:rStyle w:val="IndexLink"/>
              </w:rPr>
              <w:t>278</w:t>
            </w:r>
          </w:hyperlink>
        </w:p>
        <w:p>
          <w:pPr>
            <w:pStyle w:val="Contents4"/>
            <w:tabs>
              <w:tab w:val="clear" w:pos="8176"/>
              <w:tab w:val="right" w:pos="9026" w:leader="dot"/>
            </w:tabs>
            <w:rPr/>
          </w:pPr>
          <w:hyperlink w:anchor="__RefHeading___Toc3380624_2870459653">
            <w:r>
              <w:rPr>
                <w:webHidden/>
                <w:rStyle w:val="IndexLink"/>
                <w:rtl w:val="true"/>
              </w:rPr>
              <w:t>الجانب الثاني</w:t>
            </w:r>
            <w:r>
              <w:rPr>
                <w:rStyle w:val="IndexLink"/>
                <w:rtl w:val="true"/>
              </w:rPr>
              <w:t xml:space="preserve">: </w:t>
            </w:r>
            <w:r>
              <w:rPr>
                <w:rStyle w:val="IndexLink"/>
                <w:rtl w:val="true"/>
              </w:rPr>
              <w:t>مدلول السيرة من حيث التكليف أو الوضع</w:t>
            </w:r>
            <w:r>
              <w:rPr>
                <w:rStyle w:val="IndexLink"/>
                <w:rtl w:val="true"/>
              </w:rPr>
              <w:tab/>
            </w:r>
            <w:r>
              <w:rPr>
                <w:rStyle w:val="IndexLink"/>
              </w:rPr>
              <w:t>283</w:t>
            </w:r>
          </w:hyperlink>
        </w:p>
        <w:p>
          <w:pPr>
            <w:pStyle w:val="Contents5"/>
            <w:tabs>
              <w:tab w:val="clear" w:pos="7892"/>
              <w:tab w:val="right" w:pos="9026" w:leader="dot"/>
            </w:tabs>
            <w:rPr/>
          </w:pPr>
          <w:hyperlink w:anchor="__RefHeading___Toc3380626_2870459653">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380628_2870459653">
            <w:r>
              <w:rPr>
                <w:webHidden/>
                <w:rStyle w:val="IndexLink"/>
                <w:rtl w:val="true"/>
              </w:rPr>
              <w:t>الصورة الأولى</w:t>
            </w:r>
            <w:r>
              <w:rPr>
                <w:rStyle w:val="IndexLink"/>
                <w:rtl w:val="true"/>
              </w:rPr>
              <w:tab/>
            </w:r>
            <w:r>
              <w:rPr>
                <w:rStyle w:val="IndexLink"/>
              </w:rPr>
              <w:t>283</w:t>
            </w:r>
          </w:hyperlink>
        </w:p>
        <w:p>
          <w:pPr>
            <w:pStyle w:val="Contents5"/>
            <w:tabs>
              <w:tab w:val="clear" w:pos="7892"/>
              <w:tab w:val="right" w:pos="9026" w:leader="dot"/>
            </w:tabs>
            <w:rPr/>
          </w:pPr>
          <w:hyperlink w:anchor="__RefHeading___Toc3380630_2870459653">
            <w:r>
              <w:rPr>
                <w:webHidden/>
                <w:rStyle w:val="IndexLink"/>
                <w:rtl w:val="true"/>
              </w:rPr>
              <w:t>الصورة الثانية</w:t>
            </w:r>
            <w:r>
              <w:rPr>
                <w:rStyle w:val="IndexLink"/>
                <w:rtl w:val="true"/>
              </w:rPr>
              <w:tab/>
            </w:r>
            <w:r>
              <w:rPr>
                <w:rStyle w:val="IndexLink"/>
              </w:rPr>
              <w:t>284</w:t>
            </w:r>
          </w:hyperlink>
        </w:p>
        <w:p>
          <w:pPr>
            <w:pStyle w:val="Contents5"/>
            <w:tabs>
              <w:tab w:val="clear" w:pos="7892"/>
              <w:tab w:val="right" w:pos="9026" w:leader="dot"/>
            </w:tabs>
            <w:rPr/>
          </w:pPr>
          <w:hyperlink w:anchor="__RefHeading___Toc3380632_2870459653">
            <w:r>
              <w:rPr>
                <w:webHidden/>
                <w:rStyle w:val="IndexLink"/>
                <w:rtl w:val="true"/>
              </w:rPr>
              <w:t>الصورة الثالثة</w:t>
            </w:r>
            <w:r>
              <w:rPr>
                <w:rStyle w:val="IndexLink"/>
                <w:rtl w:val="true"/>
              </w:rPr>
              <w:tab/>
            </w:r>
            <w:r>
              <w:rPr>
                <w:rStyle w:val="IndexLink"/>
              </w:rPr>
              <w:t>284</w:t>
            </w:r>
          </w:hyperlink>
        </w:p>
        <w:p>
          <w:pPr>
            <w:pStyle w:val="Contents3"/>
            <w:tabs>
              <w:tab w:val="clear" w:pos="8459"/>
              <w:tab w:val="right" w:pos="9026" w:leader="dot"/>
            </w:tabs>
            <w:rPr/>
          </w:pPr>
          <w:hyperlink w:anchor="__RefHeading___Toc3380634_2870459653">
            <w:r>
              <w:rPr>
                <w:webHidden/>
                <w:rStyle w:val="IndexLink"/>
                <w:rtl w:val="true"/>
              </w:rPr>
              <w:t>الفصل الرابع</w:t>
            </w:r>
            <w:r>
              <w:rPr>
                <w:rStyle w:val="IndexLink"/>
                <w:rtl w:val="true"/>
              </w:rPr>
              <w:t xml:space="preserve">: </w:t>
            </w:r>
            <w:r>
              <w:rPr>
                <w:rStyle w:val="IndexLink"/>
                <w:rtl w:val="true"/>
              </w:rPr>
              <w:t>حجّية السيرة العقلائية</w:t>
            </w:r>
            <w:r>
              <w:rPr>
                <w:rStyle w:val="IndexLink"/>
                <w:rtl w:val="true"/>
              </w:rPr>
              <w:tab/>
            </w:r>
            <w:r>
              <w:rPr>
                <w:rStyle w:val="IndexLink"/>
              </w:rPr>
              <w:t>287</w:t>
            </w:r>
          </w:hyperlink>
        </w:p>
        <w:p>
          <w:pPr>
            <w:pStyle w:val="Contents3"/>
            <w:tabs>
              <w:tab w:val="clear" w:pos="8459"/>
              <w:tab w:val="right" w:pos="9026" w:leader="dot"/>
            </w:tabs>
            <w:rPr/>
          </w:pPr>
          <w:hyperlink w:anchor="__RefHeading___Toc3380636_2870459653">
            <w:r>
              <w:rPr>
                <w:webHidden/>
                <w:rStyle w:val="IndexLink"/>
                <w:rtl w:val="true"/>
              </w:rPr>
              <w:t>الفصل الخامس</w:t>
            </w:r>
            <w:r>
              <w:rPr>
                <w:rStyle w:val="IndexLink"/>
                <w:rtl w:val="true"/>
              </w:rPr>
              <w:t xml:space="preserve">: </w:t>
            </w:r>
            <w:r>
              <w:rPr>
                <w:rStyle w:val="IndexLink"/>
                <w:rtl w:val="true"/>
              </w:rPr>
              <w:t>بيان الموقف والحدود فيما إذا وردت أدلّة متوافقة مع السيرة العقلائية</w:t>
            </w:r>
            <w:r>
              <w:rPr>
                <w:rStyle w:val="IndexLink"/>
                <w:rtl w:val="true"/>
              </w:rPr>
              <w:tab/>
            </w:r>
            <w:r>
              <w:rPr>
                <w:rStyle w:val="IndexLink"/>
              </w:rPr>
              <w:t>290</w:t>
            </w:r>
          </w:hyperlink>
        </w:p>
        <w:p>
          <w:pPr>
            <w:pStyle w:val="Contents4"/>
            <w:tabs>
              <w:tab w:val="clear" w:pos="8176"/>
              <w:tab w:val="right" w:pos="9026" w:leader="dot"/>
            </w:tabs>
            <w:rPr/>
          </w:pPr>
          <w:hyperlink w:anchor="__RefHeading___Toc3380638_2870459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3380640_2870459653">
            <w:r>
              <w:rPr>
                <w:webHidden/>
                <w:rStyle w:val="IndexLink"/>
                <w:rtl w:val="true"/>
              </w:rPr>
              <w:t>القول الأوّل</w:t>
            </w:r>
            <w:r>
              <w:rPr>
                <w:rStyle w:val="IndexLink"/>
                <w:rtl w:val="true"/>
              </w:rPr>
              <w:tab/>
            </w:r>
            <w:r>
              <w:rPr>
                <w:rStyle w:val="IndexLink"/>
              </w:rPr>
              <w:t>290</w:t>
            </w:r>
          </w:hyperlink>
        </w:p>
        <w:p>
          <w:pPr>
            <w:pStyle w:val="Contents4"/>
            <w:tabs>
              <w:tab w:val="clear" w:pos="8176"/>
              <w:tab w:val="right" w:pos="9026" w:leader="dot"/>
            </w:tabs>
            <w:rPr/>
          </w:pPr>
          <w:hyperlink w:anchor="__RefHeading___Toc3380642_2870459653">
            <w:r>
              <w:rPr>
                <w:webHidden/>
                <w:rStyle w:val="IndexLink"/>
                <w:rtl w:val="true"/>
              </w:rPr>
              <w:t>القول الثاني</w:t>
            </w:r>
            <w:r>
              <w:rPr>
                <w:rStyle w:val="IndexLink"/>
                <w:rtl w:val="true"/>
              </w:rPr>
              <w:tab/>
            </w:r>
            <w:r>
              <w:rPr>
                <w:rStyle w:val="IndexLink"/>
              </w:rPr>
              <w:t>291</w:t>
            </w:r>
          </w:hyperlink>
        </w:p>
        <w:p>
          <w:pPr>
            <w:pStyle w:val="Contents3"/>
            <w:tabs>
              <w:tab w:val="clear" w:pos="8459"/>
              <w:tab w:val="right" w:pos="9026" w:leader="dot"/>
            </w:tabs>
            <w:rPr/>
          </w:pPr>
          <w:hyperlink w:anchor="__RefHeading___Toc3380644_2870459653">
            <w:r>
              <w:rPr>
                <w:webHidden/>
                <w:rStyle w:val="IndexLink"/>
                <w:rtl w:val="true"/>
              </w:rPr>
              <w:t>الفصل السادس</w:t>
            </w:r>
            <w:r>
              <w:rPr>
                <w:rStyle w:val="IndexLink"/>
                <w:rtl w:val="true"/>
              </w:rPr>
              <w:t xml:space="preserve">: </w:t>
            </w:r>
            <w:r>
              <w:rPr>
                <w:rStyle w:val="IndexLink"/>
                <w:rtl w:val="true"/>
              </w:rPr>
              <w:t>في المقارنة بين سيرة المتشرعة البحتة وسيرة العقلاء</w:t>
            </w:r>
            <w:r>
              <w:rPr>
                <w:rStyle w:val="IndexLink"/>
                <w:rtl w:val="true"/>
              </w:rPr>
              <w:tab/>
            </w:r>
            <w:r>
              <w:rPr>
                <w:rStyle w:val="IndexLink"/>
              </w:rPr>
              <w:t>294</w:t>
            </w:r>
          </w:hyperlink>
        </w:p>
        <w:p>
          <w:pPr>
            <w:pStyle w:val="Contents4"/>
            <w:tabs>
              <w:tab w:val="clear" w:pos="8176"/>
              <w:tab w:val="right" w:pos="9026" w:leader="dot"/>
            </w:tabs>
            <w:rPr/>
          </w:pPr>
          <w:hyperlink w:anchor="__RefHeading___Toc3380646_2870459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380648_2870459653">
            <w:r>
              <w:rPr>
                <w:webHidden/>
                <w:rStyle w:val="IndexLink"/>
                <w:rtl w:val="true"/>
              </w:rPr>
              <w:t>أمّا ما يشتركان فيه فهي ثلاثة أمور</w:t>
            </w:r>
            <w:r>
              <w:rPr>
                <w:rStyle w:val="IndexLink"/>
                <w:rtl w:val="true"/>
              </w:rPr>
              <w:tab/>
            </w:r>
            <w:r>
              <w:rPr>
                <w:rStyle w:val="IndexLink"/>
              </w:rPr>
              <w:t>294</w:t>
            </w:r>
          </w:hyperlink>
        </w:p>
        <w:p>
          <w:pPr>
            <w:pStyle w:val="Contents5"/>
            <w:tabs>
              <w:tab w:val="clear" w:pos="7892"/>
              <w:tab w:val="right" w:pos="9026" w:leader="dot"/>
            </w:tabs>
            <w:rPr/>
          </w:pPr>
          <w:hyperlink w:anchor="__RefHeading___Toc3380650_2870459653">
            <w:r>
              <w:rPr>
                <w:webHidden/>
                <w:rStyle w:val="IndexLink"/>
                <w:rtl w:val="true"/>
              </w:rPr>
              <w:t>الأوّل</w:t>
            </w:r>
            <w:r>
              <w:rPr>
                <w:rStyle w:val="IndexLink"/>
                <w:rtl w:val="true"/>
              </w:rPr>
              <w:tab/>
            </w:r>
            <w:r>
              <w:rPr>
                <w:rStyle w:val="IndexLink"/>
              </w:rPr>
              <w:t>294</w:t>
            </w:r>
          </w:hyperlink>
        </w:p>
        <w:p>
          <w:pPr>
            <w:pStyle w:val="Contents5"/>
            <w:tabs>
              <w:tab w:val="clear" w:pos="7892"/>
              <w:tab w:val="right" w:pos="9026" w:leader="dot"/>
            </w:tabs>
            <w:rPr/>
          </w:pPr>
          <w:hyperlink w:anchor="__RefHeading___Toc3380652_2870459653">
            <w:r>
              <w:rPr>
                <w:webHidden/>
                <w:rStyle w:val="IndexLink"/>
                <w:rtl w:val="true"/>
              </w:rPr>
              <w:t>الثاني</w:t>
            </w:r>
            <w:r>
              <w:rPr>
                <w:rStyle w:val="IndexLink"/>
                <w:rtl w:val="true"/>
              </w:rPr>
              <w:tab/>
            </w:r>
            <w:r>
              <w:rPr>
                <w:rStyle w:val="IndexLink"/>
              </w:rPr>
              <w:t>294</w:t>
            </w:r>
          </w:hyperlink>
        </w:p>
        <w:p>
          <w:pPr>
            <w:pStyle w:val="Contents5"/>
            <w:tabs>
              <w:tab w:val="clear" w:pos="7892"/>
              <w:tab w:val="right" w:pos="9026" w:leader="dot"/>
            </w:tabs>
            <w:rPr/>
          </w:pPr>
          <w:hyperlink w:anchor="__RefHeading___Toc3380654_2870459653">
            <w:r>
              <w:rPr>
                <w:webHidden/>
                <w:rStyle w:val="IndexLink"/>
                <w:rtl w:val="true"/>
              </w:rPr>
              <w:t>الثالث</w:t>
            </w:r>
            <w:r>
              <w:rPr>
                <w:rStyle w:val="IndexLink"/>
                <w:rtl w:val="true"/>
              </w:rPr>
              <w:tab/>
            </w:r>
            <w:r>
              <w:rPr>
                <w:rStyle w:val="IndexLink"/>
              </w:rPr>
              <w:t>294</w:t>
            </w:r>
          </w:hyperlink>
        </w:p>
        <w:p>
          <w:pPr>
            <w:pStyle w:val="Contents4"/>
            <w:tabs>
              <w:tab w:val="clear" w:pos="8176"/>
              <w:tab w:val="right" w:pos="9026" w:leader="dot"/>
            </w:tabs>
            <w:rPr/>
          </w:pPr>
          <w:hyperlink w:anchor="__RefHeading___Toc3380656_2870459653">
            <w:r>
              <w:rPr>
                <w:webHidden/>
                <w:rStyle w:val="IndexLink"/>
                <w:rtl w:val="true"/>
              </w:rPr>
              <w:t>وأمّا ما يختلفان فيه فأمور ثلاثة أيضاً</w:t>
            </w:r>
            <w:r>
              <w:rPr>
                <w:rStyle w:val="IndexLink"/>
                <w:rtl w:val="true"/>
              </w:rPr>
              <w:tab/>
            </w:r>
            <w:r>
              <w:rPr>
                <w:rStyle w:val="IndexLink"/>
              </w:rPr>
              <w:t>295</w:t>
            </w:r>
          </w:hyperlink>
        </w:p>
        <w:p>
          <w:pPr>
            <w:pStyle w:val="Contents5"/>
            <w:tabs>
              <w:tab w:val="clear" w:pos="7892"/>
              <w:tab w:val="right" w:pos="9026" w:leader="dot"/>
            </w:tabs>
            <w:rPr/>
          </w:pPr>
          <w:hyperlink w:anchor="__RefHeading___Toc3380658_2870459653">
            <w:r>
              <w:rPr>
                <w:webHidden/>
                <w:rStyle w:val="IndexLink"/>
                <w:rtl w:val="true"/>
              </w:rPr>
              <w:t>الأوّل</w:t>
            </w:r>
            <w:r>
              <w:rPr>
                <w:rStyle w:val="IndexLink"/>
                <w:rtl w:val="true"/>
              </w:rPr>
              <w:tab/>
            </w:r>
            <w:r>
              <w:rPr>
                <w:rStyle w:val="IndexLink"/>
              </w:rPr>
              <w:t>295</w:t>
            </w:r>
          </w:hyperlink>
        </w:p>
        <w:p>
          <w:pPr>
            <w:pStyle w:val="Contents5"/>
            <w:tabs>
              <w:tab w:val="clear" w:pos="7892"/>
              <w:tab w:val="right" w:pos="9026" w:leader="dot"/>
            </w:tabs>
            <w:rPr/>
          </w:pPr>
          <w:hyperlink w:anchor="__RefHeading___Toc3380660_2870459653">
            <w:r>
              <w:rPr>
                <w:webHidden/>
                <w:rStyle w:val="IndexLink"/>
                <w:rtl w:val="true"/>
              </w:rPr>
              <w:t>الثاني</w:t>
            </w:r>
            <w:r>
              <w:rPr>
                <w:rStyle w:val="IndexLink"/>
                <w:rtl w:val="true"/>
              </w:rPr>
              <w:tab/>
            </w:r>
            <w:r>
              <w:rPr>
                <w:rStyle w:val="IndexLink"/>
              </w:rPr>
              <w:t>296</w:t>
            </w:r>
          </w:hyperlink>
        </w:p>
        <w:p>
          <w:pPr>
            <w:pStyle w:val="Contents5"/>
            <w:tabs>
              <w:tab w:val="clear" w:pos="7892"/>
              <w:tab w:val="right" w:pos="9026" w:leader="dot"/>
            </w:tabs>
            <w:rPr/>
          </w:pPr>
          <w:hyperlink w:anchor="__RefHeading___Toc3380662_2870459653">
            <w:r>
              <w:rPr>
                <w:webHidden/>
                <w:rStyle w:val="IndexLink"/>
                <w:rtl w:val="true"/>
              </w:rPr>
              <w:t>الثالث</w:t>
            </w:r>
            <w:r>
              <w:rPr>
                <w:rStyle w:val="IndexLink"/>
                <w:rtl w:val="true"/>
              </w:rPr>
              <w:tab/>
            </w:r>
            <w:r>
              <w:rPr>
                <w:rStyle w:val="IndexLink"/>
              </w:rPr>
              <w:t>296</w:t>
            </w:r>
          </w:hyperlink>
        </w:p>
        <w:p>
          <w:pPr>
            <w:pStyle w:val="Contents3"/>
            <w:tabs>
              <w:tab w:val="clear" w:pos="8459"/>
              <w:tab w:val="right" w:pos="9026" w:leader="dot"/>
            </w:tabs>
            <w:rPr/>
          </w:pPr>
          <w:hyperlink w:anchor="__RefHeading___Toc3380664_2870459653">
            <w:r>
              <w:rPr>
                <w:webHidden/>
                <w:rStyle w:val="IndexLink"/>
                <w:rtl w:val="true"/>
              </w:rPr>
              <w:t>خاتمة</w:t>
            </w:r>
            <w:r>
              <w:rPr>
                <w:rStyle w:val="IndexLink"/>
                <w:rtl w:val="true"/>
              </w:rPr>
              <w:t xml:space="preserve">: </w:t>
            </w:r>
            <w:r>
              <w:rPr>
                <w:rStyle w:val="IndexLink"/>
                <w:rtl w:val="true"/>
              </w:rPr>
              <w:t>في السيرة العقلائية المتعرّضة لموضوع الحكم أو متعلّقه ونحوهما</w:t>
            </w:r>
            <w:r>
              <w:rPr>
                <w:rStyle w:val="IndexLink"/>
                <w:rtl w:val="true"/>
              </w:rPr>
              <w:tab/>
            </w:r>
            <w:r>
              <w:rPr>
                <w:rStyle w:val="IndexLink"/>
              </w:rPr>
              <w:t>298</w:t>
            </w:r>
          </w:hyperlink>
        </w:p>
        <w:p>
          <w:pPr>
            <w:pStyle w:val="Contents4"/>
            <w:tabs>
              <w:tab w:val="clear" w:pos="8176"/>
              <w:tab w:val="right" w:pos="9026" w:leader="dot"/>
            </w:tabs>
            <w:rPr/>
          </w:pPr>
          <w:hyperlink w:anchor="__RefHeading___Toc3380666_2870459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380668_2870459653">
            <w:r>
              <w:rPr>
                <w:webHidden/>
                <w:rStyle w:val="IndexLink"/>
                <w:rtl w:val="true"/>
              </w:rPr>
              <w:t>الجهة الأولى</w:t>
            </w:r>
            <w:r>
              <w:rPr>
                <w:rStyle w:val="IndexLink"/>
                <w:rtl w:val="true"/>
              </w:rPr>
              <w:t xml:space="preserve">: </w:t>
            </w:r>
            <w:r>
              <w:rPr>
                <w:rStyle w:val="IndexLink"/>
                <w:rtl w:val="true"/>
              </w:rPr>
              <w:t>في بعض تقسيمات هذه السيرة</w:t>
            </w:r>
            <w:r>
              <w:rPr>
                <w:rStyle w:val="IndexLink"/>
                <w:rtl w:val="true"/>
              </w:rPr>
              <w:tab/>
            </w:r>
            <w:r>
              <w:rPr>
                <w:rStyle w:val="IndexLink"/>
              </w:rPr>
              <w:t>298</w:t>
            </w:r>
          </w:hyperlink>
        </w:p>
        <w:p>
          <w:pPr>
            <w:pStyle w:val="Contents5"/>
            <w:tabs>
              <w:tab w:val="clear" w:pos="7892"/>
              <w:tab w:val="right" w:pos="9026" w:leader="dot"/>
            </w:tabs>
            <w:rPr/>
          </w:pPr>
          <w:hyperlink w:anchor="__RefHeading___Toc3380670_2870459653">
            <w:r>
              <w:rPr>
                <w:webHidden/>
                <w:rStyle w:val="IndexLink"/>
                <w:rtl w:val="true"/>
              </w:rPr>
              <w:t>التقسيم الأول</w:t>
            </w:r>
            <w:r>
              <w:rPr>
                <w:rStyle w:val="IndexLink"/>
                <w:rtl w:val="true"/>
              </w:rPr>
              <w:tab/>
            </w:r>
            <w:r>
              <w:rPr>
                <w:rStyle w:val="IndexLink"/>
              </w:rPr>
              <w:t>298</w:t>
            </w:r>
          </w:hyperlink>
        </w:p>
        <w:p>
          <w:pPr>
            <w:pStyle w:val="Contents5"/>
            <w:tabs>
              <w:tab w:val="clear" w:pos="7892"/>
              <w:tab w:val="right" w:pos="9026" w:leader="dot"/>
            </w:tabs>
            <w:rPr/>
          </w:pPr>
          <w:hyperlink w:anchor="__RefHeading___Toc3380672_2870459653">
            <w:r>
              <w:rPr>
                <w:webHidden/>
                <w:rStyle w:val="IndexLink"/>
                <w:rtl w:val="true"/>
              </w:rPr>
              <w:t>التقسيم الثاني</w:t>
            </w:r>
            <w:r>
              <w:rPr>
                <w:rStyle w:val="IndexLink"/>
                <w:rtl w:val="true"/>
              </w:rPr>
              <w:tab/>
            </w:r>
            <w:r>
              <w:rPr>
                <w:rStyle w:val="IndexLink"/>
              </w:rPr>
              <w:t>301</w:t>
            </w:r>
          </w:hyperlink>
        </w:p>
        <w:p>
          <w:pPr>
            <w:pStyle w:val="Contents4"/>
            <w:tabs>
              <w:tab w:val="clear" w:pos="8176"/>
              <w:tab w:val="right" w:pos="9026" w:leader="dot"/>
            </w:tabs>
            <w:rPr/>
          </w:pPr>
          <w:hyperlink w:anchor="__RefHeading___Toc3380674_2870459653">
            <w:r>
              <w:rPr>
                <w:webHidden/>
                <w:rStyle w:val="IndexLink"/>
                <w:rtl w:val="true"/>
              </w:rPr>
              <w:t>الجهة الثانية</w:t>
            </w:r>
            <w:r>
              <w:rPr>
                <w:rStyle w:val="IndexLink"/>
                <w:rtl w:val="true"/>
              </w:rPr>
              <w:t xml:space="preserve">: </w:t>
            </w:r>
            <w:r>
              <w:rPr>
                <w:rStyle w:val="IndexLink"/>
                <w:rtl w:val="true"/>
              </w:rPr>
              <w:t>في حجّية هذه السيرة</w:t>
            </w:r>
            <w:r>
              <w:rPr>
                <w:rStyle w:val="IndexLink"/>
                <w:rtl w:val="true"/>
              </w:rPr>
              <w:tab/>
            </w:r>
            <w:r>
              <w:rPr>
                <w:rStyle w:val="IndexLink"/>
              </w:rPr>
              <w:t>301</w:t>
            </w:r>
          </w:hyperlink>
        </w:p>
        <w:p>
          <w:pPr>
            <w:pStyle w:val="Contents3"/>
            <w:tabs>
              <w:tab w:val="clear" w:pos="8459"/>
              <w:tab w:val="right" w:pos="9026" w:leader="dot"/>
            </w:tabs>
            <w:rPr/>
          </w:pPr>
          <w:hyperlink w:anchor="__RefHeading___Toc3380676_2870459653">
            <w:r>
              <w:rPr>
                <w:webHidden/>
                <w:rStyle w:val="IndexLink"/>
                <w:rtl w:val="true"/>
              </w:rPr>
              <w:t>أبرز النتائج التي انتهينا إليها في هذا البحث</w:t>
            </w:r>
            <w:r>
              <w:rPr>
                <w:rStyle w:val="IndexLink"/>
                <w:rtl w:val="true"/>
              </w:rPr>
              <w:tab/>
            </w:r>
            <w:r>
              <w:rPr>
                <w:rStyle w:val="IndexLink"/>
              </w:rPr>
              <w:t>304</w:t>
            </w:r>
          </w:hyperlink>
        </w:p>
        <w:p>
          <w:pPr>
            <w:pStyle w:val="Contents3"/>
            <w:tabs>
              <w:tab w:val="clear" w:pos="8459"/>
              <w:tab w:val="right" w:pos="9026" w:leader="dot"/>
            </w:tabs>
            <w:rPr/>
          </w:pPr>
          <w:hyperlink w:anchor="__RefHeading___Toc3380678_2870459653">
            <w:r>
              <w:rPr>
                <w:webHidden/>
                <w:rStyle w:val="IndexLink"/>
                <w:rtl w:val="true"/>
              </w:rPr>
              <w:t>المصادر</w:t>
            </w:r>
            <w:r>
              <w:rPr>
                <w:rStyle w:val="IndexLink"/>
                <w:rtl w:val="true"/>
              </w:rPr>
              <w:tab/>
            </w:r>
            <w:r>
              <w:rPr>
                <w:rStyle w:val="IndexLink"/>
              </w:rPr>
              <w:t>306</w:t>
            </w:r>
          </w:hyperlink>
        </w:p>
        <w:p>
          <w:pPr>
            <w:pStyle w:val="Contents2"/>
            <w:tabs>
              <w:tab w:val="clear" w:pos="8743"/>
              <w:tab w:val="right" w:pos="9026" w:leader="dot"/>
            </w:tabs>
            <w:rPr/>
          </w:pPr>
          <w:hyperlink w:anchor="__RefHeading___Toc3380680_2870459653">
            <w:r>
              <w:rPr>
                <w:webHidden/>
                <w:rStyle w:val="IndexLink"/>
                <w:rtl w:val="true"/>
              </w:rPr>
              <w:t xml:space="preserve">رجال الجواهر </w:t>
            </w:r>
            <w:r>
              <w:rPr>
                <w:rStyle w:val="IndexLink"/>
                <w:rtl w:val="true"/>
              </w:rPr>
              <w:t>(</w:t>
            </w:r>
            <w:r>
              <w:rPr>
                <w:rStyle w:val="IndexLink"/>
                <w:rtl w:val="true"/>
              </w:rPr>
              <w:t>الحلقظ الثالثة</w:t>
            </w:r>
            <w:r>
              <w:rPr>
                <w:rStyle w:val="IndexLink"/>
                <w:rtl w:val="true"/>
              </w:rPr>
              <w:t xml:space="preserve">) - </w:t>
            </w:r>
            <w:r>
              <w:rPr>
                <w:rStyle w:val="IndexLink"/>
                <w:rtl w:val="true"/>
              </w:rPr>
              <w:t xml:space="preserve">الشّيخ عليّ الغزّيّ </w:t>
            </w:r>
            <w:r>
              <w:rPr>
                <w:rStyle w:val="IndexLink"/>
                <w:rtl w:val="true"/>
              </w:rPr>
              <w:t>(</w:t>
            </w:r>
            <w:r>
              <w:rPr>
                <w:rStyle w:val="IndexLink"/>
                <w:rtl w:val="true"/>
              </w:rPr>
              <w:t>دام عزه</w:t>
            </w:r>
            <w:r>
              <w:rPr>
                <w:rStyle w:val="IndexLink"/>
                <w:rtl w:val="true"/>
              </w:rPr>
              <w:t>)</w:t>
              <w:tab/>
            </w:r>
            <w:r>
              <w:rPr>
                <w:rStyle w:val="IndexLink"/>
              </w:rPr>
              <w:t>311</w:t>
            </w:r>
          </w:hyperlink>
        </w:p>
        <w:p>
          <w:pPr>
            <w:pStyle w:val="Contents3"/>
            <w:tabs>
              <w:tab w:val="clear" w:pos="8459"/>
              <w:tab w:val="right" w:pos="9026" w:leader="dot"/>
            </w:tabs>
            <w:rPr/>
          </w:pPr>
          <w:hyperlink w:anchor="__RefHeading___Toc3380682_2870459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3380684_2870459653">
            <w:r>
              <w:rPr>
                <w:webHidden/>
                <w:rStyle w:val="IndexLink"/>
                <w:rtl w:val="true"/>
              </w:rPr>
              <w:t>مقدّمة</w:t>
            </w:r>
            <w:r>
              <w:rPr>
                <w:rStyle w:val="IndexLink"/>
                <w:rtl w:val="true"/>
              </w:rPr>
              <w:tab/>
            </w:r>
            <w:r>
              <w:rPr>
                <w:rStyle w:val="IndexLink"/>
              </w:rPr>
              <w:t>313</w:t>
            </w:r>
          </w:hyperlink>
        </w:p>
        <w:p>
          <w:pPr>
            <w:pStyle w:val="Contents3"/>
            <w:tabs>
              <w:tab w:val="clear" w:pos="8459"/>
              <w:tab w:val="right" w:pos="9026" w:leader="dot"/>
            </w:tabs>
            <w:rPr/>
          </w:pPr>
          <w:hyperlink w:anchor="__RefHeading___Toc3380686_2870459653">
            <w:r>
              <w:rPr>
                <w:webHidden/>
                <w:rStyle w:val="IndexLink"/>
              </w:rPr>
              <w:t>1</w:t>
            </w:r>
            <w:r>
              <w:rPr>
                <w:rStyle w:val="IndexLink"/>
                <w:rtl w:val="true"/>
              </w:rPr>
              <w:t xml:space="preserve">. </w:t>
            </w:r>
            <w:r>
              <w:rPr>
                <w:rStyle w:val="IndexLink"/>
                <w:rtl w:val="true"/>
              </w:rPr>
              <w:t>أبان بن عثمان</w:t>
            </w:r>
            <w:r>
              <w:rPr>
                <w:rStyle w:val="IndexLink"/>
                <w:rtl w:val="true"/>
              </w:rPr>
              <w:tab/>
            </w:r>
            <w:r>
              <w:rPr>
                <w:rStyle w:val="IndexLink"/>
              </w:rPr>
              <w:t>314</w:t>
            </w:r>
          </w:hyperlink>
        </w:p>
        <w:p>
          <w:pPr>
            <w:pStyle w:val="Contents4"/>
            <w:tabs>
              <w:tab w:val="clear" w:pos="8176"/>
              <w:tab w:val="right" w:pos="9026" w:leader="dot"/>
            </w:tabs>
            <w:rPr/>
          </w:pPr>
          <w:hyperlink w:anchor="__RefHeading___Toc3380688_2870459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380690_2870459653">
            <w:r>
              <w:rPr>
                <w:webHidden/>
                <w:rStyle w:val="IndexLink"/>
                <w:rtl w:val="true"/>
              </w:rPr>
              <w:t>الأوّل</w:t>
            </w:r>
            <w:r>
              <w:rPr>
                <w:rStyle w:val="IndexLink"/>
                <w:rtl w:val="true"/>
              </w:rPr>
              <w:tab/>
            </w:r>
            <w:r>
              <w:rPr>
                <w:rStyle w:val="IndexLink"/>
              </w:rPr>
              <w:t>315</w:t>
            </w:r>
          </w:hyperlink>
        </w:p>
        <w:p>
          <w:pPr>
            <w:pStyle w:val="Contents4"/>
            <w:tabs>
              <w:tab w:val="clear" w:pos="8176"/>
              <w:tab w:val="right" w:pos="9026" w:leader="dot"/>
            </w:tabs>
            <w:rPr/>
          </w:pPr>
          <w:hyperlink w:anchor="__RefHeading___Toc3380692_2870459653">
            <w:r>
              <w:rPr>
                <w:webHidden/>
                <w:rStyle w:val="IndexLink"/>
                <w:rtl w:val="true"/>
              </w:rPr>
              <w:t>الثاني</w:t>
            </w:r>
            <w:r>
              <w:rPr>
                <w:rStyle w:val="IndexLink"/>
                <w:rtl w:val="true"/>
              </w:rPr>
              <w:tab/>
            </w:r>
            <w:r>
              <w:rPr>
                <w:rStyle w:val="IndexLink"/>
              </w:rPr>
              <w:t>315</w:t>
            </w:r>
          </w:hyperlink>
        </w:p>
        <w:p>
          <w:pPr>
            <w:pStyle w:val="Contents4"/>
            <w:tabs>
              <w:tab w:val="clear" w:pos="8176"/>
              <w:tab w:val="right" w:pos="9026" w:leader="dot"/>
            </w:tabs>
            <w:rPr/>
          </w:pPr>
          <w:hyperlink w:anchor="__RefHeading___Toc3380694_2870459653">
            <w:r>
              <w:rPr>
                <w:webHidden/>
                <w:rStyle w:val="IndexLink"/>
                <w:rtl w:val="true"/>
              </w:rPr>
              <w:t>الثالث</w:t>
            </w:r>
            <w:r>
              <w:rPr>
                <w:rStyle w:val="IndexLink"/>
                <w:rtl w:val="true"/>
              </w:rPr>
              <w:tab/>
            </w:r>
            <w:r>
              <w:rPr>
                <w:rStyle w:val="IndexLink"/>
              </w:rPr>
              <w:t>316</w:t>
            </w:r>
          </w:hyperlink>
        </w:p>
        <w:p>
          <w:pPr>
            <w:pStyle w:val="Contents5"/>
            <w:tabs>
              <w:tab w:val="clear" w:pos="7892"/>
              <w:tab w:val="right" w:pos="9026" w:leader="dot"/>
            </w:tabs>
            <w:rPr/>
          </w:pPr>
          <w:hyperlink w:anchor="__RefHeading___Toc3380696_2870459653">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380698_2870459653">
            <w:r>
              <w:rPr>
                <w:webHidden/>
                <w:rStyle w:val="IndexLink"/>
                <w:rtl w:val="true"/>
              </w:rPr>
              <w:t>الأولى</w:t>
            </w:r>
            <w:r>
              <w:rPr>
                <w:rStyle w:val="IndexLink"/>
                <w:rtl w:val="true"/>
              </w:rPr>
              <w:tab/>
            </w:r>
            <w:r>
              <w:rPr>
                <w:rStyle w:val="IndexLink"/>
              </w:rPr>
              <w:t>316</w:t>
            </w:r>
          </w:hyperlink>
        </w:p>
        <w:p>
          <w:pPr>
            <w:pStyle w:val="Contents5"/>
            <w:tabs>
              <w:tab w:val="clear" w:pos="7892"/>
              <w:tab w:val="right" w:pos="9026" w:leader="dot"/>
            </w:tabs>
            <w:rPr/>
          </w:pPr>
          <w:hyperlink w:anchor="__RefHeading___Toc3380700_2870459653">
            <w:r>
              <w:rPr>
                <w:webHidden/>
                <w:rStyle w:val="IndexLink"/>
                <w:rtl w:val="true"/>
              </w:rPr>
              <w:t>الأخرى</w:t>
            </w:r>
            <w:r>
              <w:rPr>
                <w:rStyle w:val="IndexLink"/>
                <w:rtl w:val="true"/>
              </w:rPr>
              <w:tab/>
            </w:r>
            <w:r>
              <w:rPr>
                <w:rStyle w:val="IndexLink"/>
              </w:rPr>
              <w:t>317</w:t>
            </w:r>
          </w:hyperlink>
        </w:p>
        <w:p>
          <w:pPr>
            <w:pStyle w:val="Contents6"/>
            <w:tabs>
              <w:tab w:val="clear" w:pos="7609"/>
              <w:tab w:val="right" w:pos="9026" w:leader="dot"/>
            </w:tabs>
            <w:rPr/>
          </w:pPr>
          <w:hyperlink w:anchor="__RefHeading___Toc3380702_2870459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3380704_2870459653">
            <w:r>
              <w:rPr>
                <w:webHidden/>
                <w:rStyle w:val="IndexLink"/>
                <w:rtl w:val="true"/>
              </w:rPr>
              <w:t>أوّلاً</w:t>
            </w:r>
            <w:r>
              <w:rPr>
                <w:rStyle w:val="IndexLink"/>
                <w:rtl w:val="true"/>
              </w:rPr>
              <w:tab/>
            </w:r>
            <w:r>
              <w:rPr>
                <w:rStyle w:val="IndexLink"/>
              </w:rPr>
              <w:t>318</w:t>
            </w:r>
          </w:hyperlink>
        </w:p>
        <w:p>
          <w:pPr>
            <w:pStyle w:val="Contents6"/>
            <w:tabs>
              <w:tab w:val="clear" w:pos="7609"/>
              <w:tab w:val="right" w:pos="9026" w:leader="dot"/>
            </w:tabs>
            <w:rPr/>
          </w:pPr>
          <w:hyperlink w:anchor="__RefHeading___Toc3380706_2870459653">
            <w:r>
              <w:rPr>
                <w:webHidden/>
                <w:rStyle w:val="IndexLink"/>
                <w:rtl w:val="true"/>
              </w:rPr>
              <w:t>ثانياً</w:t>
            </w:r>
            <w:r>
              <w:rPr>
                <w:rStyle w:val="IndexLink"/>
                <w:rtl w:val="true"/>
              </w:rPr>
              <w:tab/>
            </w:r>
            <w:r>
              <w:rPr>
                <w:rStyle w:val="IndexLink"/>
              </w:rPr>
              <w:t>319</w:t>
            </w:r>
          </w:hyperlink>
        </w:p>
        <w:p>
          <w:pPr>
            <w:pStyle w:val="Contents6"/>
            <w:tabs>
              <w:tab w:val="clear" w:pos="7609"/>
              <w:tab w:val="right" w:pos="9026" w:leader="dot"/>
            </w:tabs>
            <w:rPr/>
          </w:pPr>
          <w:hyperlink w:anchor="__RefHeading___Toc3380708_2870459653">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380710_2870459653">
            <w:r>
              <w:rPr>
                <w:webHidden/>
                <w:rStyle w:val="IndexLink"/>
                <w:rtl w:val="true"/>
              </w:rPr>
              <w:t>الجهة الأولى</w:t>
            </w:r>
            <w:r>
              <w:rPr>
                <w:rStyle w:val="IndexLink"/>
                <w:rtl w:val="true"/>
              </w:rPr>
              <w:tab/>
            </w:r>
            <w:r>
              <w:rPr>
                <w:rStyle w:val="IndexLink"/>
              </w:rPr>
              <w:t>319</w:t>
            </w:r>
          </w:hyperlink>
        </w:p>
        <w:p>
          <w:pPr>
            <w:pStyle w:val="Contents6"/>
            <w:tabs>
              <w:tab w:val="clear" w:pos="7609"/>
              <w:tab w:val="right" w:pos="9026" w:leader="dot"/>
            </w:tabs>
            <w:rPr/>
          </w:pPr>
          <w:hyperlink w:anchor="__RefHeading___Toc3380712_2870459653">
            <w:r>
              <w:rPr>
                <w:webHidden/>
                <w:rStyle w:val="IndexLink"/>
                <w:rtl w:val="true"/>
              </w:rPr>
              <w:t>الجهة الثانية</w:t>
            </w:r>
            <w:r>
              <w:rPr>
                <w:rStyle w:val="IndexLink"/>
                <w:rtl w:val="true"/>
              </w:rPr>
              <w:tab/>
            </w:r>
            <w:r>
              <w:rPr>
                <w:rStyle w:val="IndexLink"/>
              </w:rPr>
              <w:t>319</w:t>
            </w:r>
          </w:hyperlink>
        </w:p>
        <w:p>
          <w:pPr>
            <w:pStyle w:val="Contents6"/>
            <w:tabs>
              <w:tab w:val="clear" w:pos="7609"/>
              <w:tab w:val="right" w:pos="9026" w:leader="dot"/>
            </w:tabs>
            <w:rPr/>
          </w:pPr>
          <w:hyperlink w:anchor="__RefHeading___Toc3380714_2870459653">
            <w:r>
              <w:rPr>
                <w:webHidden/>
                <w:rStyle w:val="IndexLink"/>
                <w:rtl w:val="true"/>
              </w:rPr>
              <w:t>الجهة الثالثة</w:t>
            </w:r>
            <w:r>
              <w:rPr>
                <w:rStyle w:val="IndexLink"/>
                <w:rtl w:val="true"/>
              </w:rPr>
              <w:tab/>
            </w:r>
            <w:r>
              <w:rPr>
                <w:rStyle w:val="IndexLink"/>
              </w:rPr>
              <w:t>319</w:t>
            </w:r>
          </w:hyperlink>
        </w:p>
        <w:p>
          <w:pPr>
            <w:pStyle w:val="Contents6"/>
            <w:tabs>
              <w:tab w:val="clear" w:pos="7609"/>
              <w:tab w:val="right" w:pos="9026" w:leader="dot"/>
            </w:tabs>
            <w:rPr/>
          </w:pPr>
          <w:hyperlink w:anchor="__RefHeading___Toc3380716_2870459653">
            <w:r>
              <w:rPr>
                <w:webHidden/>
                <w:rStyle w:val="IndexLink"/>
                <w:rtl w:val="true"/>
              </w:rPr>
              <w:t>ثالثاً</w:t>
            </w:r>
            <w:r>
              <w:rPr>
                <w:rStyle w:val="IndexLink"/>
                <w:rtl w:val="true"/>
              </w:rPr>
              <w:tab/>
            </w:r>
            <w:r>
              <w:rPr>
                <w:rStyle w:val="IndexLink"/>
              </w:rPr>
              <w:t>320</w:t>
            </w:r>
          </w:hyperlink>
        </w:p>
        <w:p>
          <w:pPr>
            <w:pStyle w:val="Contents6"/>
            <w:tabs>
              <w:tab w:val="clear" w:pos="7609"/>
              <w:tab w:val="right" w:pos="9026" w:leader="dot"/>
            </w:tabs>
            <w:rPr/>
          </w:pPr>
          <w:hyperlink w:anchor="__RefHeading___Toc3380718_2870459653">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380720_2870459653">
            <w:r>
              <w:rPr>
                <w:webHidden/>
                <w:rStyle w:val="IndexLink"/>
                <w:rtl w:val="true"/>
              </w:rPr>
              <w:t>الوجه الأوّل</w:t>
            </w:r>
            <w:r>
              <w:rPr>
                <w:rStyle w:val="IndexLink"/>
                <w:rtl w:val="true"/>
              </w:rPr>
              <w:tab/>
            </w:r>
            <w:r>
              <w:rPr>
                <w:rStyle w:val="IndexLink"/>
              </w:rPr>
              <w:t>320</w:t>
            </w:r>
          </w:hyperlink>
        </w:p>
        <w:p>
          <w:pPr>
            <w:pStyle w:val="Contents6"/>
            <w:tabs>
              <w:tab w:val="clear" w:pos="7609"/>
              <w:tab w:val="right" w:pos="9026" w:leader="dot"/>
            </w:tabs>
            <w:rPr/>
          </w:pPr>
          <w:hyperlink w:anchor="__RefHeading___Toc3380722_2870459653">
            <w:r>
              <w:rPr>
                <w:webHidden/>
                <w:rStyle w:val="IndexLink"/>
                <w:rtl w:val="true"/>
              </w:rPr>
              <w:t>الوجه الآخر</w:t>
            </w:r>
            <w:r>
              <w:rPr>
                <w:rStyle w:val="IndexLink"/>
                <w:rtl w:val="true"/>
              </w:rPr>
              <w:tab/>
            </w:r>
            <w:r>
              <w:rPr>
                <w:rStyle w:val="IndexLink"/>
              </w:rPr>
              <w:t>321</w:t>
            </w:r>
          </w:hyperlink>
        </w:p>
        <w:p>
          <w:pPr>
            <w:pStyle w:val="Contents6"/>
            <w:tabs>
              <w:tab w:val="clear" w:pos="7609"/>
              <w:tab w:val="right" w:pos="9026" w:leader="dot"/>
            </w:tabs>
            <w:rPr/>
          </w:pPr>
          <w:hyperlink w:anchor="__RefHeading___Toc3380724_2870459653">
            <w:r>
              <w:rPr>
                <w:webHidden/>
                <w:rStyle w:val="IndexLink"/>
                <w:rtl w:val="true"/>
              </w:rPr>
              <w:t>رابعاً</w:t>
            </w:r>
            <w:r>
              <w:rPr>
                <w:rStyle w:val="IndexLink"/>
                <w:rtl w:val="true"/>
              </w:rPr>
              <w:tab/>
            </w:r>
            <w:r>
              <w:rPr>
                <w:rStyle w:val="IndexLink"/>
              </w:rPr>
              <w:t>321</w:t>
            </w:r>
          </w:hyperlink>
        </w:p>
        <w:p>
          <w:pPr>
            <w:pStyle w:val="Contents3"/>
            <w:tabs>
              <w:tab w:val="clear" w:pos="8459"/>
              <w:tab w:val="right" w:pos="9026" w:leader="dot"/>
            </w:tabs>
            <w:rPr/>
          </w:pPr>
          <w:hyperlink w:anchor="__RefHeading___Toc3380726_2870459653">
            <w:r>
              <w:rPr>
                <w:webHidden/>
                <w:rStyle w:val="IndexLink"/>
              </w:rPr>
              <w:t>2</w:t>
            </w:r>
            <w:r>
              <w:rPr>
                <w:rStyle w:val="IndexLink"/>
                <w:rtl w:val="true"/>
              </w:rPr>
              <w:t xml:space="preserve">. </w:t>
            </w:r>
            <w:r>
              <w:rPr>
                <w:rStyle w:val="IndexLink"/>
                <w:rtl w:val="true"/>
              </w:rPr>
              <w:t>إبراهيم بن هاشم القمّي</w:t>
            </w:r>
            <w:r>
              <w:rPr>
                <w:rStyle w:val="IndexLink"/>
                <w:rtl w:val="true"/>
              </w:rPr>
              <w:tab/>
            </w:r>
            <w:r>
              <w:rPr>
                <w:rStyle w:val="IndexLink"/>
              </w:rPr>
              <w:t>322</w:t>
            </w:r>
          </w:hyperlink>
        </w:p>
        <w:p>
          <w:pPr>
            <w:pStyle w:val="Contents4"/>
            <w:tabs>
              <w:tab w:val="clear" w:pos="8176"/>
              <w:tab w:val="right" w:pos="9026" w:leader="dot"/>
            </w:tabs>
            <w:rPr/>
          </w:pPr>
          <w:hyperlink w:anchor="__RefHeading___Toc3380728_2870459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3380730_2870459653">
            <w:r>
              <w:rPr>
                <w:webHidden/>
                <w:rStyle w:val="IndexLink"/>
                <w:rtl w:val="true"/>
              </w:rPr>
              <w:t>الأمر الأوّل</w:t>
            </w:r>
            <w:r>
              <w:rPr>
                <w:rStyle w:val="IndexLink"/>
                <w:rtl w:val="true"/>
              </w:rPr>
              <w:tab/>
            </w:r>
            <w:r>
              <w:rPr>
                <w:rStyle w:val="IndexLink"/>
              </w:rPr>
              <w:t>325</w:t>
            </w:r>
          </w:hyperlink>
        </w:p>
        <w:p>
          <w:pPr>
            <w:pStyle w:val="Contents4"/>
            <w:tabs>
              <w:tab w:val="clear" w:pos="8176"/>
              <w:tab w:val="right" w:pos="9026" w:leader="dot"/>
            </w:tabs>
            <w:rPr/>
          </w:pPr>
          <w:hyperlink w:anchor="__RefHeading___Toc3380732_2870459653">
            <w:r>
              <w:rPr>
                <w:webHidden/>
                <w:rStyle w:val="IndexLink"/>
                <w:rtl w:val="true"/>
              </w:rPr>
              <w:t>الأمر الثاني</w:t>
            </w:r>
            <w:r>
              <w:rPr>
                <w:rStyle w:val="IndexLink"/>
                <w:rtl w:val="true"/>
              </w:rPr>
              <w:tab/>
            </w:r>
            <w:r>
              <w:rPr>
                <w:rStyle w:val="IndexLink"/>
              </w:rPr>
              <w:t>326</w:t>
            </w:r>
          </w:hyperlink>
        </w:p>
        <w:p>
          <w:pPr>
            <w:pStyle w:val="Contents4"/>
            <w:tabs>
              <w:tab w:val="clear" w:pos="8176"/>
              <w:tab w:val="right" w:pos="9026" w:leader="dot"/>
            </w:tabs>
            <w:rPr/>
          </w:pPr>
          <w:hyperlink w:anchor="__RefHeading___Toc3380734_2870459653">
            <w:r>
              <w:rPr>
                <w:webHidden/>
                <w:rStyle w:val="IndexLink"/>
                <w:rtl w:val="true"/>
              </w:rPr>
              <w:t>الأمر الثالث</w:t>
            </w:r>
            <w:r>
              <w:rPr>
                <w:rStyle w:val="IndexLink"/>
                <w:rtl w:val="true"/>
              </w:rPr>
              <w:tab/>
            </w:r>
            <w:r>
              <w:rPr>
                <w:rStyle w:val="IndexLink"/>
              </w:rPr>
              <w:t>327</w:t>
            </w:r>
          </w:hyperlink>
        </w:p>
        <w:p>
          <w:pPr>
            <w:pStyle w:val="Contents4"/>
            <w:tabs>
              <w:tab w:val="clear" w:pos="8176"/>
              <w:tab w:val="right" w:pos="9026" w:leader="dot"/>
            </w:tabs>
            <w:rPr/>
          </w:pPr>
          <w:hyperlink w:anchor="__RefHeading___Toc3380736_2870459653">
            <w:r>
              <w:rPr>
                <w:webHidden/>
                <w:rStyle w:val="IndexLink"/>
                <w:rtl w:val="true"/>
              </w:rPr>
              <w:t>الأمر الرابع</w:t>
            </w:r>
            <w:r>
              <w:rPr>
                <w:rStyle w:val="IndexLink"/>
                <w:rtl w:val="true"/>
              </w:rPr>
              <w:tab/>
            </w:r>
            <w:r>
              <w:rPr>
                <w:rStyle w:val="IndexLink"/>
              </w:rPr>
              <w:t>327</w:t>
            </w:r>
          </w:hyperlink>
        </w:p>
        <w:p>
          <w:pPr>
            <w:pStyle w:val="Contents4"/>
            <w:tabs>
              <w:tab w:val="clear" w:pos="8176"/>
              <w:tab w:val="right" w:pos="9026" w:leader="dot"/>
            </w:tabs>
            <w:rPr/>
          </w:pPr>
          <w:hyperlink w:anchor="__RefHeading___Toc3380738_2870459653">
            <w:r>
              <w:rPr>
                <w:webHidden/>
                <w:rStyle w:val="IndexLink"/>
                <w:rtl w:val="true"/>
              </w:rPr>
              <w:t>الأمر الخامس</w:t>
            </w:r>
            <w:r>
              <w:rPr>
                <w:rStyle w:val="IndexLink"/>
                <w:rtl w:val="true"/>
              </w:rPr>
              <w:tab/>
            </w:r>
            <w:r>
              <w:rPr>
                <w:rStyle w:val="IndexLink"/>
              </w:rPr>
              <w:t>327</w:t>
            </w:r>
          </w:hyperlink>
        </w:p>
        <w:p>
          <w:pPr>
            <w:pStyle w:val="Contents5"/>
            <w:tabs>
              <w:tab w:val="clear" w:pos="7892"/>
              <w:tab w:val="right" w:pos="9026" w:leader="dot"/>
            </w:tabs>
            <w:rPr/>
          </w:pPr>
          <w:hyperlink w:anchor="__RefHeading___Toc3380740_2870459653">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3380742_2870459653">
            <w:r>
              <w:rPr>
                <w:webHidden/>
                <w:rStyle w:val="IndexLink"/>
                <w:rtl w:val="true"/>
              </w:rPr>
              <w:t>الطريق الأوّل</w:t>
            </w:r>
            <w:r>
              <w:rPr>
                <w:rStyle w:val="IndexLink"/>
                <w:rtl w:val="true"/>
              </w:rPr>
              <w:tab/>
            </w:r>
            <w:r>
              <w:rPr>
                <w:rStyle w:val="IndexLink"/>
              </w:rPr>
              <w:t>328</w:t>
            </w:r>
          </w:hyperlink>
        </w:p>
        <w:p>
          <w:pPr>
            <w:pStyle w:val="Contents5"/>
            <w:tabs>
              <w:tab w:val="clear" w:pos="7892"/>
              <w:tab w:val="right" w:pos="9026" w:leader="dot"/>
            </w:tabs>
            <w:rPr/>
          </w:pPr>
          <w:hyperlink w:anchor="__RefHeading___Toc3380744_2870459653">
            <w:r>
              <w:rPr>
                <w:webHidden/>
                <w:rStyle w:val="IndexLink"/>
                <w:rtl w:val="true"/>
              </w:rPr>
              <w:t>الطريق الآخر</w:t>
            </w:r>
            <w:r>
              <w:rPr>
                <w:rStyle w:val="IndexLink"/>
                <w:rtl w:val="true"/>
              </w:rPr>
              <w:tab/>
            </w:r>
            <w:r>
              <w:rPr>
                <w:rStyle w:val="IndexLink"/>
              </w:rPr>
              <w:t>328</w:t>
            </w:r>
          </w:hyperlink>
        </w:p>
        <w:p>
          <w:pPr>
            <w:pStyle w:val="Contents3"/>
            <w:tabs>
              <w:tab w:val="clear" w:pos="8459"/>
              <w:tab w:val="right" w:pos="9026" w:leader="dot"/>
            </w:tabs>
            <w:rPr/>
          </w:pPr>
          <w:hyperlink w:anchor="__RefHeading___Toc3380746_2870459653">
            <w:r>
              <w:rPr>
                <w:webHidden/>
                <w:rStyle w:val="IndexLink"/>
              </w:rPr>
              <w:t>3</w:t>
            </w:r>
            <w:r>
              <w:rPr>
                <w:rStyle w:val="IndexLink"/>
                <w:rtl w:val="true"/>
              </w:rPr>
              <w:t xml:space="preserve">. </w:t>
            </w:r>
            <w:r>
              <w:rPr>
                <w:rStyle w:val="IndexLink"/>
                <w:rtl w:val="true"/>
              </w:rPr>
              <w:t>داود بن كثير الرقّي</w:t>
            </w:r>
            <w:r>
              <w:rPr>
                <w:rStyle w:val="IndexLink"/>
                <w:rtl w:val="true"/>
              </w:rPr>
              <w:tab/>
            </w:r>
            <w:r>
              <w:rPr>
                <w:rStyle w:val="IndexLink"/>
              </w:rPr>
              <w:t>331</w:t>
            </w:r>
          </w:hyperlink>
        </w:p>
        <w:p>
          <w:pPr>
            <w:pStyle w:val="Contents4"/>
            <w:tabs>
              <w:tab w:val="clear" w:pos="8176"/>
              <w:tab w:val="right" w:pos="9026" w:leader="dot"/>
            </w:tabs>
            <w:rPr/>
          </w:pPr>
          <w:hyperlink w:anchor="__RefHeading___Toc3380748_2870459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380750_2870459653">
            <w:r>
              <w:rPr>
                <w:webHidden/>
                <w:rStyle w:val="IndexLink"/>
                <w:rtl w:val="true"/>
              </w:rPr>
              <w:t>الأمر الأوّل</w:t>
            </w:r>
            <w:r>
              <w:rPr>
                <w:rStyle w:val="IndexLink"/>
                <w:rtl w:val="true"/>
              </w:rPr>
              <w:tab/>
            </w:r>
            <w:r>
              <w:rPr>
                <w:rStyle w:val="IndexLink"/>
              </w:rPr>
              <w:t>331</w:t>
            </w:r>
          </w:hyperlink>
        </w:p>
        <w:p>
          <w:pPr>
            <w:pStyle w:val="Contents4"/>
            <w:tabs>
              <w:tab w:val="clear" w:pos="8176"/>
              <w:tab w:val="right" w:pos="9026" w:leader="dot"/>
            </w:tabs>
            <w:rPr/>
          </w:pPr>
          <w:hyperlink w:anchor="__RefHeading___Toc3380752_2870459653">
            <w:r>
              <w:rPr>
                <w:webHidden/>
                <w:rStyle w:val="IndexLink"/>
                <w:rtl w:val="true"/>
              </w:rPr>
              <w:t>الأمر الثاني</w:t>
            </w:r>
            <w:r>
              <w:rPr>
                <w:rStyle w:val="IndexLink"/>
                <w:rtl w:val="true"/>
              </w:rPr>
              <w:tab/>
            </w:r>
            <w:r>
              <w:rPr>
                <w:rStyle w:val="IndexLink"/>
              </w:rPr>
              <w:t>331</w:t>
            </w:r>
          </w:hyperlink>
        </w:p>
        <w:p>
          <w:pPr>
            <w:pStyle w:val="Contents4"/>
            <w:tabs>
              <w:tab w:val="clear" w:pos="8176"/>
              <w:tab w:val="right" w:pos="9026" w:leader="dot"/>
            </w:tabs>
            <w:rPr/>
          </w:pPr>
          <w:hyperlink w:anchor="__RefHeading___Toc3380754_2870459653">
            <w:r>
              <w:rPr>
                <w:webHidden/>
                <w:rStyle w:val="IndexLink"/>
                <w:rtl w:val="true"/>
              </w:rPr>
              <w:t>الأمر الثالث</w:t>
            </w:r>
            <w:r>
              <w:rPr>
                <w:rStyle w:val="IndexLink"/>
                <w:rtl w:val="true"/>
              </w:rPr>
              <w:tab/>
            </w:r>
            <w:r>
              <w:rPr>
                <w:rStyle w:val="IndexLink"/>
              </w:rPr>
              <w:t>332</w:t>
            </w:r>
          </w:hyperlink>
        </w:p>
        <w:p>
          <w:pPr>
            <w:pStyle w:val="Contents4"/>
            <w:tabs>
              <w:tab w:val="clear" w:pos="8176"/>
              <w:tab w:val="right" w:pos="9026" w:leader="dot"/>
            </w:tabs>
            <w:rPr/>
          </w:pPr>
          <w:hyperlink w:anchor="__RefHeading___Toc3380756_2870459653">
            <w:r>
              <w:rPr>
                <w:webHidden/>
                <w:rStyle w:val="IndexLink"/>
                <w:rtl w:val="true"/>
              </w:rPr>
              <w:t>الأمر الرابع</w:t>
            </w:r>
            <w:r>
              <w:rPr>
                <w:rStyle w:val="IndexLink"/>
                <w:rtl w:val="true"/>
              </w:rPr>
              <w:tab/>
            </w:r>
            <w:r>
              <w:rPr>
                <w:rStyle w:val="IndexLink"/>
              </w:rPr>
              <w:t>333</w:t>
            </w:r>
          </w:hyperlink>
        </w:p>
        <w:p>
          <w:pPr>
            <w:pStyle w:val="Contents4"/>
            <w:tabs>
              <w:tab w:val="clear" w:pos="8176"/>
              <w:tab w:val="right" w:pos="9026" w:leader="dot"/>
            </w:tabs>
            <w:rPr/>
          </w:pPr>
          <w:hyperlink w:anchor="__RefHeading___Toc3380758_2870459653">
            <w:r>
              <w:rPr>
                <w:webHidden/>
                <w:rStyle w:val="IndexLink"/>
                <w:rtl w:val="true"/>
              </w:rPr>
              <w:t>الأمر الخامس</w:t>
            </w:r>
            <w:r>
              <w:rPr>
                <w:rStyle w:val="IndexLink"/>
                <w:rtl w:val="true"/>
              </w:rPr>
              <w:tab/>
            </w:r>
            <w:r>
              <w:rPr>
                <w:rStyle w:val="IndexLink"/>
              </w:rPr>
              <w:t>333</w:t>
            </w:r>
          </w:hyperlink>
        </w:p>
        <w:p>
          <w:pPr>
            <w:pStyle w:val="Contents3"/>
            <w:tabs>
              <w:tab w:val="clear" w:pos="8459"/>
              <w:tab w:val="right" w:pos="9026" w:leader="dot"/>
            </w:tabs>
            <w:rPr/>
          </w:pPr>
          <w:hyperlink w:anchor="__RefHeading___Toc3380760_2870459653">
            <w:r>
              <w:rPr>
                <w:webHidden/>
                <w:rStyle w:val="IndexLink"/>
              </w:rPr>
              <w:t>4</w:t>
            </w:r>
            <w:r>
              <w:rPr>
                <w:rStyle w:val="IndexLink"/>
                <w:rtl w:val="true"/>
              </w:rPr>
              <w:t xml:space="preserve">. </w:t>
            </w:r>
            <w:r>
              <w:rPr>
                <w:rStyle w:val="IndexLink"/>
                <w:rtl w:val="true"/>
              </w:rPr>
              <w:t>سهل بن زياد الآدمي</w:t>
            </w:r>
            <w:r>
              <w:rPr>
                <w:rStyle w:val="IndexLink"/>
                <w:rtl w:val="true"/>
              </w:rPr>
              <w:tab/>
            </w:r>
            <w:r>
              <w:rPr>
                <w:rStyle w:val="IndexLink"/>
              </w:rPr>
              <w:t>335</w:t>
            </w:r>
          </w:hyperlink>
        </w:p>
        <w:p>
          <w:pPr>
            <w:pStyle w:val="Contents4"/>
            <w:tabs>
              <w:tab w:val="clear" w:pos="8176"/>
              <w:tab w:val="right" w:pos="9026" w:leader="dot"/>
            </w:tabs>
            <w:rPr/>
          </w:pPr>
          <w:hyperlink w:anchor="__RefHeading___Toc3380762_2870459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3380764_2870459653">
            <w:r>
              <w:rPr>
                <w:webHidden/>
                <w:rStyle w:val="IndexLink"/>
                <w:rtl w:val="true"/>
              </w:rPr>
              <w:t>الأمر الأوّل</w:t>
            </w:r>
            <w:r>
              <w:rPr>
                <w:rStyle w:val="IndexLink"/>
                <w:rtl w:val="true"/>
              </w:rPr>
              <w:tab/>
            </w:r>
            <w:r>
              <w:rPr>
                <w:rStyle w:val="IndexLink"/>
              </w:rPr>
              <w:t>337</w:t>
            </w:r>
          </w:hyperlink>
        </w:p>
        <w:p>
          <w:pPr>
            <w:pStyle w:val="Contents4"/>
            <w:tabs>
              <w:tab w:val="clear" w:pos="8176"/>
              <w:tab w:val="right" w:pos="9026" w:leader="dot"/>
            </w:tabs>
            <w:rPr/>
          </w:pPr>
          <w:hyperlink w:anchor="__RefHeading___Toc3380766_2870459653">
            <w:r>
              <w:rPr>
                <w:webHidden/>
                <w:rStyle w:val="IndexLink"/>
                <w:rtl w:val="true"/>
              </w:rPr>
              <w:t>الأمر الآخر</w:t>
            </w:r>
            <w:r>
              <w:rPr>
                <w:rStyle w:val="IndexLink"/>
                <w:rtl w:val="true"/>
              </w:rPr>
              <w:tab/>
            </w:r>
            <w:r>
              <w:rPr>
                <w:rStyle w:val="IndexLink"/>
              </w:rPr>
              <w:t>338</w:t>
            </w:r>
          </w:hyperlink>
        </w:p>
        <w:p>
          <w:pPr>
            <w:pStyle w:val="Contents3"/>
            <w:tabs>
              <w:tab w:val="clear" w:pos="8459"/>
              <w:tab w:val="right" w:pos="9026" w:leader="dot"/>
            </w:tabs>
            <w:rPr/>
          </w:pPr>
          <w:hyperlink w:anchor="__RefHeading___Toc3380768_2870459653">
            <w:r>
              <w:rPr>
                <w:webHidden/>
                <w:rStyle w:val="IndexLink"/>
              </w:rPr>
              <w:t>5</w:t>
            </w:r>
            <w:r>
              <w:rPr>
                <w:rStyle w:val="IndexLink"/>
                <w:rtl w:val="true"/>
              </w:rPr>
              <w:t xml:space="preserve">. </w:t>
            </w:r>
            <w:r>
              <w:rPr>
                <w:rStyle w:val="IndexLink"/>
                <w:rtl w:val="true"/>
              </w:rPr>
              <w:t>طلحة بن زيد</w:t>
            </w:r>
            <w:r>
              <w:rPr>
                <w:rStyle w:val="IndexLink"/>
                <w:rtl w:val="true"/>
              </w:rPr>
              <w:tab/>
            </w:r>
            <w:r>
              <w:rPr>
                <w:rStyle w:val="IndexLink"/>
              </w:rPr>
              <w:t>342</w:t>
            </w:r>
          </w:hyperlink>
        </w:p>
        <w:p>
          <w:pPr>
            <w:pStyle w:val="Contents4"/>
            <w:tabs>
              <w:tab w:val="clear" w:pos="8176"/>
              <w:tab w:val="right" w:pos="9026" w:leader="dot"/>
            </w:tabs>
            <w:rPr/>
          </w:pPr>
          <w:hyperlink w:anchor="__RefHeading___Toc3380770_2870459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3380772_2870459653">
            <w:r>
              <w:rPr>
                <w:webHidden/>
                <w:rStyle w:val="IndexLink"/>
                <w:rtl w:val="true"/>
              </w:rPr>
              <w:t>الوجه الأوّل</w:t>
            </w:r>
            <w:r>
              <w:rPr>
                <w:rStyle w:val="IndexLink"/>
                <w:rtl w:val="true"/>
              </w:rPr>
              <w:tab/>
            </w:r>
            <w:r>
              <w:rPr>
                <w:rStyle w:val="IndexLink"/>
              </w:rPr>
              <w:t>345</w:t>
            </w:r>
          </w:hyperlink>
        </w:p>
        <w:p>
          <w:pPr>
            <w:pStyle w:val="Contents4"/>
            <w:tabs>
              <w:tab w:val="clear" w:pos="8176"/>
              <w:tab w:val="right" w:pos="9026" w:leader="dot"/>
            </w:tabs>
            <w:rPr/>
          </w:pPr>
          <w:hyperlink w:anchor="__RefHeading___Toc3380774_2870459653">
            <w:r>
              <w:rPr>
                <w:webHidden/>
                <w:rStyle w:val="IndexLink"/>
                <w:rtl w:val="true"/>
              </w:rPr>
              <w:t>الوجه الثاني</w:t>
            </w:r>
            <w:r>
              <w:rPr>
                <w:rStyle w:val="IndexLink"/>
                <w:rtl w:val="true"/>
              </w:rPr>
              <w:tab/>
            </w:r>
            <w:r>
              <w:rPr>
                <w:rStyle w:val="IndexLink"/>
              </w:rPr>
              <w:t>346</w:t>
            </w:r>
          </w:hyperlink>
        </w:p>
        <w:p>
          <w:pPr>
            <w:pStyle w:val="Contents4"/>
            <w:tabs>
              <w:tab w:val="clear" w:pos="8176"/>
              <w:tab w:val="right" w:pos="9026" w:leader="dot"/>
            </w:tabs>
            <w:rPr/>
          </w:pPr>
          <w:hyperlink w:anchor="__RefHeading___Toc3380776_2870459653">
            <w:r>
              <w:rPr>
                <w:webHidden/>
                <w:rStyle w:val="IndexLink"/>
                <w:rtl w:val="true"/>
              </w:rPr>
              <w:t>الوجه الثالث</w:t>
            </w:r>
            <w:r>
              <w:rPr>
                <w:rStyle w:val="IndexLink"/>
                <w:rtl w:val="true"/>
              </w:rPr>
              <w:tab/>
            </w:r>
            <w:r>
              <w:rPr>
                <w:rStyle w:val="IndexLink"/>
              </w:rPr>
              <w:t>346</w:t>
            </w:r>
          </w:hyperlink>
        </w:p>
        <w:p>
          <w:pPr>
            <w:pStyle w:val="Contents5"/>
            <w:tabs>
              <w:tab w:val="clear" w:pos="7892"/>
              <w:tab w:val="right" w:pos="9026" w:leader="dot"/>
            </w:tabs>
            <w:rPr/>
          </w:pPr>
          <w:hyperlink w:anchor="__RefHeading___Toc3380778_2870459653">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380780_2870459653">
            <w:r>
              <w:rPr>
                <w:webHidden/>
                <w:rStyle w:val="IndexLink"/>
                <w:rtl w:val="true"/>
              </w:rPr>
              <w:t>الأمر الأوّل</w:t>
            </w:r>
            <w:r>
              <w:rPr>
                <w:rStyle w:val="IndexLink"/>
                <w:rtl w:val="true"/>
              </w:rPr>
              <w:tab/>
            </w:r>
            <w:r>
              <w:rPr>
                <w:rStyle w:val="IndexLink"/>
              </w:rPr>
              <w:t>347</w:t>
            </w:r>
          </w:hyperlink>
        </w:p>
        <w:p>
          <w:pPr>
            <w:pStyle w:val="Contents5"/>
            <w:tabs>
              <w:tab w:val="clear" w:pos="7892"/>
              <w:tab w:val="right" w:pos="9026" w:leader="dot"/>
            </w:tabs>
            <w:rPr/>
          </w:pPr>
          <w:hyperlink w:anchor="__RefHeading___Toc3380782_2870459653">
            <w:r>
              <w:rPr>
                <w:webHidden/>
                <w:rStyle w:val="IndexLink"/>
                <w:rtl w:val="true"/>
              </w:rPr>
              <w:t>الأمر الثاني</w:t>
            </w:r>
            <w:r>
              <w:rPr>
                <w:rStyle w:val="IndexLink"/>
                <w:rtl w:val="true"/>
              </w:rPr>
              <w:tab/>
            </w:r>
            <w:r>
              <w:rPr>
                <w:rStyle w:val="IndexLink"/>
              </w:rPr>
              <w:t>347</w:t>
            </w:r>
          </w:hyperlink>
        </w:p>
        <w:p>
          <w:pPr>
            <w:pStyle w:val="Contents5"/>
            <w:tabs>
              <w:tab w:val="clear" w:pos="7892"/>
              <w:tab w:val="right" w:pos="9026" w:leader="dot"/>
            </w:tabs>
            <w:rPr/>
          </w:pPr>
          <w:hyperlink w:anchor="__RefHeading___Toc3380784_2870459653">
            <w:r>
              <w:rPr>
                <w:webHidden/>
                <w:rStyle w:val="IndexLink"/>
                <w:rtl w:val="true"/>
              </w:rPr>
              <w:t>الأمر الثالث</w:t>
            </w:r>
            <w:r>
              <w:rPr>
                <w:rStyle w:val="IndexLink"/>
                <w:rtl w:val="true"/>
              </w:rPr>
              <w:tab/>
            </w:r>
            <w:r>
              <w:rPr>
                <w:rStyle w:val="IndexLink"/>
              </w:rPr>
              <w:t>348</w:t>
            </w:r>
          </w:hyperlink>
        </w:p>
        <w:p>
          <w:pPr>
            <w:pStyle w:val="Contents3"/>
            <w:tabs>
              <w:tab w:val="clear" w:pos="8459"/>
              <w:tab w:val="right" w:pos="9026" w:leader="dot"/>
            </w:tabs>
            <w:rPr/>
          </w:pPr>
          <w:hyperlink w:anchor="__RefHeading___Toc3380786_2870459653">
            <w:r>
              <w:rPr>
                <w:webHidden/>
                <w:rStyle w:val="IndexLink"/>
              </w:rPr>
              <w:t>6</w:t>
            </w:r>
            <w:r>
              <w:rPr>
                <w:rStyle w:val="IndexLink"/>
                <w:rtl w:val="true"/>
              </w:rPr>
              <w:t xml:space="preserve">. </w:t>
            </w:r>
            <w:r>
              <w:rPr>
                <w:rStyle w:val="IndexLink"/>
                <w:rtl w:val="true"/>
              </w:rPr>
              <w:t>عبد الواحد بن محمّد بن عبدوس</w:t>
            </w:r>
            <w:r>
              <w:rPr>
                <w:rStyle w:val="IndexLink"/>
                <w:rtl w:val="true"/>
              </w:rPr>
              <w:tab/>
            </w:r>
            <w:r>
              <w:rPr>
                <w:rStyle w:val="IndexLink"/>
              </w:rPr>
              <w:t>348</w:t>
            </w:r>
          </w:hyperlink>
        </w:p>
        <w:p>
          <w:pPr>
            <w:pStyle w:val="Contents4"/>
            <w:tabs>
              <w:tab w:val="clear" w:pos="8176"/>
              <w:tab w:val="right" w:pos="9026" w:leader="dot"/>
            </w:tabs>
            <w:rPr/>
          </w:pPr>
          <w:hyperlink w:anchor="__RefHeading___Toc3380788_2870459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380790_2870459653">
            <w:r>
              <w:rPr>
                <w:webHidden/>
                <w:rStyle w:val="IndexLink"/>
                <w:rtl w:val="true"/>
              </w:rPr>
              <w:t>القول الأوّل</w:t>
            </w:r>
            <w:r>
              <w:rPr>
                <w:rStyle w:val="IndexLink"/>
                <w:rtl w:val="true"/>
              </w:rPr>
              <w:tab/>
            </w:r>
            <w:r>
              <w:rPr>
                <w:rStyle w:val="IndexLink"/>
              </w:rPr>
              <w:t>349</w:t>
            </w:r>
          </w:hyperlink>
        </w:p>
        <w:p>
          <w:pPr>
            <w:pStyle w:val="Contents4"/>
            <w:tabs>
              <w:tab w:val="clear" w:pos="8176"/>
              <w:tab w:val="right" w:pos="9026" w:leader="dot"/>
            </w:tabs>
            <w:rPr/>
          </w:pPr>
          <w:hyperlink w:anchor="__RefHeading___Toc3380792_2870459653">
            <w:r>
              <w:rPr>
                <w:webHidden/>
                <w:rStyle w:val="IndexLink"/>
                <w:rtl w:val="true"/>
              </w:rPr>
              <w:t>القول الثاني</w:t>
            </w:r>
            <w:r>
              <w:rPr>
                <w:rStyle w:val="IndexLink"/>
                <w:rtl w:val="true"/>
              </w:rPr>
              <w:tab/>
            </w:r>
            <w:r>
              <w:rPr>
                <w:rStyle w:val="IndexLink"/>
              </w:rPr>
              <w:t>349</w:t>
            </w:r>
          </w:hyperlink>
        </w:p>
        <w:p>
          <w:pPr>
            <w:pStyle w:val="Contents4"/>
            <w:tabs>
              <w:tab w:val="clear" w:pos="8176"/>
              <w:tab w:val="right" w:pos="9026" w:leader="dot"/>
            </w:tabs>
            <w:rPr/>
          </w:pPr>
          <w:hyperlink w:anchor="__RefHeading___Toc3380794_2870459653">
            <w:r>
              <w:rPr>
                <w:webHidden/>
                <w:rStyle w:val="IndexLink"/>
                <w:rtl w:val="true"/>
              </w:rPr>
              <w:t>القول الثالث</w:t>
            </w:r>
            <w:r>
              <w:rPr>
                <w:rStyle w:val="IndexLink"/>
                <w:rtl w:val="true"/>
              </w:rPr>
              <w:tab/>
            </w:r>
            <w:r>
              <w:rPr>
                <w:rStyle w:val="IndexLink"/>
              </w:rPr>
              <w:t>349</w:t>
            </w:r>
          </w:hyperlink>
        </w:p>
        <w:p>
          <w:pPr>
            <w:pStyle w:val="Contents4"/>
            <w:tabs>
              <w:tab w:val="clear" w:pos="8176"/>
              <w:tab w:val="right" w:pos="9026" w:leader="dot"/>
            </w:tabs>
            <w:rPr/>
          </w:pPr>
          <w:hyperlink w:anchor="__RefHeading___Toc3380796_2870459653">
            <w:r>
              <w:rPr>
                <w:webHidden/>
                <w:rStyle w:val="IndexLink"/>
                <w:rtl w:val="true"/>
              </w:rPr>
              <w:t>القول الرابع</w:t>
            </w:r>
            <w:r>
              <w:rPr>
                <w:rStyle w:val="IndexLink"/>
                <w:rtl w:val="true"/>
              </w:rPr>
              <w:tab/>
            </w:r>
            <w:r>
              <w:rPr>
                <w:rStyle w:val="IndexLink"/>
              </w:rPr>
              <w:t>350</w:t>
            </w:r>
          </w:hyperlink>
        </w:p>
        <w:p>
          <w:pPr>
            <w:pStyle w:val="Contents3"/>
            <w:tabs>
              <w:tab w:val="clear" w:pos="8459"/>
              <w:tab w:val="right" w:pos="9026" w:leader="dot"/>
            </w:tabs>
            <w:rPr/>
          </w:pPr>
          <w:hyperlink w:anchor="__RefHeading___Toc3380798_2870459653">
            <w:r>
              <w:rPr>
                <w:webHidden/>
                <w:rStyle w:val="IndexLink"/>
              </w:rPr>
              <w:t>7</w:t>
            </w:r>
            <w:r>
              <w:rPr>
                <w:rStyle w:val="IndexLink"/>
                <w:rtl w:val="true"/>
              </w:rPr>
              <w:t xml:space="preserve">. </w:t>
            </w:r>
            <w:r>
              <w:rPr>
                <w:rStyle w:val="IndexLink"/>
                <w:rtl w:val="true"/>
              </w:rPr>
              <w:t>عليّ بن أبي حمزة البطائني</w:t>
            </w:r>
            <w:r>
              <w:rPr>
                <w:rStyle w:val="IndexLink"/>
                <w:rtl w:val="true"/>
              </w:rPr>
              <w:tab/>
            </w:r>
            <w:r>
              <w:rPr>
                <w:rStyle w:val="IndexLink"/>
              </w:rPr>
              <w:t>352</w:t>
            </w:r>
          </w:hyperlink>
        </w:p>
        <w:p>
          <w:pPr>
            <w:pStyle w:val="Contents3"/>
            <w:tabs>
              <w:tab w:val="clear" w:pos="8459"/>
              <w:tab w:val="right" w:pos="9026" w:leader="dot"/>
            </w:tabs>
            <w:rPr/>
          </w:pPr>
          <w:hyperlink w:anchor="__RefHeading___Toc3380800_2870459653">
            <w:r>
              <w:rPr>
                <w:webHidden/>
                <w:rStyle w:val="IndexLink"/>
              </w:rPr>
              <w:t>8</w:t>
            </w:r>
            <w:r>
              <w:rPr>
                <w:rStyle w:val="IndexLink"/>
                <w:rtl w:val="true"/>
              </w:rPr>
              <w:t xml:space="preserve">. </w:t>
            </w:r>
            <w:r>
              <w:rPr>
                <w:rStyle w:val="IndexLink"/>
                <w:rtl w:val="true"/>
              </w:rPr>
              <w:t>محمّد بن إسماعيل</w:t>
            </w:r>
            <w:r>
              <w:rPr>
                <w:rStyle w:val="IndexLink"/>
                <w:rtl w:val="true"/>
              </w:rPr>
              <w:tab/>
            </w:r>
            <w:r>
              <w:rPr>
                <w:rStyle w:val="IndexLink"/>
              </w:rPr>
              <w:t>355</w:t>
            </w:r>
          </w:hyperlink>
        </w:p>
        <w:p>
          <w:pPr>
            <w:pStyle w:val="Contents4"/>
            <w:tabs>
              <w:tab w:val="clear" w:pos="8176"/>
              <w:tab w:val="right" w:pos="9026" w:leader="dot"/>
            </w:tabs>
            <w:rPr/>
          </w:pPr>
          <w:hyperlink w:anchor="__RefHeading___Toc3380802_2870459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3380804_2870459653">
            <w:r>
              <w:rPr>
                <w:webHidden/>
                <w:rStyle w:val="IndexLink"/>
                <w:rtl w:val="true"/>
              </w:rPr>
              <w:t>الجهة الأولى</w:t>
            </w:r>
            <w:r>
              <w:rPr>
                <w:rStyle w:val="IndexLink"/>
                <w:rtl w:val="true"/>
              </w:rPr>
              <w:t xml:space="preserve">: </w:t>
            </w:r>
            <w:r>
              <w:rPr>
                <w:rStyle w:val="IndexLink"/>
                <w:rtl w:val="true"/>
              </w:rPr>
              <w:t>تعيين المبحوث عنه</w:t>
            </w:r>
            <w:r>
              <w:rPr>
                <w:rStyle w:val="IndexLink"/>
                <w:rtl w:val="true"/>
              </w:rPr>
              <w:tab/>
            </w:r>
            <w:r>
              <w:rPr>
                <w:rStyle w:val="IndexLink"/>
              </w:rPr>
              <w:t>356</w:t>
            </w:r>
          </w:hyperlink>
        </w:p>
        <w:p>
          <w:pPr>
            <w:pStyle w:val="Contents4"/>
            <w:tabs>
              <w:tab w:val="clear" w:pos="8176"/>
              <w:tab w:val="right" w:pos="9026" w:leader="dot"/>
            </w:tabs>
            <w:rPr/>
          </w:pPr>
          <w:hyperlink w:anchor="__RefHeading___Toc3380806_2870459653">
            <w:r>
              <w:rPr>
                <w:webHidden/>
                <w:rStyle w:val="IndexLink"/>
                <w:rtl w:val="true"/>
              </w:rPr>
              <w:t>الجهة الأخرى</w:t>
            </w:r>
            <w:r>
              <w:rPr>
                <w:rStyle w:val="IndexLink"/>
                <w:rtl w:val="true"/>
              </w:rPr>
              <w:t xml:space="preserve">: </w:t>
            </w:r>
            <w:r>
              <w:rPr>
                <w:rStyle w:val="IndexLink"/>
                <w:rtl w:val="true"/>
              </w:rPr>
              <w:t>وثاقته</w:t>
            </w:r>
            <w:r>
              <w:rPr>
                <w:rStyle w:val="IndexLink"/>
                <w:rtl w:val="true"/>
              </w:rPr>
              <w:tab/>
            </w:r>
            <w:r>
              <w:rPr>
                <w:rStyle w:val="IndexLink"/>
              </w:rPr>
              <w:t>362</w:t>
            </w:r>
          </w:hyperlink>
        </w:p>
        <w:p>
          <w:pPr>
            <w:pStyle w:val="Contents3"/>
            <w:tabs>
              <w:tab w:val="clear" w:pos="8459"/>
              <w:tab w:val="right" w:pos="9026" w:leader="dot"/>
            </w:tabs>
            <w:rPr/>
          </w:pPr>
          <w:hyperlink w:anchor="__RefHeading___Toc3380808_2870459653">
            <w:r>
              <w:rPr>
                <w:webHidden/>
                <w:rStyle w:val="IndexLink"/>
              </w:rPr>
              <w:t>9</w:t>
            </w:r>
            <w:r>
              <w:rPr>
                <w:rStyle w:val="IndexLink"/>
                <w:rtl w:val="true"/>
              </w:rPr>
              <w:t xml:space="preserve">. </w:t>
            </w:r>
            <w:r>
              <w:rPr>
                <w:rStyle w:val="IndexLink"/>
                <w:rtl w:val="true"/>
              </w:rPr>
              <w:t>محمّد ابن سنان</w:t>
            </w:r>
            <w:r>
              <w:rPr>
                <w:rStyle w:val="IndexLink"/>
                <w:rtl w:val="true"/>
              </w:rPr>
              <w:tab/>
            </w:r>
            <w:r>
              <w:rPr>
                <w:rStyle w:val="IndexLink"/>
              </w:rPr>
              <w:t>365</w:t>
            </w:r>
          </w:hyperlink>
        </w:p>
        <w:p>
          <w:pPr>
            <w:pStyle w:val="Contents4"/>
            <w:tabs>
              <w:tab w:val="clear" w:pos="8176"/>
              <w:tab w:val="right" w:pos="9026" w:leader="dot"/>
            </w:tabs>
            <w:rPr/>
          </w:pPr>
          <w:hyperlink w:anchor="__RefHeading___Toc3380810_2870459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3380812_2870459653">
            <w:r>
              <w:rPr>
                <w:webHidden/>
                <w:rStyle w:val="IndexLink"/>
                <w:rtl w:val="true"/>
              </w:rPr>
              <w:t>الأمر الأوّل</w:t>
            </w:r>
            <w:r>
              <w:rPr>
                <w:rStyle w:val="IndexLink"/>
                <w:rtl w:val="true"/>
              </w:rPr>
              <w:tab/>
            </w:r>
            <w:r>
              <w:rPr>
                <w:rStyle w:val="IndexLink"/>
              </w:rPr>
              <w:t>367</w:t>
            </w:r>
          </w:hyperlink>
        </w:p>
        <w:p>
          <w:pPr>
            <w:pStyle w:val="Contents4"/>
            <w:tabs>
              <w:tab w:val="clear" w:pos="8176"/>
              <w:tab w:val="right" w:pos="9026" w:leader="dot"/>
            </w:tabs>
            <w:rPr/>
          </w:pPr>
          <w:hyperlink w:anchor="__RefHeading___Toc3380814_2870459653">
            <w:r>
              <w:rPr>
                <w:webHidden/>
                <w:rStyle w:val="IndexLink"/>
                <w:rtl w:val="true"/>
              </w:rPr>
              <w:t>الأمر الثاني</w:t>
            </w:r>
            <w:r>
              <w:rPr>
                <w:rStyle w:val="IndexLink"/>
                <w:rtl w:val="true"/>
              </w:rPr>
              <w:tab/>
            </w:r>
            <w:r>
              <w:rPr>
                <w:rStyle w:val="IndexLink"/>
              </w:rPr>
              <w:t>367</w:t>
            </w:r>
          </w:hyperlink>
        </w:p>
        <w:p>
          <w:pPr>
            <w:pStyle w:val="Contents4"/>
            <w:tabs>
              <w:tab w:val="clear" w:pos="8176"/>
              <w:tab w:val="right" w:pos="9026" w:leader="dot"/>
            </w:tabs>
            <w:rPr/>
          </w:pPr>
          <w:hyperlink w:anchor="__RefHeading___Toc3380816_2870459653">
            <w:r>
              <w:rPr>
                <w:webHidden/>
                <w:rStyle w:val="IndexLink"/>
                <w:rtl w:val="true"/>
              </w:rPr>
              <w:t>الأمر الثالث</w:t>
            </w:r>
            <w:r>
              <w:rPr>
                <w:rStyle w:val="IndexLink"/>
                <w:rtl w:val="true"/>
              </w:rPr>
              <w:tab/>
            </w:r>
            <w:r>
              <w:rPr>
                <w:rStyle w:val="IndexLink"/>
              </w:rPr>
              <w:t>368</w:t>
            </w:r>
          </w:hyperlink>
        </w:p>
        <w:p>
          <w:pPr>
            <w:pStyle w:val="Contents4"/>
            <w:tabs>
              <w:tab w:val="clear" w:pos="8176"/>
              <w:tab w:val="right" w:pos="9026" w:leader="dot"/>
            </w:tabs>
            <w:rPr/>
          </w:pPr>
          <w:hyperlink w:anchor="__RefHeading___Toc3380818_2870459653">
            <w:r>
              <w:rPr>
                <w:webHidden/>
                <w:rStyle w:val="IndexLink"/>
                <w:rtl w:val="true"/>
              </w:rPr>
              <w:t>الأمر الرابع</w:t>
            </w:r>
            <w:r>
              <w:rPr>
                <w:rStyle w:val="IndexLink"/>
                <w:rtl w:val="true"/>
              </w:rPr>
              <w:tab/>
            </w:r>
            <w:r>
              <w:rPr>
                <w:rStyle w:val="IndexLink"/>
              </w:rPr>
              <w:t>368</w:t>
            </w:r>
          </w:hyperlink>
        </w:p>
        <w:p>
          <w:pPr>
            <w:pStyle w:val="Contents3"/>
            <w:tabs>
              <w:tab w:val="clear" w:pos="8459"/>
              <w:tab w:val="right" w:pos="9026" w:leader="dot"/>
            </w:tabs>
            <w:rPr/>
          </w:pPr>
          <w:hyperlink w:anchor="__RefHeading___Toc3380820_2870459653">
            <w:r>
              <w:rPr>
                <w:webHidden/>
                <w:rStyle w:val="IndexLink"/>
              </w:rPr>
              <w:t>10</w:t>
            </w:r>
            <w:r>
              <w:rPr>
                <w:rStyle w:val="IndexLink"/>
                <w:rtl w:val="true"/>
              </w:rPr>
              <w:t xml:space="preserve">. </w:t>
            </w:r>
            <w:r>
              <w:rPr>
                <w:rStyle w:val="IndexLink"/>
                <w:rtl w:val="true"/>
              </w:rPr>
              <w:t>المعلّى بن خنيس</w:t>
            </w:r>
            <w:r>
              <w:rPr>
                <w:rStyle w:val="IndexLink"/>
                <w:rtl w:val="true"/>
              </w:rPr>
              <w:tab/>
            </w:r>
            <w:r>
              <w:rPr>
                <w:rStyle w:val="IndexLink"/>
              </w:rPr>
              <w:t>370</w:t>
            </w:r>
          </w:hyperlink>
        </w:p>
        <w:p>
          <w:pPr>
            <w:pStyle w:val="Contents4"/>
            <w:tabs>
              <w:tab w:val="clear" w:pos="8176"/>
              <w:tab w:val="right" w:pos="9026" w:leader="dot"/>
            </w:tabs>
            <w:rPr/>
          </w:pPr>
          <w:hyperlink w:anchor="__RefHeading___Toc3380822_2870459653">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3380824_2870459653">
            <w:r>
              <w:rPr>
                <w:webHidden/>
                <w:rStyle w:val="IndexLink"/>
                <w:rtl w:val="true"/>
              </w:rPr>
              <w:t>أمّا الجرح فأمران</w:t>
            </w:r>
            <w:r>
              <w:rPr>
                <w:rStyle w:val="IndexLink"/>
                <w:rtl w:val="true"/>
              </w:rPr>
              <w:tab/>
            </w:r>
            <w:r>
              <w:rPr>
                <w:rStyle w:val="IndexLink"/>
              </w:rPr>
              <w:t>371</w:t>
            </w:r>
          </w:hyperlink>
        </w:p>
        <w:p>
          <w:pPr>
            <w:pStyle w:val="Contents5"/>
            <w:tabs>
              <w:tab w:val="clear" w:pos="7892"/>
              <w:tab w:val="right" w:pos="9026" w:leader="dot"/>
            </w:tabs>
            <w:rPr/>
          </w:pPr>
          <w:hyperlink w:anchor="__RefHeading___Toc3380826_2870459653">
            <w:r>
              <w:rPr>
                <w:webHidden/>
                <w:rStyle w:val="IndexLink"/>
                <w:rtl w:val="true"/>
              </w:rPr>
              <w:t>الأمر الأوّل</w:t>
            </w:r>
            <w:r>
              <w:rPr>
                <w:rStyle w:val="IndexLink"/>
                <w:rtl w:val="true"/>
              </w:rPr>
              <w:t xml:space="preserve">: </w:t>
            </w:r>
            <w:r>
              <w:rPr>
                <w:rStyle w:val="IndexLink"/>
                <w:rtl w:val="true"/>
              </w:rPr>
              <w:t>الأخبار الذامّة</w:t>
            </w:r>
            <w:r>
              <w:rPr>
                <w:rStyle w:val="IndexLink"/>
                <w:rtl w:val="true"/>
              </w:rPr>
              <w:tab/>
            </w:r>
            <w:r>
              <w:rPr>
                <w:rStyle w:val="IndexLink"/>
              </w:rPr>
              <w:t>371</w:t>
            </w:r>
          </w:hyperlink>
        </w:p>
        <w:p>
          <w:pPr>
            <w:pStyle w:val="Contents5"/>
            <w:tabs>
              <w:tab w:val="clear" w:pos="7892"/>
              <w:tab w:val="right" w:pos="9026" w:leader="dot"/>
            </w:tabs>
            <w:rPr/>
          </w:pPr>
          <w:hyperlink w:anchor="__RefHeading___Toc3380828_2870459653">
            <w:r>
              <w:rPr>
                <w:webHidden/>
                <w:rStyle w:val="IndexLink"/>
                <w:rtl w:val="true"/>
              </w:rPr>
              <w:t>الأمر الآخر</w:t>
            </w:r>
            <w:r>
              <w:rPr>
                <w:rStyle w:val="IndexLink"/>
                <w:rtl w:val="true"/>
              </w:rPr>
              <w:t xml:space="preserve">: </w:t>
            </w:r>
            <w:r>
              <w:rPr>
                <w:rStyle w:val="IndexLink"/>
                <w:rtl w:val="true"/>
              </w:rPr>
              <w:t>نصّ بعض أئمّة الرجال على ضعفه</w:t>
            </w:r>
            <w:r>
              <w:rPr>
                <w:rStyle w:val="IndexLink"/>
                <w:rtl w:val="true"/>
              </w:rPr>
              <w:tab/>
            </w:r>
            <w:r>
              <w:rPr>
                <w:rStyle w:val="IndexLink"/>
              </w:rPr>
              <w:t>373</w:t>
            </w:r>
          </w:hyperlink>
        </w:p>
        <w:p>
          <w:pPr>
            <w:pStyle w:val="Contents4"/>
            <w:tabs>
              <w:tab w:val="clear" w:pos="8176"/>
              <w:tab w:val="right" w:pos="9026" w:leader="dot"/>
            </w:tabs>
            <w:rPr/>
          </w:pPr>
          <w:hyperlink w:anchor="__RefHeading___Toc3380830_2870459653">
            <w:r>
              <w:rPr>
                <w:webHidden/>
                <w:rStyle w:val="IndexLink"/>
                <w:rtl w:val="true"/>
              </w:rPr>
              <w:t>وأمّا التعديل فأمران أيضاً</w:t>
            </w:r>
            <w:r>
              <w:rPr>
                <w:rStyle w:val="IndexLink"/>
                <w:rtl w:val="true"/>
              </w:rPr>
              <w:tab/>
            </w:r>
            <w:r>
              <w:rPr>
                <w:rStyle w:val="IndexLink"/>
              </w:rPr>
              <w:t>373</w:t>
            </w:r>
          </w:hyperlink>
        </w:p>
        <w:p>
          <w:pPr>
            <w:pStyle w:val="Contents5"/>
            <w:tabs>
              <w:tab w:val="clear" w:pos="7892"/>
              <w:tab w:val="right" w:pos="9026" w:leader="dot"/>
            </w:tabs>
            <w:rPr/>
          </w:pPr>
          <w:hyperlink w:anchor="__RefHeading___Toc3380832_2870459653">
            <w:r>
              <w:rPr>
                <w:webHidden/>
                <w:rStyle w:val="IndexLink"/>
                <w:rtl w:val="true"/>
              </w:rPr>
              <w:t>الأمر الأوّل</w:t>
            </w:r>
            <w:r>
              <w:rPr>
                <w:rStyle w:val="IndexLink"/>
                <w:rtl w:val="true"/>
              </w:rPr>
              <w:t xml:space="preserve">: </w:t>
            </w:r>
            <w:r>
              <w:rPr>
                <w:rStyle w:val="IndexLink"/>
                <w:rtl w:val="true"/>
              </w:rPr>
              <w:t>الأخبار المادحة، وهي عدّة أيضاً</w:t>
            </w:r>
            <w:r>
              <w:rPr>
                <w:rStyle w:val="IndexLink"/>
                <w:rtl w:val="true"/>
              </w:rPr>
              <w:t>..</w:t>
              <w:tab/>
            </w:r>
            <w:r>
              <w:rPr>
                <w:rStyle w:val="IndexLink"/>
              </w:rPr>
              <w:t>373</w:t>
            </w:r>
          </w:hyperlink>
        </w:p>
        <w:p>
          <w:pPr>
            <w:pStyle w:val="Contents5"/>
            <w:tabs>
              <w:tab w:val="clear" w:pos="7892"/>
              <w:tab w:val="right" w:pos="9026" w:leader="dot"/>
            </w:tabs>
            <w:rPr/>
          </w:pPr>
          <w:hyperlink w:anchor="__RefHeading___Toc3380834_2870459653">
            <w:r>
              <w:rPr>
                <w:webHidden/>
                <w:rStyle w:val="IndexLink"/>
                <w:rtl w:val="true"/>
              </w:rPr>
              <w:t>الأمر الآخر</w:t>
            </w:r>
            <w:r>
              <w:rPr>
                <w:rStyle w:val="IndexLink"/>
                <w:rtl w:val="true"/>
              </w:rPr>
              <w:t xml:space="preserve">: </w:t>
            </w:r>
            <w:r>
              <w:rPr>
                <w:rStyle w:val="IndexLink"/>
                <w:rtl w:val="true"/>
              </w:rPr>
              <w:t>ذِكْر الشيخ له في الوكلاء المحمودين</w:t>
            </w:r>
            <w:r>
              <w:rPr>
                <w:rStyle w:val="IndexLink"/>
                <w:rtl w:val="true"/>
              </w:rPr>
              <w:tab/>
            </w:r>
            <w:r>
              <w:rPr>
                <w:rStyle w:val="IndexLink"/>
              </w:rPr>
              <w:t>374</w:t>
            </w:r>
          </w:hyperlink>
        </w:p>
        <w:p>
          <w:pPr>
            <w:pStyle w:val="Contents2"/>
            <w:tabs>
              <w:tab w:val="clear" w:pos="8743"/>
              <w:tab w:val="right" w:pos="9026" w:leader="dot"/>
            </w:tabs>
            <w:rPr/>
          </w:pPr>
          <w:hyperlink w:anchor="__RefHeading___Toc3380836_2870459653">
            <w:r>
              <w:rPr>
                <w:webHidden/>
                <w:rStyle w:val="IndexLink"/>
                <w:rtl w:val="true"/>
              </w:rPr>
              <w:t xml:space="preserve">قاعدة </w:t>
            </w:r>
            <w:r>
              <w:rPr>
                <w:rStyle w:val="IndexLink"/>
                <w:rtl w:val="true"/>
              </w:rPr>
              <w:t>(</w:t>
            </w:r>
            <w:r>
              <w:rPr>
                <w:rStyle w:val="IndexLink"/>
                <w:rtl w:val="true"/>
              </w:rPr>
              <w:t xml:space="preserve">الواحد لا يصدر عنه إلا الواحد </w:t>
            </w:r>
            <w:r>
              <w:rPr>
                <w:rStyle w:val="IndexLink"/>
                <w:rtl w:val="true"/>
              </w:rPr>
              <w:t xml:space="preserve">) </w:t>
            </w:r>
            <w:r>
              <w:rPr>
                <w:rStyle w:val="IndexLink"/>
                <w:rtl w:val="true"/>
              </w:rPr>
              <w:t xml:space="preserve">للفقيه الكبير الشّيخ فتح الله الأصفهانيّ المعروف بشيخ الشّريعة </w:t>
            </w:r>
            <w:r>
              <w:rPr>
                <w:rStyle w:val="IndexLink"/>
                <w:rtl w:val="true"/>
              </w:rPr>
              <w:t>(</w:t>
            </w:r>
            <w:r>
              <w:rPr>
                <w:rStyle w:val="IndexLink"/>
                <w:rtl w:val="true"/>
              </w:rPr>
              <w:t>قدس سره</w:t>
            </w:r>
            <w:r>
              <w:rPr>
                <w:rStyle w:val="IndexLink"/>
                <w:rtl w:val="true"/>
              </w:rPr>
              <w:t xml:space="preserve">) - </w:t>
            </w:r>
            <w:r>
              <w:rPr>
                <w:rStyle w:val="IndexLink"/>
                <w:rtl w:val="true"/>
              </w:rPr>
              <w:t xml:space="preserve">الشّيخ قاسم الطّائيّ </w:t>
            </w:r>
            <w:r>
              <w:rPr>
                <w:rStyle w:val="IndexLink"/>
                <w:rtl w:val="true"/>
              </w:rPr>
              <w:t>(</w:t>
            </w:r>
            <w:r>
              <w:rPr>
                <w:rStyle w:val="IndexLink"/>
                <w:rtl w:val="true"/>
              </w:rPr>
              <w:t>دام عزه</w:t>
            </w:r>
            <w:r>
              <w:rPr>
                <w:rStyle w:val="IndexLink"/>
                <w:rtl w:val="true"/>
              </w:rPr>
              <w:t>)</w:t>
              <w:tab/>
            </w:r>
            <w:r>
              <w:rPr>
                <w:rStyle w:val="IndexLink"/>
              </w:rPr>
              <w:t>379</w:t>
            </w:r>
          </w:hyperlink>
        </w:p>
        <w:p>
          <w:pPr>
            <w:pStyle w:val="Contents3"/>
            <w:tabs>
              <w:tab w:val="clear" w:pos="8459"/>
              <w:tab w:val="right" w:pos="9026" w:leader="dot"/>
            </w:tabs>
            <w:rPr/>
          </w:pPr>
          <w:hyperlink w:anchor="__RefHeading___Toc3380838_2870459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3380840_2870459653">
            <w:r>
              <w:rPr>
                <w:webHidden/>
                <w:rStyle w:val="IndexLink"/>
                <w:rtl w:val="true"/>
              </w:rPr>
              <w:t>المقدّمة</w:t>
            </w:r>
            <w:r>
              <w:rPr>
                <w:rStyle w:val="IndexLink"/>
                <w:rtl w:val="true"/>
              </w:rPr>
              <w:tab/>
            </w:r>
            <w:r>
              <w:rPr>
                <w:rStyle w:val="IndexLink"/>
              </w:rPr>
              <w:t>383</w:t>
            </w:r>
          </w:hyperlink>
        </w:p>
        <w:p>
          <w:pPr>
            <w:pStyle w:val="Contents4"/>
            <w:tabs>
              <w:tab w:val="clear" w:pos="8176"/>
              <w:tab w:val="right" w:pos="9026" w:leader="dot"/>
            </w:tabs>
            <w:rPr/>
          </w:pPr>
          <w:hyperlink w:anchor="__RefHeading___Toc3380842_2870459653">
            <w:r>
              <w:rPr>
                <w:webHidden/>
                <w:rStyle w:val="IndexLink"/>
                <w:rtl w:val="true"/>
              </w:rPr>
              <w:t>الأمر الأوّل</w:t>
            </w:r>
            <w:r>
              <w:rPr>
                <w:rStyle w:val="IndexLink"/>
                <w:rtl w:val="true"/>
              </w:rPr>
              <w:t xml:space="preserve">: </w:t>
            </w:r>
            <w:r>
              <w:rPr>
                <w:rStyle w:val="IndexLink"/>
                <w:rtl w:val="true"/>
              </w:rPr>
              <w:t xml:space="preserve">حياة شيخ الشريعة الأصفهانيّ </w:t>
            </w:r>
            <w:r>
              <w:rPr>
                <w:rStyle w:val="IndexLink"/>
                <w:rtl w:val="true"/>
              </w:rPr>
              <w:t>(</w:t>
            </w:r>
            <w:r>
              <w:rPr>
                <w:rStyle w:val="IndexLink"/>
                <w:rtl w:val="true"/>
              </w:rPr>
              <w:t>قدس سره</w:t>
            </w:r>
            <w:r>
              <w:rPr>
                <w:rStyle w:val="IndexLink"/>
                <w:rtl w:val="true"/>
              </w:rPr>
              <w:t>)</w:t>
              <w:tab/>
            </w:r>
            <w:r>
              <w:rPr>
                <w:rStyle w:val="IndexLink"/>
              </w:rPr>
              <w:t>383</w:t>
            </w:r>
          </w:hyperlink>
        </w:p>
        <w:p>
          <w:pPr>
            <w:pStyle w:val="Contents5"/>
            <w:tabs>
              <w:tab w:val="clear" w:pos="7892"/>
              <w:tab w:val="right" w:pos="9026" w:leader="dot"/>
            </w:tabs>
            <w:rPr/>
          </w:pPr>
          <w:hyperlink w:anchor="__RefHeading___Toc3380844_2870459653">
            <w:r>
              <w:rPr>
                <w:webHidden/>
                <w:rStyle w:val="IndexLink"/>
                <w:rtl w:val="true"/>
              </w:rPr>
              <w:t>اسمه ولقبه ومولده</w:t>
            </w:r>
            <w:r>
              <w:rPr>
                <w:rStyle w:val="IndexLink"/>
                <w:rtl w:val="true"/>
              </w:rPr>
              <w:tab/>
            </w:r>
            <w:r>
              <w:rPr>
                <w:rStyle w:val="IndexLink"/>
              </w:rPr>
              <w:t>383</w:t>
            </w:r>
          </w:hyperlink>
        </w:p>
        <w:p>
          <w:pPr>
            <w:pStyle w:val="Contents5"/>
            <w:tabs>
              <w:tab w:val="clear" w:pos="7892"/>
              <w:tab w:val="right" w:pos="9026" w:leader="dot"/>
            </w:tabs>
            <w:rPr/>
          </w:pPr>
          <w:hyperlink w:anchor="__RefHeading___Toc3380846_2870459653">
            <w:r>
              <w:rPr>
                <w:webHidden/>
                <w:rStyle w:val="IndexLink"/>
                <w:rtl w:val="true"/>
              </w:rPr>
              <w:t>ما قيل في حقّه</w:t>
            </w:r>
            <w:r>
              <w:rPr>
                <w:rStyle w:val="IndexLink"/>
                <w:rtl w:val="true"/>
              </w:rPr>
              <w:tab/>
            </w:r>
            <w:r>
              <w:rPr>
                <w:rStyle w:val="IndexLink"/>
              </w:rPr>
              <w:t>384</w:t>
            </w:r>
          </w:hyperlink>
        </w:p>
        <w:p>
          <w:pPr>
            <w:pStyle w:val="Contents5"/>
            <w:tabs>
              <w:tab w:val="clear" w:pos="7892"/>
              <w:tab w:val="right" w:pos="9026" w:leader="dot"/>
            </w:tabs>
            <w:rPr/>
          </w:pPr>
          <w:hyperlink w:anchor="__RefHeading___Toc3380848_2870459653">
            <w:r>
              <w:rPr>
                <w:webHidden/>
                <w:rStyle w:val="IndexLink"/>
                <w:rtl w:val="true"/>
              </w:rPr>
              <w:t>أسرته</w:t>
            </w:r>
            <w:r>
              <w:rPr>
                <w:rStyle w:val="IndexLink"/>
                <w:rtl w:val="true"/>
              </w:rPr>
              <w:tab/>
            </w:r>
            <w:r>
              <w:rPr>
                <w:rStyle w:val="IndexLink"/>
              </w:rPr>
              <w:t>384</w:t>
            </w:r>
          </w:hyperlink>
        </w:p>
        <w:p>
          <w:pPr>
            <w:pStyle w:val="Contents5"/>
            <w:tabs>
              <w:tab w:val="clear" w:pos="7892"/>
              <w:tab w:val="right" w:pos="9026" w:leader="dot"/>
            </w:tabs>
            <w:rPr/>
          </w:pPr>
          <w:hyperlink w:anchor="__RefHeading___Toc3380850_2870459653">
            <w:r>
              <w:rPr>
                <w:webHidden/>
                <w:rStyle w:val="IndexLink"/>
                <w:rtl w:val="true"/>
              </w:rPr>
              <w:t>أولاده</w:t>
            </w:r>
            <w:r>
              <w:rPr>
                <w:rStyle w:val="IndexLink"/>
                <w:rtl w:val="true"/>
              </w:rPr>
              <w:tab/>
            </w:r>
            <w:r>
              <w:rPr>
                <w:rStyle w:val="IndexLink"/>
              </w:rPr>
              <w:t>385</w:t>
            </w:r>
          </w:hyperlink>
        </w:p>
        <w:p>
          <w:pPr>
            <w:pStyle w:val="Contents5"/>
            <w:tabs>
              <w:tab w:val="clear" w:pos="7892"/>
              <w:tab w:val="right" w:pos="9026" w:leader="dot"/>
            </w:tabs>
            <w:rPr/>
          </w:pPr>
          <w:hyperlink w:anchor="__RefHeading___Toc3380852_2870459653">
            <w:r>
              <w:rPr>
                <w:webHidden/>
                <w:rStyle w:val="IndexLink"/>
                <w:rtl w:val="true"/>
              </w:rPr>
              <w:t>مسيرته العلميّة</w:t>
            </w:r>
            <w:r>
              <w:rPr>
                <w:rStyle w:val="IndexLink"/>
                <w:rtl w:val="true"/>
              </w:rPr>
              <w:tab/>
            </w:r>
            <w:r>
              <w:rPr>
                <w:rStyle w:val="IndexLink"/>
              </w:rPr>
              <w:t>386</w:t>
            </w:r>
          </w:hyperlink>
        </w:p>
        <w:p>
          <w:pPr>
            <w:pStyle w:val="Contents6"/>
            <w:tabs>
              <w:tab w:val="clear" w:pos="7609"/>
              <w:tab w:val="right" w:pos="9026" w:leader="dot"/>
            </w:tabs>
            <w:rPr/>
          </w:pPr>
          <w:hyperlink w:anchor="__RefHeading___Toc3380854_2870459653">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3380856_2870459653">
            <w:r>
              <w:rPr>
                <w:webHidden/>
                <w:rStyle w:val="IndexLink"/>
                <w:rtl w:val="true"/>
              </w:rPr>
              <w:t>المرحلة الأولى</w:t>
            </w:r>
            <w:r>
              <w:rPr>
                <w:rStyle w:val="IndexLink"/>
                <w:rtl w:val="true"/>
              </w:rPr>
              <w:t xml:space="preserve">: </w:t>
            </w:r>
            <w:r>
              <w:rPr>
                <w:rStyle w:val="IndexLink"/>
                <w:rtl w:val="true"/>
              </w:rPr>
              <w:t>في إيران</w:t>
            </w:r>
            <w:r>
              <w:rPr>
                <w:rStyle w:val="IndexLink"/>
                <w:rtl w:val="true"/>
              </w:rPr>
              <w:tab/>
            </w:r>
            <w:r>
              <w:rPr>
                <w:rStyle w:val="IndexLink"/>
              </w:rPr>
              <w:t>386</w:t>
            </w:r>
          </w:hyperlink>
        </w:p>
        <w:p>
          <w:pPr>
            <w:pStyle w:val="Contents6"/>
            <w:tabs>
              <w:tab w:val="clear" w:pos="7609"/>
              <w:tab w:val="right" w:pos="9026" w:leader="dot"/>
            </w:tabs>
            <w:rPr/>
          </w:pPr>
          <w:hyperlink w:anchor="__RefHeading___Toc3380858_2870459653">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3380860_2870459653">
            <w:r>
              <w:rPr>
                <w:webHidden/>
                <w:rStyle w:val="IndexLink"/>
                <w:rtl w:val="true"/>
              </w:rPr>
              <w:t>الدور الأوّل</w:t>
            </w:r>
            <w:r>
              <w:rPr>
                <w:rStyle w:val="IndexLink"/>
                <w:rtl w:val="true"/>
              </w:rPr>
              <w:t xml:space="preserve">: </w:t>
            </w:r>
            <w:r>
              <w:rPr>
                <w:rStyle w:val="IndexLink"/>
                <w:rtl w:val="true"/>
              </w:rPr>
              <w:t>بداية تحصيله في مسقط رأسه أصفهان</w:t>
            </w:r>
            <w:r>
              <w:rPr>
                <w:rStyle w:val="IndexLink"/>
                <w:rtl w:val="true"/>
              </w:rPr>
              <w:tab/>
            </w:r>
            <w:r>
              <w:rPr>
                <w:rStyle w:val="IndexLink"/>
              </w:rPr>
              <w:t>386</w:t>
            </w:r>
          </w:hyperlink>
        </w:p>
        <w:p>
          <w:pPr>
            <w:pStyle w:val="Contents6"/>
            <w:tabs>
              <w:tab w:val="clear" w:pos="7609"/>
              <w:tab w:val="right" w:pos="9026" w:leader="dot"/>
            </w:tabs>
            <w:rPr/>
          </w:pPr>
          <w:hyperlink w:anchor="__RefHeading___Toc3380862_2870459653">
            <w:r>
              <w:rPr>
                <w:webHidden/>
                <w:rStyle w:val="IndexLink"/>
                <w:rtl w:val="true"/>
              </w:rPr>
              <w:t>الدور الثاني</w:t>
            </w:r>
            <w:r>
              <w:rPr>
                <w:rStyle w:val="IndexLink"/>
                <w:rtl w:val="true"/>
              </w:rPr>
              <w:t xml:space="preserve">: </w:t>
            </w:r>
            <w:r>
              <w:rPr>
                <w:rStyle w:val="IndexLink"/>
                <w:rtl w:val="true"/>
              </w:rPr>
              <w:t>في مشهد المقدّسة</w:t>
            </w:r>
            <w:r>
              <w:rPr>
                <w:rStyle w:val="IndexLink"/>
                <w:rtl w:val="true"/>
              </w:rPr>
              <w:tab/>
            </w:r>
            <w:r>
              <w:rPr>
                <w:rStyle w:val="IndexLink"/>
              </w:rPr>
              <w:t>387</w:t>
            </w:r>
          </w:hyperlink>
        </w:p>
        <w:p>
          <w:pPr>
            <w:pStyle w:val="Contents6"/>
            <w:tabs>
              <w:tab w:val="clear" w:pos="7609"/>
              <w:tab w:val="right" w:pos="9026" w:leader="dot"/>
            </w:tabs>
            <w:rPr/>
          </w:pPr>
          <w:hyperlink w:anchor="__RefHeading___Toc3380864_2870459653">
            <w:r>
              <w:rPr>
                <w:webHidden/>
                <w:rStyle w:val="IndexLink"/>
                <w:rtl w:val="true"/>
              </w:rPr>
              <w:t>الدور الثالث</w:t>
            </w:r>
            <w:r>
              <w:rPr>
                <w:rStyle w:val="IndexLink"/>
                <w:rtl w:val="true"/>
              </w:rPr>
              <w:t xml:space="preserve">: </w:t>
            </w:r>
            <w:r>
              <w:rPr>
                <w:rStyle w:val="IndexLink"/>
                <w:rtl w:val="true"/>
              </w:rPr>
              <w:t>رجوعه إلى أصفهان</w:t>
            </w:r>
            <w:r>
              <w:rPr>
                <w:rStyle w:val="IndexLink"/>
                <w:rtl w:val="true"/>
              </w:rPr>
              <w:tab/>
            </w:r>
            <w:r>
              <w:rPr>
                <w:rStyle w:val="IndexLink"/>
              </w:rPr>
              <w:t>388</w:t>
            </w:r>
          </w:hyperlink>
        </w:p>
        <w:p>
          <w:pPr>
            <w:pStyle w:val="Contents6"/>
            <w:tabs>
              <w:tab w:val="clear" w:pos="7609"/>
              <w:tab w:val="right" w:pos="9026" w:leader="dot"/>
            </w:tabs>
            <w:rPr/>
          </w:pPr>
          <w:hyperlink w:anchor="__RefHeading___Toc3380866_2870459653">
            <w:r>
              <w:rPr>
                <w:webHidden/>
                <w:rStyle w:val="IndexLink"/>
                <w:rtl w:val="true"/>
              </w:rPr>
              <w:t>المرحلة الأخرى</w:t>
            </w:r>
            <w:r>
              <w:rPr>
                <w:rStyle w:val="IndexLink"/>
                <w:rtl w:val="true"/>
              </w:rPr>
              <w:t xml:space="preserve">: </w:t>
            </w:r>
            <w:r>
              <w:rPr>
                <w:rStyle w:val="IndexLink"/>
                <w:rtl w:val="true"/>
              </w:rPr>
              <w:t>في العراق</w:t>
            </w:r>
            <w:r>
              <w:rPr>
                <w:rStyle w:val="IndexLink"/>
                <w:rtl w:val="true"/>
              </w:rPr>
              <w:tab/>
            </w:r>
            <w:r>
              <w:rPr>
                <w:rStyle w:val="IndexLink"/>
              </w:rPr>
              <w:t>388</w:t>
            </w:r>
          </w:hyperlink>
        </w:p>
        <w:p>
          <w:pPr>
            <w:pStyle w:val="Contents6"/>
            <w:tabs>
              <w:tab w:val="clear" w:pos="7609"/>
              <w:tab w:val="right" w:pos="9026" w:leader="dot"/>
            </w:tabs>
            <w:rPr/>
          </w:pPr>
          <w:hyperlink w:anchor="__RefHeading___Toc3380868_2870459653">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3380870_2870459653">
            <w:r>
              <w:rPr>
                <w:webHidden/>
                <w:rStyle w:val="IndexLink"/>
                <w:rtl w:val="true"/>
              </w:rPr>
              <w:t>الدور الأوّل</w:t>
            </w:r>
            <w:r>
              <w:rPr>
                <w:rStyle w:val="IndexLink"/>
                <w:rtl w:val="true"/>
              </w:rPr>
              <w:t xml:space="preserve">: </w:t>
            </w:r>
            <w:r>
              <w:rPr>
                <w:rStyle w:val="IndexLink"/>
                <w:rtl w:val="true"/>
              </w:rPr>
              <w:t>في الكاظمية المقدّسة</w:t>
            </w:r>
            <w:r>
              <w:rPr>
                <w:rStyle w:val="IndexLink"/>
                <w:rtl w:val="true"/>
              </w:rPr>
              <w:tab/>
            </w:r>
            <w:r>
              <w:rPr>
                <w:rStyle w:val="IndexLink"/>
              </w:rPr>
              <w:t>388</w:t>
            </w:r>
          </w:hyperlink>
        </w:p>
        <w:p>
          <w:pPr>
            <w:pStyle w:val="Contents6"/>
            <w:tabs>
              <w:tab w:val="clear" w:pos="7609"/>
              <w:tab w:val="right" w:pos="9026" w:leader="dot"/>
            </w:tabs>
            <w:rPr/>
          </w:pPr>
          <w:hyperlink w:anchor="__RefHeading___Toc3380872_2870459653">
            <w:r>
              <w:rPr>
                <w:webHidden/>
                <w:rStyle w:val="IndexLink"/>
                <w:rtl w:val="true"/>
              </w:rPr>
              <w:t>الدور الثاني</w:t>
            </w:r>
            <w:r>
              <w:rPr>
                <w:rStyle w:val="IndexLink"/>
                <w:rtl w:val="true"/>
              </w:rPr>
              <w:t xml:space="preserve">: </w:t>
            </w:r>
            <w:r>
              <w:rPr>
                <w:rStyle w:val="IndexLink"/>
                <w:rtl w:val="true"/>
              </w:rPr>
              <w:t>في كربلاء المقدّسة</w:t>
            </w:r>
            <w:r>
              <w:rPr>
                <w:rStyle w:val="IndexLink"/>
                <w:rtl w:val="true"/>
              </w:rPr>
              <w:tab/>
            </w:r>
            <w:r>
              <w:rPr>
                <w:rStyle w:val="IndexLink"/>
              </w:rPr>
              <w:t>389</w:t>
            </w:r>
          </w:hyperlink>
        </w:p>
        <w:p>
          <w:pPr>
            <w:pStyle w:val="Contents6"/>
            <w:tabs>
              <w:tab w:val="clear" w:pos="7609"/>
              <w:tab w:val="right" w:pos="9026" w:leader="dot"/>
            </w:tabs>
            <w:rPr/>
          </w:pPr>
          <w:hyperlink w:anchor="__RefHeading___Toc3380874_2870459653">
            <w:r>
              <w:rPr>
                <w:webHidden/>
                <w:rStyle w:val="IndexLink"/>
                <w:rtl w:val="true"/>
              </w:rPr>
              <w:t>الدور الثالث</w:t>
            </w:r>
            <w:r>
              <w:rPr>
                <w:rStyle w:val="IndexLink"/>
                <w:rtl w:val="true"/>
              </w:rPr>
              <w:t xml:space="preserve">: </w:t>
            </w:r>
            <w:r>
              <w:rPr>
                <w:rStyle w:val="IndexLink"/>
                <w:rtl w:val="true"/>
              </w:rPr>
              <w:t>في النجف الأشرف</w:t>
            </w:r>
            <w:r>
              <w:rPr>
                <w:rStyle w:val="IndexLink"/>
                <w:rtl w:val="true"/>
              </w:rPr>
              <w:tab/>
            </w:r>
            <w:r>
              <w:rPr>
                <w:rStyle w:val="IndexLink"/>
              </w:rPr>
              <w:t>389</w:t>
            </w:r>
          </w:hyperlink>
        </w:p>
        <w:p>
          <w:pPr>
            <w:pStyle w:val="Contents5"/>
            <w:tabs>
              <w:tab w:val="clear" w:pos="7892"/>
              <w:tab w:val="right" w:pos="9026" w:leader="dot"/>
            </w:tabs>
            <w:rPr/>
          </w:pPr>
          <w:hyperlink w:anchor="__RefHeading___Toc3380876_2870459653">
            <w:r>
              <w:rPr>
                <w:webHidden/>
                <w:rStyle w:val="IndexLink"/>
                <w:rtl w:val="true"/>
              </w:rPr>
              <w:t>إلقاؤه دروس البحث العالي</w:t>
            </w:r>
            <w:r>
              <w:rPr>
                <w:rStyle w:val="IndexLink"/>
                <w:rtl w:val="true"/>
              </w:rPr>
              <w:tab/>
            </w:r>
            <w:r>
              <w:rPr>
                <w:rStyle w:val="IndexLink"/>
              </w:rPr>
              <w:t>390</w:t>
            </w:r>
          </w:hyperlink>
        </w:p>
        <w:p>
          <w:pPr>
            <w:pStyle w:val="Contents5"/>
            <w:tabs>
              <w:tab w:val="clear" w:pos="7892"/>
              <w:tab w:val="right" w:pos="9026" w:leader="dot"/>
            </w:tabs>
            <w:rPr/>
          </w:pPr>
          <w:hyperlink w:anchor="__RefHeading___Toc3380878_2870459653">
            <w:r>
              <w:rPr>
                <w:webHidden/>
                <w:rStyle w:val="IndexLink"/>
                <w:rtl w:val="true"/>
              </w:rPr>
              <w:t>الإجازات الممنوحة له في النجف الأشرف</w:t>
            </w:r>
            <w:r>
              <w:rPr>
                <w:rStyle w:val="IndexLink"/>
                <w:rtl w:val="true"/>
              </w:rPr>
              <w:tab/>
            </w:r>
            <w:r>
              <w:rPr>
                <w:rStyle w:val="IndexLink"/>
              </w:rPr>
              <w:t>391</w:t>
            </w:r>
          </w:hyperlink>
        </w:p>
        <w:p>
          <w:pPr>
            <w:pStyle w:val="Contents5"/>
            <w:tabs>
              <w:tab w:val="clear" w:pos="7892"/>
              <w:tab w:val="right" w:pos="9026" w:leader="dot"/>
            </w:tabs>
            <w:rPr/>
          </w:pPr>
          <w:hyperlink w:anchor="__RefHeading___Toc3380880_2870459653">
            <w:r>
              <w:rPr>
                <w:webHidden/>
                <w:rStyle w:val="IndexLink"/>
                <w:rtl w:val="true"/>
              </w:rPr>
              <w:t xml:space="preserve">الإجازات الممنوحة منه </w:t>
            </w:r>
            <w:r>
              <w:rPr>
                <w:rStyle w:val="IndexLink"/>
                <w:rtl w:val="true"/>
              </w:rPr>
              <w:t>(</w:t>
            </w:r>
            <w:r>
              <w:rPr>
                <w:rStyle w:val="IndexLink"/>
                <w:rtl w:val="true"/>
              </w:rPr>
              <w:t>قدس سره</w:t>
            </w:r>
            <w:r>
              <w:rPr>
                <w:rStyle w:val="IndexLink"/>
                <w:rtl w:val="true"/>
              </w:rPr>
              <w:t xml:space="preserve">) </w:t>
            </w:r>
            <w:r>
              <w:rPr>
                <w:rStyle w:val="IndexLink"/>
                <w:rtl w:val="true"/>
              </w:rPr>
              <w:t>في النجف الأشرف</w:t>
            </w:r>
            <w:r>
              <w:rPr>
                <w:rStyle w:val="IndexLink"/>
                <w:rtl w:val="true"/>
              </w:rPr>
              <w:tab/>
            </w:r>
            <w:r>
              <w:rPr>
                <w:rStyle w:val="IndexLink"/>
              </w:rPr>
              <w:t>392</w:t>
            </w:r>
          </w:hyperlink>
        </w:p>
        <w:p>
          <w:pPr>
            <w:pStyle w:val="Contents5"/>
            <w:tabs>
              <w:tab w:val="clear" w:pos="7892"/>
              <w:tab w:val="right" w:pos="9026" w:leader="dot"/>
            </w:tabs>
            <w:rPr/>
          </w:pPr>
          <w:hyperlink w:anchor="__RefHeading___Toc3380882_2870459653">
            <w:r>
              <w:rPr>
                <w:webHidden/>
                <w:rStyle w:val="IndexLink"/>
                <w:rtl w:val="true"/>
              </w:rPr>
              <w:t>بعض أعلام تلامذته</w:t>
            </w:r>
            <w:r>
              <w:rPr>
                <w:rStyle w:val="IndexLink"/>
                <w:rtl w:val="true"/>
              </w:rPr>
              <w:tab/>
            </w:r>
            <w:r>
              <w:rPr>
                <w:rStyle w:val="IndexLink"/>
              </w:rPr>
              <w:t>394</w:t>
            </w:r>
          </w:hyperlink>
        </w:p>
        <w:p>
          <w:pPr>
            <w:pStyle w:val="Contents5"/>
            <w:tabs>
              <w:tab w:val="clear" w:pos="7892"/>
              <w:tab w:val="right" w:pos="9026" w:leader="dot"/>
            </w:tabs>
            <w:rPr/>
          </w:pPr>
          <w:hyperlink w:anchor="__RefHeading___Toc3380884_2870459653">
            <w:r>
              <w:rPr>
                <w:webHidden/>
                <w:rStyle w:val="IndexLink"/>
                <w:rtl w:val="true"/>
              </w:rPr>
              <w:t>مؤلّفاته</w:t>
            </w:r>
            <w:r>
              <w:rPr>
                <w:rStyle w:val="IndexLink"/>
                <w:rtl w:val="true"/>
              </w:rPr>
              <w:tab/>
            </w:r>
            <w:r>
              <w:rPr>
                <w:rStyle w:val="IndexLink"/>
              </w:rPr>
              <w:t>395</w:t>
            </w:r>
          </w:hyperlink>
        </w:p>
        <w:p>
          <w:pPr>
            <w:pStyle w:val="Contents6"/>
            <w:tabs>
              <w:tab w:val="clear" w:pos="7609"/>
              <w:tab w:val="right" w:pos="9026" w:leader="dot"/>
            </w:tabs>
            <w:rPr/>
          </w:pPr>
          <w:hyperlink w:anchor="__RefHeading___Toc3380886_287045965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3380888_2870459653">
            <w:r>
              <w:rPr>
                <w:webHidden/>
                <w:rStyle w:val="IndexLink"/>
                <w:rtl w:val="true"/>
              </w:rPr>
              <w:t>أمّا المطبوع منها فهو</w:t>
            </w:r>
            <w:r>
              <w:rPr>
                <w:rStyle w:val="IndexLink"/>
                <w:rtl w:val="true"/>
              </w:rPr>
              <w:tab/>
            </w:r>
            <w:r>
              <w:rPr>
                <w:rStyle w:val="IndexLink"/>
              </w:rPr>
              <w:t>396</w:t>
            </w:r>
          </w:hyperlink>
        </w:p>
        <w:p>
          <w:pPr>
            <w:pStyle w:val="Contents6"/>
            <w:tabs>
              <w:tab w:val="clear" w:pos="7609"/>
              <w:tab w:val="right" w:pos="9026" w:leader="dot"/>
            </w:tabs>
            <w:rPr/>
          </w:pPr>
          <w:hyperlink w:anchor="__RefHeading___Toc3380890_2870459653">
            <w:r>
              <w:rPr>
                <w:webHidden/>
                <w:rStyle w:val="IndexLink"/>
                <w:rtl w:val="true"/>
              </w:rPr>
              <w:t>وأمّا غير المطبوع منها فهو</w:t>
            </w:r>
            <w:r>
              <w:rPr>
                <w:rStyle w:val="IndexLink"/>
                <w:rtl w:val="true"/>
              </w:rPr>
              <w:tab/>
            </w:r>
            <w:r>
              <w:rPr>
                <w:rStyle w:val="IndexLink"/>
              </w:rPr>
              <w:t>397</w:t>
            </w:r>
          </w:hyperlink>
        </w:p>
        <w:p>
          <w:pPr>
            <w:pStyle w:val="Contents5"/>
            <w:tabs>
              <w:tab w:val="clear" w:pos="7892"/>
              <w:tab w:val="right" w:pos="9026" w:leader="dot"/>
            </w:tabs>
            <w:rPr/>
          </w:pPr>
          <w:hyperlink w:anchor="__RefHeading___Toc3380892_2870459653">
            <w:r>
              <w:rPr>
                <w:webHidden/>
                <w:rStyle w:val="IndexLink"/>
                <w:rtl w:val="true"/>
              </w:rPr>
              <w:t>مكتبته</w:t>
            </w:r>
            <w:r>
              <w:rPr>
                <w:rStyle w:val="IndexLink"/>
                <w:rtl w:val="true"/>
              </w:rPr>
              <w:tab/>
            </w:r>
            <w:r>
              <w:rPr>
                <w:rStyle w:val="IndexLink"/>
              </w:rPr>
              <w:t>401</w:t>
            </w:r>
          </w:hyperlink>
        </w:p>
        <w:p>
          <w:pPr>
            <w:pStyle w:val="Contents5"/>
            <w:tabs>
              <w:tab w:val="clear" w:pos="7892"/>
              <w:tab w:val="right" w:pos="9026" w:leader="dot"/>
            </w:tabs>
            <w:rPr/>
          </w:pPr>
          <w:hyperlink w:anchor="__RefHeading___Toc3380894_2870459653">
            <w:r>
              <w:rPr>
                <w:webHidden/>
                <w:rStyle w:val="IndexLink"/>
                <w:rtl w:val="true"/>
              </w:rPr>
              <w:t>وفاته</w:t>
            </w:r>
            <w:r>
              <w:rPr>
                <w:rStyle w:val="IndexLink"/>
                <w:rtl w:val="true"/>
              </w:rPr>
              <w:tab/>
            </w:r>
            <w:r>
              <w:rPr>
                <w:rStyle w:val="IndexLink"/>
              </w:rPr>
              <w:t>401</w:t>
            </w:r>
          </w:hyperlink>
        </w:p>
        <w:p>
          <w:pPr>
            <w:pStyle w:val="Contents4"/>
            <w:tabs>
              <w:tab w:val="clear" w:pos="8176"/>
              <w:tab w:val="right" w:pos="9026" w:leader="dot"/>
            </w:tabs>
            <w:rPr/>
          </w:pPr>
          <w:hyperlink w:anchor="__RefHeading___Toc3380896_2870459653">
            <w:r>
              <w:rPr>
                <w:webHidden/>
                <w:rStyle w:val="IndexLink"/>
                <w:rtl w:val="true"/>
              </w:rPr>
              <w:t>الأمر الآخر</w:t>
            </w:r>
            <w:r>
              <w:rPr>
                <w:rStyle w:val="IndexLink"/>
                <w:rtl w:val="true"/>
              </w:rPr>
              <w:t xml:space="preserve">: </w:t>
            </w:r>
            <w:r>
              <w:rPr>
                <w:rStyle w:val="IndexLink"/>
                <w:rtl w:val="true"/>
              </w:rPr>
              <w:t>نبذة فيمن كتب في قاعدة الواحد</w:t>
            </w:r>
            <w:r>
              <w:rPr>
                <w:rStyle w:val="IndexLink"/>
                <w:rtl w:val="true"/>
              </w:rPr>
              <w:tab/>
            </w:r>
            <w:r>
              <w:rPr>
                <w:rStyle w:val="IndexLink"/>
              </w:rPr>
              <w:t>403</w:t>
            </w:r>
          </w:hyperlink>
        </w:p>
        <w:p>
          <w:pPr>
            <w:pStyle w:val="Contents4"/>
            <w:tabs>
              <w:tab w:val="clear" w:pos="8176"/>
              <w:tab w:val="right" w:pos="9026" w:leader="dot"/>
            </w:tabs>
            <w:rPr/>
          </w:pPr>
          <w:hyperlink w:anchor="__RefHeading___Toc3380898_2870459653">
            <w:r>
              <w:rPr>
                <w:webHidden/>
                <w:rStyle w:val="IndexLink"/>
                <w:rtl w:val="true"/>
              </w:rPr>
              <w:t>الخاتمة</w:t>
            </w:r>
            <w:r>
              <w:rPr>
                <w:rStyle w:val="IndexLink"/>
                <w:rtl w:val="true"/>
              </w:rPr>
              <w:t xml:space="preserve">: </w:t>
            </w:r>
            <w:r>
              <w:rPr>
                <w:rStyle w:val="IndexLink"/>
                <w:rtl w:val="true"/>
              </w:rPr>
              <w:t>وصف النسخ وعملنا في التحقيق</w:t>
            </w:r>
            <w:r>
              <w:rPr>
                <w:rStyle w:val="IndexLink"/>
                <w:rtl w:val="true"/>
              </w:rPr>
              <w:tab/>
            </w:r>
            <w:r>
              <w:rPr>
                <w:rStyle w:val="IndexLink"/>
              </w:rPr>
              <w:t>406</w:t>
            </w:r>
          </w:hyperlink>
        </w:p>
        <w:p>
          <w:pPr>
            <w:pStyle w:val="Contents5"/>
            <w:tabs>
              <w:tab w:val="clear" w:pos="7892"/>
              <w:tab w:val="right" w:pos="9026" w:leader="dot"/>
            </w:tabs>
            <w:rPr/>
          </w:pPr>
          <w:hyperlink w:anchor="__RefHeading___Toc3380900_2870459653">
            <w:r>
              <w:rPr>
                <w:webHidden/>
                <w:rStyle w:val="IndexLink"/>
                <w:rtl w:val="true"/>
              </w:rPr>
              <w:t>أ</w:t>
            </w:r>
            <w:r>
              <w:rPr>
                <w:rStyle w:val="IndexLink"/>
                <w:rtl w:val="true"/>
              </w:rPr>
              <w:t xml:space="preserve">- </w:t>
            </w:r>
            <w:r>
              <w:rPr>
                <w:rStyle w:val="IndexLink"/>
                <w:rtl w:val="true"/>
              </w:rPr>
              <w:t>وصف النسخ</w:t>
            </w:r>
            <w:r>
              <w:rPr>
                <w:rStyle w:val="IndexLink"/>
                <w:rtl w:val="true"/>
              </w:rPr>
              <w:tab/>
            </w:r>
            <w:r>
              <w:rPr>
                <w:rStyle w:val="IndexLink"/>
              </w:rPr>
              <w:t>406</w:t>
            </w:r>
          </w:hyperlink>
        </w:p>
        <w:p>
          <w:pPr>
            <w:pStyle w:val="Contents5"/>
            <w:tabs>
              <w:tab w:val="clear" w:pos="7892"/>
              <w:tab w:val="right" w:pos="9026" w:leader="dot"/>
            </w:tabs>
            <w:rPr/>
          </w:pPr>
          <w:hyperlink w:anchor="__RefHeading___Toc3380902_2870459653">
            <w:r>
              <w:rPr>
                <w:webHidden/>
                <w:rStyle w:val="IndexLink"/>
                <w:rtl w:val="true"/>
              </w:rPr>
              <w:t>ب</w:t>
            </w:r>
            <w:r>
              <w:rPr>
                <w:rStyle w:val="IndexLink"/>
                <w:rtl w:val="true"/>
              </w:rPr>
              <w:t xml:space="preserve">- </w:t>
            </w:r>
            <w:r>
              <w:rPr>
                <w:rStyle w:val="IndexLink"/>
                <w:rtl w:val="true"/>
              </w:rPr>
              <w:t>عملنا في التحقيق</w:t>
            </w:r>
            <w:r>
              <w:rPr>
                <w:rStyle w:val="IndexLink"/>
                <w:rtl w:val="true"/>
              </w:rPr>
              <w:tab/>
            </w:r>
            <w:r>
              <w:rPr>
                <w:rStyle w:val="IndexLink"/>
              </w:rPr>
              <w:t>407</w:t>
            </w:r>
          </w:hyperlink>
        </w:p>
        <w:p>
          <w:pPr>
            <w:pStyle w:val="Contents3"/>
            <w:tabs>
              <w:tab w:val="clear" w:pos="8459"/>
              <w:tab w:val="right" w:pos="9026" w:leader="dot"/>
            </w:tabs>
            <w:rPr/>
          </w:pPr>
          <w:hyperlink w:anchor="__RefHeading___Toc3380904_2870459653">
            <w:r>
              <w:rPr>
                <w:webHidden/>
                <w:rStyle w:val="IndexLink"/>
                <w:rtl w:val="true"/>
              </w:rPr>
              <w:t>قاعدة الواحد لا يصدر عنه إلا الواحد</w:t>
            </w:r>
            <w:r>
              <w:rPr>
                <w:rStyle w:val="IndexLink"/>
                <w:rtl w:val="true"/>
              </w:rPr>
              <w:tab/>
            </w:r>
            <w:r>
              <w:rPr>
                <w:rStyle w:val="IndexLink"/>
              </w:rPr>
              <w:t>415</w:t>
            </w:r>
          </w:hyperlink>
        </w:p>
        <w:p>
          <w:pPr>
            <w:pStyle w:val="Contents3"/>
            <w:tabs>
              <w:tab w:val="clear" w:pos="8459"/>
              <w:tab w:val="right" w:pos="9026" w:leader="dot"/>
            </w:tabs>
            <w:rPr/>
          </w:pPr>
          <w:hyperlink w:anchor="__RefHeading___Toc3380906_2870459653">
            <w:r>
              <w:rPr>
                <w:webHidden/>
                <w:rStyle w:val="IndexLink"/>
                <w:rtl w:val="true"/>
              </w:rPr>
              <w:t>مصادر التحقيق</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3_76215"/>
      <w:bookmarkStart w:id="1" w:name="pg9153_76215"/>
      <w:bookmarkEnd w:id="1"/>
    </w:p>
    <w:p>
      <w:pPr>
        <w:pStyle w:val="Heading2"/>
        <w:numPr>
          <w:ilvl w:val="1"/>
          <w:numId w:val="1"/>
        </w:numPr>
        <w:rPr/>
      </w:pPr>
      <w:bookmarkStart w:id="2" w:name="pg9153_76215"/>
      <w:bookmarkStart w:id="3" w:name="__RefHeading___Toc3380204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الهيأة العلمية</w:t>
      </w:r>
    </w:p>
    <w:p>
      <w:pPr>
        <w:pStyle w:val="BookText"/>
        <w:rPr/>
      </w:pPr>
      <w:r>
        <w:rPr>
          <w:rFonts w:ascii="Amiri" w:hAnsi="Amiri" w:eastAsia="Amiri" w:cs="Amiri"/>
          <w:color w:val="111111"/>
          <w:sz w:val="28"/>
          <w:sz w:val="28"/>
          <w:szCs w:val="28"/>
          <w:rtl w:val="true"/>
          <w:lang w:bidi="ar-SA"/>
        </w:rPr>
        <w:t>نخبة من أساتذة الحوزة العلمية في النجف الأشرف</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السيد جواد الموسوي الغريفي</w:t>
      </w:r>
    </w:p>
    <w:p>
      <w:pPr>
        <w:pStyle w:val="BookText"/>
        <w:rPr/>
      </w:pPr>
      <w:r>
        <w:rPr>
          <w:rFonts w:ascii="Amiri" w:hAnsi="Amiri" w:eastAsia="Amiri" w:cs="Amiri"/>
          <w:color w:val="111111"/>
          <w:sz w:val="28"/>
          <w:sz w:val="28"/>
          <w:szCs w:val="28"/>
          <w:rtl w:val="true"/>
          <w:lang w:bidi="ar-SA"/>
        </w:rPr>
        <w:t>هيأة التحرير</w:t>
      </w:r>
    </w:p>
    <w:p>
      <w:pPr>
        <w:pStyle w:val="BookText"/>
        <w:rPr/>
      </w:pPr>
      <w:r>
        <w:rPr>
          <w:rFonts w:ascii="Amiri" w:hAnsi="Amiri" w:eastAsia="Amiri" w:cs="Amiri"/>
          <w:color w:val="111111"/>
          <w:sz w:val="28"/>
          <w:sz w:val="28"/>
          <w:szCs w:val="28"/>
          <w:rtl w:val="true"/>
          <w:lang w:bidi="ar-SA"/>
        </w:rPr>
        <w:t>السيد علي البعاج</w:t>
      </w:r>
    </w:p>
    <w:p>
      <w:pPr>
        <w:pStyle w:val="BookText"/>
        <w:rPr/>
      </w:pPr>
      <w:r>
        <w:rPr>
          <w:rFonts w:ascii="Amiri" w:hAnsi="Amiri" w:eastAsia="Amiri" w:cs="Amiri"/>
          <w:color w:val="111111"/>
          <w:sz w:val="28"/>
          <w:sz w:val="28"/>
          <w:szCs w:val="28"/>
          <w:rtl w:val="true"/>
          <w:lang w:bidi="ar-SA"/>
        </w:rPr>
        <w:t>الشيخ محمد الجعفري</w:t>
      </w:r>
    </w:p>
    <w:p>
      <w:pPr>
        <w:pStyle w:val="BookText"/>
        <w:rPr/>
      </w:pPr>
      <w:r>
        <w:rPr>
          <w:rFonts w:ascii="Amiri" w:hAnsi="Amiri" w:eastAsia="Amiri" w:cs="Amiri"/>
          <w:color w:val="111111"/>
          <w:sz w:val="28"/>
          <w:sz w:val="28"/>
          <w:szCs w:val="28"/>
          <w:rtl w:val="true"/>
          <w:lang w:bidi="ar-SA"/>
        </w:rPr>
        <w:t>الشيخ قاسم الطائي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السّابع عشر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p>
    <w:p>
      <w:pPr>
        <w:pStyle w:val="BookText"/>
        <w:rPr/>
      </w:pPr>
      <w:r>
        <w:rPr>
          <w:rFonts w:ascii="IRNazanin" w:hAnsi="IRNazanin" w:eastAsia="IRNazanin"/>
          <w:color w:val="111111"/>
          <w:sz w:val="28"/>
          <w:sz w:val="28"/>
          <w:szCs w:val="28"/>
          <w:rtl w:val="true"/>
          <w:lang w:bidi="fa-IR"/>
        </w:rPr>
        <w:t>صورة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أنموذج من المخطوط المطبوع في هذا العدد بخط الشیخ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مجلة نصف سنونية تصدر عن المدرسة العلمية الاخون الصغرى في النجف الأشرف</w:t>
      </w:r>
    </w:p>
    <w:p>
      <w:pPr>
        <w:pStyle w:val="BookText"/>
        <w:rPr/>
      </w:pPr>
      <w:r>
        <w:rPr>
          <w:rFonts w:ascii="Amiri" w:hAnsi="Amiri" w:eastAsia="Amiri" w:cs="Amiri"/>
          <w:color w:val="111111"/>
          <w:sz w:val="28"/>
          <w:sz w:val="28"/>
          <w:szCs w:val="28"/>
          <w:rtl w:val="true"/>
          <w:lang w:bidi="ar-SA"/>
        </w:rPr>
        <w:t>تعنى بالابْحَاتِ التَّخَصُصِيَة في الحوزة العلمية</w:t>
      </w:r>
    </w:p>
    <w:p>
      <w:pPr>
        <w:pStyle w:val="BookText"/>
        <w:rPr/>
      </w:pPr>
      <w:r>
        <w:rPr>
          <w:rFonts w:ascii="Amiri" w:hAnsi="Amiri" w:eastAsia="Amiri" w:cs="Amiri"/>
          <w:color w:val="111111"/>
          <w:sz w:val="28"/>
          <w:sz w:val="28"/>
          <w:szCs w:val="28"/>
          <w:rtl w:val="true"/>
          <w:lang w:bidi="ar-SA"/>
        </w:rPr>
        <w:t>العدد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020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153_76218"/>
    </w:p>
    <w:p>
      <w:pPr>
        <w:pStyle w:val="Heading2"/>
        <w:numPr>
          <w:ilvl w:val="1"/>
          <w:numId w:val="1"/>
        </w:numPr>
        <w:rPr/>
      </w:pPr>
      <w:bookmarkStart w:id="8" w:name="__RefHeading___Toc3380208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 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بخطٍّ متوسّط الحجم، 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البحث لمراجعة هيئة علميَّة 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وحدها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 ولا يُعبّر بالضّرورة عن رأي المجلَّة</w:t>
      </w:r>
      <w:r>
        <w:rPr>
          <w:rFonts w:eastAsia="Amiri" w:cs="Amiri" w:ascii="Amiri" w:hAnsi="Amiri"/>
          <w:color w:val="111111"/>
          <w:sz w:val="28"/>
          <w:szCs w:val="28"/>
          <w:rtl w:val="true"/>
          <w:lang w:bidi="ar-SA"/>
        </w:rPr>
        <w:t xml:space="preserve">. </w:t>
      </w:r>
      <w:bookmarkStart w:id="10" w:name="pg9153_76219"/>
    </w:p>
    <w:p>
      <w:pPr>
        <w:pStyle w:val="Heading2"/>
        <w:numPr>
          <w:ilvl w:val="1"/>
          <w:numId w:val="1"/>
        </w:numPr>
        <w:rPr/>
      </w:pPr>
      <w:bookmarkStart w:id="11" w:name="__RefHeading___Toc3380210_2870459653"/>
      <w:bookmarkStart w:id="12" w:name="_Toc4"/>
      <w:bookmarkEnd w:id="10"/>
      <w:bookmarkEnd w:id="11"/>
      <w:r>
        <w:rPr>
          <w:rtl w:val="true"/>
        </w:rPr>
        <w:t>المحتوی</w:t>
      </w:r>
      <w:bookmarkEnd w:id="12"/>
    </w:p>
    <w:p>
      <w:pPr>
        <w:pStyle w:val="BookText"/>
        <w:rPr/>
      </w:pP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السّابع عشر</w:t>
      </w:r>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 xml:space="preserve">هيئة التّحرير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سنّ البلوغ في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وسام عبد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وجوب صلاة العيدين وشرط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فاضل الحسّانيّ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استثناء الواقف المنافع لنفسه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الشّيخ أمجد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القرائن المعنويّة العامّة وأثرها في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 أنموذجاً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الشّيخ عليّ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السّيرة العقلائيّة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نجم التّرابيّ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رجال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لا يصدر عنه إلا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الكبير الشّيخ فتح الله الأصفهانيّ المعروف بشيخ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bookmarkStart w:id="13" w:name="pg9153_76221"/>
    </w:p>
    <w:p>
      <w:pPr>
        <w:pStyle w:val="Heading2"/>
        <w:numPr>
          <w:ilvl w:val="1"/>
          <w:numId w:val="1"/>
        </w:numPr>
        <w:rPr/>
      </w:pPr>
      <w:bookmarkStart w:id="14" w:name="__RefHeading___Toc3380212_2870459653"/>
      <w:bookmarkStart w:id="15" w:name="_Toc5"/>
      <w:bookmarkEnd w:id="13"/>
      <w:bookmarkEnd w:id="14"/>
      <w:r>
        <w:rPr>
          <w:rtl w:val="true"/>
        </w:rPr>
        <w:t>کلمة العدد</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كنجمة الصّباح عندما تُطالعها في موضعها كلّ صباح لتطلّ عليك في كلّ الأحوال، لا يؤخّرها عن مطلعها تقلّب الأرض والإنسان في حوادث الدّهر وتغيّر الأزمان، هكذا هي أعداد مجلّة دراسات علميّة، تسير في نسقها وتتهادى في فَلكِها بعمل المشتغلين فيها والكاتبين في موضوعاتها، ثمَّ لمّا تصل إلى مطلعها من الشُّهور تُضيء في سماء النّشر والتّحقيق، باعثة ضياء نتاجها في أرجاء وأروقة محالّ صدورها، فتستريح لرؤيتها النّفوس، وتستأنس بمطالعة موضوعاتها وتحقيقاتها الأذهان المتشوّقة للأنوار المتفتّحة من أكمام قرائح الباحثين فيها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يميّز هذا العدد السّابع عشر من المجلّة أنَّه يخرج في وضع محلّيّ وعالميّ غير مسبوق، إذ أطبق الوباء العالميّ لمرض كورونا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البلدان ولم يستثنِ كبيرها ولا صغيرها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المسبِّب لذلك الوباء كائناً من صنف الفايروسات يدق عن أن يُحصَر أو يُشاهَد، ولا سبقت لأهل الاختصاص خبرة في معالجة أعراضه وتتبّع آثاره القاتلة لبعض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معرفة الأطباء والمختصّين في الكائنات الدّقيقة بنمط وبائيتها وانتشارها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حكمتهم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البصيرون بأساليب محاصرة أشباهه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يتباعد النّاس ويهجعوا ويظلّوا في بيوتهم ويعزلوا</w:t>
      </w:r>
    </w:p>
    <w:p>
      <w:pPr>
        <w:pStyle w:val="BookText"/>
        <w:rPr/>
      </w:pPr>
      <w:r>
        <w:rPr>
          <w:rFonts w:ascii="Amiri" w:hAnsi="Amiri" w:eastAsia="Amiri" w:cs="Amiri"/>
          <w:color w:val="111111"/>
          <w:sz w:val="28"/>
          <w:sz w:val="28"/>
          <w:szCs w:val="28"/>
          <w:rtl w:val="true"/>
          <w:lang w:bidi="ar-SA"/>
        </w:rPr>
        <w:t>أجسادهم عن أماكن المخالطة والتّجمعات؛ لمحاصرة الوباء وتقليل فرص انتشاره السّريع بين البشر، فانشلّت الأعمال وتعطّلت الأسفار، وساد أغلب البلدان ركود وكساد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ألقى هذا الوضع بظلاله على عمل المجلّة أيضاً، وأعاق العزلُ الاجتماعيّ من إنجاز بعض مهام إعدادها، ورغم ذلك كان الإصرار والعزم على إنجازها بموعدها، متحدّياً الظّروف المحيطة والحالة العامّة باعتماد طرق وآليات مستحدثة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حيث إنّ أغلب أعداد هذه المجلّة تقع في أيدي المختصّين بهذه العلوم الّتي تهتمّ بنشرها فللمجلّة دعوة مستمرّة للفضلاء والباحثين إلى الكتابة والتّحقيق في مختلف المجالات الّتي ترعاها من الفقه وأصوله، والحديث ورجاله ودرايته، بالإضافة إلى تحقيق التّراث المخطوط ممّا له صلة بهذه الموضوعات، فإنّ ما يدور في أذهان جملة من الباحثين والمهتمّين هو زاد هذه المجلّة ونميرها، وما تدبّجه يراعات ثلّة من اليقظين النّشطين في مضمار التّحقيق في التّراث والتّعدين في منابع الفكر الفقهيّ والأصوليّ لهو الفصوص الّتي فيها يسلك عقدها، ولكتابات هؤلاء النخبة في كلّ الأحوال عائدة مهمّة ومحصول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مستوى ذاتهم أنّهم أقاموا أنفسهم على جادّة ينفتح منها أفق لمستقبل أيّامهم، ما كانوا يستشرفونه لولا محاولاتهم ومجاهداتهم هذه، كما أنّهم صاروا بذلك نفسه سبباً لتحريك الأنهار الرّاكدة وتنسيم الأجواء الخاملة، وهذه فائدة عامّة وعائدة مهمّة لها أثر إيجابيّ على الأجواء البحثيّة في المؤسّسات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نحثُّ الأفاضل والمتقدّمين في سعيهم العلميّ ليدخلوا الباب الّذي فتحته المجلّة، ويخوضوا هذه التّجربة بتنوّعها وثمارها المختلفة، ولا يكتفوا بالنّظر إلى فيء ظلال أقرانهم، وليلحقوا بهذا المضمار، فإن كرهوا مشقّته فقد نكره شيئاً ويجعل الله فيه خيراً كثيراً، وقد علَّمت التّجاربُ أصحابَها أنَّ عوائدها رهائن النّيّات والعزائم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وتتصدّر هذا العدد من المجلّة ثلاثة بحوث فقهيّة، الأوّل في تحديد سنّ البلوغ في الأنثى ويستعرض الباحث فيه مفصّلاً الأقوال وأدلّتها، ثمّ محاكمتها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البحث الثّاني فيدور حول مناقشة الشهرة العظيمة على اشتراط وجود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صلاة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البحث الثّالث يتناول الباحث مسألة استثناء الواقف منافع الوقف لنفسه من حيث صحّة ذلك الاستثناء وعدمه بعد احتمال منافاة ذلك الاستثناء لمفهوم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يستعرض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بحثين في أصول الفقه، الأوّل صغرويٌّ في تحديد سعة وضيق موضوع الحكم الشّرعيّ بلحاظ المناسبة الارتكازيّة مع نفس طبيعة ذلك الحكم، وهو من مباحث الألفاظ الرّاجعة إلى أساسيّات الفهم العرفيّ وكيفيّة تلقّي فهم مدلولات الألفاظ من الأدلّة بعد صبّها في وعاء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يطالعنا البحث الثاني في حلقته الأخرى، وهو بحثٌ كبرويٌّ في حجّيّة السّيرة العقلائيّة كأحد مصادر الإثبات الأصوليّ لحجج الفقه، ولا يخفى ما في هذا الموضوع من الأهمّيّة نظراً إلى غياب الاستدلال بهذا الدّليل عند السّابقين وكونه من التفاتات متأخّري المتأخّرين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المجلّة مستمرة في نشر حلقات شيّقة يتتبّع بعضُ الباحثين فيها المنهج الّذي على أساسه بنى الفقيه العظيم صاحب كتاب الجواهر في الفقه في مجلّداته الكثيرة جرحه وتعديله لرجال الحديث ومصادره، لتنقيح اعتبار الرّوايات الّتي تعتبر أهمّ مستند </w:t>
      </w:r>
    </w:p>
    <w:p>
      <w:pPr>
        <w:pStyle w:val="BookText"/>
        <w:rPr/>
      </w:pPr>
      <w:r>
        <w:rPr>
          <w:rFonts w:ascii="Amiri" w:hAnsi="Amiri" w:eastAsia="Amiri" w:cs="Amiri"/>
          <w:color w:val="111111"/>
          <w:sz w:val="28"/>
          <w:sz w:val="28"/>
          <w:szCs w:val="28"/>
          <w:rtl w:val="true"/>
          <w:lang w:bidi="ar-SA"/>
        </w:rPr>
        <w:t>لمسائل الفقه، وفي هذا العدد ننشر الحلقة الثّالثة والأخيرة من ذلك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وكما في كلّ عدد نختم بمسكٍ من تراث العلماء، فمسك هذا العدد يتضوّع من مخطوطة بقلم الفقيه الكبير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يؤاتي إحياء واحد من مؤلّفاته في هذا العدد الذّكرى المئويّة الميلاديّة للثّورة العراقيّة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المدوّية ضد الإنكليز إبّان احتلالهم للعراق، فلا يكاد يُذكر التاريخ المعاصر لهذا البلد والحوادث الّتي جرت فيه منذ احتلال الإنكليز له وحتّى اندلاع ثورة العشرين إلّا واسم هذا الشيخ العظيم بارز في حركة الجهاد ضد الاحتلال وقيادة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والمخطوطة الّتي احتفى بها العدد حول قاعدة اعتنى بها أهل المعقول وناقشها المهتمّون من الأصوليّين بالفلسفة ونسجوا حولها بعض المباحث الأصوليّة، 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 المخطوطة قلم التّحقيق في المجلّة لأحد الفضلاء ليخرجها من أدراج الانتظار إلى فضاء النّشر والتّحقيق، لتأخذ مكانها في الكتب والمصادر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أن نقدّم عبارات العرفان للّجنة العلميّة الموقّرة لصبرها ومطاولتها في تتبّع البحوث طيلة هذه السّنين والأعداد المتوالية من غير كلل ولا ملل، فزاد الله في توفيقهم ونفع بعلمهم، كما نتقدّم بالشّكر إلى كلّ المساهمين في تحرير ومراجعة وتصحيح بحوث المجلّة والسّاهرين عليها لتخرج بأحسن صورة، ومن الله سبحانه نستمدّ العون والتّوفيق، وما توفيقنا إلّا به عليه توكّلنا وإليه ننيب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هيئة التّحرير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bookmarkStart w:id="16" w:name="pg9153_76225"/>
    </w:p>
    <w:p>
      <w:pPr>
        <w:pStyle w:val="Heading2"/>
        <w:numPr>
          <w:ilvl w:val="1"/>
          <w:numId w:val="1"/>
        </w:numPr>
        <w:rPr/>
      </w:pPr>
      <w:bookmarkStart w:id="17" w:name="__RefHeading___Toc3380214_2870459653"/>
      <w:bookmarkStart w:id="18" w:name="_Toc6"/>
      <w:bookmarkEnd w:id="16"/>
      <w:bookmarkEnd w:id="17"/>
      <w:r>
        <w:rPr>
          <w:rtl w:val="true"/>
        </w:rPr>
        <w:t xml:space="preserve">سنّ البلوغ في الأنثى </w:t>
      </w:r>
      <w:r>
        <w:rPr>
          <w:rtl w:val="true"/>
        </w:rPr>
        <w:t>(</w:t>
      </w:r>
      <w:r>
        <w:rPr>
          <w:rtl w:val="true"/>
        </w:rPr>
        <w:t>الحلقة الاولی</w:t>
      </w:r>
      <w:r>
        <w:rPr>
          <w:rtl w:val="true"/>
        </w:rPr>
        <w:t xml:space="preserve">) - </w:t>
      </w:r>
      <w:r>
        <w:rPr>
          <w:rtl w:val="true"/>
        </w:rPr>
        <w:t xml:space="preserve">الشّيخ وسام عبد الرّسول </w:t>
      </w:r>
      <w:r>
        <w:rPr>
          <w:rtl w:val="true"/>
        </w:rPr>
        <w:t>(</w:t>
      </w:r>
      <w:r>
        <w:rPr>
          <w:rtl w:val="true"/>
        </w:rPr>
        <w:t>دام عزه</w:t>
      </w:r>
      <w:r>
        <w:rPr>
          <w:rtl w:val="true"/>
        </w:rPr>
        <w:t>)</w:t>
      </w:r>
      <w:bookmarkEnd w:id="18"/>
    </w:p>
    <w:p>
      <w:pPr>
        <w:pStyle w:val="Heading3"/>
        <w:numPr>
          <w:ilvl w:val="2"/>
          <w:numId w:val="1"/>
        </w:numPr>
        <w:rPr/>
      </w:pPr>
      <w:bookmarkStart w:id="19" w:name="__RefHeading___Toc3380216_2870459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إنّ البلوغ هو بداية تحمّل الإنسان مسؤوليّة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تشريف من الله جلّ علاه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يبلغ يكون غير ملزم بفعل أو ترك، ولا يستحقّ أيّ عقوبة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 أيضاً مبدأ زوال الحجر عن الإنسان في تصرّفاته المعامليّة فغير البالغ محجور عليه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شرعنا في تحرير بحث سنّ البلوغ في الأنثى لأهميته؛ لأنّ السنّ هو العلامة الأبرز في تحديد البلوغ، وأيضاً للاختلاف الواقع فيه بين الفريقين، بل حتّى داخل الفريق الواحد خصوصاً في العصور المتأخّرة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153_76227"/>
      <w:bookmarkStart w:id="22" w:name="pg9153_76227"/>
      <w:bookmarkEnd w:id="22"/>
    </w:p>
    <w:p>
      <w:pPr>
        <w:pStyle w:val="Heading3"/>
        <w:numPr>
          <w:ilvl w:val="2"/>
          <w:numId w:val="1"/>
        </w:numPr>
        <w:rPr/>
      </w:pPr>
      <w:bookmarkStart w:id="23" w:name="pg9153_76227"/>
      <w:bookmarkStart w:id="24" w:name="__RefHeading___Toc3380218_2870459653"/>
      <w:bookmarkStart w:id="25" w:name="_Toc8"/>
      <w:bookmarkEnd w:id="23"/>
      <w:bookmarkEnd w:id="24"/>
      <w:r>
        <w:rPr>
          <w:rtl w:val="true"/>
        </w:rPr>
        <w:t>المقدّمة</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لا شكّ أنّ أهمّ المراحل العمرية الّتي يمرّ بها الإنسان هي مرحلة البلوغ والتكليف، ومن أهمّ العلامات الّتي تذكر في بحث البلوغ هو تحديد البلوغ بالسنّ، وغالب الناس تعتمد عليه؛ لأنّه أكثر ضبطاً من غيره، ولمّا كان سنّ البلوغ لدى الأنثى مثار بحث واختلاف خصوصاً في العصور المتأخّرة، لذا شرعنا في كتابة بحث حول سنّ البلوغ لدى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ونوقع البحث في عدّة محاور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محاور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وكيفيّة الجمع بين الروايات والترجيح بينها والعمومات الفوقانية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bookmarkStart w:id="26" w:name="pg9153_76228"/>
    </w:p>
    <w:p>
      <w:pPr>
        <w:pStyle w:val="Heading3"/>
        <w:numPr>
          <w:ilvl w:val="2"/>
          <w:numId w:val="1"/>
        </w:numPr>
        <w:rPr/>
      </w:pPr>
      <w:bookmarkStart w:id="27" w:name="__RefHeading___Toc3380220_2870459653"/>
      <w:bookmarkStart w:id="28" w:name="_Toc9"/>
      <w:bookmarkEnd w:id="26"/>
      <w:bookmarkEnd w:id="27"/>
      <w:r>
        <w:rPr>
          <w:rtl w:val="true"/>
        </w:rPr>
        <w:t>المحور الأوَّل</w:t>
      </w:r>
      <w:r>
        <w:rPr>
          <w:rtl w:val="true"/>
        </w:rPr>
        <w:t xml:space="preserve">: </w:t>
      </w:r>
      <w:r>
        <w:rPr>
          <w:rtl w:val="true"/>
        </w:rPr>
        <w:t>الأقوال في المسألة</w:t>
      </w:r>
      <w:bookmarkEnd w:id="28"/>
    </w:p>
    <w:p>
      <w:pPr>
        <w:pStyle w:val="Heading4"/>
        <w:numPr>
          <w:ilvl w:val="3"/>
          <w:numId w:val="1"/>
        </w:numPr>
        <w:rPr/>
      </w:pPr>
      <w:bookmarkStart w:id="29" w:name="__RefHeading___Toc3380222_2870459653"/>
      <w:bookmarkStart w:id="30" w:name="_Toc10"/>
      <w:bookmarkEnd w:id="29"/>
      <w:r>
        <w:rPr>
          <w:rtl w:val="true"/>
        </w:rPr>
        <w:t>أقوال الإمامية</w:t>
      </w:r>
      <w:bookmarkEnd w:id="30"/>
    </w:p>
    <w:p>
      <w:pPr>
        <w:pStyle w:val="Heading5"/>
        <w:numPr>
          <w:ilvl w:val="4"/>
          <w:numId w:val="1"/>
        </w:numPr>
        <w:rPr/>
      </w:pPr>
      <w:bookmarkStart w:id="31" w:name="__RefHeading___Toc3380224_2870459653"/>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اختلف علماء الإمامية في تحديد سنّ البلوغ للإناث بالسنين على أقوال</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380226_2870459653"/>
      <w:bookmarkStart w:id="34" w:name="_Toc12"/>
      <w:bookmarkEnd w:id="33"/>
      <w:r>
        <w:rPr>
          <w:rtl w:val="true"/>
        </w:rPr>
        <w:t>القول الأوّل</w:t>
      </w:r>
      <w:r>
        <w:rPr>
          <w:rtl w:val="true"/>
        </w:rPr>
        <w:t xml:space="preserve">: </w:t>
      </w:r>
      <w:r>
        <w:rPr>
          <w:rtl w:val="true"/>
        </w:rPr>
        <w:t>إكمال تسع سنين هلالية</w:t>
      </w:r>
      <w:bookmarkEnd w:id="34"/>
    </w:p>
    <w:p>
      <w:pPr>
        <w:pStyle w:val="BookText"/>
        <w:rPr/>
      </w:pPr>
      <w:r>
        <w:rPr>
          <w:rFonts w:ascii="Amiri" w:hAnsi="Amiri" w:eastAsia="Amiri" w:cs="Amiri"/>
          <w:color w:val="111111"/>
          <w:sz w:val="28"/>
          <w:sz w:val="28"/>
          <w:szCs w:val="28"/>
          <w:rtl w:val="true"/>
          <w:lang w:bidi="ar-SA"/>
        </w:rPr>
        <w:t>قال الشيخ الطوسي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حدّ البلوغ في الذكور بالسنّ خمس عشرة سنة، وبه قال الشافعي، وفي الإناث تسع سنين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الجارية الّتي يجوز لها العقد على نفسها أو يجوز لها أن تولّي مَن يعقد عليها تسع سنين فصاعداً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بلغت المرأة تسع سنين، جاز تصرّفها في مالها، وكان أمرها فيه ماضياً على سائر الوجوه، إلّا أن تكون أيضاً ناقصة العقل، أو سفيهة، فإنّها لا تمكّن من ذلك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زهرة الحلبي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السنّ في الغلام خمس عشرة سنة، وفي الجارية تسع سنين، بدليل الإجماع المشار إليه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5" w:name="pg9153_76229"/>
    </w:p>
    <w:p>
      <w:pPr>
        <w:pStyle w:val="BookText"/>
        <w:rPr/>
      </w:pPr>
      <w:bookmarkEnd w:id="35"/>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تعرف بلوغها من خمس 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الاحتلام، أو الإنبات، أو بلوغ تسع سنين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فالذكر يعلم بلوغه بمضيّ خمس عشرة سنة، والأنثى بمضيّ تسع سنين عند علمائنا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ببلوغ المرأة لتسع سنين، وهو المشهور، وقد روي عشر سنين، لكنّ الأشهر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الجنيد</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السبزواري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وبلوغ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وبتسع على الأقرب المشهور بين الأصحاب، ويدلّ عليه موثّقة ابن سنان السابقة، ورواية يزيد الكناسيّ وغيرهما، وقد روي أنّه يحصل بعشر سنين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ويستفاد من مجموع الروايات المتقدّمة أنّ الإدراك في الأنثىٰ ببلوغ تسع سنين، وعليه الإجماع في الغنية والسرائر والخلاف والتذكرة والروضة، وهو حجّة أخرى</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3380228_2870459653"/>
      <w:bookmarkStart w:id="37" w:name="_Toc13"/>
      <w:bookmarkEnd w:id="36"/>
      <w:r>
        <w:rPr>
          <w:rtl w:val="true"/>
        </w:rPr>
        <w:t>القول الثاني</w:t>
      </w:r>
      <w:r>
        <w:rPr>
          <w:rtl w:val="true"/>
        </w:rPr>
        <w:t xml:space="preserve">: </w:t>
      </w:r>
      <w:r>
        <w:rPr>
          <w:rtl w:val="true"/>
        </w:rPr>
        <w:t>إكمال عشر سنين هلالية</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البلوغ فهو شرط في وجوب العبادات </w:t>
      </w:r>
      <w:bookmarkStart w:id="38" w:name="pg9153_76230"/>
    </w:p>
    <w:p>
      <w:pPr>
        <w:pStyle w:val="BookText"/>
        <w:rPr/>
      </w:pPr>
      <w:bookmarkEnd w:id="38"/>
      <w:r>
        <w:rPr>
          <w:rFonts w:ascii="Amiri" w:hAnsi="Amiri" w:eastAsia="Amiri" w:cs="Amiri"/>
          <w:color w:val="111111"/>
          <w:sz w:val="28"/>
          <w:sz w:val="28"/>
          <w:szCs w:val="28"/>
          <w:rtl w:val="true"/>
          <w:lang w:bidi="ar-SA"/>
        </w:rPr>
        <w:t>الشرعية،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تبلغ عشر سنين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سعيد في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وبلوغ المرأة والرجل بالاحتلام، وإنبات العانة، وتختصّ المرأة بالحيض، وبلوغ عشر سنين، والرجل بخمس عشرة سنة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وبلوغ المرأة بأحد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وتمام عشر سنين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قال في كتاب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وبلوغ المرأة يعرف بالحيض، أو بلوغها تسع سنين فصاعداً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3380230_2870459653"/>
      <w:bookmarkStart w:id="40" w:name="_Toc14"/>
      <w:bookmarkEnd w:id="39"/>
      <w:r>
        <w:rPr>
          <w:rtl w:val="true"/>
        </w:rPr>
        <w:t>القول الثالث</w:t>
      </w:r>
      <w:r>
        <w:rPr>
          <w:rtl w:val="true"/>
        </w:rPr>
        <w:t xml:space="preserve">: </w:t>
      </w:r>
      <w:r>
        <w:rPr>
          <w:rtl w:val="true"/>
        </w:rPr>
        <w:t>إكمال ثلاث عشرة سنة هلالية</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هذا القول الشيخ محمّد آصف 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أحد كتبه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معتبرة ابن أبي عمير الّتي تدلّ على أنّ حدّ البلوغ في المرأة تسع سنين، ثُمَّ موثّقة عمّار الّتي تدلّ على أنّه إذا أتى على المرأة ثلاث عشرة سنة فقد وجبت عليها الصلاة، وجرى عليها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الجمع بينهما حمل الحديث الأوّل على الاستحباب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1" w:name="pg9153_76231"/>
    </w:p>
    <w:p>
      <w:pPr>
        <w:pStyle w:val="Heading5"/>
        <w:numPr>
          <w:ilvl w:val="4"/>
          <w:numId w:val="1"/>
        </w:numPr>
        <w:rPr/>
      </w:pPr>
      <w:bookmarkStart w:id="42" w:name="__RefHeading___Toc3380232_2870459653"/>
      <w:bookmarkStart w:id="43" w:name="_Toc15"/>
      <w:bookmarkEnd w:id="41"/>
      <w:bookmarkEnd w:id="42"/>
      <w:r>
        <w:rPr>
          <w:rtl w:val="true"/>
        </w:rPr>
        <w:t>القول الرابع</w:t>
      </w:r>
      <w:r>
        <w:rPr>
          <w:rtl w:val="true"/>
        </w:rPr>
        <w:t xml:space="preserve">: </w:t>
      </w:r>
      <w:r>
        <w:rPr>
          <w:rtl w:val="true"/>
        </w:rPr>
        <w:t>اختلاف سنّ البلوغ حسب الأبواب الفقهية</w:t>
      </w:r>
      <w:bookmarkEnd w:id="43"/>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والتوفيق بين الأخبار يقتضي اختلاف معنى البلوغ بحسب السنّ بالإضافة إلى أنواع التكاليف، كما يظهر ممّا روي في باب الصيام أنّه لا يجب على الأنثى قبل إكمالها الثلاث عشرة سنة إلّا إذا حاضت قبل ذلك، وما روي في باب الحدود أنّ الأنثى تؤاخذ بها، وهي تؤخذ لها تامّة إذا أكملت تسع سنين، إلى غير ذلك ممّا ورد في الوصية والعتق ونحوهما أنّها تصحّ من ذي العشر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3380234_2870459653"/>
      <w:bookmarkStart w:id="45" w:name="_Toc16"/>
      <w:bookmarkEnd w:id="44"/>
      <w:r>
        <w:rPr>
          <w:rtl w:val="true"/>
        </w:rPr>
        <w:t>أقوال العامّة</w:t>
      </w:r>
      <w:bookmarkEnd w:id="45"/>
    </w:p>
    <w:p>
      <w:pPr>
        <w:pStyle w:val="BookText"/>
        <w:rPr/>
      </w:pPr>
      <w:r>
        <w:rPr>
          <w:rFonts w:ascii="Amiri" w:hAnsi="Amiri" w:eastAsia="Amiri" w:cs="Amiri"/>
          <w:color w:val="111111"/>
          <w:sz w:val="28"/>
          <w:sz w:val="28"/>
          <w:szCs w:val="28"/>
          <w:rtl w:val="true"/>
          <w:lang w:bidi="ar-SA"/>
        </w:rPr>
        <w:t>اختلف العامّة أيضاً في تحديد البلوغ بالسنين بين مَن يقول خمس عشرة سنة وبين مَن يقول سبع عشرة 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الغلام والجارية بخمس عشرة سنة، وبهذا قال الأوزاعي والشافعي وأبو يوسف ومحمّد، وقال داود لا حدّ للبلوغ من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مالك، وقال أصحابه سبع عشرة أو ثماني عشرة، وروي عن أبي حنيفة في الغلام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 سبع عشرة بكلّ حال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وقال صاحب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العلماء في أدنى السنّ الّتي يتعلّق بها البلوغ، قال أبو حنيفة ثماني عشرة سنة في الغلام، وسبع عشرة 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يوسف ومحمّد والشافعي خمس عشرة سنة </w:t>
      </w:r>
    </w:p>
    <w:p>
      <w:pPr>
        <w:pStyle w:val="BookText"/>
        <w:rPr/>
      </w:pPr>
      <w:r>
        <w:rPr>
          <w:rFonts w:ascii="Amiri" w:hAnsi="Amiri" w:eastAsia="Amiri" w:cs="Amiri"/>
          <w:color w:val="111111"/>
          <w:sz w:val="28"/>
          <w:sz w:val="28"/>
          <w:szCs w:val="28"/>
          <w:rtl w:val="true"/>
          <w:lang w:bidi="ar-SA"/>
        </w:rPr>
        <w:t>في الجارية والغلام جميعاً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السنّ فقد اختلف في تحديده فقيل يقدّر بخمسة عشر عاماً في الذكر والأنثى، وهذا هو قول الشافعي وأحمد وأبي يوسف ومحمّد بن الحسن من الحنفية، وابن وهب وابن الماجشون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بسبعة عشر عاماً في الجارية وبثمانية عشر في الغلام؛ لأنّ النماء في الإناث أقوى من النماء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سنّ لا يبلغها شخص إلّا وقد احتلم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6" w:name="pg9153_76233"/>
    </w:p>
    <w:p>
      <w:pPr>
        <w:pStyle w:val="Heading3"/>
        <w:numPr>
          <w:ilvl w:val="2"/>
          <w:numId w:val="1"/>
        </w:numPr>
        <w:rPr/>
      </w:pPr>
      <w:bookmarkStart w:id="47" w:name="__RefHeading___Toc3380236_2870459653"/>
      <w:bookmarkStart w:id="48" w:name="_Toc17"/>
      <w:bookmarkEnd w:id="46"/>
      <w:bookmarkEnd w:id="47"/>
      <w:r>
        <w:rPr>
          <w:rtl w:val="true"/>
        </w:rPr>
        <w:t>المحور الثاني</w:t>
      </w:r>
      <w:r>
        <w:rPr>
          <w:rtl w:val="true"/>
        </w:rPr>
        <w:t xml:space="preserve">: </w:t>
      </w:r>
      <w:r>
        <w:rPr>
          <w:rtl w:val="true"/>
        </w:rPr>
        <w:t>الأدلّة وكيفيّة الجمع بين الروايات والترجيح بينها والعمومات الفوقانية</w:t>
      </w:r>
      <w:bookmarkEnd w:id="48"/>
    </w:p>
    <w:p>
      <w:pPr>
        <w:pStyle w:val="Heading4"/>
        <w:numPr>
          <w:ilvl w:val="3"/>
          <w:numId w:val="1"/>
        </w:numPr>
        <w:rPr/>
      </w:pPr>
      <w:bookmarkStart w:id="49" w:name="__RefHeading___Toc3380238_2870459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أمّا الأدلّة فهي الإجماع والروايات</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380240_2870459653"/>
      <w:bookmarkStart w:id="52" w:name="_Toc19"/>
      <w:bookmarkEnd w:id="51"/>
      <w:r>
        <w:rPr>
          <w:rtl w:val="true"/>
        </w:rPr>
        <w:t>أوّلاً</w:t>
      </w:r>
      <w:r>
        <w:rPr>
          <w:rtl w:val="true"/>
        </w:rPr>
        <w:t xml:space="preserve">: </w:t>
      </w:r>
      <w:r>
        <w:rPr>
          <w:rtl w:val="true"/>
        </w:rPr>
        <w:t>الإجماع</w:t>
      </w:r>
      <w:bookmarkEnd w:id="52"/>
    </w:p>
    <w:p>
      <w:pPr>
        <w:pStyle w:val="BookText"/>
        <w:rPr/>
      </w:pPr>
      <w:r>
        <w:rPr>
          <w:rFonts w:ascii="Amiri" w:hAnsi="Amiri" w:eastAsia="Amiri" w:cs="Amiri"/>
          <w:color w:val="111111"/>
          <w:sz w:val="28"/>
          <w:sz w:val="28"/>
          <w:szCs w:val="28"/>
          <w:rtl w:val="true"/>
          <w:lang w:bidi="ar-SA"/>
        </w:rPr>
        <w:t>قد ادّعي الإجماع على أنّ حدّ بلوغ الأنثى هو تسع سنين، كما في كلمات غير واحد من الأعلام، منهم الشيخ في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حدّ البلوغ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الإناث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 قد أوردناها في الكتاب الكبير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الاستدلال بالإجماع يواجه مشكلتين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الإجماع بعد مخالفة الشيخ الطوسي في المبسوط وابن حمزة في الوسيلة وابن سعيد في الجامع، حيث ذهبوا إلى أنّ حدّ البلوغ هو عشر سنين، كما تقدّم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بلوغ الأنثى بتسع سنين مدركي أو محتمل المدركية، وهو غير حجّة</w:t>
      </w:r>
      <w:r>
        <w:rPr>
          <w:rFonts w:eastAsia="Amiri" w:cs="Amiri" w:ascii="Amiri" w:hAnsi="Amiri"/>
          <w:color w:val="111111"/>
          <w:sz w:val="28"/>
          <w:szCs w:val="28"/>
          <w:rtl w:val="true"/>
          <w:lang w:bidi="ar-SA"/>
        </w:rPr>
        <w:t xml:space="preserve">. </w:t>
      </w:r>
      <w:bookmarkStart w:id="53" w:name="pg9153_76234"/>
    </w:p>
    <w:p>
      <w:pPr>
        <w:pStyle w:val="Heading4"/>
        <w:numPr>
          <w:ilvl w:val="3"/>
          <w:numId w:val="1"/>
        </w:numPr>
        <w:rPr/>
      </w:pPr>
      <w:bookmarkStart w:id="54" w:name="__RefHeading___Toc3380242_2870459653"/>
      <w:bookmarkStart w:id="55" w:name="_Toc20"/>
      <w:bookmarkEnd w:id="53"/>
      <w:bookmarkEnd w:id="54"/>
      <w:r>
        <w:rPr>
          <w:rtl w:val="true"/>
        </w:rPr>
        <w:t>ثانياً</w:t>
      </w:r>
      <w:r>
        <w:rPr>
          <w:rtl w:val="true"/>
        </w:rPr>
        <w:t xml:space="preserve">: </w:t>
      </w:r>
      <w:r>
        <w:rPr>
          <w:rtl w:val="true"/>
        </w:rPr>
        <w:t>الروايات الخاصّة</w:t>
      </w:r>
      <w:bookmarkEnd w:id="55"/>
    </w:p>
    <w:p>
      <w:pPr>
        <w:pStyle w:val="Heading5"/>
        <w:numPr>
          <w:ilvl w:val="4"/>
          <w:numId w:val="1"/>
        </w:numPr>
        <w:rPr/>
      </w:pPr>
      <w:bookmarkStart w:id="56" w:name="__RefHeading___Toc3380244_2870459653"/>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ويمكن جعلها على طوائف سبع</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380246_2870459653"/>
      <w:bookmarkStart w:id="59" w:name="_Toc22"/>
      <w:bookmarkEnd w:id="58"/>
      <w:r>
        <w:rPr>
          <w:rtl w:val="true"/>
        </w:rPr>
        <w:t>الطائفة الأولى</w:t>
      </w:r>
      <w:r>
        <w:rPr>
          <w:rtl w:val="true"/>
        </w:rPr>
        <w:t xml:space="preserve">: </w:t>
      </w:r>
      <w:r>
        <w:rPr>
          <w:rtl w:val="true"/>
        </w:rPr>
        <w:t>ما دلّ على أنّ البلوغ يحصل بتسع سنين</w:t>
      </w:r>
      <w:bookmarkEnd w:id="59"/>
    </w:p>
    <w:p>
      <w:pPr>
        <w:pStyle w:val="Heading6"/>
        <w:numPr>
          <w:ilvl w:val="5"/>
          <w:numId w:val="1"/>
        </w:numPr>
        <w:rPr/>
      </w:pPr>
      <w:bookmarkStart w:id="60" w:name="__RefHeading___Toc3380248_2870459653"/>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وفيها روايتان</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380250_2870459653"/>
      <w:bookmarkStart w:id="63" w:name="_Toc24"/>
      <w:bookmarkEnd w:id="62"/>
      <w:r>
        <w:rPr>
          <w:rtl w:val="true"/>
        </w:rPr>
        <w:t>الرواية الأولى</w:t>
      </w:r>
      <w:r>
        <w:rPr>
          <w:rtl w:val="true"/>
        </w:rPr>
        <w:t xml:space="preserve">: </w:t>
      </w:r>
      <w:r>
        <w:rPr>
          <w:rtl w:val="true"/>
        </w:rPr>
        <w:t>مرسلة ابن أبي عمير الأولى</w:t>
      </w:r>
      <w:bookmarkEnd w:id="63"/>
    </w:p>
    <w:p>
      <w:pPr>
        <w:pStyle w:val="Heading6"/>
        <w:numPr>
          <w:ilvl w:val="5"/>
          <w:numId w:val="1"/>
        </w:numPr>
        <w:rPr/>
      </w:pPr>
      <w:bookmarkStart w:id="64" w:name="__RefHeading___Toc3380252_2870459653"/>
      <w:bookmarkStart w:id="65" w:name="_Toc25"/>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ابنة كم لا تستصبى، أبنت ستّ أو سبع؟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ابنة تسع لا تستصبى، وأجمعوا كلّهم على أنّ ابنة تسع لا تستصبى إلّا أن يكون في عقلها ضعف، وإلّا فإذا بلغت تسعاً فقد بلغت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عن هذه المرسلة يقع في جهتين</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380254_2870459653"/>
      <w:bookmarkStart w:id="67" w:name="_Toc26"/>
      <w:bookmarkEnd w:id="66"/>
      <w:r>
        <w:rPr>
          <w:rtl w:val="true"/>
        </w:rPr>
        <w:t>الجهة الأولى</w:t>
      </w:r>
      <w:r>
        <w:rPr>
          <w:rtl w:val="true"/>
        </w:rPr>
        <w:t xml:space="preserve">: </w:t>
      </w:r>
      <w:r>
        <w:rPr>
          <w:rtl w:val="true"/>
        </w:rPr>
        <w:t>في السند</w:t>
      </w:r>
      <w:bookmarkEnd w:id="67"/>
    </w:p>
    <w:p>
      <w:pPr>
        <w:pStyle w:val="BookText"/>
        <w:rPr/>
      </w:pPr>
      <w:r>
        <w:rPr>
          <w:rFonts w:ascii="Amiri" w:hAnsi="Amiri" w:eastAsia="Amiri" w:cs="Amiri"/>
          <w:color w:val="111111"/>
          <w:sz w:val="28"/>
          <w:sz w:val="28"/>
          <w:szCs w:val="28"/>
          <w:rtl w:val="true"/>
          <w:lang w:bidi="ar-SA"/>
        </w:rPr>
        <w:t>لا إشكال في السند إلّا من جهة الإرسال حيث إنّ ابن أبي عمير رواها عن رجل، وقد وقع الكلام في حجّيتها على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التجاوز عن ذلك بناءً على الكبرى المعروفة بينهم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والبزنطي 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ولا يرسلون إلّا عن ثقة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رفضنا الكبرى المذكورة فلا يمكن الحكم بحجّية هذه الرواية حينئذٍ</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380256_2870459653"/>
      <w:bookmarkStart w:id="69" w:name="_Toc27"/>
      <w:bookmarkEnd w:id="68"/>
      <w:r>
        <w:rPr>
          <w:rtl w:val="true"/>
        </w:rPr>
        <w:t>الجهة الأخرى</w:t>
      </w:r>
      <w:r>
        <w:rPr>
          <w:rtl w:val="true"/>
        </w:rPr>
        <w:t xml:space="preserve">: </w:t>
      </w:r>
      <w:r>
        <w:rPr>
          <w:rtl w:val="true"/>
        </w:rPr>
        <w:t>في الدلالة</w:t>
      </w:r>
      <w:bookmarkEnd w:id="69"/>
    </w:p>
    <w:p>
      <w:pPr>
        <w:pStyle w:val="Heading6"/>
        <w:numPr>
          <w:ilvl w:val="5"/>
          <w:numId w:val="1"/>
        </w:numPr>
        <w:rPr/>
      </w:pPr>
      <w:bookmarkStart w:id="70" w:name="__RefHeading___Toc3380258_2870459653"/>
      <w:bookmarkStart w:id="71" w:name="_Toc28"/>
      <w:bookmarkEnd w:id="70"/>
      <w:r>
        <w:rPr>
          <w:rtl w:val="true"/>
        </w:rPr>
        <w:t>اشارة</w:t>
      </w:r>
      <w:bookmarkEnd w:id="7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ذيل الرواية صريح في تحقّق البلوغ بسنّ التاسعة، وصدر الرواية أيضاً ظاهر في أنّ مَن بلغت تسع سنين، تخرج عن الصبا وتكون امرأة، وهذا هو البلوغ</w:t>
      </w:r>
      <w:r>
        <w:rPr>
          <w:rFonts w:eastAsia="Amiri" w:cs="Amiri" w:ascii="Amiri" w:hAnsi="Amiri"/>
          <w:color w:val="111111"/>
          <w:sz w:val="28"/>
          <w:szCs w:val="28"/>
          <w:rtl w:val="true"/>
          <w:lang w:bidi="ar-SA"/>
        </w:rPr>
        <w:t xml:space="preserve">. </w:t>
      </w:r>
      <w:bookmarkStart w:id="72" w:name="pg9153_76235"/>
    </w:p>
    <w:p>
      <w:pPr>
        <w:pStyle w:val="BookText"/>
        <w:rPr/>
      </w:pPr>
      <w:bookmarkEnd w:id="72"/>
      <w:r>
        <w:rPr>
          <w:rFonts w:ascii="IRNazanin" w:hAnsi="IRNazanin" w:eastAsia="IRNazanin"/>
          <w:color w:val="111111"/>
          <w:sz w:val="28"/>
          <w:sz w:val="28"/>
          <w:szCs w:val="28"/>
          <w:rtl w:val="true"/>
          <w:lang w:bidi="fa-IR"/>
        </w:rPr>
        <w:t>نعم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يظهر من السؤال والجواب أنّ السؤال عن بلوغ الجارية شرعاً؛ ليكون الجواب بالتسع دليلاً على البلوغ به، بل الظاهر أنّ السؤال عن جواز نكاح الصغيرة، وهي غير مخدوعة، بحيث لا يكون لها حقّ الفسخ بعد 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رشد الجارية عقلاً بحيث لا تكون مخدوعة، فأجاب الإمام بأنّها إذا بلغت تسع سنين، فلا تكون كذلك إلّا أن يكون في عقلها ضعف، ممّا يعني أنّ السنّ المذكور ليس له خصوصية، بل الموضوع هو الرشد العقلي والفكري، وإنّما السنّ طريق لذلك، فلا بُدَّ من مراعاة الكمال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كمراعاة الكمال البدني في الدخول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للعقد عليها، ويشهد بذلك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في عقلها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وأجمعوا كلّهم على أنّ ابنة تسع لا تستصبى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من الإجماع هو إجماع عامّة الناس ورأيهم وتصوّرهم للموضوع</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ذلك بعدّة أمور</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380260_2870459653"/>
      <w:bookmarkStart w:id="74" w:name="_Toc29"/>
      <w:bookmarkEnd w:id="73"/>
      <w:r>
        <w:rPr>
          <w:rtl w:val="true"/>
        </w:rPr>
        <w:t>الأمر الأوّل</w:t>
      </w:r>
      <w:r>
        <w:rPr>
          <w:rtl w:val="true"/>
        </w:rPr>
        <w:t xml:space="preserve">: </w:t>
      </w:r>
      <w:r>
        <w:rPr>
          <w:rtl w:val="true"/>
        </w:rPr>
        <w:t xml:space="preserve">ما هو المراد من قول الإمام </w:t>
      </w:r>
      <w:r>
        <w:rPr>
          <w:rtl w:val="true"/>
        </w:rPr>
        <w:t>(</w:t>
      </w:r>
      <w:r>
        <w:rPr>
          <w:rtl w:val="true"/>
        </w:rPr>
        <w:t>علیه السلام</w:t>
      </w:r>
      <w:r>
        <w:rPr>
          <w:rtl w:val="true"/>
        </w:rPr>
        <w:t xml:space="preserve">) </w:t>
      </w:r>
      <w:r>
        <w:rPr>
          <w:rtl w:val="true"/>
        </w:rPr>
        <w:t>والسائل</w:t>
      </w:r>
      <w:r>
        <w:rPr>
          <w:rtl w:val="true"/>
        </w:rPr>
        <w:t>: (</w:t>
      </w:r>
      <w:r>
        <w:rPr>
          <w:rtl w:val="true"/>
        </w:rPr>
        <w:t>لا تستصبى</w:t>
      </w:r>
      <w:r>
        <w:rPr>
          <w:rtl w:val="true"/>
        </w:rPr>
        <w:t>)</w:t>
      </w:r>
      <w:r>
        <w:rPr>
          <w:rtl w:val="true"/>
        </w:rPr>
        <w:t>؟</w:t>
      </w:r>
      <w:bookmarkEnd w:id="74"/>
    </w:p>
    <w:p>
      <w:pPr>
        <w:pStyle w:val="BookText"/>
        <w:rPr/>
      </w:pP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تعدّ صبيّة، فيكون المراد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الجارية امرأة؟</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تخدع، فيكون المراد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لا تكون الجارية مخدوعة؟ فليس لها فسخ العقد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الأعلام كلا الاحتمالين في كلماتهم، قال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واستصباها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خدعها</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وقال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صبيّة أو لا تستخدع،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تصبّاها، وتصاباها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وقال المولى محمّد باقر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صبيّة، بل تعدّ بالغة،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خدعها وفتنها، والأوّل أصوب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والاحتمال الآخر إن لم يكن ظاهراً فهو احتمال معتدّ به، وقد ذكره أهل اللغة،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وتصبّاها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خدعها وفتنها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وتصبّاها وتصاباها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خدعها وفتنها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ويشهد لهذا الاحتمال جواب الإمام مقيّداً بحصول الرشد،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 عقلها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المستبعد جدّاً تقييد سنّ البلوغ بالرشد، وعليه فيكون البلوغ والرشد كلاهما قيداً في عدم خداعها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الاحتمالين يتمّ الاستدلال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الاحتمال الأوّل فالاستدلال بالرواية واضح، فإنّ المرأة تخرج عن الصبا بالبلوغ تسع سنين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على الاحتمال الآخر فيستفاد من الرواية أنّ الجارية لا تخدع بشرطين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بالغة؛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بلغت تسعاً فقد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صريح في حصول </w:t>
      </w:r>
      <w:bookmarkStart w:id="75" w:name="pg9153_76237"/>
    </w:p>
    <w:p>
      <w:pPr>
        <w:pStyle w:val="BookText"/>
        <w:rPr/>
      </w:pPr>
      <w:bookmarkEnd w:id="75"/>
      <w:r>
        <w:rPr>
          <w:rFonts w:ascii="Amiri" w:hAnsi="Amiri" w:eastAsia="Amiri" w:cs="Amiri"/>
          <w:color w:val="111111"/>
          <w:sz w:val="28"/>
          <w:sz w:val="28"/>
          <w:szCs w:val="28"/>
          <w:rtl w:val="true"/>
          <w:lang w:bidi="ar-SA"/>
        </w:rPr>
        <w:t>البلوغ إذا بلغت تسع سنين، وأن تكون رشيدة، وهو ما أشار إليه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في عقلها ضعف</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380262_2870459653"/>
      <w:bookmarkStart w:id="77" w:name="_Toc30"/>
      <w:bookmarkEnd w:id="76"/>
      <w:r>
        <w:rPr>
          <w:rtl w:val="true"/>
        </w:rPr>
        <w:t>الأمر الثاني</w:t>
      </w:r>
      <w:r>
        <w:rPr>
          <w:rtl w:val="true"/>
        </w:rPr>
        <w:t xml:space="preserve">: </w:t>
      </w:r>
      <w:r>
        <w:rPr>
          <w:rtl w:val="true"/>
        </w:rPr>
        <w:t>في الإجماع المنقول في الرواية</w:t>
      </w:r>
      <w:bookmarkEnd w:id="77"/>
    </w:p>
    <w:p>
      <w:pPr>
        <w:pStyle w:val="Heading6"/>
        <w:numPr>
          <w:ilvl w:val="5"/>
          <w:numId w:val="1"/>
        </w:numPr>
        <w:rPr/>
      </w:pPr>
      <w:bookmarkStart w:id="78" w:name="__RefHeading___Toc3380264_2870459653"/>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380266_2870459653"/>
      <w:bookmarkStart w:id="81" w:name="_Toc32"/>
      <w:bookmarkEnd w:id="80"/>
      <w:r>
        <w:rPr>
          <w:rtl w:val="true"/>
        </w:rPr>
        <w:t>البحث الأوّل</w:t>
      </w:r>
      <w:bookmarkEnd w:id="81"/>
    </w:p>
    <w:p>
      <w:pPr>
        <w:pStyle w:val="BookText"/>
        <w:rPr/>
      </w:pPr>
      <w:r>
        <w:rPr>
          <w:rFonts w:ascii="IRNazanin" w:hAnsi="IRNazanin" w:eastAsia="IRNazanin"/>
          <w:color w:val="111111"/>
          <w:sz w:val="28"/>
          <w:sz w:val="28"/>
          <w:szCs w:val="28"/>
          <w:rtl w:val="true"/>
          <w:lang w:bidi="fa-IR"/>
        </w:rPr>
        <w:t xml:space="preserve">هل الإجماع منقول في الرواية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الراوي؟</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إضافة من ابن أبي عمير، أو من ثقة الإسلام الكليني، واحتمال كونها من كلام الإمام وإن كان قائماً، لكنّه بعيد</w:t>
      </w:r>
      <w:r>
        <w:rPr>
          <w:rStyle w:val="FootnoteAnchor"/>
          <w:rtl w:val="true"/>
        </w:rPr>
        <w:footnoteReference w:id="30"/>
      </w:r>
      <w:r>
        <w:rPr>
          <w:rFonts w:ascii="IRNazanin" w:hAnsi="IRNazanin" w:eastAsia="IRNazanin"/>
          <w:color w:val="111111"/>
          <w:sz w:val="28"/>
          <w:sz w:val="28"/>
          <w:szCs w:val="28"/>
          <w:rtl w:val="true"/>
          <w:lang w:bidi="fa-IR"/>
        </w:rPr>
        <w:t xml:space="preserve">ولعلّه من جهة التعبير،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تناسب عبارات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 تعهد منهم هكذا تعبيرات، فيكون من تعبيرات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لا يضرّ هذا الاحتمال بالاستدلال؛ لأنّ الصدر يكفي وحده في الاستدلال</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380268_2870459653"/>
      <w:bookmarkStart w:id="83" w:name="_Toc33"/>
      <w:bookmarkEnd w:id="82"/>
      <w:r>
        <w:rPr>
          <w:rtl w:val="true"/>
        </w:rPr>
        <w:t>البحث الآخر</w:t>
      </w:r>
      <w:bookmarkEnd w:id="83"/>
    </w:p>
    <w:p>
      <w:pPr>
        <w:pStyle w:val="BookText"/>
        <w:rPr/>
      </w:pPr>
      <w:r>
        <w:rPr>
          <w:rFonts w:ascii="Amiri" w:hAnsi="Amiri" w:eastAsia="Amiri" w:cs="Amiri"/>
          <w:color w:val="111111"/>
          <w:sz w:val="28"/>
          <w:sz w:val="28"/>
          <w:szCs w:val="28"/>
          <w:rtl w:val="true"/>
          <w:lang w:bidi="ar-SA"/>
        </w:rPr>
        <w:t>على فرض أنّ الإجماع المنقول هو من كلام الإمام، فما هو المراد به؟</w:t>
      </w:r>
    </w:p>
    <w:p>
      <w:pPr>
        <w:pStyle w:val="BookText"/>
        <w:rPr/>
      </w:pPr>
      <w:r>
        <w:rPr>
          <w:rFonts w:ascii="Amiri" w:hAnsi="Amiri" w:eastAsia="Amiri" w:cs="Amiri"/>
          <w:color w:val="111111"/>
          <w:sz w:val="28"/>
          <w:sz w:val="28"/>
          <w:szCs w:val="28"/>
          <w:rtl w:val="true"/>
          <w:lang w:bidi="ar-SA"/>
        </w:rPr>
        <w:t>يحتمل أن يكون المراد به إجماع العامّة على ذلك، أو إجماع الإمامية، أو إجماع عامّة الناس وتصوّراتهم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إجماع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فمستبعد؛ لأنّ فقهاء العامّة مختلفون، بل لم يذكر أحد منهم أنّ البلوغ يكون بتسع سنين، كما تقدّم في نقل أقوالهم</w:t>
      </w:r>
      <w:r>
        <w:rPr>
          <w:rFonts w:eastAsia="Amiri" w:cs="Amiri" w:ascii="Amiri" w:hAnsi="Amiri"/>
          <w:color w:val="111111"/>
          <w:sz w:val="28"/>
          <w:szCs w:val="28"/>
          <w:rtl w:val="true"/>
          <w:lang w:bidi="ar-SA"/>
        </w:rPr>
        <w:t xml:space="preserve">. </w:t>
      </w:r>
      <w:bookmarkStart w:id="84" w:name="pg9153_76238"/>
    </w:p>
    <w:p>
      <w:pPr>
        <w:pStyle w:val="BookText"/>
        <w:rPr/>
      </w:pPr>
      <w:bookmarkEnd w:id="84"/>
      <w:r>
        <w:rPr>
          <w:rFonts w:ascii="IRNazanin" w:hAnsi="IRNazanin" w:eastAsia="IRNazanin"/>
          <w:color w:val="111111"/>
          <w:sz w:val="28"/>
          <w:sz w:val="28"/>
          <w:szCs w:val="28"/>
          <w:rtl w:val="true"/>
          <w:lang w:bidi="fa-IR"/>
        </w:rPr>
        <w:t xml:space="preserve">وأمّا 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عامّة الناس وتصوّراتهم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فمستبعد أيضاً؛ إذ لو كان الناس مجمعين فلِمَ وقعت محلَّاً ومثاراً للسؤال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نفس سؤال السائل يكشف عن عدم إجماع الناس في ذلك الوقت، ولم يذكر في كلامه احتمال حصول البلوغ بتسع سنين،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ابنة كم لا تستصبى، أَبنت ستّ أوسبع؟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إجماع الناس في تحديد موضوع الحكم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البلوغ أو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بعد تحديد الموضوع من قبل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يتعيّن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تمامية الاستدلال بالرواية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380270_2870459653"/>
      <w:bookmarkStart w:id="86" w:name="_Toc34"/>
      <w:bookmarkEnd w:id="85"/>
      <w:r>
        <w:rPr>
          <w:rtl w:val="true"/>
        </w:rPr>
        <w:t>الرواية الأخرى</w:t>
      </w:r>
      <w:r>
        <w:rPr>
          <w:rtl w:val="true"/>
        </w:rPr>
        <w:t xml:space="preserve">: </w:t>
      </w:r>
      <w:r>
        <w:rPr>
          <w:rtl w:val="true"/>
        </w:rPr>
        <w:t>مرسلة ابن أبي عمير الثانية</w:t>
      </w:r>
      <w:bookmarkEnd w:id="86"/>
    </w:p>
    <w:p>
      <w:pPr>
        <w:pStyle w:val="Heading6"/>
        <w:numPr>
          <w:ilvl w:val="5"/>
          <w:numId w:val="1"/>
        </w:numPr>
        <w:rPr/>
      </w:pPr>
      <w:bookmarkStart w:id="87" w:name="__RefHeading___Toc3380272_2870459653"/>
      <w:bookmarkStart w:id="88" w:name="_Toc35"/>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عن غير واحد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بلوغ المرأة تسع سنين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والدلالة</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3380274_2870459653"/>
      <w:bookmarkStart w:id="90" w:name="_Toc36"/>
      <w:bookmarkEnd w:id="89"/>
      <w:r>
        <w:rPr>
          <w:rtl w:val="true"/>
        </w:rPr>
        <w:t>الجهة الأولى</w:t>
      </w:r>
      <w:r>
        <w:rPr>
          <w:rtl w:val="true"/>
        </w:rPr>
        <w:t xml:space="preserve">: </w:t>
      </w:r>
      <w:r>
        <w:rPr>
          <w:rtl w:val="true"/>
        </w:rPr>
        <w:t>في السند</w:t>
      </w:r>
      <w:bookmarkEnd w:id="90"/>
    </w:p>
    <w:p>
      <w:pPr>
        <w:pStyle w:val="Heading6"/>
        <w:numPr>
          <w:ilvl w:val="5"/>
          <w:numId w:val="1"/>
        </w:numPr>
        <w:rPr/>
      </w:pPr>
      <w:bookmarkStart w:id="91" w:name="__RefHeading___Toc3380276_2870459653"/>
      <w:bookmarkStart w:id="92" w:name="_Toc37"/>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والكلام فيه من جهة كونها مرسلة لابن أبي عمير، فمع البناء على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ابن أبي عمير لا يروي ولا يرسل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أنكرنا الكبرى المذكورة فيمكن أن ترد مناقشتان</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380278_2870459653"/>
      <w:bookmarkStart w:id="94" w:name="_Toc38"/>
      <w:bookmarkEnd w:id="93"/>
      <w:r>
        <w:rPr>
          <w:rtl w:val="true"/>
        </w:rPr>
        <w:t>المناقشة الأولى</w:t>
      </w:r>
      <w:bookmarkEnd w:id="9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أبي عمير روى عمّن يقارب الأربعمائة شخص، ونصف هؤلاء تقريباً لم يوثّقوا في علم الرجال أو لم تثبت وثاقتهم، بل منهم من </w:t>
      </w:r>
    </w:p>
    <w:p>
      <w:pPr>
        <w:pStyle w:val="BookText"/>
        <w:rPr/>
      </w:pPr>
      <w:r>
        <w:rPr>
          <w:rFonts w:ascii="Amiri" w:hAnsi="Amiri" w:eastAsia="Amiri" w:cs="Amiri"/>
          <w:color w:val="111111"/>
          <w:sz w:val="28"/>
          <w:sz w:val="28"/>
          <w:szCs w:val="28"/>
          <w:rtl w:val="true"/>
          <w:lang w:bidi="ar-SA"/>
        </w:rPr>
        <w:t>ضعّفه الرجاليون، وحينئذٍ فمن أين لنا الوثوق بأنّ واحداً من الثلاثة ثقة؟ بناءً على أنّ المراد من غير واحد ثلاثة فصاعداً على ما هو المعروف بينهم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أنّ ثلاثة أشخاص إذا رووا رواية يبعد احتمال كذبهم أو خطئهم واشتباههم فيها جميعاً، فنطمئن بصدق الرواية وصدورها، دعوى بلا دليل؛ لأنَّ المفروض عدم العلم بحالهم من حيث الوثاقة والضبط والأمانة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جواب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طريقة حساب الاحتمال ينبغي أن تكون بعدِّ الروايات، وليس بعدِّ الرواة فقط</w:t>
      </w:r>
      <w:r>
        <w:rPr>
          <w:rStyle w:val="FootnoteAnchor"/>
          <w:rtl w:val="true"/>
        </w:rPr>
        <w:footnoteReference w:id="35"/>
      </w:r>
      <w:r>
        <w:rPr>
          <w:rFonts w:ascii="Amiri" w:hAnsi="Amiri" w:eastAsia="Amiri" w:cs="Amiri"/>
          <w:color w:val="111111"/>
          <w:sz w:val="28"/>
          <w:sz w:val="28"/>
          <w:szCs w:val="28"/>
          <w:rtl w:val="true"/>
          <w:lang w:bidi="ar-SA"/>
        </w:rPr>
        <w:t>، فينبغي حينئذٍ أن نعدَّ الروايات الصحيحة إلى ابن أبي عمير، ثُمَّ نميّز منها ما كان عن مجهول، وما كان عن ثقة، وبعد ذلك نخرج النسبة الاحتمالية للرواية عن ثلاثة مجاهيل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يروي عن أربعة رواة فقط، ولا يروي عن غيرهم، وكان أحدهم لم تثبت وثاقته، وكان عدد رواياته عن الثقات الثلاثة تسعاً وتسعين رواية، وعدد رواياته عن الّذي لم تثبت وثاقته رواية واحدة، فلو أرسل هذا الراوي عن راوٍ لم </w:t>
      </w:r>
    </w:p>
    <w:p>
      <w:pPr>
        <w:pStyle w:val="BookText"/>
        <w:rPr/>
      </w:pPr>
      <w:r>
        <w:rPr>
          <w:rFonts w:ascii="Amiri" w:hAnsi="Amiri" w:eastAsia="Amiri" w:cs="Amiri"/>
          <w:color w:val="111111"/>
          <w:sz w:val="28"/>
          <w:sz w:val="28"/>
          <w:szCs w:val="28"/>
          <w:rtl w:val="true"/>
          <w:lang w:bidi="ar-SA"/>
        </w:rPr>
        <w:t>يصرّح باسمه، فاحتمال أنّه غير الثقة هو واحد بالمائة مع افتراض عدم وجود داعٍ لإخفاء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عمّا تقدّم يمكن الجواب عن ذلك بأنّه يمكن الاطمئنان بحجّية الرواية من خلال حساب الاحتمالات، وذلك من خلال ثلاثة تطبيقات لبديهة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اجتماع مجهولية أو ضعف ثلاثة 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اجتماع مجهولية ثلاثة 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مجهولية الراوي الأوّل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احتمال مجهولية الراوي الثاني على فرض مجهولية الأوَّل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 مجهولية الراوي الثالث على فرض مجهولية الراويين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مجهولية الراوي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عدد المجهولين والضعفاء والمختلف فيهم</w:t>
      </w:r>
      <w:r>
        <w:rPr>
          <w:rStyle w:val="FootnoteAnchor"/>
        </w:rPr>
        <w:footnoteReference w:id="36"/>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Style w:val="FootnoteAnchor"/>
          <w:rtl w:val="true"/>
        </w:rPr>
        <w:footnoteReference w:id="37"/>
      </w:r>
      <w:r>
        <w:rPr>
          <w:rFonts w:ascii="Amiri" w:hAnsi="Amiri" w:eastAsia="Amiri" w:cs="Amiri"/>
          <w:color w:val="111111"/>
          <w:sz w:val="28"/>
          <w:sz w:val="28"/>
          <w:szCs w:val="28"/>
          <w:rtl w:val="true"/>
          <w:lang w:bidi="ar-SA"/>
        </w:rPr>
        <w:t xml:space="preserve">وعدد جميع الرواة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مجهولية الراوي الثاني على فرض مجهولية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انقاص واحد من البسط والمقام؛ لأنّه من الاحتمالات 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مجهولية الراوي الثالث على فرض مجهولية الراويين الأوّل والثاني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221/398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احتمال اجتماع مجهولية ثلاثة 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10940826/63520800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يساوي تقريباً </w:t>
      </w:r>
      <w:r>
        <w:rPr>
          <w:rFonts w:eastAsia="Amiri" w:cs="Amiri" w:ascii="Amiri" w:hAnsi="Amiri"/>
          <w:color w:val="111111"/>
          <w:sz w:val="28"/>
          <w:szCs w:val="28"/>
          <w:lang w:bidi="ar-SA"/>
        </w:rPr>
        <w:t>17/100</w:t>
      </w:r>
    </w:p>
    <w:p>
      <w:pPr>
        <w:pStyle w:val="BookText"/>
        <w:rPr/>
      </w:pPr>
      <w:r>
        <w:rPr>
          <w:rFonts w:ascii="Amiri" w:hAnsi="Amiri" w:eastAsia="Amiri" w:cs="Amiri"/>
          <w:color w:val="111111"/>
          <w:sz w:val="28"/>
          <w:sz w:val="28"/>
          <w:szCs w:val="28"/>
          <w:rtl w:val="true"/>
          <w:lang w:bidi="ar-SA"/>
        </w:rPr>
        <w:t xml:space="preserve">إذن احتمال اجتماع ثلاثة مجاهيل أو ضعفاء أو مختلف فيهم هو </w:t>
      </w:r>
      <w:r>
        <w:rPr>
          <w:rFonts w:eastAsia="Amiri" w:cs="Amiri" w:ascii="Amiri" w:hAnsi="Amiri"/>
          <w:color w:val="111111"/>
          <w:sz w:val="28"/>
          <w:szCs w:val="28"/>
          <w:lang w:bidi="ar-SA"/>
        </w:rPr>
        <w:t>17/100</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حساب احتمال كذب ثلاثة مجاهيل معاً على فرض أنّ احتمال كذب المجهول هو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احتمال كذب ثلاثة مجاهيل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كذب المجهول الأوَّل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احتمال كذب المجهول الثاني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 كذب المجهول الثالث</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كذب ثلاثة مجاهيل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eastAsia="IRNazanin" w:cs="IRNazanin"/>
          <w:color w:val="111111"/>
          <w:sz w:val="28"/>
          <w:szCs w:val="28"/>
          <w:lang w:bidi="fa-IR"/>
        </w:rPr>
        <w:t>12.5/100</w:t>
      </w:r>
    </w:p>
    <w:p>
      <w:pPr>
        <w:pStyle w:val="BookText"/>
        <w:rPr/>
      </w:pPr>
      <w:r>
        <w:rPr>
          <w:rFonts w:ascii="Amiri" w:hAnsi="Amiri" w:eastAsia="Amiri" w:cs="Amiri"/>
          <w:color w:val="111111"/>
          <w:sz w:val="28"/>
          <w:sz w:val="28"/>
          <w:szCs w:val="28"/>
          <w:rtl w:val="true"/>
          <w:lang w:bidi="ar-SA"/>
        </w:rPr>
        <w:t>إذن احتمال اجتماع كذب ثلاثة مجاهيل هو اثنا عشر ونصف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حساب اجتماع ثلاثة مجاهيل مع كذبهم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اجتماع ثلاثة مجاهيل مع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اجتماع ثلاثة مجاهيل معاً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 كذب ثلاثة مجاهيل</w:t>
      </w:r>
    </w:p>
    <w:p>
      <w:pPr>
        <w:pStyle w:val="BookText"/>
        <w:rPr/>
      </w:pPr>
      <w:r>
        <w:rPr>
          <w:rFonts w:ascii="Amiri" w:hAnsi="Amiri" w:eastAsia="Amiri" w:cs="Amiri"/>
          <w:color w:val="111111"/>
          <w:sz w:val="28"/>
          <w:sz w:val="28"/>
          <w:szCs w:val="28"/>
          <w:rtl w:val="true"/>
          <w:lang w:bidi="ar-SA"/>
        </w:rPr>
        <w:t xml:space="preserve">احتمال اجتماع ثلاثة مجاهيل مع كذبهم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212.5/10000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تقريباً</w:t>
      </w:r>
    </w:p>
    <w:p>
      <w:pPr>
        <w:pStyle w:val="BookText"/>
        <w:rPr/>
      </w:pPr>
      <w:r>
        <w:rPr>
          <w:rFonts w:ascii="Amiri" w:hAnsi="Amiri" w:eastAsia="Amiri" w:cs="Amiri"/>
          <w:color w:val="111111"/>
          <w:sz w:val="28"/>
          <w:sz w:val="28"/>
          <w:szCs w:val="28"/>
          <w:rtl w:val="true"/>
          <w:lang w:bidi="ar-SA"/>
        </w:rPr>
        <w:t>إذن احتمال مجهولية ثلاثة رواة من مشايخ ابن أبي عمير مع كذبهم هو اثنان بالمائة، وهو احتمال ضئيل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كان حساب الاحتمال على أساس حساب عدد الرواة كما تصوّر المستشكل، وليس على أساس حساب عدد الروايات، وكذلك على فرض أنّ عدد مشايخ ابن أبي عمير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 وأنّ المجهولين والمختلف فيهم والضعفاء عددهم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95" w:name="pg9153_76242"/>
    </w:p>
    <w:p>
      <w:pPr>
        <w:pStyle w:val="BookText"/>
        <w:rPr/>
      </w:pPr>
      <w:bookmarkEnd w:id="95"/>
      <w:r>
        <w:rPr>
          <w:rFonts w:ascii="Amiri" w:hAnsi="Amiri" w:eastAsia="Amiri" w:cs="Amiri"/>
          <w:color w:val="111111"/>
          <w:sz w:val="28"/>
          <w:sz w:val="28"/>
          <w:szCs w:val="28"/>
          <w:rtl w:val="true"/>
          <w:lang w:bidi="ar-SA"/>
        </w:rPr>
        <w:t>نعم لو فرض أنّ الواسطة المجهولة اثنان فقط</w:t>
      </w:r>
      <w:r>
        <w:rPr>
          <w:rStyle w:val="FootnoteAnchor"/>
          <w:rtl w:val="true"/>
        </w:rPr>
        <w:footnoteReference w:id="39"/>
      </w:r>
      <w:r>
        <w:rPr>
          <w:rFonts w:ascii="Amiri" w:hAnsi="Amiri" w:eastAsia="Amiri" w:cs="Amiri"/>
          <w:color w:val="111111"/>
          <w:sz w:val="28"/>
          <w:sz w:val="28"/>
          <w:szCs w:val="28"/>
          <w:rtl w:val="true"/>
          <w:lang w:bidi="ar-SA"/>
        </w:rPr>
        <w:t xml:space="preserve">يكون احتمال عدم حجّية الرواية هو </w:t>
      </w:r>
      <w:r>
        <w:rPr>
          <w:rFonts w:eastAsia="Amiri" w:cs="Amiri" w:ascii="Amiri" w:hAnsi="Amiri"/>
          <w:color w:val="111111"/>
          <w:sz w:val="28"/>
          <w:szCs w:val="28"/>
          <w:lang w:bidi="ar-SA"/>
        </w:rPr>
        <w:t>8/100</w:t>
      </w:r>
    </w:p>
    <w:p>
      <w:pPr>
        <w:pStyle w:val="BookText"/>
        <w:rPr/>
      </w:pPr>
      <w:r>
        <w:rPr>
          <w:rFonts w:ascii="Amiri" w:hAnsi="Amiri" w:eastAsia="Amiri" w:cs="Amiri"/>
          <w:color w:val="111111"/>
          <w:sz w:val="28"/>
          <w:sz w:val="28"/>
          <w:szCs w:val="28"/>
          <w:rtl w:val="true"/>
          <w:lang w:bidi="ar-SA"/>
        </w:rPr>
        <w:t>وهذا يمكن بيانه من خلال تطبيقات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التطبيق الأوّل احتمال اجتماع مجهولين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مجهولية الأوَّل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 مجهولية الثاني على فرض كون الأوّل مجهولاً</w:t>
      </w:r>
    </w:p>
    <w:p>
      <w:pPr>
        <w:pStyle w:val="BookText"/>
        <w:rPr/>
      </w:pPr>
      <w:r>
        <w:rPr>
          <w:rFonts w:ascii="Amiri" w:hAnsi="Amiri" w:eastAsia="Amiri" w:cs="Amiri"/>
          <w:color w:val="111111"/>
          <w:sz w:val="28"/>
          <w:sz w:val="28"/>
          <w:szCs w:val="28"/>
          <w:rtl w:val="true"/>
          <w:lang w:bidi="ar-SA"/>
        </w:rPr>
        <w:t xml:space="preserve">احتمال اجتماع مجهولين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49506/159600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التطبيق الثاني حساب احتمال كذب المجهولين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كذب المجهول الأوّل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 كذب المجهول الثاني</w:t>
      </w:r>
    </w:p>
    <w:p>
      <w:pPr>
        <w:pStyle w:val="BookText"/>
        <w:rPr/>
      </w:pPr>
      <w:r>
        <w:rPr>
          <w:rFonts w:ascii="Amiri" w:hAnsi="Amiri" w:eastAsia="Amiri" w:cs="Amiri"/>
          <w:color w:val="111111"/>
          <w:sz w:val="28"/>
          <w:sz w:val="28"/>
          <w:szCs w:val="28"/>
          <w:rtl w:val="true"/>
          <w:lang w:bidi="ar-SA"/>
        </w:rPr>
        <w:t xml:space="preserve">احتمال كذب المجهولين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التطبيق الثالث حساب احتمال مجهولية اثنين مع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اجتماع مجهولين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 كذبهما معاً</w:t>
      </w:r>
    </w:p>
    <w:p>
      <w:pPr>
        <w:pStyle w:val="BookText"/>
        <w:rPr/>
      </w:pPr>
      <w:r>
        <w:rPr>
          <w:rFonts w:ascii="Amiri" w:hAnsi="Amiri" w:eastAsia="Amiri" w:cs="Amiri"/>
          <w:color w:val="111111"/>
          <w:sz w:val="28"/>
          <w:sz w:val="28"/>
          <w:szCs w:val="28"/>
          <w:rtl w:val="true"/>
          <w:lang w:bidi="ar-SA"/>
        </w:rPr>
        <w:t xml:space="preserve">احتمال مجهولية اثنين مع كذبهما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تقريباً، ومعه لا يمكن حصول الاطمئنان باعتبار الرواية</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380280_2870459653"/>
      <w:bookmarkStart w:id="97" w:name="_Toc39"/>
      <w:bookmarkEnd w:id="96"/>
      <w:r>
        <w:rPr>
          <w:rtl w:val="true"/>
        </w:rPr>
        <w:t>المناقشة الأخرى</w:t>
      </w:r>
      <w:bookmarkEnd w:id="9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الرواية يحتمل أن تكون عين مرسلته السابقة؛ لوحدة السند، وتقارب ذيل الرواية السابقة مع متن هذه الرواية، ومع هذا الاحتمال يلزم تردّد المرسل عنه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يسقط الاستدلال بالرواية </w:t>
      </w:r>
      <w:bookmarkStart w:id="98" w:name="pg9153_76243"/>
    </w:p>
    <w:p>
      <w:pPr>
        <w:pStyle w:val="BookText"/>
        <w:rPr/>
      </w:pPr>
      <w:bookmarkEnd w:id="98"/>
      <w:r>
        <w:rPr>
          <w:rFonts w:ascii="Amiri" w:hAnsi="Amiri" w:eastAsia="Amiri" w:cs="Amiri"/>
          <w:color w:val="111111"/>
          <w:sz w:val="28"/>
          <w:sz w:val="28"/>
          <w:szCs w:val="28"/>
          <w:rtl w:val="true"/>
          <w:lang w:bidi="ar-SA"/>
        </w:rPr>
        <w:t>والاستفادة من الإرسال بغير واحد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اتّحاد الروايتين ينشأ من استبعاد تكرّر الواقعة،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نفسه يسأل السؤال نفسه مع أنّ المسؤول واحد، ويأتي الجواب نفسه، فهنا يقوى احتمال الاتّحاد، بل يحصل الاطمئنان به لاتّحاد الخصائص بين الروايتين؛ لأنّ اتّحاد الخصائص بين الروايتين صدفة أمرٌ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ما هو متّحد من الخصائص بين الروايتين قليل، وبالتالي يضعف معه احتمال الاتّحاد، خصوصاً أنّ الراوي المباشر عن الإمام في الروايتين غير معلوم من هو</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380282_2870459653"/>
      <w:bookmarkStart w:id="100" w:name="_Toc40"/>
      <w:bookmarkEnd w:id="99"/>
      <w:r>
        <w:rPr>
          <w:rtl w:val="true"/>
        </w:rPr>
        <w:t>الجهة الأخرى</w:t>
      </w:r>
      <w:r>
        <w:rPr>
          <w:rtl w:val="true"/>
        </w:rPr>
        <w:t xml:space="preserve">: </w:t>
      </w:r>
      <w:r>
        <w:rPr>
          <w:rtl w:val="true"/>
        </w:rPr>
        <w:t>في الدلالة</w:t>
      </w:r>
      <w:bookmarkEnd w:id="100"/>
    </w:p>
    <w:p>
      <w:pPr>
        <w:pStyle w:val="BookText"/>
        <w:rPr/>
      </w:pPr>
      <w:r>
        <w:rPr>
          <w:rFonts w:ascii="Amiri" w:hAnsi="Amiri" w:eastAsia="Amiri" w:cs="Amiri"/>
          <w:color w:val="111111"/>
          <w:sz w:val="28"/>
          <w:sz w:val="28"/>
          <w:szCs w:val="28"/>
          <w:rtl w:val="true"/>
          <w:lang w:bidi="ar-SA"/>
        </w:rPr>
        <w:t>الرواية صريحة في بلوغ الجارية بتسع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الرواية في بيان حدّ البلوغ التكويني والطبيعي للمرأة، وهو تسع سنين آنذاك،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قبل التاسعة لا تكون امرأة؛ لأنّها لا تحيض، وبهذا تكون هذه الرواية مطابقة لمضامين الروايات الّتي دلّت على أنّ الجارية قبل التسع لا تحيض، فلا يجوز الدخول بها، ولا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بصدد بيان الحدّ الأدنى من حيث السنّ للبلوغ بالحيض، وأنّه قبل تسع سنين لا تبلغ بالحيض وإنّما تبلغ بعدها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bookmarkStart w:id="101" w:name="pg9153_76244"/>
    </w:p>
    <w:p>
      <w:pPr>
        <w:pStyle w:val="BookText"/>
        <w:rPr/>
      </w:pPr>
      <w:bookmarkEnd w:id="10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لم تذكر الحيض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كونها في مقام بيان الحدّ بصورة مطلقة وغير مقيّدة بتكليف محدّد،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من الرواية، وكذلك لم تظهر مطابقة هذه الرواية لمضامين الروايات الّتي دلّت على أنَّ الجارية قبل التسع لا تحيض، أو لا عدّة عليها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380284_2870459653"/>
      <w:bookmarkStart w:id="103" w:name="_Toc41"/>
      <w:bookmarkEnd w:id="102"/>
      <w:r>
        <w:rPr>
          <w:rtl w:val="true"/>
        </w:rPr>
        <w:t>الطائفة الثانية</w:t>
      </w:r>
      <w:r>
        <w:rPr>
          <w:rtl w:val="true"/>
        </w:rPr>
        <w:t xml:space="preserve">: </w:t>
      </w:r>
      <w:r>
        <w:rPr>
          <w:rtl w:val="true"/>
        </w:rPr>
        <w:t>ما دلّ على البلوغ بتسع سنين بشرط الدخول والزواج</w:t>
      </w:r>
      <w:bookmarkEnd w:id="103"/>
    </w:p>
    <w:p>
      <w:pPr>
        <w:pStyle w:val="Heading6"/>
        <w:numPr>
          <w:ilvl w:val="5"/>
          <w:numId w:val="1"/>
        </w:numPr>
        <w:rPr/>
      </w:pPr>
      <w:bookmarkStart w:id="104" w:name="__RefHeading___Toc3380286_2870459653"/>
      <w:bookmarkStart w:id="105" w:name="_Toc42"/>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وتتضمّن عدّة روايات</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380288_2870459653"/>
      <w:bookmarkStart w:id="107" w:name="_Toc43"/>
      <w:bookmarkEnd w:id="106"/>
      <w:r>
        <w:rPr>
          <w:rtl w:val="true"/>
        </w:rPr>
        <w:t>الرواية الأولى</w:t>
      </w:r>
      <w:r>
        <w:rPr>
          <w:rtl w:val="true"/>
        </w:rPr>
        <w:t xml:space="preserve">: </w:t>
      </w:r>
      <w:r>
        <w:rPr>
          <w:rtl w:val="true"/>
        </w:rPr>
        <w:t>رواية حمران أو حمزة بن حمران بنقل ابن إدريس</w:t>
      </w:r>
      <w:bookmarkEnd w:id="107"/>
    </w:p>
    <w:p>
      <w:pPr>
        <w:pStyle w:val="Heading6"/>
        <w:numPr>
          <w:ilvl w:val="5"/>
          <w:numId w:val="1"/>
        </w:numPr>
        <w:rPr/>
      </w:pPr>
      <w:bookmarkStart w:id="108" w:name="__RefHeading___Toc3380290_2870459653"/>
      <w:bookmarkStart w:id="109" w:name="_Toc44"/>
      <w:bookmarkEnd w:id="108"/>
      <w:r>
        <w:rPr>
          <w:rtl w:val="true"/>
        </w:rPr>
        <w:t>اشارة</w:t>
      </w:r>
      <w:bookmarkEnd w:id="1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يجب على الغلام أن يؤخذ بالحدود التامّة وتقام عليه ويؤخذ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عنه اليتم وأدرك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حدّ يعرف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احتلم، أو بلغ خمس عشرة سنة، أو أشعر، أو أنبت قبل ذلك أقيمت عليه الحدود التامّة، وأخذ بها وأخذت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فالجارية متى تجب عليها الحدود التامّة وتؤخذ بها ويؤخذ 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الجارية ليست مثل الغلام، إنّ الجارية إذا تزوّجت ودخل بها ولها تسع سنين ذهب عنها اليتم ودفع إليها مالها، وجاز أمرها في الشراء والبيع، وأقيمت عليها الحدود التامّة وأخذ لها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والغلام لا يجوز أمره في الشراء والبيع ولا يخرج من اليتم حتّى يبلغ خمس عشرة سنة، أو يحتلم، أو يشعر، أو ينبت قبل ذلك</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10" w:name="pg9153_76245"/>
    </w:p>
    <w:p>
      <w:pPr>
        <w:pStyle w:val="BookText"/>
        <w:rPr/>
      </w:pPr>
      <w:bookmarkEnd w:id="110"/>
      <w:r>
        <w:rPr>
          <w:rFonts w:ascii="Amiri" w:hAnsi="Amiri" w:eastAsia="Amiri" w:cs="Amiri"/>
          <w:color w:val="111111"/>
          <w:sz w:val="28"/>
          <w:sz w:val="28"/>
          <w:szCs w:val="28"/>
          <w:rtl w:val="true"/>
          <w:lang w:bidi="ar-SA"/>
        </w:rPr>
        <w:t>والكلام في هذه الرواية تارة في السند، وأخرى في الدلالة</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380292_2870459653"/>
      <w:bookmarkStart w:id="112" w:name="_Toc45"/>
      <w:bookmarkEnd w:id="111"/>
      <w:r>
        <w:rPr>
          <w:rtl w:val="true"/>
        </w:rPr>
        <w:t>الجهة الأولى</w:t>
      </w:r>
      <w:r>
        <w:rPr>
          <w:rtl w:val="true"/>
        </w:rPr>
        <w:t xml:space="preserve">: </w:t>
      </w:r>
      <w:r>
        <w:rPr>
          <w:rtl w:val="true"/>
        </w:rPr>
        <w:t>في السند</w:t>
      </w:r>
      <w:bookmarkEnd w:id="112"/>
    </w:p>
    <w:p>
      <w:pPr>
        <w:pStyle w:val="Heading6"/>
        <w:numPr>
          <w:ilvl w:val="5"/>
          <w:numId w:val="1"/>
        </w:numPr>
        <w:rPr/>
      </w:pPr>
      <w:bookmarkStart w:id="113" w:name="__RefHeading___Toc3380294_2870459653"/>
      <w:bookmarkStart w:id="114" w:name="_Toc46"/>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ويشكل برجلين</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380296_2870459653"/>
      <w:bookmarkStart w:id="116" w:name="_Toc47"/>
      <w:bookmarkEnd w:id="115"/>
      <w:r>
        <w:rPr>
          <w:rtl w:val="true"/>
        </w:rPr>
        <w:t>الرجل الأوّل</w:t>
      </w:r>
      <w:bookmarkEnd w:id="116"/>
    </w:p>
    <w:p>
      <w:pPr>
        <w:pStyle w:val="Heading6"/>
        <w:numPr>
          <w:ilvl w:val="5"/>
          <w:numId w:val="1"/>
        </w:numPr>
        <w:rPr/>
      </w:pPr>
      <w:bookmarkStart w:id="117" w:name="__RefHeading___Toc3380298_2870459653"/>
      <w:bookmarkStart w:id="118" w:name="_Toc48"/>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عبد العزيز العبدي، وقد ضعّفه النجاشي</w:t>
      </w:r>
      <w:r>
        <w:rPr>
          <w:rStyle w:val="FootnoteAnchor"/>
          <w:rtl w:val="true"/>
        </w:rPr>
        <w:footnoteReference w:id="43"/>
      </w:r>
      <w:r>
        <w:rPr>
          <w:rFonts w:ascii="Amiri" w:hAnsi="Amiri" w:eastAsia="Amiri" w:cs="Amiri"/>
          <w:color w:val="111111"/>
          <w:sz w:val="28"/>
          <w:sz w:val="28"/>
          <w:szCs w:val="28"/>
          <w:rtl w:val="true"/>
          <w:lang w:bidi="ar-SA"/>
        </w:rPr>
        <w:t>، وذكره ابن إدريس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القندي</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وهذا العنوان مجهول لم يترجم له، ولعلّه تصحيف، خصوصاً مع تقارب الاسمين في رسم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ذكرت عدّة محاولات لقبول الرواية من جهة عبد العزيز العبدي</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380300_2870459653"/>
      <w:bookmarkStart w:id="120" w:name="_Toc49"/>
      <w:bookmarkEnd w:id="119"/>
      <w:r>
        <w:rPr>
          <w:rtl w:val="true"/>
        </w:rPr>
        <w:t>المحاولة الأولى</w:t>
      </w:r>
      <w:bookmarkEnd w:id="120"/>
    </w:p>
    <w:p>
      <w:pPr>
        <w:pStyle w:val="BookText"/>
        <w:rPr/>
      </w:pPr>
      <w:r>
        <w:rPr>
          <w:rFonts w:ascii="Amiri" w:hAnsi="Amiri" w:eastAsia="Amiri" w:cs="Amiri"/>
          <w:color w:val="111111"/>
          <w:sz w:val="28"/>
          <w:sz w:val="28"/>
          <w:szCs w:val="28"/>
          <w:rtl w:val="true"/>
          <w:lang w:bidi="ar-SA"/>
        </w:rPr>
        <w:t>ما في مصابيح الظلام،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 وإن نقل ضعفه عن ابن نوح وأسنده إليه،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وقد ذكرنا في التعليقة أنّ مثل هذا دليل الاعتماد عندهم سيّما عند النجاشي، ثُمَّ ذكر أنّ الحسن بن محبوب ممّن يرويه، والحسن من جملة مَن أجمعت العصابة على قوله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التضعيف من أبي العبّاس ابن نوح يشمله دليل حجّية قول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النجاشي قبول التضعيف المذكور فلم يعترض عليه، ونقله في كتابه يكشف عن قبوله التضعيف المذكور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لو لم يقبل التضعيف لعلّق عليه كما في استثناء </w:t>
      </w:r>
      <w:bookmarkStart w:id="121" w:name="pg9153_76246"/>
    </w:p>
    <w:p>
      <w:pPr>
        <w:pStyle w:val="BookText"/>
        <w:rPr/>
      </w:pPr>
      <w:bookmarkEnd w:id="121"/>
      <w:r>
        <w:rPr>
          <w:rFonts w:ascii="Amiri" w:hAnsi="Amiri" w:eastAsia="Amiri" w:cs="Amiri"/>
          <w:color w:val="111111"/>
          <w:sz w:val="28"/>
          <w:sz w:val="28"/>
          <w:szCs w:val="28"/>
          <w:rtl w:val="true"/>
          <w:lang w:bidi="ar-SA"/>
        </w:rPr>
        <w:t>ابن الوليد لمحمّد بن عيسى من رواية كتاب نوادر الحكمة لمحمّد بن أحمد بن يحيى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الوثاقة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قال في ترجمة 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وقال في ترجمة وهب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كذّاباً، وله أحاديث مع الرشيد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وقال في ترجمة صالح بن الحكم النيلي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الحسن بن محبوب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كبرى وثاقة من روى عنه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ستجعله من موارد تعارض الجرح والتعديل</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380302_2870459653"/>
      <w:bookmarkStart w:id="123" w:name="_Toc50"/>
      <w:bookmarkEnd w:id="122"/>
      <w:r>
        <w:rPr>
          <w:rtl w:val="true"/>
        </w:rPr>
        <w:t>المحاولة الثانية</w:t>
      </w:r>
      <w:bookmarkEnd w:id="123"/>
    </w:p>
    <w:p>
      <w:pPr>
        <w:pStyle w:val="BookText"/>
        <w:rPr/>
      </w:pP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الصحيح من محكمات أخبار الباب، ومبيّناتها، وممّا يشهد متنه بصحّة سنده كما لا يخفى على أهله، ولا بُدَّ من ردّ غيره إليه أو طرحه عند المعارضة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في متن الرواية تقتضي قبول الرواية غير عمل المشهور بها، وهو غير تامّ في الجارية؛ لأنّ الرواية دلّت على حصول البلوغ بتسع سنين بشرط الزواج والدخول</w:t>
      </w:r>
      <w:r>
        <w:rPr>
          <w:rFonts w:eastAsia="Amiri" w:cs="Amiri" w:ascii="Amiri" w:hAnsi="Amiri"/>
          <w:color w:val="111111"/>
          <w:sz w:val="28"/>
          <w:szCs w:val="28"/>
          <w:rtl w:val="true"/>
          <w:lang w:bidi="ar-SA"/>
        </w:rPr>
        <w:t xml:space="preserve">. </w:t>
      </w:r>
      <w:bookmarkStart w:id="124" w:name="pg9153_76247"/>
    </w:p>
    <w:p>
      <w:pPr>
        <w:pStyle w:val="Heading6"/>
        <w:numPr>
          <w:ilvl w:val="5"/>
          <w:numId w:val="1"/>
        </w:numPr>
        <w:rPr/>
      </w:pPr>
      <w:bookmarkStart w:id="125" w:name="__RefHeading___Toc3380304_2870459653"/>
      <w:bookmarkStart w:id="126" w:name="_Toc51"/>
      <w:bookmarkEnd w:id="124"/>
      <w:bookmarkEnd w:id="125"/>
      <w:r>
        <w:rPr>
          <w:rtl w:val="true"/>
        </w:rPr>
        <w:t>المحاولة الثالثة</w:t>
      </w:r>
      <w:bookmarkEnd w:id="126"/>
    </w:p>
    <w:p>
      <w:pPr>
        <w:pStyle w:val="BookText"/>
        <w:rPr/>
      </w:pPr>
      <w:r>
        <w:rPr>
          <w:rFonts w:ascii="Amiri" w:hAnsi="Amiri" w:eastAsia="Amiri" w:cs="Amiri"/>
          <w:color w:val="111111"/>
          <w:sz w:val="28"/>
          <w:sz w:val="28"/>
          <w:szCs w:val="28"/>
          <w:rtl w:val="true"/>
          <w:lang w:bidi="ar-SA"/>
        </w:rPr>
        <w:t xml:space="preserve">أنّ رواية جماعة من الأجلّاء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بن محبوب السرّاد</w:t>
      </w:r>
      <w:r>
        <w:rPr>
          <w:rStyle w:val="FootnoteAnchor"/>
          <w:rtl w:val="true"/>
        </w:rPr>
        <w:footnoteReference w:id="51"/>
      </w:r>
      <w:r>
        <w:rPr>
          <w:rFonts w:ascii="Amiri" w:hAnsi="Amiri" w:eastAsia="Amiri" w:cs="Amiri"/>
          <w:color w:val="111111"/>
          <w:sz w:val="28"/>
          <w:sz w:val="28"/>
          <w:szCs w:val="28"/>
          <w:rtl w:val="true"/>
          <w:lang w:bidi="ar-SA"/>
        </w:rPr>
        <w:t>وعبد الرحمن بن أبي نجران</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وثاقته، وإن لم يكن غير مصرّح بها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عنه لا تفيد الوثاقة ما لم يحصل كثرة للرواية عنه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الأجلّاء يروي عن الضعفاء كرواية جميل بن دراج عن يونس بن ظبيان</w:t>
      </w:r>
      <w:r>
        <w:rPr>
          <w:rStyle w:val="FootnoteAnchor"/>
          <w:rtl w:val="true"/>
        </w:rPr>
        <w:footnoteReference w:id="54"/>
      </w:r>
      <w:r>
        <w:rPr>
          <w:rFonts w:ascii="Amiri" w:hAnsi="Amiri" w:eastAsia="Amiri" w:cs="Amiri"/>
          <w:color w:val="111111"/>
          <w:sz w:val="28"/>
          <w:sz w:val="28"/>
          <w:szCs w:val="28"/>
          <w:rtl w:val="true"/>
          <w:lang w:bidi="ar-SA"/>
        </w:rPr>
        <w:t>، ورواية أبان بن عثمان عن كثير النواء</w:t>
      </w:r>
      <w:r>
        <w:rPr>
          <w:rStyle w:val="FootnoteAnchor"/>
          <w:rtl w:val="true"/>
        </w:rPr>
        <w:footnoteReference w:id="55"/>
      </w:r>
      <w:r>
        <w:rPr>
          <w:rFonts w:ascii="Amiri" w:hAnsi="Amiri" w:eastAsia="Amiri" w:cs="Amiri"/>
          <w:color w:val="111111"/>
          <w:sz w:val="28"/>
          <w:sz w:val="28"/>
          <w:szCs w:val="28"/>
          <w:rtl w:val="true"/>
          <w:lang w:bidi="ar-SA"/>
        </w:rPr>
        <w:t>، ورواية ابن بكير وجميل ابن درّاج عن صالح بن الحكم النيلي الأحول كما في رجال النجاشي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الإكثار</w:t>
      </w:r>
      <w:r>
        <w:rPr>
          <w:rStyle w:val="FootnoteAnchor"/>
          <w:rtl w:val="true"/>
        </w:rPr>
        <w:footnoteReference w:id="57"/>
      </w:r>
      <w:r>
        <w:rPr>
          <w:rFonts w:ascii="Amiri" w:hAnsi="Amiri" w:eastAsia="Amiri" w:cs="Amiri"/>
          <w:color w:val="111111"/>
          <w:sz w:val="28"/>
          <w:sz w:val="28"/>
          <w:szCs w:val="28"/>
          <w:rtl w:val="true"/>
          <w:lang w:bidi="ar-SA"/>
        </w:rPr>
        <w:t>، فمع وجود التضعيف، لا ينفع في حصول الوثاقة</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3380306_2870459653"/>
      <w:bookmarkStart w:id="128" w:name="_Toc52"/>
      <w:bookmarkEnd w:id="127"/>
      <w:r>
        <w:rPr>
          <w:rtl w:val="true"/>
        </w:rPr>
        <w:t>الرجل الآخر</w:t>
      </w:r>
      <w:bookmarkEnd w:id="12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حمران، الّذي لم يذكر في حقّه توثيق صريح، ولكن يمكن توثيقه لرواية ابن أبي عمير وصفوان عنه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 عبد العزيز العبدي يأتي هنا، ويرد عليه ما تقدّم</w:t>
      </w:r>
      <w:r>
        <w:rPr>
          <w:rFonts w:eastAsia="Amiri" w:cs="Amiri" w:ascii="Amiri" w:hAnsi="Amiri"/>
          <w:color w:val="111111"/>
          <w:sz w:val="28"/>
          <w:szCs w:val="28"/>
          <w:rtl w:val="true"/>
          <w:lang w:bidi="ar-SA"/>
        </w:rPr>
        <w:t xml:space="preserve">. </w:t>
      </w:r>
      <w:bookmarkStart w:id="129" w:name="pg9153_76248"/>
    </w:p>
    <w:p>
      <w:pPr>
        <w:pStyle w:val="BookText"/>
        <w:rPr/>
      </w:pPr>
      <w:bookmarkEnd w:id="129"/>
      <w:r>
        <w:rPr>
          <w:rFonts w:ascii="Amiri" w:hAnsi="Amiri" w:eastAsia="Amiri" w:cs="Amiri"/>
          <w:color w:val="111111"/>
          <w:sz w:val="28"/>
          <w:sz w:val="28"/>
          <w:szCs w:val="28"/>
          <w:rtl w:val="true"/>
          <w:lang w:bidi="ar-SA"/>
        </w:rPr>
        <w:t>وعلى كلّ حال فالرواية ضعيفة بالعبدي</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380308_2870459653"/>
      <w:bookmarkStart w:id="131" w:name="_Toc53"/>
      <w:bookmarkEnd w:id="130"/>
      <w:r>
        <w:rPr>
          <w:rtl w:val="true"/>
        </w:rPr>
        <w:t>الجهة الأخرى</w:t>
      </w:r>
      <w:r>
        <w:rPr>
          <w:rtl w:val="true"/>
        </w:rPr>
        <w:t xml:space="preserve">: </w:t>
      </w:r>
      <w:r>
        <w:rPr>
          <w:rtl w:val="true"/>
        </w:rPr>
        <w:t>في الدلالة</w:t>
      </w:r>
      <w:bookmarkEnd w:id="131"/>
    </w:p>
    <w:p>
      <w:pPr>
        <w:pStyle w:val="BookText"/>
        <w:rPr/>
      </w:pPr>
      <w:r>
        <w:rPr>
          <w:rFonts w:ascii="Amiri" w:hAnsi="Amiri" w:eastAsia="Amiri" w:cs="Amiri"/>
          <w:color w:val="111111"/>
          <w:sz w:val="28"/>
          <w:sz w:val="28"/>
          <w:szCs w:val="28"/>
          <w:rtl w:val="true"/>
          <w:lang w:bidi="ar-SA"/>
        </w:rPr>
        <w:t>أمّا الدلالة فالظاهر من الرواية أنّ حصول البلوغ وترتيب آثاره معلّق على عدّة أمور بنحو المجموع، وهي بلوغ تسع سنين، والزواج، والدخول، فإذا انتفى أحدهما لا يحصل البلوغ بتسع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فرض تزويجها والدخول بها هو التأكُّد من تحقُّق بلوغها التسع، لا أنَّه شرط لبلوغها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والدخول وذهاب اليتم من الأمور المترتِّبة على البلوغ ومن آثاره، وليس شرطاً في البلوغ</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المناقشتين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الزواج والدخول شرط،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الجارية إذا تزوّجت ودخل بها ولها تسع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الجزاء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عنها اليتم، ودفع إليها مالها وجاز أمرها في الشراء والبيع، وأقيمت عليها الحدود التامّة وأخذ لها بها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الرواية ظاهرة في الشرطيّة، ولها مفهوم وشرطها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وتزوّجت ودخل بها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وجزاؤها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w:t>
      </w:r>
      <w:bookmarkStart w:id="132" w:name="pg9153_76249"/>
    </w:p>
    <w:p>
      <w:pPr>
        <w:pStyle w:val="BookText"/>
        <w:rPr/>
      </w:pPr>
      <w:bookmarkEnd w:id="132"/>
      <w:r>
        <w:rPr>
          <w:rFonts w:ascii="IRNazanin" w:hAnsi="IRNazanin" w:eastAsia="IRNazanin"/>
          <w:color w:val="111111"/>
          <w:sz w:val="28"/>
          <w:sz w:val="28"/>
          <w:szCs w:val="28"/>
          <w:rtl w:val="true"/>
          <w:lang w:bidi="fa-IR"/>
        </w:rPr>
        <w:t>آثار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بهذا أحد من الفقهاء، فتكون الرواية مهجورة، وهجر الأصحاب للرواية يكون مانعاً من الاستدلال بالرواية، كما ذكر في محلّه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الجنيد الإسكافي عمل بالرواية في الجملة، 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الصبيّة إذا تزوّجت ولها تسع سنين أيضاً لم يحجر عليها، وكان زوجها الرشيد قيّماً بمالها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ولكنّه التزم بجزء من مفاد الرواية، ولم يلتزم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فالرواية ضعيفة، لا يمكن الاستدلال بها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380310_2870459653"/>
      <w:bookmarkStart w:id="134" w:name="_Toc54"/>
      <w:bookmarkEnd w:id="133"/>
      <w:r>
        <w:rPr>
          <w:rtl w:val="true"/>
        </w:rPr>
        <w:t>الرواية الأخرى</w:t>
      </w:r>
      <w:r>
        <w:rPr>
          <w:rtl w:val="true"/>
        </w:rPr>
        <w:t xml:space="preserve">: </w:t>
      </w:r>
      <w:r>
        <w:rPr>
          <w:rtl w:val="true"/>
        </w:rPr>
        <w:t>رواية بريد أو يزيد الكناسيّ</w:t>
      </w:r>
      <w:bookmarkEnd w:id="134"/>
    </w:p>
    <w:p>
      <w:pPr>
        <w:pStyle w:val="Heading6"/>
        <w:numPr>
          <w:ilvl w:val="5"/>
          <w:numId w:val="1"/>
        </w:numPr>
        <w:rPr/>
      </w:pPr>
      <w:bookmarkStart w:id="135" w:name="__RefHeading___Toc3380312_2870459653"/>
      <w:bookmarkStart w:id="136" w:name="_Toc55"/>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بريد أو يزيد</w:t>
      </w:r>
      <w:r>
        <w:rPr>
          <w:rStyle w:val="FootnoteAnchor"/>
          <w:rtl w:val="true"/>
        </w:rPr>
        <w:footnoteReference w:id="63"/>
      </w:r>
      <w:r>
        <w:rPr>
          <w:rFonts w:ascii="Amiri" w:hAnsi="Amiri" w:eastAsia="Amiri" w:cs="Amiri"/>
          <w:color w:val="111111"/>
          <w:sz w:val="28"/>
          <w:sz w:val="28"/>
          <w:szCs w:val="28"/>
          <w:rtl w:val="true"/>
          <w:lang w:bidi="ar-SA"/>
        </w:rPr>
        <w:t>الكناسيّ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يجوز للأب أن يزوّج ابنته ولا يستأمرها؟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جازت تسع سنين، فإن زوّجها قبل بلوغ التسع سنين كان الخيار لها إذا بلغت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زوّجها أبوها ولم تبلغ تسع سنين فبلغها ذلك، فسكتت ولم تأبَ ذلك، أيجوز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يجوز عليها رضى في نفسها، ولا يجوز لها تأبّي ولا سخط في نفسها حتّى تستكمل تسع سنين، وإذا بلغت تسع سنين جاز لها القول في نفسها بالرضا والتأبّي، وجاز عليها بعد ذلك وإن لم تكن أدركت مدرك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أفتقام عليها الحدود، وتؤخذ بها وهي في تلك الحال، وإنّما لها تسع سنين، ولم </w:t>
      </w:r>
      <w:bookmarkStart w:id="137" w:name="pg9153_76250"/>
    </w:p>
    <w:p>
      <w:pPr>
        <w:pStyle w:val="BookText"/>
        <w:rPr/>
      </w:pPr>
      <w:bookmarkEnd w:id="137"/>
      <w:r>
        <w:rPr>
          <w:rFonts w:ascii="Amiri" w:hAnsi="Amiri" w:eastAsia="Amiri" w:cs="Amiri"/>
          <w:color w:val="111111"/>
          <w:sz w:val="28"/>
          <w:sz w:val="28"/>
          <w:szCs w:val="28"/>
          <w:rtl w:val="true"/>
          <w:lang w:bidi="ar-SA"/>
        </w:rPr>
        <w:t>تدرك مدرك النساء في الحيض؟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دخلت على زوجها ولها تسع سنين ذهب عنها اليتم، ودفع إليها مالها، وأقيمت الحدود التامّة عليها ولها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يقع في جهتين</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3380314_2870459653"/>
      <w:bookmarkStart w:id="139" w:name="_Toc56"/>
      <w:bookmarkEnd w:id="138"/>
      <w:r>
        <w:rPr>
          <w:rtl w:val="true"/>
        </w:rPr>
        <w:t>الجهة الأولى</w:t>
      </w:r>
      <w:r>
        <w:rPr>
          <w:rtl w:val="true"/>
        </w:rPr>
        <w:t xml:space="preserve">: </w:t>
      </w:r>
      <w:r>
        <w:rPr>
          <w:rtl w:val="true"/>
        </w:rPr>
        <w:t>في السند</w:t>
      </w:r>
      <w:bookmarkEnd w:id="139"/>
    </w:p>
    <w:p>
      <w:pPr>
        <w:pStyle w:val="BookText"/>
        <w:rPr/>
      </w:pPr>
      <w:r>
        <w:rPr>
          <w:rFonts w:ascii="Amiri" w:hAnsi="Amiri" w:eastAsia="Amiri" w:cs="Amiri"/>
          <w:color w:val="111111"/>
          <w:sz w:val="28"/>
          <w:sz w:val="28"/>
          <w:szCs w:val="28"/>
          <w:rtl w:val="true"/>
          <w:lang w:bidi="ar-SA"/>
        </w:rPr>
        <w:t>ولا كلام فيه إلّا من جهة يزيد أو بريد الكناسيّ، فلم تثبت وثاقته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3380316_2870459653"/>
      <w:bookmarkStart w:id="141" w:name="_Toc57"/>
      <w:bookmarkEnd w:id="140"/>
      <w:r>
        <w:rPr>
          <w:rtl w:val="true"/>
        </w:rPr>
        <w:t>الجهة الأخرى</w:t>
      </w:r>
      <w:r>
        <w:rPr>
          <w:rtl w:val="true"/>
        </w:rPr>
        <w:t xml:space="preserve">: </w:t>
      </w:r>
      <w:r>
        <w:rPr>
          <w:rtl w:val="true"/>
        </w:rPr>
        <w:t>في الدلالة</w:t>
      </w:r>
      <w:bookmarkEnd w:id="141"/>
    </w:p>
    <w:p>
      <w:pPr>
        <w:pStyle w:val="BookText"/>
        <w:rPr/>
      </w:pPr>
      <w:r>
        <w:rPr>
          <w:rFonts w:ascii="Amiri" w:hAnsi="Amiri" w:eastAsia="Amiri" w:cs="Amiri"/>
          <w:color w:val="111111"/>
          <w:sz w:val="28"/>
          <w:sz w:val="28"/>
          <w:szCs w:val="28"/>
          <w:rtl w:val="true"/>
          <w:lang w:bidi="ar-SA"/>
        </w:rPr>
        <w:t>ودلالة هذه الرواية كدلالة الرواية السابقة فلا نعيد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حسب نقل الشيخ</w:t>
      </w:r>
      <w:r>
        <w:rPr>
          <w:rStyle w:val="FootnoteAnchor"/>
          <w:rtl w:val="true"/>
        </w:rPr>
        <w:footnoteReference w:id="66"/>
      </w:r>
      <w:r>
        <w:rPr>
          <w:rFonts w:ascii="IRNazanin" w:hAnsi="IRNazanin" w:eastAsia="IRNazanin"/>
          <w:color w:val="111111"/>
          <w:sz w:val="28"/>
          <w:sz w:val="28"/>
          <w:szCs w:val="28"/>
          <w:rtl w:val="true"/>
          <w:lang w:bidi="fa-IR"/>
        </w:rPr>
        <w:t>من جعل الزواج والدخول شرطاً، ولكن حسب نقل الشيخ الكليني في الكافي لا يتمّ الاستدلال؛ لأنّ الزواج والدخول أثر من آثار البلوغ تسعاً، وإليك ووواليك نصّ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الجارية إذا بلغت تسع سنين ذهب عنها اليتم، وزوّجت وأقيمت عليها الحدود التامّة عليها ولها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42" w:name="pg9153_76251"/>
    </w:p>
    <w:p>
      <w:pPr>
        <w:pStyle w:val="BookText"/>
        <w:rPr/>
      </w:pPr>
      <w:bookmarkEnd w:id="142"/>
      <w:r>
        <w:rPr>
          <w:rFonts w:ascii="Amiri" w:hAnsi="Amiri" w:eastAsia="Amiri" w:cs="Amiri"/>
          <w:color w:val="111111"/>
          <w:sz w:val="28"/>
          <w:sz w:val="28"/>
          <w:szCs w:val="28"/>
          <w:rtl w:val="true"/>
          <w:lang w:bidi="ar-SA"/>
        </w:rPr>
        <w:t>ولا يبعد أن تكون الرواية الّتي نقلها الشيخ في الاستبصار والتهذيب هي عين الرواية الّتي نقلها الكليني في الكافي كما صرّح بعض الأعلام</w:t>
      </w:r>
      <w:r>
        <w:rPr>
          <w:rStyle w:val="FootnoteAnchor"/>
          <w:rtl w:val="true"/>
        </w:rPr>
        <w:footnoteReference w:id="68"/>
      </w:r>
      <w:r>
        <w:rPr>
          <w:rFonts w:ascii="Amiri" w:hAnsi="Amiri" w:eastAsia="Amiri" w:cs="Amiri"/>
          <w:color w:val="111111"/>
          <w:sz w:val="28"/>
          <w:sz w:val="28"/>
          <w:szCs w:val="28"/>
          <w:rtl w:val="true"/>
          <w:lang w:bidi="ar-SA"/>
        </w:rPr>
        <w:t>لوحدة السند ووحدة الإمام المنقول عنه ووحدة المضمون باستثناء شرط الزواج، فالزواج في رواية الشيخ شرط، وفي رواية الكليني أثر من آثار البلوغ، نعم على كلا النقلين يكون سنّ التاسعة لدى الجارية هو سنّ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بشرط الدخول، فتأمّل</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3380318_2870459653"/>
      <w:bookmarkStart w:id="144" w:name="_Toc58"/>
      <w:bookmarkEnd w:id="143"/>
      <w:r>
        <w:rPr>
          <w:rtl w:val="true"/>
        </w:rPr>
        <w:t>الطائفة الثالثة</w:t>
      </w:r>
      <w:r>
        <w:rPr>
          <w:rtl w:val="true"/>
        </w:rPr>
        <w:t xml:space="preserve">: </w:t>
      </w:r>
      <w:r>
        <w:rPr>
          <w:rtl w:val="true"/>
        </w:rPr>
        <w:t>ما دلّ على البلوغ بتسع سنين؛ لأنّها تحيض في هذا السنّ</w:t>
      </w:r>
      <w:bookmarkEnd w:id="144"/>
    </w:p>
    <w:p>
      <w:pPr>
        <w:pStyle w:val="Heading6"/>
        <w:numPr>
          <w:ilvl w:val="5"/>
          <w:numId w:val="1"/>
        </w:numPr>
        <w:rPr/>
      </w:pPr>
      <w:bookmarkStart w:id="145" w:name="__RefHeading___Toc3380320_2870459653"/>
      <w:bookmarkStart w:id="146" w:name="_Toc59"/>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 xml:space="preserve">وتتمثّل برواية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عشرة سنة كتبت له الحسنة، وكتبت عليه السيئة، وعوقب، وإذا بلغت الجارية تسع سنين فكذلك؛ وذلك أنّها تحيض لتسع سنين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هذه الرواية أيضاً يقع في جهتين</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380322_2870459653"/>
      <w:bookmarkStart w:id="148" w:name="_Toc60"/>
      <w:bookmarkEnd w:id="147"/>
      <w:r>
        <w:rPr>
          <w:rtl w:val="true"/>
        </w:rPr>
        <w:t>الجهة الأولى</w:t>
      </w:r>
      <w:r>
        <w:rPr>
          <w:rtl w:val="true"/>
        </w:rPr>
        <w:t xml:space="preserve">: </w:t>
      </w:r>
      <w:r>
        <w:rPr>
          <w:rtl w:val="true"/>
        </w:rPr>
        <w:t>في السند</w:t>
      </w:r>
      <w:bookmarkEnd w:id="148"/>
    </w:p>
    <w:p>
      <w:pPr>
        <w:pStyle w:val="BookText"/>
        <w:rPr/>
      </w:pPr>
      <w:r>
        <w:rPr>
          <w:rFonts w:ascii="Amiri" w:hAnsi="Amiri" w:eastAsia="Amiri" w:cs="Amiri"/>
          <w:color w:val="111111"/>
          <w:sz w:val="28"/>
          <w:sz w:val="28"/>
          <w:szCs w:val="28"/>
          <w:rtl w:val="true"/>
          <w:lang w:bidi="ar-SA"/>
        </w:rPr>
        <w:t>وذلك أنّ آدم بن المتوكّل بيّاع اللؤلؤ وإن ورد توثيقه في المطبوع من رجال النجاشي</w:t>
      </w:r>
      <w:r>
        <w:rPr>
          <w:rStyle w:val="FootnoteAnchor"/>
          <w:rtl w:val="true"/>
        </w:rPr>
        <w:footnoteReference w:id="70"/>
      </w:r>
      <w:r>
        <w:rPr>
          <w:rFonts w:ascii="Amiri" w:hAnsi="Amiri" w:eastAsia="Amiri" w:cs="Amiri"/>
          <w:color w:val="111111"/>
          <w:sz w:val="28"/>
          <w:sz w:val="28"/>
          <w:szCs w:val="28"/>
          <w:rtl w:val="true"/>
          <w:lang w:bidi="ar-SA"/>
        </w:rPr>
        <w:t>، ولكن نقل ابن داود عن النجاشي أنّه مهمل</w:t>
      </w:r>
      <w:r>
        <w:rPr>
          <w:rStyle w:val="FootnoteAnchor"/>
          <w:rtl w:val="true"/>
        </w:rPr>
        <w:footnoteReference w:id="71"/>
      </w:r>
      <w:r>
        <w:rPr>
          <w:rFonts w:ascii="Amiri" w:hAnsi="Amiri" w:eastAsia="Amiri" w:cs="Amiri"/>
          <w:color w:val="111111"/>
          <w:sz w:val="28"/>
          <w:sz w:val="28"/>
          <w:szCs w:val="28"/>
          <w:rtl w:val="true"/>
          <w:lang w:bidi="ar-SA"/>
        </w:rPr>
        <w:t>، فنسخة رجال النجاشي الّتي لدى ابن داود خالية عن التوثيق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يمكن توثيقه من جهة رواية البزنطي عنه بسند صحيح بناءً على </w:t>
      </w:r>
      <w:bookmarkStart w:id="149" w:name="pg9153_76252"/>
    </w:p>
    <w:p>
      <w:pPr>
        <w:pStyle w:val="BookText"/>
        <w:rPr/>
      </w:pPr>
      <w:bookmarkEnd w:id="149"/>
      <w:r>
        <w:rPr>
          <w:rFonts w:ascii="Amiri" w:hAnsi="Amiri" w:eastAsia="Amiri" w:cs="Amiri"/>
          <w:color w:val="111111"/>
          <w:sz w:val="28"/>
          <w:sz w:val="28"/>
          <w:szCs w:val="28"/>
          <w:rtl w:val="true"/>
          <w:lang w:bidi="ar-SA"/>
        </w:rPr>
        <w:t>وثاقة كلّ مَن روى عنه المشايخ الثلاثة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3380324_2870459653"/>
      <w:bookmarkStart w:id="151" w:name="_Toc61"/>
      <w:bookmarkEnd w:id="150"/>
      <w:r>
        <w:rPr>
          <w:rtl w:val="true"/>
        </w:rPr>
        <w:t>الجهة الأخرى</w:t>
      </w:r>
      <w:r>
        <w:rPr>
          <w:rtl w:val="true"/>
        </w:rPr>
        <w:t xml:space="preserve">: </w:t>
      </w:r>
      <w:r>
        <w:rPr>
          <w:rtl w:val="true"/>
        </w:rPr>
        <w:t>في الدلالة</w:t>
      </w:r>
      <w:bookmarkEnd w:id="151"/>
    </w:p>
    <w:p>
      <w:pPr>
        <w:pStyle w:val="BookText"/>
        <w:rPr/>
      </w:pPr>
      <w:r>
        <w:rPr>
          <w:rFonts w:ascii="Amiri" w:hAnsi="Amiri" w:eastAsia="Amiri" w:cs="Amiri"/>
          <w:color w:val="111111"/>
          <w:sz w:val="28"/>
          <w:sz w:val="28"/>
          <w:szCs w:val="28"/>
          <w:rtl w:val="true"/>
          <w:lang w:bidi="ar-SA"/>
        </w:rPr>
        <w:t>لو كنّا نحن وهذه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بلغت الجارية تسع سنين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واضحة الدلالة على مدّعى المشهور، ولكن ذيل الرواية ظاهر في أنّ علّة الحكم بالبلوغ لتسع سنين هو حيضها في ذلك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والظهور الأوّلي منها هو الحيض الفعلي، لا إمكان الحيض؛ لأنّ إمكان الحيض فيه مؤنة زائدة تحتاج إلى بيان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الحيض الفعلي قد يستبعد بقرينة ما ذكر في كلماتهم من أنّ حصول الحيض في سنّ التاسعة أمر قليل الحصول، والغالب هو حصول الحيض بعد ذلك</w:t>
      </w:r>
      <w:r>
        <w:rPr>
          <w:rStyle w:val="FootnoteAnchor"/>
          <w:rtl w:val="true"/>
        </w:rPr>
        <w:footnoteReference w:id="73"/>
      </w:r>
      <w:r>
        <w:rPr>
          <w:rFonts w:ascii="Amiri" w:hAnsi="Amiri" w:eastAsia="Amiri" w:cs="Amiri"/>
          <w:color w:val="111111"/>
          <w:sz w:val="28"/>
          <w:sz w:val="28"/>
          <w:szCs w:val="28"/>
          <w:rtl w:val="true"/>
          <w:lang w:bidi="ar-SA"/>
        </w:rPr>
        <w:t>، قال صاحب كتاب الموسوعة العربية العالمية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الحيض عند معظم الفتيات بين سنّ العاشرة والسادسة عشرة</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السنين الميلادية كما هو المتعارف في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التعليل الوارد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أنّها تحيض لتسع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المراد به الحيض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منسجم؛ ولذا يمكن حمل الحيض في الرواية على إمكان الحيض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3380326_2870459653"/>
      <w:bookmarkStart w:id="153" w:name="_Toc62"/>
      <w:bookmarkEnd w:id="152"/>
      <w:r>
        <w:rPr>
          <w:rtl w:val="true"/>
        </w:rPr>
        <w:t>الطائفة الرابعة</w:t>
      </w:r>
      <w:r>
        <w:rPr>
          <w:rtl w:val="true"/>
        </w:rPr>
        <w:t xml:space="preserve">: </w:t>
      </w:r>
      <w:r>
        <w:rPr>
          <w:rtl w:val="true"/>
        </w:rPr>
        <w:t>ما دلّ على حصول البلوغ بثلاث عشرة سنة، أو بالحيض قبل ذلك</w:t>
      </w:r>
      <w:bookmarkEnd w:id="153"/>
    </w:p>
    <w:p>
      <w:pPr>
        <w:pStyle w:val="BookText"/>
        <w:rPr/>
      </w:pPr>
      <w:r>
        <w:rPr>
          <w:rFonts w:ascii="IRNazanin" w:hAnsi="IRNazanin" w:eastAsia="IRNazanin"/>
          <w:color w:val="111111"/>
          <w:sz w:val="28"/>
          <w:sz w:val="28"/>
          <w:szCs w:val="28"/>
          <w:rtl w:val="true"/>
          <w:lang w:bidi="fa-IR"/>
        </w:rPr>
        <w:t xml:space="preserve">وتتمثّل بموثّقة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متى تجب عليه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عليه ثلاث عشرة سنة، فإن احتلم قبل ذلك فقد وجبت عليه الصلاة، وجرى عليه القلم، والجارية مثل ذلك إن أتى لها ثلاث عشرة سنة، أو حاضت قبل ذلك فقد وجبت عليها الصلاة، وجرى عليها القلم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لا إشكال فيه؛ لأنّ الرواة كلّهم ثقات وإن كان فيهم فطحية، نعم انفرد بها عمّار الساباطي، ولكن لا يؤثّر ذلك على الاستدلال بها</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عليّ، عن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ما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رجال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لكتاب عمرو بن سعيد هو أحمد بن الحسن بن عليّ كما في مشيخة الفقيه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الطريق إلى عمرو بن سعيد، وكذا رواية أحمد بن الحسن بن عليّ عن عمرو بن سعيد في فهرست الشيخ 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الطريق إلى كتاب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السند الغالب في كتب الحديث هو رواية أحمد بن الحسن بن عليّ، عن عمرو بن سعيد إلّا في راوية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فيها الحسن بن عليّ، عن عمرو بن سعيد، ولا يبعد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فالرواية معتبرة؛ لأنَّ أحمد بن الحسن بن عليّ ابن فضّال والحسن بن عليّ ابن فضّال كلاهما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الدلالة فهي ظاهرة في حصول البلوغ بثلاث عشرة سنة، بل بمفهوم الشرط </w:t>
      </w:r>
      <w:bookmarkStart w:id="154" w:name="pg9153_76254"/>
    </w:p>
    <w:p>
      <w:pPr>
        <w:pStyle w:val="BookText"/>
        <w:rPr/>
      </w:pPr>
      <w:bookmarkEnd w:id="154"/>
      <w:r>
        <w:rPr>
          <w:rFonts w:ascii="Amiri" w:hAnsi="Amiri" w:eastAsia="Amiri" w:cs="Amiri"/>
          <w:color w:val="111111"/>
          <w:sz w:val="28"/>
          <w:sz w:val="28"/>
          <w:szCs w:val="28"/>
          <w:rtl w:val="true"/>
          <w:lang w:bidi="ar-SA"/>
        </w:rPr>
        <w:t>تدلّ على عدم حصول البلوغ قبل ثلاث عشرة سنة، إلّا إذا حصل الحيض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مضمونها لا يوافق المدّعى؛ لأنّها تضمّنت كون المعيار ثلاث عشرة سنة إلّا إذا حاضت قبل ذلك، فعلى ذلك يجب تغيير العنوان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البلوغ هو ثلاث عشرة سنة إلّا إذا حاضت قبل ذلك</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مضمونها يوافق المدّعى؛ لأنّ البلوغ ثلاث عشرة سنة هو أحد العلامات، والحيض علامة أخرى، فإن حصل أحدهما حصل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أعرض عن الرواية، فلا يمكن الاعتماد عليها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الإعراض الكاسر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مستند إلى حدس واجتهاد كما ذكر في محلّه</w:t>
      </w:r>
      <w:r>
        <w:rPr>
          <w:rStyle w:val="FootnoteAnchor"/>
          <w:rtl w:val="true"/>
        </w:rPr>
        <w:footnoteReference w:id="79"/>
      </w:r>
      <w:r>
        <w:rPr>
          <w:rFonts w:ascii="Amiri" w:hAnsi="Amiri" w:eastAsia="Amiri" w:cs="Amiri"/>
          <w:color w:val="111111"/>
          <w:sz w:val="28"/>
          <w:sz w:val="28"/>
          <w:szCs w:val="28"/>
          <w:rtl w:val="true"/>
          <w:lang w:bidi="ar-SA"/>
        </w:rPr>
        <w:t>، وفي المقام المشهور رجّح روايات التسعة؛ لكثرتها وشهرتها فهو يعتمد على أصل اجتهادي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3380328_2870459653"/>
      <w:bookmarkStart w:id="156" w:name="_Toc63"/>
      <w:bookmarkEnd w:id="155"/>
      <w:r>
        <w:rPr>
          <w:rtl w:val="true"/>
        </w:rPr>
        <w:t>الطائفة الخامسة</w:t>
      </w:r>
      <w:r>
        <w:rPr>
          <w:rtl w:val="true"/>
        </w:rPr>
        <w:t xml:space="preserve">: </w:t>
      </w:r>
      <w:r>
        <w:rPr>
          <w:rtl w:val="true"/>
        </w:rPr>
        <w:t>ما دلّ على حصول البلوغ بسنّ السابعة</w:t>
      </w:r>
      <w:bookmarkEnd w:id="156"/>
    </w:p>
    <w:p>
      <w:pPr>
        <w:pStyle w:val="Heading6"/>
        <w:numPr>
          <w:ilvl w:val="5"/>
          <w:numId w:val="1"/>
        </w:numPr>
        <w:rPr/>
      </w:pPr>
      <w:bookmarkStart w:id="157" w:name="__RefHeading___Toc3380330_2870459653"/>
      <w:bookmarkStart w:id="158" w:name="_Toc64"/>
      <w:bookmarkEnd w:id="157"/>
      <w:r>
        <w:rPr>
          <w:rtl w:val="true"/>
        </w:rPr>
        <w:t>اشارة</w:t>
      </w:r>
      <w:bookmarkEnd w:id="1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رواية واحدة، رواها الشيخ بإسناده عن ابن فضّال، عن العبدي، عن الحسن بن راشد،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الغلام ثماني سنين، فجائز أمره في ماله، وقد وجب عليه الفرائض والحدود، وإذا تمّ للجارية سبع سنين، </w:t>
      </w:r>
      <w:bookmarkStart w:id="159" w:name="pg9153_76255"/>
    </w:p>
    <w:p>
      <w:pPr>
        <w:pStyle w:val="BookText"/>
        <w:rPr/>
      </w:pPr>
      <w:bookmarkEnd w:id="159"/>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واضح، فإنّه إذا تمّ للجارية سبع سنين، وجبت عليها الفرائض والحدود، وهو تعبير واضح عن حصول التكليف وترتيب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 هذه الرواية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جهتين</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380332_2870459653"/>
      <w:bookmarkStart w:id="161" w:name="_Toc65"/>
      <w:bookmarkEnd w:id="160"/>
      <w:r>
        <w:rPr>
          <w:rtl w:val="true"/>
        </w:rPr>
        <w:t>الجهة الأولى</w:t>
      </w:r>
      <w:r>
        <w:rPr>
          <w:rtl w:val="true"/>
        </w:rPr>
        <w:t xml:space="preserve">: </w:t>
      </w:r>
      <w:r>
        <w:rPr>
          <w:rtl w:val="true"/>
        </w:rPr>
        <w:t>في السند</w:t>
      </w:r>
      <w:bookmarkEnd w:id="161"/>
    </w:p>
    <w:p>
      <w:pPr>
        <w:pStyle w:val="BookText"/>
        <w:rPr/>
      </w:pPr>
      <w:r>
        <w:rPr>
          <w:rFonts w:ascii="Amiri" w:hAnsi="Amiri" w:eastAsia="Amiri" w:cs="Amiri"/>
          <w:color w:val="111111"/>
          <w:sz w:val="28"/>
          <w:sz w:val="28"/>
          <w:szCs w:val="28"/>
          <w:rtl w:val="true"/>
          <w:lang w:bidi="ar-SA"/>
        </w:rPr>
        <w:t>حيث عُبِّر عنها في روضة المتّقين وملاذ الأخيار بالقويّ والموثّق</w:t>
      </w:r>
      <w:r>
        <w:rPr>
          <w:rStyle w:val="FootnoteAnchor"/>
          <w:rtl w:val="true"/>
        </w:rPr>
        <w:footnoteReference w:id="82"/>
      </w:r>
      <w:r>
        <w:rPr>
          <w:rFonts w:ascii="Amiri" w:hAnsi="Amiri" w:eastAsia="Amiri" w:cs="Amiri"/>
          <w:color w:val="111111"/>
          <w:sz w:val="28"/>
          <w:sz w:val="28"/>
          <w:szCs w:val="28"/>
          <w:rtl w:val="true"/>
          <w:lang w:bidi="ar-SA"/>
        </w:rPr>
        <w:t>، ولكن وقع النقاش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الشيخ إلى ابن فضّال كما أشار إليه بعض الأعلام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العبدي، ويمكن أن يقال بأنّ العبدي تصحيف العبيدي، كما أشار إلى ذلك غير واحد، منهم المجلسي في ملاذ الأخيار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الثالث عشر مجهول أو موثّق على الظاهر؛ إذ الظاهر العبدي تحريف العبيدي</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فضّال عن العبيدي في موارد عديدة</w:t>
      </w:r>
      <w:r>
        <w:rPr>
          <w:rStyle w:val="FootnoteAnchor"/>
          <w:rtl w:val="true"/>
        </w:rPr>
        <w:footnoteReference w:id="85"/>
      </w:r>
      <w:r>
        <w:rPr>
          <w:rFonts w:ascii="Amiri" w:hAnsi="Amiri" w:eastAsia="Amiri" w:cs="Amiri"/>
          <w:color w:val="111111"/>
          <w:sz w:val="28"/>
          <w:sz w:val="28"/>
          <w:szCs w:val="28"/>
          <w:rtl w:val="true"/>
          <w:lang w:bidi="ar-SA"/>
        </w:rPr>
        <w:t xml:space="preserve">، وكذلك رواية </w:t>
      </w:r>
    </w:p>
    <w:p>
      <w:pPr>
        <w:pStyle w:val="BookText"/>
        <w:rPr/>
      </w:pPr>
      <w:r>
        <w:rPr>
          <w:rFonts w:ascii="Amiri" w:hAnsi="Amiri" w:eastAsia="Amiri" w:cs="Amiri"/>
          <w:color w:val="111111"/>
          <w:sz w:val="28"/>
          <w:sz w:val="28"/>
          <w:szCs w:val="28"/>
          <w:rtl w:val="true"/>
          <w:lang w:bidi="ar-SA"/>
        </w:rPr>
        <w:t>العبيدي، عن الحسن بن راشد في موارد عديدة</w:t>
      </w:r>
      <w:r>
        <w:rPr>
          <w:rStyle w:val="FootnoteAnchor"/>
          <w:rtl w:val="true"/>
        </w:rPr>
        <w:footnoteReference w:id="86"/>
      </w:r>
      <w:r>
        <w:rPr>
          <w:rFonts w:ascii="Amiri" w:hAnsi="Amiri" w:eastAsia="Amiri" w:cs="Amiri"/>
          <w:color w:val="111111"/>
          <w:sz w:val="28"/>
          <w:sz w:val="28"/>
          <w:szCs w:val="28"/>
          <w:rtl w:val="true"/>
          <w:lang w:bidi="ar-SA"/>
        </w:rPr>
        <w:t xml:space="preserve">، ومع التقارب في الخطّ لا يبعد حصول التصحيف، بل في بعض نسخ التهذيب العبيدي نقلاً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التهذيب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الطبعة القديمة أيضاً، وفي بعض النسخ العبيدي، وهو الصحيح، كما يظهر من سائر الروايات</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الحسن بن راشد</w:t>
      </w:r>
      <w:r>
        <w:rPr>
          <w:rStyle w:val="FootnoteAnchor"/>
          <w:rtl w:val="true"/>
        </w:rPr>
        <w:footnoteReference w:id="88"/>
      </w:r>
      <w:r>
        <w:rPr>
          <w:rFonts w:ascii="IRNazanin" w:hAnsi="IRNazanin" w:eastAsia="IRNazanin"/>
          <w:color w:val="111111"/>
          <w:sz w:val="28"/>
          <w:sz w:val="28"/>
          <w:szCs w:val="28"/>
          <w:rtl w:val="true"/>
          <w:lang w:bidi="fa-IR"/>
        </w:rPr>
        <w:t xml:space="preserve">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معهودة في كتب الحديث مع أنّه لم يعدّ في أصحاب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هو من أصحاب الإمامين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راشد روى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ونفس الحديث في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والاستبصار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نعم الحديث روي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5478</w:t>
      </w:r>
      <w:r>
        <w:rPr>
          <w:rFonts w:ascii="IRNazanin" w:hAnsi="IRNazanin" w:eastAsia="IRNazanin"/>
          <w:color w:val="111111"/>
          <w:sz w:val="28"/>
          <w:sz w:val="28"/>
          <w:szCs w:val="28"/>
          <w:rtl w:val="true"/>
          <w:lang w:bidi="fa-IR"/>
        </w:rPr>
        <w:t>، ومعاني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باب معنى سبيل الله،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موردنا محلّ الكلام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 يبعد أن يكون المقصود بالعسكري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الموارد المذكورة هو الإمام</w:t>
      </w:r>
      <w:bookmarkStart w:id="162" w:name="pg9153_76257"/>
    </w:p>
    <w:p>
      <w:pPr>
        <w:pStyle w:val="BookText"/>
        <w:rPr/>
      </w:pPr>
      <w:bookmarkEnd w:id="162"/>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يلقّب بالعسكري أيضاً، وهو مناسب لطبقة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الرواية معتبرة</w:t>
      </w:r>
      <w:r>
        <w:rPr>
          <w:rFonts w:eastAsia="IRNazanin" w:cs="IRNazanin"/>
          <w:color w:val="111111"/>
          <w:sz w:val="28"/>
          <w:szCs w:val="28"/>
          <w:rtl w:val="true"/>
          <w:lang w:bidi="fa-IR"/>
        </w:rPr>
        <w:t>.</w:t>
      </w:r>
    </w:p>
    <w:p>
      <w:pPr>
        <w:pStyle w:val="Heading6"/>
        <w:numPr>
          <w:ilvl w:val="5"/>
          <w:numId w:val="1"/>
        </w:numPr>
        <w:rPr/>
      </w:pPr>
      <w:bookmarkStart w:id="163" w:name="__RefHeading___Toc3380334_2870459653"/>
      <w:bookmarkStart w:id="164" w:name="_Toc66"/>
      <w:bookmarkEnd w:id="163"/>
      <w:r>
        <w:rPr>
          <w:rtl w:val="true"/>
        </w:rPr>
        <w:t>الجهة الأخرى</w:t>
      </w:r>
      <w:r>
        <w:rPr>
          <w:rtl w:val="true"/>
        </w:rPr>
        <w:t xml:space="preserve">: </w:t>
      </w:r>
      <w:r>
        <w:rPr>
          <w:rtl w:val="true"/>
        </w:rPr>
        <w:t>في الدلالة</w:t>
      </w:r>
      <w:bookmarkEnd w:id="164"/>
    </w:p>
    <w:p>
      <w:pPr>
        <w:pStyle w:val="Heading6"/>
        <w:numPr>
          <w:ilvl w:val="5"/>
          <w:numId w:val="1"/>
        </w:numPr>
        <w:rPr/>
      </w:pPr>
      <w:bookmarkStart w:id="165" w:name="__RefHeading___Toc3380336_2870459653"/>
      <w:bookmarkStart w:id="166" w:name="_Toc67"/>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والكلام فيها في نقطتين أيضاً</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3380338_2870459653"/>
      <w:bookmarkStart w:id="168" w:name="_Toc68"/>
      <w:bookmarkEnd w:id="167"/>
      <w:r>
        <w:rPr>
          <w:rtl w:val="true"/>
        </w:rPr>
        <w:t>النقطة الأولى</w:t>
      </w:r>
      <w:bookmarkEnd w:id="168"/>
    </w:p>
    <w:p>
      <w:pPr>
        <w:pStyle w:val="BookText"/>
        <w:rPr/>
      </w:pPr>
      <w:r>
        <w:rPr>
          <w:rFonts w:ascii="Amiri" w:hAnsi="Amiri" w:eastAsia="Amiri" w:cs="Amiri"/>
          <w:color w:val="111111"/>
          <w:sz w:val="28"/>
          <w:sz w:val="28"/>
          <w:szCs w:val="28"/>
          <w:rtl w:val="true"/>
          <w:lang w:bidi="ar-SA"/>
        </w:rPr>
        <w:t xml:space="preserve">في نسخة السبع، ففي بعض النسخ تسع بدل سبع كما ذكر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أحاديث الشيعة</w:t>
      </w:r>
      <w:r>
        <w:rPr>
          <w:rStyle w:val="FootnoteAnchor"/>
          <w:rtl w:val="true"/>
        </w:rPr>
        <w:footnoteReference w:id="91"/>
      </w:r>
      <w:r>
        <w:rPr>
          <w:rFonts w:ascii="Amiri" w:hAnsi="Amiri" w:eastAsia="Amiri" w:cs="Amiri"/>
          <w:color w:val="111111"/>
          <w:sz w:val="28"/>
          <w:sz w:val="28"/>
          <w:szCs w:val="28"/>
          <w:rtl w:val="true"/>
          <w:lang w:bidi="ar-SA"/>
        </w:rPr>
        <w:t xml:space="preserve">، وفي نسخة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بدل سبع</w:t>
      </w:r>
      <w:r>
        <w:rPr>
          <w:rStyle w:val="FootnoteAnchor"/>
          <w:rtl w:val="true"/>
        </w:rPr>
        <w:footnoteReference w:id="92"/>
      </w:r>
      <w:r>
        <w:rPr>
          <w:rFonts w:ascii="Amiri" w:hAnsi="Amiri" w:eastAsia="Amiri" w:cs="Amiri"/>
          <w:color w:val="111111"/>
          <w:sz w:val="28"/>
          <w:sz w:val="28"/>
          <w:szCs w:val="28"/>
          <w:rtl w:val="true"/>
          <w:lang w:bidi="ar-SA"/>
        </w:rPr>
        <w:t>، ومع الاختلاف في النسخ لا يمكن الاعتماد على نسخة السبع، بل يقوى في النفس أنّ السبع تصحيف لتقارب الرقمين في الكتابة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هذه الرواية مع رواية سليمان ابن حفص المروزي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الغلام ثمان سنين فجائز أمره، وقد وجبت عليه الفرائض والحدود، وإذا تمّ للجارية تسع سنين فكذلك</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69" w:name="pg9153_76258"/>
    </w:p>
    <w:p>
      <w:pPr>
        <w:pStyle w:val="Heading6"/>
        <w:numPr>
          <w:ilvl w:val="5"/>
          <w:numId w:val="1"/>
        </w:numPr>
        <w:rPr/>
      </w:pPr>
      <w:bookmarkStart w:id="170" w:name="__RefHeading___Toc3380340_2870459653"/>
      <w:bookmarkStart w:id="171" w:name="_Toc69"/>
      <w:bookmarkEnd w:id="169"/>
      <w:bookmarkEnd w:id="170"/>
      <w:r>
        <w:rPr>
          <w:rtl w:val="true"/>
        </w:rPr>
        <w:t>النقطة الأخرى</w:t>
      </w:r>
      <w:bookmarkEnd w:id="171"/>
    </w:p>
    <w:p>
      <w:pPr>
        <w:pStyle w:val="BookText"/>
        <w:rPr/>
      </w:pPr>
      <w:r>
        <w:rPr>
          <w:rFonts w:ascii="Amiri" w:hAnsi="Amiri" w:eastAsia="Amiri" w:cs="Amiri"/>
          <w:color w:val="111111"/>
          <w:sz w:val="28"/>
          <w:sz w:val="28"/>
          <w:szCs w:val="28"/>
          <w:rtl w:val="true"/>
          <w:lang w:bidi="ar-SA"/>
        </w:rPr>
        <w:t>لو سلّمنا أنّ نسخة السبع هي النسخة الوحيدة، هل يمكن الاعتماد على الرواية؟</w:t>
      </w:r>
    </w:p>
    <w:p>
      <w:pPr>
        <w:pStyle w:val="BookText"/>
        <w:rPr/>
      </w:pPr>
      <w:r>
        <w:rPr>
          <w:rFonts w:ascii="Amiri" w:hAnsi="Amiri" w:eastAsia="Amiri" w:cs="Amiri"/>
          <w:color w:val="111111"/>
          <w:sz w:val="28"/>
          <w:sz w:val="28"/>
          <w:szCs w:val="28"/>
          <w:rtl w:val="true"/>
          <w:lang w:bidi="ar-SA"/>
        </w:rPr>
        <w:t>ما يمنع من التمسّك بالرواية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هجر الأصحاب للرواية يمنع من التمسّك بها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الرواية لا يمكن قبوله، وهو بلوغ الذكر بثماني سنين، فإن أمكن التفكيك في الحجّية في النصّ الواحد الّذي له مداليل متعدّدة فحينئذٍ لا يؤثّر سقوط صدر الرواية عن الحجّية بالاستدلال بذيل الرواية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فالاستدلال بالرواية غير تامّ بسبب الاختلاف في النسخ</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380342_2870459653"/>
      <w:bookmarkStart w:id="173" w:name="_Toc70"/>
      <w:bookmarkEnd w:id="172"/>
      <w:r>
        <w:rPr>
          <w:rtl w:val="true"/>
        </w:rPr>
        <w:t>الطائفة السادسة</w:t>
      </w:r>
      <w:r>
        <w:rPr>
          <w:rtl w:val="true"/>
        </w:rPr>
        <w:t xml:space="preserve">: </w:t>
      </w:r>
      <w:r>
        <w:rPr>
          <w:rtl w:val="true"/>
        </w:rPr>
        <w:t>ما دلّ على أنّ حصول البلوغ لدى الأنثى مردّد بين سنّ التاسعة وسنّ العاشرة</w:t>
      </w:r>
      <w:bookmarkEnd w:id="173"/>
    </w:p>
    <w:p>
      <w:pPr>
        <w:pStyle w:val="Heading6"/>
        <w:numPr>
          <w:ilvl w:val="5"/>
          <w:numId w:val="1"/>
        </w:numPr>
        <w:rPr/>
      </w:pPr>
      <w:bookmarkStart w:id="174" w:name="__RefHeading___Toc3380344_2870459653"/>
      <w:bookmarkStart w:id="175" w:name="_Toc71"/>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3380346_2870459653"/>
      <w:bookmarkStart w:id="177" w:name="_Toc72"/>
      <w:bookmarkEnd w:id="176"/>
      <w:r>
        <w:rPr>
          <w:rtl w:val="true"/>
        </w:rPr>
        <w:t>الرواية الأولى</w:t>
      </w:r>
      <w:r>
        <w:rPr>
          <w:rtl w:val="true"/>
        </w:rPr>
        <w:t xml:space="preserve">: </w:t>
      </w:r>
      <w:r>
        <w:rPr>
          <w:rtl w:val="true"/>
        </w:rPr>
        <w:t>معتبرة زرارة</w:t>
      </w:r>
      <w:bookmarkEnd w:id="1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ما رواه الكليني، عن حميد بن زياد، عن الحسن بن محمّد بن سماعة، عن صفوان بن يحيى، عن موسى بن بكر،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بالجارية حتّى يأتي لها تسع سنين، أو عشر سنين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78" w:name="pg9153_76259"/>
    </w:p>
    <w:p>
      <w:pPr>
        <w:pStyle w:val="Heading6"/>
        <w:numPr>
          <w:ilvl w:val="5"/>
          <w:numId w:val="1"/>
        </w:numPr>
        <w:rPr/>
      </w:pPr>
      <w:bookmarkStart w:id="179" w:name="__RefHeading___Toc3380348_2870459653"/>
      <w:bookmarkStart w:id="180" w:name="_Toc73"/>
      <w:bookmarkEnd w:id="178"/>
      <w:bookmarkEnd w:id="179"/>
      <w:r>
        <w:rPr>
          <w:rtl w:val="true"/>
        </w:rPr>
        <w:t>الرواية الأخرى</w:t>
      </w:r>
      <w:r>
        <w:rPr>
          <w:rtl w:val="true"/>
        </w:rPr>
        <w:t xml:space="preserve">: </w:t>
      </w:r>
      <w:r>
        <w:rPr>
          <w:rtl w:val="true"/>
        </w:rPr>
        <w:t>رواية أبي بصير</w:t>
      </w:r>
      <w:bookmarkEnd w:id="180"/>
    </w:p>
    <w:p>
      <w:pPr>
        <w:pStyle w:val="Heading6"/>
        <w:numPr>
          <w:ilvl w:val="5"/>
          <w:numId w:val="1"/>
        </w:numPr>
        <w:rPr/>
      </w:pPr>
      <w:bookmarkStart w:id="181" w:name="__RefHeading___Toc3380350_2870459653"/>
      <w:bookmarkStart w:id="182" w:name="_Toc74"/>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وهي ما رواه الكليني، عن عدّة من أصحابنا، عن سهل بن زياد، عن أحمد بن محمّد بن أبي نصر، عن عبد الكريم بن عمرو،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بالجارية حتّى يأتي لها تسع سنين، أو عشر سنين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هاتين الروايتين يقع في جهتين</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380352_2870459653"/>
      <w:bookmarkStart w:id="184" w:name="_Toc75"/>
      <w:bookmarkEnd w:id="183"/>
      <w:r>
        <w:rPr>
          <w:rtl w:val="true"/>
        </w:rPr>
        <w:t>الجهة الأولى</w:t>
      </w:r>
      <w:r>
        <w:rPr>
          <w:rtl w:val="true"/>
        </w:rPr>
        <w:t xml:space="preserve">: </w:t>
      </w:r>
      <w:r>
        <w:rPr>
          <w:rtl w:val="true"/>
        </w:rPr>
        <w:t>في السند</w:t>
      </w:r>
      <w:bookmarkEnd w:id="184"/>
    </w:p>
    <w:p>
      <w:pPr>
        <w:pStyle w:val="BookText"/>
        <w:rPr/>
      </w:pPr>
      <w:r>
        <w:rPr>
          <w:rFonts w:ascii="Amiri" w:hAnsi="Amiri" w:eastAsia="Amiri" w:cs="Amiri"/>
          <w:color w:val="111111"/>
          <w:sz w:val="28"/>
          <w:sz w:val="28"/>
          <w:szCs w:val="28"/>
          <w:rtl w:val="true"/>
          <w:lang w:bidi="ar-SA"/>
        </w:rPr>
        <w:t>أورد الحديثين الصدوق والشيخ في الفقيه والتهذيب وغيرهما</w:t>
      </w:r>
      <w:r>
        <w:rPr>
          <w:rStyle w:val="FootnoteAnchor"/>
          <w:rtl w:val="true"/>
        </w:rPr>
        <w:footnoteReference w:id="99"/>
      </w:r>
      <w:r>
        <w:rPr>
          <w:rFonts w:ascii="Amiri" w:hAnsi="Amiri" w:eastAsia="Amiri" w:cs="Amiri"/>
          <w:color w:val="111111"/>
          <w:sz w:val="28"/>
          <w:sz w:val="28"/>
          <w:szCs w:val="28"/>
          <w:rtl w:val="true"/>
          <w:lang w:bidi="ar-SA"/>
        </w:rPr>
        <w:t>، وهما رواية واحدة كما يظهر ذلك من وحدة النصّ والإمام المنقول عنه، ولكن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الأوّل موسى بن بكر، ولا توثيق صريح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توثيقه لرواية صفوان عنه بطريق صحيح، كما في هذه الرواية بناءً على القبول بكبرى أنّ المشايخ الثلاثة لا يروون ولا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 سهل بن زياد، ولم تثبت وثاقته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380354_2870459653"/>
      <w:bookmarkStart w:id="186" w:name="_Toc76"/>
      <w:bookmarkEnd w:id="185"/>
      <w:r>
        <w:rPr>
          <w:rtl w:val="true"/>
        </w:rPr>
        <w:t>الجهة الأخرى</w:t>
      </w:r>
      <w:r>
        <w:rPr>
          <w:rtl w:val="true"/>
        </w:rPr>
        <w:t xml:space="preserve">: </w:t>
      </w:r>
      <w:r>
        <w:rPr>
          <w:rtl w:val="true"/>
        </w:rPr>
        <w:t>في الدلالة</w:t>
      </w:r>
      <w:bookmarkEnd w:id="186"/>
    </w:p>
    <w:p>
      <w:pPr>
        <w:pStyle w:val="Heading6"/>
        <w:numPr>
          <w:ilvl w:val="5"/>
          <w:numId w:val="1"/>
        </w:numPr>
        <w:rPr/>
      </w:pPr>
      <w:bookmarkStart w:id="187" w:name="__RefHeading___Toc3380356_2870459653"/>
      <w:bookmarkStart w:id="188" w:name="_Toc77"/>
      <w:bookmarkEnd w:id="187"/>
      <w:r>
        <w:rPr>
          <w:rtl w:val="true"/>
        </w:rPr>
        <w:t>اشارة</w:t>
      </w:r>
      <w:bookmarkEnd w:id="1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الترديد في الحدّ الشرعي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 لأنّه خلاف وظيفته من كونه في مقام بيان</w:t>
      </w:r>
      <w:r>
        <w:rPr>
          <w:rStyle w:val="FootnoteAnchor"/>
          <w:rtl w:val="true"/>
        </w:rPr>
        <w:footnoteReference w:id="100"/>
      </w:r>
      <w:r>
        <w:rPr>
          <w:rFonts w:ascii="Amiri" w:hAnsi="Amiri" w:eastAsia="Amiri" w:cs="Amiri"/>
          <w:color w:val="111111"/>
          <w:sz w:val="28"/>
          <w:sz w:val="28"/>
          <w:szCs w:val="28"/>
          <w:rtl w:val="true"/>
          <w:lang w:bidi="ar-SA"/>
        </w:rPr>
        <w:t>، ومن ثَمَّ ذكرت عدّة احتمالات في توجيه هذا الترديد</w:t>
      </w:r>
      <w:r>
        <w:rPr>
          <w:rFonts w:eastAsia="Amiri" w:cs="Amiri" w:ascii="Amiri" w:hAnsi="Amiri"/>
          <w:color w:val="111111"/>
          <w:sz w:val="28"/>
          <w:szCs w:val="28"/>
          <w:rtl w:val="true"/>
          <w:lang w:bidi="ar-SA"/>
        </w:rPr>
        <w:t xml:space="preserve">: </w:t>
      </w:r>
      <w:bookmarkStart w:id="189" w:name="pg9153_76260"/>
    </w:p>
    <w:p>
      <w:pPr>
        <w:pStyle w:val="Heading6"/>
        <w:numPr>
          <w:ilvl w:val="5"/>
          <w:numId w:val="1"/>
        </w:numPr>
        <w:rPr/>
      </w:pPr>
      <w:bookmarkStart w:id="190" w:name="__RefHeading___Toc3380358_2870459653"/>
      <w:bookmarkStart w:id="191" w:name="_Toc78"/>
      <w:bookmarkEnd w:id="189"/>
      <w:bookmarkEnd w:id="190"/>
      <w:r>
        <w:rPr>
          <w:rtl w:val="true"/>
        </w:rPr>
        <w:t>الاحتمال الأوّل</w:t>
      </w:r>
      <w:bookmarkEnd w:id="191"/>
    </w:p>
    <w:p>
      <w:pPr>
        <w:pStyle w:val="BookText"/>
        <w:rPr/>
      </w:pPr>
      <w:r>
        <w:rPr>
          <w:rFonts w:ascii="Amiri" w:hAnsi="Amiri" w:eastAsia="Amiri" w:cs="Amiri"/>
          <w:color w:val="111111"/>
          <w:sz w:val="28"/>
          <w:sz w:val="28"/>
          <w:szCs w:val="28"/>
          <w:rtl w:val="true"/>
          <w:lang w:bidi="ar-SA"/>
        </w:rPr>
        <w:t>أنّ الترديد من الراوي وليس من الإمام</w:t>
      </w:r>
      <w:r>
        <w:rPr>
          <w:rStyle w:val="FootnoteAnchor"/>
          <w:rtl w:val="true"/>
        </w:rPr>
        <w:footnoteReference w:id="101"/>
      </w:r>
      <w:r>
        <w:rPr>
          <w:rFonts w:ascii="IRNazanin" w:hAnsi="IRNazanin" w:eastAsia="IRNazanin"/>
          <w:color w:val="111111"/>
          <w:sz w:val="28"/>
          <w:sz w:val="28"/>
          <w:szCs w:val="28"/>
          <w:rtl w:val="true"/>
          <w:lang w:bidi="fa-IR"/>
        </w:rPr>
        <w:t xml:space="preserve">، فلا يمكن الاستدلال بها على قول المشهور بسبب الإجمال الناشئ من الترديد في سمع الراوي، فيحتمل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مستبعد، ووجه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متن الرواية منقول بسندين، واحتمال الترديد في السماع من كلا الراويين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الرواية في الخصال، وأضاف إلى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يقول، تسع، أو عشر</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والظاهر منها أنّ زرارة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الترديد، وليس الترديد من عندي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من أنّ فاعل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خلاف الظاهر؛ وذلك من نفس تأكيد زرارة من أنّه سمع الإمام يقول كذا أو كذا، فالترديد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 زرارة يدفع توهّم أنّ الترديد منه، فهو يقول إنَّه ليس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الكافي هو الأصحّ والأصوب</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تصويب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مذكورة في كتب الحديث بدون الذيل المذكور، فلو كان الذيل موجوداً فعدم نقله خلاف الوثاقة الّتي تقتضي الضبط في </w:t>
      </w:r>
      <w:bookmarkStart w:id="192" w:name="pg9153_76261"/>
    </w:p>
    <w:p>
      <w:pPr>
        <w:pStyle w:val="BookText"/>
        <w:rPr/>
      </w:pPr>
      <w:bookmarkEnd w:id="192"/>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ليس بتامّ؛ وذلك لأنّ عدم نقل فقرة من الرواية إذا كان لا يؤثّر في المعنى لا يخالف الوثاقة والأمانة في النقل، فإنّ المقطع المذكور مع حذفه لا يؤثّر على المعنى؛ لأنّ المتبادر الأوّلي منه أنّ الترديد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أنّ الذيل مذكور في بعض نسخ التهذيب على ما قيل في ملاذ الأخيار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3380360_2870459653"/>
      <w:bookmarkStart w:id="194" w:name="_Toc79"/>
      <w:bookmarkEnd w:id="193"/>
      <w:r>
        <w:rPr>
          <w:rtl w:val="true"/>
        </w:rPr>
        <w:t>الاحتمال الثاني</w:t>
      </w:r>
      <w:bookmarkEnd w:id="194"/>
    </w:p>
    <w:p>
      <w:pPr>
        <w:pStyle w:val="BookText"/>
        <w:rPr/>
      </w:pPr>
      <w:r>
        <w:rPr>
          <w:rFonts w:ascii="Amiri" w:hAnsi="Amiri" w:eastAsia="Amiri" w:cs="Amiri"/>
          <w:color w:val="111111"/>
          <w:sz w:val="28"/>
          <w:sz w:val="28"/>
          <w:szCs w:val="28"/>
          <w:rtl w:val="true"/>
          <w:lang w:bidi="ar-SA"/>
        </w:rPr>
        <w:t>أنّ الترديد من جهة الاختلاف في كبر الجثة وصغرها وقوّة البنية وضعفها</w:t>
      </w:r>
      <w:r>
        <w:rPr>
          <w:rStyle w:val="FootnoteAnchor"/>
          <w:rtl w:val="true"/>
        </w:rPr>
        <w:footnoteReference w:id="107"/>
      </w:r>
      <w:r>
        <w:rPr>
          <w:rFonts w:ascii="Amiri" w:hAnsi="Amiri" w:eastAsia="Amiri" w:cs="Amiri"/>
          <w:color w:val="111111"/>
          <w:sz w:val="28"/>
          <w:sz w:val="28"/>
          <w:szCs w:val="28"/>
          <w:rtl w:val="true"/>
          <w:lang w:bidi="ar-SA"/>
        </w:rPr>
        <w:t>، أو قل اختلاف النساء في تحمل الوطء</w:t>
      </w:r>
      <w:r>
        <w:rPr>
          <w:rStyle w:val="FootnoteAnchor"/>
          <w:rtl w:val="true"/>
        </w:rPr>
        <w:footnoteReference w:id="108"/>
      </w:r>
      <w:r>
        <w:rPr>
          <w:rFonts w:ascii="Amiri" w:hAnsi="Amiri" w:eastAsia="Amiri" w:cs="Amiri"/>
          <w:color w:val="111111"/>
          <w:sz w:val="28"/>
          <w:sz w:val="28"/>
          <w:szCs w:val="28"/>
          <w:rtl w:val="true"/>
          <w:lang w:bidi="ar-SA"/>
        </w:rPr>
        <w:t>إذ قد يتضرّرن بالجماع قبل العشر</w:t>
      </w:r>
      <w:r>
        <w:rPr>
          <w:rStyle w:val="FootnoteAnchor"/>
          <w:rtl w:val="true"/>
        </w:rPr>
        <w:footnoteReference w:id="109"/>
      </w:r>
      <w:r>
        <w:rPr>
          <w:rFonts w:ascii="Amiri" w:hAnsi="Amiri" w:eastAsia="Amiri" w:cs="Amiri"/>
          <w:color w:val="111111"/>
          <w:sz w:val="28"/>
          <w:sz w:val="28"/>
          <w:szCs w:val="28"/>
          <w:rtl w:val="true"/>
          <w:lang w:bidi="ar-SA"/>
        </w:rPr>
        <w:t>، وكأنّ الموضوع ليس هو السنّ وإنّما هو قدرة النساء البدنية على التحمّل، والتحديد بالسنّ هو مجرّد طريق لاستكشاف ذلك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شاهد على هذا الاحتمال لا من نفس الرواية ولا من غيرها</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380362_2870459653"/>
      <w:bookmarkStart w:id="196" w:name="_Toc80"/>
      <w:bookmarkEnd w:id="195"/>
      <w:r>
        <w:rPr>
          <w:rtl w:val="true"/>
        </w:rPr>
        <w:t>الاحتمال الثالث</w:t>
      </w:r>
      <w:bookmarkEnd w:id="196"/>
    </w:p>
    <w:p>
      <w:pPr>
        <w:pStyle w:val="BookText"/>
        <w:rPr/>
      </w:pPr>
      <w:r>
        <w:rPr>
          <w:rFonts w:ascii="Amiri" w:hAnsi="Amiri" w:eastAsia="Amiri" w:cs="Amiri"/>
          <w:color w:val="111111"/>
          <w:sz w:val="28"/>
          <w:sz w:val="28"/>
          <w:szCs w:val="28"/>
          <w:rtl w:val="true"/>
          <w:lang w:bidi="ar-SA"/>
        </w:rPr>
        <w:t>ظاهر الترديد هو بمعنى إكمال تسع سنين والدخول في العاشرة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الاحتمال خلاف الظاهر من الرواية، ولا شاهد عليه</w:t>
      </w:r>
      <w:r>
        <w:rPr>
          <w:rFonts w:eastAsia="Amiri" w:cs="Amiri" w:ascii="Amiri" w:hAnsi="Amiri"/>
          <w:color w:val="111111"/>
          <w:sz w:val="28"/>
          <w:szCs w:val="28"/>
          <w:rtl w:val="true"/>
          <w:lang w:bidi="ar-SA"/>
        </w:rPr>
        <w:t xml:space="preserve">. </w:t>
      </w:r>
      <w:bookmarkStart w:id="197" w:name="pg9153_76262"/>
    </w:p>
    <w:p>
      <w:pPr>
        <w:pStyle w:val="Heading6"/>
        <w:numPr>
          <w:ilvl w:val="5"/>
          <w:numId w:val="1"/>
        </w:numPr>
        <w:rPr/>
      </w:pPr>
      <w:bookmarkStart w:id="198" w:name="__RefHeading___Toc3380364_2870459653"/>
      <w:bookmarkStart w:id="199" w:name="_Toc81"/>
      <w:bookmarkEnd w:id="197"/>
      <w:bookmarkEnd w:id="198"/>
      <w:r>
        <w:rPr>
          <w:rtl w:val="true"/>
        </w:rPr>
        <w:t>الاحتمال الرابع</w:t>
      </w:r>
      <w:bookmarkEnd w:id="199"/>
    </w:p>
    <w:p>
      <w:pPr>
        <w:pStyle w:val="Heading6"/>
        <w:numPr>
          <w:ilvl w:val="5"/>
          <w:numId w:val="1"/>
        </w:numPr>
        <w:rPr/>
      </w:pPr>
      <w:bookmarkStart w:id="200" w:name="__RefHeading___Toc3380366_2870459653"/>
      <w:bookmarkStart w:id="201" w:name="_Toc82"/>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حمل الأكثر على الاستحباب، وهو إكمال عشر سنين</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والمقصود هو استحباب تأخير الدخول إلى سنّ العاشرة، وجواز الدخول في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الحمل مبني على نكتة أساسية وهي أنّ التخيير في الحدّ أمر غير معقول</w:t>
      </w:r>
      <w:r>
        <w:rPr>
          <w:rStyle w:val="FootnoteAnchor"/>
          <w:rtl w:val="true"/>
        </w:rPr>
        <w:footnoteReference w:id="113"/>
      </w:r>
      <w:r>
        <w:rPr>
          <w:rFonts w:ascii="Amiri" w:hAnsi="Amiri" w:eastAsia="Amiri" w:cs="Amiri"/>
          <w:color w:val="111111"/>
          <w:sz w:val="28"/>
          <w:sz w:val="28"/>
          <w:szCs w:val="28"/>
          <w:rtl w:val="true"/>
          <w:lang w:bidi="ar-SA"/>
        </w:rPr>
        <w:t>، وكأنّ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الدخول بالأنثى إذا بلغت تسعاً أو عشراً، وبما أنّه يجوز الدخول بالتاسعة، فلا بُدَّ من حمل الدخول في العاشرة على الاستحباب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التحديد بالسنّ أوّل الكلام، فقد ذهب بعض إلى أنَّ تحديد البلوغ لا يكون بالسنّ بل بعلامات أُخر كالحيض</w:t>
      </w:r>
      <w:r>
        <w:rPr>
          <w:rStyle w:val="FootnoteAnchor"/>
          <w:rtl w:val="true"/>
        </w:rPr>
        <w:footnoteReference w:id="114"/>
      </w:r>
      <w:r>
        <w:rPr>
          <w:rFonts w:ascii="Amiri" w:hAnsi="Amiri" w:eastAsia="Amiri" w:cs="Amiri"/>
          <w:color w:val="111111"/>
          <w:sz w:val="28"/>
          <w:sz w:val="28"/>
          <w:szCs w:val="28"/>
          <w:rtl w:val="true"/>
          <w:lang w:bidi="ar-SA"/>
        </w:rPr>
        <w:t>، أو بالحيض والسنُّ صالحٌ للحيض الّذي يختلف حسب الظروف الطبيعية والمناخية والزمانية</w:t>
      </w:r>
      <w:r>
        <w:rPr>
          <w:rStyle w:val="FootnoteAnchor"/>
          <w:rtl w:val="true"/>
        </w:rPr>
        <w:footnoteReference w:id="115"/>
      </w:r>
      <w:r>
        <w:rPr>
          <w:rFonts w:ascii="Amiri" w:hAnsi="Amiri" w:eastAsia="Amiri" w:cs="Amiri"/>
          <w:color w:val="111111"/>
          <w:sz w:val="28"/>
          <w:sz w:val="28"/>
          <w:szCs w:val="28"/>
          <w:rtl w:val="true"/>
          <w:lang w:bidi="ar-SA"/>
        </w:rPr>
        <w:t>، وكذلك وقع نفس الكلام لدى العامّة حيث ذهب بعضهم إلى تحديد البلوغ بالحيض وليس بالسنّ،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داود لا حدّ للبلوغ من السنّ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مالك المعتبر سنّ لا يبلغها شخص إلّا وقد احتلم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02" w:name="pg9153_76263"/>
    </w:p>
    <w:p>
      <w:pPr>
        <w:pStyle w:val="BookText"/>
        <w:rPr/>
      </w:pPr>
      <w:bookmarkEnd w:id="202"/>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السنّ لو كان طريقاً إلى شيء آخر 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ما هو تمام الموضوع لحصول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وهو في مقام بيان موضوع جواز الدخول بالأنثى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لو تمّت الملازمة بين جواز الدخول والبلوغ، ومع عدم تمامية الملازمة لا تنفع الرواية في المقام؛ ولذا ينبغي البحث في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يمكن الاستدلال به على الملازمة أدلّة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3380368_2870459653"/>
      <w:bookmarkStart w:id="204" w:name="_Toc83"/>
      <w:bookmarkEnd w:id="203"/>
      <w:r>
        <w:rPr>
          <w:rtl w:val="true"/>
        </w:rPr>
        <w:t>الدليل الأوّل</w:t>
      </w:r>
      <w:bookmarkEnd w:id="20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النكاح فيه ثلاثة معانٍ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الحدّ الّذي يستطيع معه الغلام أن يَنْكَح، والحدّ الّذي تستطيع به الأنثى أن تُنْكَح، ولا شكّ شرعاً، بل ادّعى بعضهم الضرورة على أنّ السنّ الّذي تصلح معه الأنثى أن تُنْكَح هو بلوغ تسع سنين</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الأخبار الّتي تشير إلى ذلك، وسيأتي مزيد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الزواج، وهو في السنّ الأكثر من البلوغ الشرعي، ويشهد له قوله تعالى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تَأْكُلُوهَا إِسْرَافًا وَبِدَارًا أَنْ يَكْبَرُوا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البالغ تسعاً وخمسة عشر، ويؤيّده أنّه إذا تزوّجت أو تزوّج، فكأنّه يخرج من اليتم، ويتقوّى بالمصاهرة، فلا تخونه يد الخونة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هو الظاهر البدوي منها حيث نسب البلوغ إلى نفس النكاح مع أنّ الاحتمال الأوّل يحتاج إلى تقدير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ويؤيّد ذلك موثّقة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اليتيمة متى يدفع إليها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ولا تضيّع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إن كانت قد تزوّجت؟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 فقد انقطع ملك الوصي عنها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الاحتلام حيث ورد في تفسير القمّي ما يفسّر البلوغ بمعنى الاحتلام،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يده مال اليتامى فلا يجوز له أن يعطيه حتّى يبلغ النكاح، فإذا احتلم وجب عليه الحدود وإقامة الفرائض، ولا يكون مضيِّعاً ولا شارب خمر ولا زانياً، فإذا أنس منه الرشد دفع إليه المال وأشهد عليه، وإن كانوا لا يعلمون أنّه قد بلغ فإنّه يمتحن بريح إبطه أو نبت عانته، فإذا كان ذلك فقد بلغ، فيدفع إليه ماله إذا كان رشيداً، ولا يجوز أن يحبس عليه ماله ويعلّل أنّه لم يكبر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يتيم قد قرأ القرآن وليس بعقله بأس وله مال على يدي رجل، فأراد الرجل الّذي عنده المال أن يعمل بمال اليتيم مضاربة، فأذن له الغلام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يعمل به حتّى يحتلم ويدفع إليه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احتلم ولم يكن له عقل لم يدفع إليه شي‌ء أبداً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في تفسير القمّي ليست رواية عن إمام معصوم، بل هو تفسير عليّ بن إبراهيم القمّي كما يبدو، بل لعلّه اختصار من تفسيره؛ لأنّ التفسير الموجود هو اختصار لتفسير القمّي مع إضافات من مؤلّفه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الموثّقة فلم يعلم أنّها تفسير للرواية، ولعلّها تطبيق لبلوغ النكاح، وأنّ بلوغ النكاح أعمّ من ذلك، فقد يحصل بالاحتلام أو الحيض أو بغير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المعنى الثاني فيمكن استبعاده بما دلّ على دفع المال إلى اليتيم بشرط الاحتلام والرشد، فلو كان الزواج شرطاً في دفع المال، 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ذلك، فالإطلاق يدلّ على عدم دخالة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بدفع المال إلى اليتيم، ومن الروايات الدالّة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داود بن سرحان المتقدّمة، وصحيحة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انقطاع يتم اليتيم بالاحتلام وهو أشدّه وإن احتلم </w:t>
      </w:r>
    </w:p>
    <w:p>
      <w:pPr>
        <w:pStyle w:val="BookText"/>
        <w:rPr/>
      </w:pPr>
      <w:r>
        <w:rPr>
          <w:rFonts w:ascii="Amiri" w:hAnsi="Amiri" w:eastAsia="Amiri" w:cs="Amiri"/>
          <w:color w:val="111111"/>
          <w:sz w:val="28"/>
          <w:sz w:val="28"/>
          <w:szCs w:val="28"/>
          <w:rtl w:val="true"/>
          <w:lang w:bidi="ar-SA"/>
        </w:rPr>
        <w:t>ولم يؤنس منه رشد وكان سفيهاً أوضعيفاً فليمسك عنه وليّه ماله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أبي وأنا حاضر عن قول اللّه عزّ وجلّ </w:t>
      </w:r>
      <w:r>
        <w:rPr>
          <w:rFonts w:ascii="Amiri" w:hAnsi="Amiri" w:eastAsia="Amiri" w:cs="Amiri"/>
          <w:color w:val="111111"/>
          <w:sz w:val="28"/>
          <w:sz w:val="28"/>
          <w:szCs w:val="28"/>
          <w:rtl w:val="true"/>
          <w:lang w:bidi="ar-SA"/>
        </w:rPr>
        <w:t>حَتَّىٰ إِذَا بَلَغَ أَشُدَّهُ</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عشرة وسبع عشرة سنة ونحوها؟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أتت عليه ثلاث عشرة سنة كتبت له الحسنات، وكتبت عليه السيئات، وجاز أمره إلّا أن يكون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يشتري الدرهم بأضعافه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الضعيف؟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سعد بن إسماعيل عن أبيه</w:t>
      </w:r>
      <w:r>
        <w:rPr>
          <w:rStyle w:val="FootnoteAnchor"/>
          <w:rtl w:val="true"/>
        </w:rPr>
        <w:footnoteReference w:id="1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عن وصيّ أيتام تدرك أيتامه، فيعرض عليهم أن يأخذوا الّذي لهم، فيأبون عليه كيف يصنع؟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يردّه عليهم، ويكرههم على ذلك</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محمّد بن عيسى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وأوصى إلى رجل، وله ابن صغير فأدرك الغلام وذهب إلى الوصيّ،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 مالي لأتزوّج، فأبى عليه، فذهب حتّى زنى،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يلزم ثلثي إثم زنى هذا الرجل ذلك </w:t>
      </w:r>
    </w:p>
    <w:p>
      <w:pPr>
        <w:pStyle w:val="BookText"/>
        <w:rPr/>
      </w:pPr>
      <w:r>
        <w:rPr>
          <w:rFonts w:ascii="Amiri" w:hAnsi="Amiri" w:eastAsia="Amiri" w:cs="Amiri"/>
          <w:color w:val="111111"/>
          <w:sz w:val="28"/>
          <w:sz w:val="28"/>
          <w:szCs w:val="28"/>
          <w:rtl w:val="true"/>
          <w:lang w:bidi="ar-SA"/>
        </w:rPr>
        <w:t>الوصي؛ لأنّه منعه المال ولم يعطه فكان يتزوّج</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هذه الأخبار على عدم دخالة الزواج في دفع مال اليتيم، وتكون مفسّرة ومبيّنة للآية الكريمة، بل حتّى موثّقة العيص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اليتيمة متى يدفع إليها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لا تفسد ولا تضيّع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إن كانت قد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 فقد انقطع ملك الوصيّ عنها</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مؤيّدة للاحتمال الثاني، يمكن أن يدّعى أنّ صدرها يؤكّد عدم دخالة الزواج، وإنّما الدخيل هو الرشد،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ذيل الرواية افترض الراوي أنّ اليتيمة زوّجت نفسها، والمفروض أنّها هي الّتي تزوّجت</w:t>
      </w:r>
      <w:r>
        <w:rPr>
          <w:rStyle w:val="FootnoteAnchor"/>
          <w:rtl w:val="true"/>
        </w:rPr>
        <w:footnoteReference w:id="132"/>
      </w:r>
      <w:r>
        <w:rPr>
          <w:rFonts w:ascii="Amiri" w:hAnsi="Amiri" w:eastAsia="Amiri" w:cs="Amiri"/>
          <w:color w:val="111111"/>
          <w:sz w:val="28"/>
          <w:sz w:val="28"/>
          <w:szCs w:val="28"/>
          <w:rtl w:val="true"/>
          <w:lang w:bidi="ar-SA"/>
        </w:rPr>
        <w:t>فتكون مدركة؛ ولذا لا خصوصيّة للزواج، وإنّما الخصوصية للإدراك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البلوغ إلى نفس النكاح وإن كان يوجب ظهوراً بدوياً في أنّ الشرط هو نفس الزواج، ولكن بعد مراجعة الروايات والقرائن المتقدّمة يمكن أن يقال إنّ الظهور الحجّة هو الحدّ الّذي يكون معه الإنسان صالحاً للنكاح، مع أنّ الثابت أنّه حتّى لو كانت متزوّجة وهي غير بالغة، لا يدفع المال إليها أو إلى زوجها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صدق الكبر على من بلغ خمس عشرة سنة أو تسعاً فهو أوّل الكلام، </w:t>
      </w:r>
      <w:bookmarkStart w:id="205" w:name="pg9153_76268"/>
    </w:p>
    <w:p>
      <w:pPr>
        <w:pStyle w:val="BookText"/>
        <w:rPr/>
      </w:pPr>
      <w:bookmarkEnd w:id="205"/>
      <w:r>
        <w:rPr>
          <w:rFonts w:ascii="Amiri" w:hAnsi="Amiri" w:eastAsia="Amiri" w:cs="Amiri"/>
          <w:color w:val="111111"/>
          <w:sz w:val="28"/>
          <w:sz w:val="28"/>
          <w:szCs w:val="28"/>
          <w:rtl w:val="true"/>
          <w:lang w:bidi="ar-SA"/>
        </w:rPr>
        <w:t>فإنَّ البلوغ هو الخروج من الصغر إلى الكبر</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380370_2870459653"/>
      <w:bookmarkStart w:id="207" w:name="_Toc84"/>
      <w:bookmarkEnd w:id="206"/>
      <w:r>
        <w:rPr>
          <w:rtl w:val="true"/>
        </w:rPr>
        <w:t>الدليل الثاني</w:t>
      </w:r>
      <w:bookmarkEnd w:id="207"/>
    </w:p>
    <w:p>
      <w:pPr>
        <w:pStyle w:val="Heading6"/>
        <w:numPr>
          <w:ilvl w:val="5"/>
          <w:numId w:val="1"/>
        </w:numPr>
        <w:rPr/>
      </w:pPr>
      <w:bookmarkStart w:id="208" w:name="__RefHeading___Toc3380372_2870459653"/>
      <w:bookmarkStart w:id="209" w:name="_Toc85"/>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الجارية وهي صغيرة فلا يدخل بها حتّى يأتي لها تسع سنين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کلام فی السند، وإنّما الكلام في الدلالة، ولتحديد المراد من الرواية لدينا احتمالان</w:t>
      </w:r>
      <w:r>
        <w:rPr>
          <w:rFonts w:eastAsia="IRNazanin" w:cs="IRNazanin"/>
          <w:color w:val="111111"/>
          <w:sz w:val="28"/>
          <w:szCs w:val="28"/>
          <w:rtl w:val="true"/>
          <w:lang w:bidi="fa-IR"/>
        </w:rPr>
        <w:t>:</w:t>
      </w:r>
    </w:p>
    <w:p>
      <w:pPr>
        <w:pStyle w:val="Heading6"/>
        <w:numPr>
          <w:ilvl w:val="5"/>
          <w:numId w:val="1"/>
        </w:numPr>
        <w:rPr/>
      </w:pPr>
      <w:bookmarkStart w:id="210" w:name="__RefHeading___Toc3380374_2870459653"/>
      <w:bookmarkStart w:id="211" w:name="_Toc86"/>
      <w:bookmarkEnd w:id="210"/>
      <w:r>
        <w:rPr>
          <w:rtl w:val="true"/>
        </w:rPr>
        <w:t>الاحتمال الأوّل</w:t>
      </w:r>
      <w:bookmarkEnd w:id="211"/>
    </w:p>
    <w:p>
      <w:pPr>
        <w:pStyle w:val="BookText"/>
        <w:rPr/>
      </w:pP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يأتي لها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 انتهاء الصغر، فتدلّ الرواية على الملازمة بين جواز الدخول والبلوغ؛ لأنّ المستفاد من الرواية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الدخول بالصغيرة حتّى تبلغ وتخرج من الصغر، وهذا مستفاد من منطوق الرواية مع تسليم الاحتمال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غير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البالغة سنّ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الدخول بها، وهذا مستفاد من مفهوم الجملة الشرطية في الرواية</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3380376_2870459653"/>
      <w:bookmarkStart w:id="213" w:name="_Toc87"/>
      <w:bookmarkEnd w:id="212"/>
      <w:r>
        <w:rPr>
          <w:rtl w:val="true"/>
        </w:rPr>
        <w:t>الاحتمال الآخر</w:t>
      </w:r>
      <w:bookmarkEnd w:id="213"/>
    </w:p>
    <w:p>
      <w:pPr>
        <w:pStyle w:val="BookText"/>
        <w:rPr/>
      </w:pP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يأتي لها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 جواز الدخول فلا تدلّ الرواية على الملازمة؛ لأنّ المعنى سيكون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الجارية الصغيرة إذا بلغت تسع سنين يجوز الدخول بها، وهذا مستفاد من مفهوم الجملة الشرطية، وأنّ الجارية الصغيرة إذا لم تبلغ تسع سنين لا يجوز الدخول بها، وهذا مستفاد من المنطوق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الاحتمال الآخر هو الظاهر من الرواية</w:t>
      </w:r>
      <w:r>
        <w:rPr>
          <w:rFonts w:eastAsia="Amiri" w:cs="Amiri" w:ascii="Amiri" w:hAnsi="Amiri"/>
          <w:color w:val="111111"/>
          <w:sz w:val="28"/>
          <w:szCs w:val="28"/>
          <w:rtl w:val="true"/>
          <w:lang w:bidi="ar-SA"/>
        </w:rPr>
        <w:t xml:space="preserve">. </w:t>
      </w:r>
      <w:bookmarkStart w:id="214" w:name="pg9153_76269"/>
    </w:p>
    <w:p>
      <w:pPr>
        <w:pStyle w:val="BookText"/>
        <w:rPr/>
      </w:pPr>
      <w:bookmarkEnd w:id="214"/>
      <w:r>
        <w:rPr>
          <w:rFonts w:ascii="Amiri" w:hAnsi="Amiri" w:eastAsia="Amiri" w:cs="Amiri"/>
          <w:color w:val="111111"/>
          <w:sz w:val="28"/>
          <w:sz w:val="28"/>
          <w:szCs w:val="28"/>
          <w:rtl w:val="true"/>
          <w:lang w:bidi="ar-SA"/>
        </w:rPr>
        <w:t>وإن أبيت أن تكون الرواية ظاهرة في هذا الاحتمال فهي مجملة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من الرواية أنّ المناط في حرمة الدخول هو الصغر</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3380378_2870459653"/>
      <w:bookmarkStart w:id="216" w:name="_Toc88"/>
      <w:bookmarkEnd w:id="215"/>
      <w:r>
        <w:rPr>
          <w:rtl w:val="true"/>
        </w:rPr>
        <w:t>الدليل الثالث</w:t>
      </w:r>
      <w:bookmarkEnd w:id="216"/>
    </w:p>
    <w:p>
      <w:pPr>
        <w:pStyle w:val="BookText"/>
        <w:rPr/>
      </w:pPr>
      <w:r>
        <w:rPr>
          <w:rFonts w:ascii="Amiri" w:hAnsi="Amiri" w:eastAsia="Amiri" w:cs="Amiri"/>
          <w:color w:val="111111"/>
          <w:sz w:val="28"/>
          <w:sz w:val="28"/>
          <w:szCs w:val="28"/>
          <w:rtl w:val="true"/>
          <w:lang w:bidi="ar-SA"/>
        </w:rPr>
        <w:t xml:space="preserve">رواية أبي أيّوب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إسماعيل بن جعفر متى تجوز شهادة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دخل بعائشة وهي بنت عشر سنين، وليس يدخل بالجارية حتّى تكون امرأة، فإذا كان للغلام عشر سنين جاز أمره وجازت شهادته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والدلالة واضحة،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يدخل بالجارية حتّى تكون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جواز الدخول بالجارية إذا لم تكن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الرواية غير حجّة؛ لأنّها مروية عن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صاحبا الوافي والوسائل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فيها من بلوغ الذكر بعشر سنين، أو قياس الذكر بالأنثى، فلا بُدَّ من التفكيك بين فقرات الرواية، وسيأتي مزيد كلام في الرواية في الطائفة السابعة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380380_2870459653"/>
      <w:bookmarkStart w:id="218" w:name="_Toc89"/>
      <w:bookmarkEnd w:id="217"/>
      <w:r>
        <w:rPr>
          <w:rtl w:val="true"/>
        </w:rPr>
        <w:t>الطائفة السابعة</w:t>
      </w:r>
      <w:r>
        <w:rPr>
          <w:rtl w:val="true"/>
        </w:rPr>
        <w:t xml:space="preserve">: </w:t>
      </w:r>
      <w:r>
        <w:rPr>
          <w:rtl w:val="true"/>
        </w:rPr>
        <w:t>ما دلّ على حصول البلوغ بسنّ العاشرة</w:t>
      </w:r>
      <w:bookmarkEnd w:id="218"/>
    </w:p>
    <w:p>
      <w:pPr>
        <w:pStyle w:val="Heading6"/>
        <w:numPr>
          <w:ilvl w:val="5"/>
          <w:numId w:val="1"/>
        </w:numPr>
        <w:rPr/>
      </w:pPr>
      <w:bookmarkStart w:id="219" w:name="__RefHeading___Toc3380382_2870459653"/>
      <w:bookmarkStart w:id="220" w:name="_Toc9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3380384_2870459653"/>
      <w:bookmarkStart w:id="222" w:name="_Toc91"/>
      <w:bookmarkEnd w:id="221"/>
      <w:r>
        <w:rPr>
          <w:rtl w:val="true"/>
        </w:rPr>
        <w:t>الرواية الأولى</w:t>
      </w:r>
      <w:bookmarkEnd w:id="222"/>
    </w:p>
    <w:p>
      <w:pPr>
        <w:pStyle w:val="Heading6"/>
        <w:numPr>
          <w:ilvl w:val="5"/>
          <w:numId w:val="1"/>
        </w:numPr>
        <w:rPr/>
      </w:pPr>
      <w:bookmarkStart w:id="223" w:name="__RefHeading___Toc3380386_2870459653"/>
      <w:bookmarkStart w:id="224" w:name="_Toc92"/>
      <w:bookmarkEnd w:id="223"/>
      <w:r>
        <w:rPr>
          <w:rtl w:val="true"/>
        </w:rPr>
        <w:t>اشارة</w:t>
      </w:r>
      <w:bookmarkEnd w:id="2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غياث بن إبراهيم،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توطأ جارية لأقلّ من عشر سنين، فإن فعل فعيبت فقد ضمن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25" w:name="pg9153_76270"/>
    </w:p>
    <w:p>
      <w:pPr>
        <w:pStyle w:val="BookText"/>
        <w:rPr/>
      </w:pPr>
      <w:bookmarkEnd w:id="225"/>
      <w:r>
        <w:rPr>
          <w:rFonts w:ascii="Amiri" w:hAnsi="Amiri" w:eastAsia="Amiri" w:cs="Amiri"/>
          <w:color w:val="111111"/>
          <w:sz w:val="28"/>
          <w:sz w:val="28"/>
          <w:szCs w:val="28"/>
          <w:rtl w:val="true"/>
          <w:lang w:bidi="ar-SA"/>
        </w:rPr>
        <w:t>والكلام يقع في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والدلالة</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3380388_2870459653"/>
      <w:bookmarkStart w:id="227" w:name="_Toc93"/>
      <w:bookmarkEnd w:id="226"/>
      <w:r>
        <w:rPr>
          <w:rtl w:val="true"/>
        </w:rPr>
        <w:t>الجهة الأولى</w:t>
      </w:r>
      <w:r>
        <w:rPr>
          <w:rtl w:val="true"/>
        </w:rPr>
        <w:t xml:space="preserve">: </w:t>
      </w:r>
      <w:r>
        <w:rPr>
          <w:rtl w:val="true"/>
        </w:rPr>
        <w:t>السند</w:t>
      </w:r>
      <w:bookmarkEnd w:id="227"/>
    </w:p>
    <w:p>
      <w:pPr>
        <w:pStyle w:val="BookText"/>
        <w:rPr/>
      </w:pPr>
      <w:r>
        <w:rPr>
          <w:rFonts w:ascii="Amiri" w:hAnsi="Amiri" w:eastAsia="Amiri" w:cs="Amiri"/>
          <w:color w:val="111111"/>
          <w:sz w:val="28"/>
          <w:sz w:val="28"/>
          <w:szCs w:val="28"/>
          <w:rtl w:val="true"/>
          <w:lang w:bidi="ar-SA"/>
        </w:rPr>
        <w:t>وفيه محمّد بن أبي خالد،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نسخ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البرقي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بالمعتبرة</w:t>
      </w:r>
      <w:r>
        <w:rPr>
          <w:rStyle w:val="FootnoteAnchor"/>
          <w:rtl w:val="true"/>
        </w:rPr>
        <w:footnoteReference w:id="136"/>
      </w:r>
      <w:r>
        <w:rPr>
          <w:rFonts w:ascii="Amiri" w:hAnsi="Amiri" w:eastAsia="Amiri" w:cs="Amiri"/>
          <w:color w:val="111111"/>
          <w:sz w:val="28"/>
          <w:sz w:val="28"/>
          <w:szCs w:val="28"/>
          <w:rtl w:val="true"/>
          <w:lang w:bidi="ar-SA"/>
        </w:rPr>
        <w:t>، ولكنّه بيَّن إرسال الرواية في معجمه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أبي عمير، وروى عنه الشيخ مرسلاً،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السنّة في عقود النكاح، الحديث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 وروى عن محمّد بن عيسى، وروى عنه الشيخ مرسلاً الحديث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وروى عن محمّد بن يحيى، وروى عنه الشيخ مرسلاً الحديث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هو محلّ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المتقدّم أيضاً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ملاذ الأخيار</w:t>
      </w:r>
      <w:r>
        <w:rPr>
          <w:rStyle w:val="FootnoteAnchor"/>
          <w:rtl w:val="true"/>
        </w:rPr>
        <w:footnoteReference w:id="138"/>
      </w:r>
      <w:r>
        <w:rPr>
          <w:rFonts w:ascii="Amiri" w:hAnsi="Amiri" w:eastAsia="Amiri" w:cs="Amiri"/>
          <w:color w:val="111111"/>
          <w:sz w:val="28"/>
          <w:sz w:val="28"/>
          <w:szCs w:val="28"/>
          <w:rtl w:val="true"/>
          <w:lang w:bidi="ar-SA"/>
        </w:rPr>
        <w:t>جعل تعليق السند على الحسين بن سعيد، فتكون الرواية معتبرة مع احتمال رجوع الضمير إلى محمّد بن أبي خالد، واحتُمل أيضاً التصحيف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ولكي يتّضح المطلب نبيّن ترتيب الروايات في التهذيب</w:t>
      </w:r>
      <w:r>
        <w:rPr>
          <w:rStyle w:val="FootnoteAnchor"/>
          <w:rtl w:val="true"/>
        </w:rPr>
        <w:footnoteReference w:id="140"/>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بالحسين بن سعيد، وفي الحديث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السند بمحمّد بن أبي خالد، ثُمَّ الأحاديث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معلّقة عليه عن محمّد بن يحيى، وعنه 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الراوي الّذي ابتدأ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ولم يترجم له، ولم يذكر في كتب الحديث إلّا في الموضع المشار إليه احتمل المجلسي في ملاذ الأخيار أنَّ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يمكن أن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الوارد في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الظاهر، فإنّ الظاهر من الرواية هو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ضعيفة سنداً؛ لأنّه ليس للشيخ الطوسي طريق إليه في المشيخة، وطريقه إليه في الفهرست ضعيف بأبي المفضّل وابن بطّة فتكون الرواية غير معتبرة</w:t>
      </w:r>
      <w:r>
        <w:rPr>
          <w:rFonts w:eastAsia="Amiri" w:cs="Amiri" w:ascii="Amiri" w:hAnsi="Amiri"/>
          <w:color w:val="111111"/>
          <w:sz w:val="28"/>
          <w:szCs w:val="28"/>
          <w:rtl w:val="true"/>
          <w:lang w:bidi="ar-SA"/>
        </w:rPr>
        <w:t xml:space="preserve">. </w:t>
      </w:r>
      <w:bookmarkStart w:id="228" w:name="pg9153_76272"/>
    </w:p>
    <w:p>
      <w:pPr>
        <w:pStyle w:val="Heading6"/>
        <w:numPr>
          <w:ilvl w:val="5"/>
          <w:numId w:val="1"/>
        </w:numPr>
        <w:rPr/>
      </w:pPr>
      <w:bookmarkStart w:id="229" w:name="__RefHeading___Toc3380390_2870459653"/>
      <w:bookmarkStart w:id="230" w:name="_Toc94"/>
      <w:bookmarkEnd w:id="228"/>
      <w:bookmarkEnd w:id="229"/>
      <w:r>
        <w:rPr>
          <w:rtl w:val="true"/>
        </w:rPr>
        <w:t>الجهة الأخرى</w:t>
      </w:r>
      <w:r>
        <w:rPr>
          <w:rtl w:val="true"/>
        </w:rPr>
        <w:t xml:space="preserve">: </w:t>
      </w:r>
      <w:r>
        <w:rPr>
          <w:rtl w:val="true"/>
        </w:rPr>
        <w:t>في الدلالة</w:t>
      </w:r>
      <w:bookmarkEnd w:id="230"/>
    </w:p>
    <w:p>
      <w:pPr>
        <w:pStyle w:val="BookText"/>
        <w:rPr/>
      </w:pPr>
      <w:r>
        <w:rPr>
          <w:rFonts w:ascii="Amiri" w:hAnsi="Amiri" w:eastAsia="Amiri" w:cs="Amiri"/>
          <w:color w:val="111111"/>
          <w:sz w:val="28"/>
          <w:sz w:val="28"/>
          <w:szCs w:val="28"/>
          <w:rtl w:val="true"/>
          <w:lang w:bidi="ar-SA"/>
        </w:rPr>
        <w:t>يتوقّف الاستدلال بالرواية على الملازمة بين جواز الدخول والبلوغ، وقد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ذكرت في كلماتهم توجيهات سوف نتعرّض لها بعد إيراد روايات العَشرة؛ لأنّ التوجيهات عامّة لكلّ روايات العشرة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380392_2870459653"/>
      <w:bookmarkStart w:id="232" w:name="_Toc95"/>
      <w:bookmarkEnd w:id="231"/>
      <w:r>
        <w:rPr>
          <w:rtl w:val="true"/>
        </w:rPr>
        <w:t>الرواية الثانية</w:t>
      </w:r>
      <w:bookmarkEnd w:id="232"/>
    </w:p>
    <w:p>
      <w:pPr>
        <w:pStyle w:val="Heading6"/>
        <w:numPr>
          <w:ilvl w:val="5"/>
          <w:numId w:val="1"/>
        </w:numPr>
        <w:rPr/>
      </w:pPr>
      <w:bookmarkStart w:id="233" w:name="__RefHeading___Toc3380394_2870459653"/>
      <w:bookmarkStart w:id="234" w:name="_Toc96"/>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رواية أبي أيّوب الخزّاز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إسماعيل بن جعفر متى تجوز شهادة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بعائشة وهي بنت عشر سنين، وليس يدخل بالجارية حتّى تكون امرأة، فإذا كان للغلام عشر سنين جاز أمره وجازت شهادته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يقع في جهتين</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380396_2870459653"/>
      <w:bookmarkStart w:id="236" w:name="_Toc97"/>
      <w:bookmarkEnd w:id="235"/>
      <w:r>
        <w:rPr>
          <w:rtl w:val="true"/>
        </w:rPr>
        <w:t>الجهة الأولى</w:t>
      </w:r>
      <w:r>
        <w:rPr>
          <w:rtl w:val="true"/>
        </w:rPr>
        <w:t xml:space="preserve">: </w:t>
      </w:r>
      <w:r>
        <w:rPr>
          <w:rtl w:val="true"/>
        </w:rPr>
        <w:t>في السند</w:t>
      </w:r>
      <w:bookmarkEnd w:id="236"/>
    </w:p>
    <w:p>
      <w:pPr>
        <w:pStyle w:val="BookText"/>
        <w:rPr/>
      </w:pPr>
      <w:r>
        <w:rPr>
          <w:rFonts w:ascii="Amiri" w:hAnsi="Amiri" w:eastAsia="Amiri" w:cs="Amiri"/>
          <w:color w:val="111111"/>
          <w:sz w:val="28"/>
          <w:sz w:val="28"/>
          <w:szCs w:val="28"/>
          <w:rtl w:val="true"/>
          <w:lang w:bidi="ar-SA"/>
        </w:rPr>
        <w:t>والإشكال فيها من جهة أنّها موقوفة على إسماعيل، وليست قول إمام معصوم كما ذكر صاحبا الوافي</w:t>
      </w:r>
      <w:r>
        <w:rPr>
          <w:rStyle w:val="FootnoteAnchor"/>
          <w:rtl w:val="true"/>
        </w:rPr>
        <w:footnoteReference w:id="144"/>
      </w:r>
      <w:r>
        <w:rPr>
          <w:rFonts w:ascii="Amiri" w:hAnsi="Amiri" w:eastAsia="Amiri" w:cs="Amiri"/>
          <w:color w:val="111111"/>
          <w:sz w:val="28"/>
          <w:sz w:val="28"/>
          <w:szCs w:val="28"/>
          <w:rtl w:val="true"/>
          <w:lang w:bidi="ar-SA"/>
        </w:rPr>
        <w:t>والوسائل، فلا يمكن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أنّ دخول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بعائشة أمر مسلّم 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استشكل فيه غير واحد</w:t>
      </w:r>
      <w:r>
        <w:rPr>
          <w:rStyle w:val="FootnoteAnchor"/>
          <w:rtl w:val="true"/>
        </w:rPr>
        <w:footnoteReference w:id="145"/>
      </w:r>
      <w:r>
        <w:rPr>
          <w:rFonts w:ascii="Amiri" w:hAnsi="Amiri" w:eastAsia="Amiri" w:cs="Amiri"/>
          <w:color w:val="111111"/>
          <w:sz w:val="28"/>
          <w:sz w:val="28"/>
          <w:szCs w:val="28"/>
          <w:rtl w:val="true"/>
          <w:lang w:bidi="ar-SA"/>
        </w:rPr>
        <w:t xml:space="preserve">، وأنّ </w:t>
      </w:r>
      <w:bookmarkStart w:id="237" w:name="pg9153_76273"/>
    </w:p>
    <w:p>
      <w:pPr>
        <w:pStyle w:val="BookText"/>
        <w:rPr/>
      </w:pPr>
      <w:bookmarkEnd w:id="237"/>
      <w:r>
        <w:rPr>
          <w:rFonts w:ascii="Amiri" w:hAnsi="Amiri" w:eastAsia="Amiri" w:cs="Amiri"/>
          <w:color w:val="111111"/>
          <w:sz w:val="28"/>
          <w:sz w:val="28"/>
          <w:szCs w:val="28"/>
          <w:rtl w:val="true"/>
          <w:lang w:bidi="ar-SA"/>
        </w:rPr>
        <w:t xml:space="preserve">الإشكال إمّا في نفس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 النجاشي</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جهة رواية العبيدي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بعض الأعلام</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في الإشكال هو عبارة ابن الوليد بأنّه لا يعتمد أحاديث العبيدي عن يونس، ولعلّه اجتهاد من ابن الوليد والشيخ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الأرجح وثاقته ولا يسع المقام تحقيق ذلك، فنوكله إلى مقام آخر</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3380398_2870459653"/>
      <w:bookmarkStart w:id="239" w:name="_Toc98"/>
      <w:bookmarkEnd w:id="238"/>
      <w:r>
        <w:rPr>
          <w:rtl w:val="true"/>
        </w:rPr>
        <w:t>الجهة الأخرى</w:t>
      </w:r>
      <w:r>
        <w:rPr>
          <w:rtl w:val="true"/>
        </w:rPr>
        <w:t xml:space="preserve">: </w:t>
      </w:r>
      <w:r>
        <w:rPr>
          <w:rtl w:val="true"/>
        </w:rPr>
        <w:t>في الدلالة</w:t>
      </w:r>
      <w:bookmarkEnd w:id="239"/>
    </w:p>
    <w:p>
      <w:pPr>
        <w:pStyle w:val="BookText"/>
        <w:rPr/>
      </w:pPr>
      <w:r>
        <w:rPr>
          <w:rFonts w:ascii="Amiri" w:hAnsi="Amiri" w:eastAsia="Amiri" w:cs="Amiri"/>
          <w:color w:val="111111"/>
          <w:sz w:val="28"/>
          <w:sz w:val="28"/>
          <w:szCs w:val="28"/>
          <w:rtl w:val="true"/>
          <w:lang w:bidi="ar-SA"/>
        </w:rPr>
        <w:t>إنّ الاستدلال بها يتوقّف على ثبوت الملازمة بين جواز الدخول والبلوغ، وقد تقدّم الكلام فيها، ويتوقّف على التفكيك في الحجّية؛ لأنّ في الرواية فقرات لا يمكن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استدلال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بعائشة وهي بنت عشر سنين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الدخول فتكون امرأة وليست صغيرة</w:t>
      </w:r>
      <w:r>
        <w:rPr>
          <w:rFonts w:eastAsia="Amiri" w:cs="Amiri" w:ascii="Amiri" w:hAnsi="Amiri"/>
          <w:color w:val="111111"/>
          <w:sz w:val="28"/>
          <w:szCs w:val="28"/>
          <w:rtl w:val="true"/>
          <w:lang w:bidi="ar-SA"/>
        </w:rPr>
        <w:t xml:space="preserve">. </w:t>
      </w:r>
      <w:bookmarkStart w:id="240" w:name="pg9153_76274"/>
    </w:p>
    <w:p>
      <w:pPr>
        <w:pStyle w:val="BookText"/>
        <w:rPr/>
      </w:pPr>
      <w:bookmarkEnd w:id="240"/>
      <w:r>
        <w:rPr>
          <w:rFonts w:ascii="IRNazanin" w:hAnsi="IRNazanin" w:eastAsia="IRNazanin"/>
          <w:color w:val="111111"/>
          <w:sz w:val="28"/>
          <w:sz w:val="28"/>
          <w:szCs w:val="28"/>
          <w:rtl w:val="true"/>
          <w:lang w:bidi="fa-IR"/>
        </w:rPr>
        <w:t xml:space="preserve">أمّا المقدّمة الأولى فغير بعيدة عن الرواية نفسها بعد وثاقة الرواة، واحتمال خطأ إسماعيل بنقل حادثة تاريخية ترتبط بجدّه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خصوصاً أنّ التعليل يكون بأمر مركوز في الأذهان، مضافاً إلى قربه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واتّصاله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تبقى حادثة تاريخية قد نقلها لنا، فلا يمكن الجزم بأنّ سنّ العاشرة له خصوصية في جواز الدخول، بل يحتمل حصول البلوغ من جهة حصول علامة أخرى، وسيأتي مزيد بيان عند التعرّض لتوجيهات رواية العشرة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3380400_2870459653"/>
      <w:bookmarkStart w:id="242" w:name="_Toc99"/>
      <w:bookmarkEnd w:id="241"/>
      <w:r>
        <w:rPr>
          <w:rtl w:val="true"/>
        </w:rPr>
        <w:t>الرواية الثالثة</w:t>
      </w:r>
      <w:bookmarkEnd w:id="242"/>
    </w:p>
    <w:p>
      <w:pPr>
        <w:pStyle w:val="Heading6"/>
        <w:numPr>
          <w:ilvl w:val="5"/>
          <w:numId w:val="1"/>
        </w:numPr>
        <w:rPr/>
      </w:pPr>
      <w:bookmarkStart w:id="243" w:name="__RefHeading___Toc3380402_2870459653"/>
      <w:bookmarkStart w:id="244" w:name="_Toc100"/>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الجارية يتمتّع منها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أن تكون صبيّة تخدع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فكم حدّ الّذي إذا بلغته لم تخدع؟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عشر سنين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أيضاً يكون في جهتين</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3380404_2870459653"/>
      <w:bookmarkStart w:id="246" w:name="_Toc101"/>
      <w:bookmarkEnd w:id="245"/>
      <w:r>
        <w:rPr>
          <w:rtl w:val="true"/>
        </w:rPr>
        <w:t>الجهة الأولى</w:t>
      </w:r>
      <w:r>
        <w:rPr>
          <w:rtl w:val="true"/>
        </w:rPr>
        <w:t xml:space="preserve">: </w:t>
      </w:r>
      <w:r>
        <w:rPr>
          <w:rtl w:val="true"/>
        </w:rPr>
        <w:t>في السند</w:t>
      </w:r>
      <w:bookmarkEnd w:id="246"/>
    </w:p>
    <w:p>
      <w:pPr>
        <w:pStyle w:val="BookText"/>
        <w:rPr/>
      </w:pPr>
      <w:r>
        <w:rPr>
          <w:rFonts w:ascii="Amiri" w:hAnsi="Amiri" w:eastAsia="Amiri" w:cs="Amiri"/>
          <w:color w:val="111111"/>
          <w:sz w:val="28"/>
          <w:sz w:val="28"/>
          <w:szCs w:val="28"/>
          <w:rtl w:val="true"/>
          <w:lang w:bidi="ar-SA"/>
        </w:rPr>
        <w:t>أمّا السند ففي طريق الشيخ الصدوق زكريا المؤمن، ولم تثبت وثاقته، وفي طريق الشيخ الطوسي إبراهيم بن محرز الخثعمي، وهو ممّن لم تثبت وثاقته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الإضمار فلا يضرّ بعد أن كان السائل محمّد بن مسلم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380406_2870459653"/>
      <w:bookmarkStart w:id="248" w:name="_Toc102"/>
      <w:bookmarkEnd w:id="247"/>
      <w:r>
        <w:rPr>
          <w:rtl w:val="true"/>
        </w:rPr>
        <w:t>الجهة الأخرى</w:t>
      </w:r>
      <w:r>
        <w:rPr>
          <w:rtl w:val="true"/>
        </w:rPr>
        <w:t xml:space="preserve">: </w:t>
      </w:r>
      <w:r>
        <w:rPr>
          <w:rtl w:val="true"/>
        </w:rPr>
        <w:t>في الدلالة</w:t>
      </w:r>
      <w:bookmarkEnd w:id="2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فهي تشابه رواية ابن أبي عمير الأولى، وتقدّم الكلام فيها في </w:t>
      </w:r>
    </w:p>
    <w:p>
      <w:pPr>
        <w:pStyle w:val="BookText"/>
        <w:rPr/>
      </w:pPr>
      <w:r>
        <w:rPr>
          <w:rFonts w:ascii="Amiri" w:hAnsi="Amiri" w:eastAsia="Amiri" w:cs="Amiri"/>
          <w:color w:val="111111"/>
          <w:sz w:val="28"/>
          <w:sz w:val="28"/>
          <w:szCs w:val="28"/>
          <w:rtl w:val="true"/>
          <w:lang w:bidi="ar-SA"/>
        </w:rPr>
        <w:t>التعبيرين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استظهر الميرزا القمّي</w:t>
      </w:r>
      <w:r>
        <w:rPr>
          <w:rStyle w:val="FootnoteAnchor"/>
          <w:rtl w:val="true"/>
        </w:rPr>
        <w:footnoteReference w:id="150"/>
      </w:r>
      <w:r>
        <w:rPr>
          <w:rFonts w:ascii="Amiri" w:hAnsi="Amiri" w:eastAsia="Amiri" w:cs="Amiri"/>
          <w:color w:val="111111"/>
          <w:sz w:val="28"/>
          <w:sz w:val="28"/>
          <w:szCs w:val="28"/>
          <w:rtl w:val="true"/>
          <w:lang w:bidi="ar-SA"/>
        </w:rPr>
        <w:t>أنّ الظاهر من الرواية بيان الرشد لا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الرشد يلازم البلوغ؛ لأنّ الرشد الّذي يترتّب عليه الأثر يكون بعد البلوغ، ولو حصل الرشد قبله لا يكون له أثر، وبما أنّ المقصود بالرواية هو الرشد الّذي يترتّب عليه أثر، فلا بُدَّ من كونه مسبوقاً أو مقارناً لبلوغ سنّ التكليف؛ ولذا أقصى ما تفيد الرواية أنّ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مقارن للعشرة، أو قبلها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رواية العشرة مخالفة لروايات التسعة ذكر العلماء توجيهات عديدة، ولكنّها مخالفة للظاهر، ولعلّ منشأ هذه التوجيهات هو أنّ الجمع مهما أمكن أولى من الطرح</w:t>
      </w:r>
      <w:r>
        <w:rPr>
          <w:rFonts w:eastAsia="Amiri" w:cs="Amiri" w:ascii="Amiri" w:hAnsi="Amiri"/>
          <w:color w:val="111111"/>
          <w:sz w:val="28"/>
          <w:szCs w:val="28"/>
          <w:rtl w:val="true"/>
          <w:lang w:bidi="ar-SA"/>
        </w:rPr>
        <w:t xml:space="preserve">. </w:t>
      </w:r>
      <w:bookmarkStart w:id="249" w:name="pg9153_76276"/>
    </w:p>
    <w:p>
      <w:pPr>
        <w:pStyle w:val="Heading3"/>
        <w:numPr>
          <w:ilvl w:val="2"/>
          <w:numId w:val="1"/>
        </w:numPr>
        <w:rPr/>
      </w:pPr>
      <w:bookmarkStart w:id="250" w:name="__RefHeading___Toc3380408_2870459653"/>
      <w:bookmarkStart w:id="251" w:name="_Toc103"/>
      <w:bookmarkEnd w:id="249"/>
      <w:bookmarkEnd w:id="250"/>
      <w:r>
        <w:rPr>
          <w:rtl w:val="true"/>
        </w:rPr>
        <w:t>التوجيهات العامّة لروايات العشرة</w:t>
      </w:r>
      <w:bookmarkEnd w:id="251"/>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الدخول في العشرة لا إتمام عشر سنين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التوجيه خلاف الظاهر، فلماذا لا تحمل روايات التسع على الدخول في التسع، وليس على إتمام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تأخير الدخول إلى سنّ العاشرة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الرواية الأولى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تأبيان الحمل على الاستحباب؛ لأنّهما في مقام بيان الحدّ الّذي لا تخدع به، أو لبيان حدّ جواز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شاذّة لا يعمل بها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تقدّم وجود القائل بحصول البلوغ بتمام عشر سنين</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القول خلاف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الطائفة السابعة الدالّة على حصول البلوغ بعشر سنين كلّها ضعيفة سنداً، لا يمكن الاعتماد عليها، خصوصاً أنّه لا جابر لها بعمل المشهور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أردنا عرضه في هذه الحلقة من بحث سنّ البلوغ لدى الأنثى، ويقع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الحلقة الأخرى في كيفية الجمع بين الروايات، </w:t>
      </w:r>
    </w:p>
    <w:p>
      <w:pPr>
        <w:pStyle w:val="BookText"/>
        <w:rPr/>
      </w:pPr>
      <w:r>
        <w:rPr>
          <w:rFonts w:ascii="Amiri" w:hAnsi="Amiri" w:eastAsia="Amiri" w:cs="Amiri"/>
          <w:color w:val="111111"/>
          <w:sz w:val="28"/>
          <w:sz w:val="28"/>
          <w:szCs w:val="28"/>
          <w:rtl w:val="true"/>
          <w:lang w:bidi="ar-SA"/>
        </w:rPr>
        <w:t>والمرجّحات، والعمومات الفوقانية، والتنبيهات، ونتيجة البحث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خير خلقه محمّد وآله الطيّبين الطاهرين وسلّم تسليماً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9153_76279"/>
      <w:bookmarkStart w:id="253" w:name="pg9153_76279"/>
      <w:bookmarkEnd w:id="253"/>
    </w:p>
    <w:p>
      <w:pPr>
        <w:pStyle w:val="Heading2"/>
        <w:numPr>
          <w:ilvl w:val="1"/>
          <w:numId w:val="1"/>
        </w:numPr>
        <w:rPr/>
      </w:pPr>
      <w:bookmarkStart w:id="254" w:name="pg9153_76279"/>
      <w:bookmarkStart w:id="255" w:name="__RefHeading___Toc3380410_2870459653"/>
      <w:bookmarkStart w:id="256" w:name="_Toc104"/>
      <w:bookmarkEnd w:id="254"/>
      <w:bookmarkEnd w:id="255"/>
      <w:r>
        <w:rPr>
          <w:rtl w:val="true"/>
        </w:rPr>
        <w:t xml:space="preserve">وجوب صلاة العيدين وشرط حضور المعصوم </w:t>
      </w:r>
      <w:r>
        <w:rPr>
          <w:rtl w:val="true"/>
        </w:rPr>
        <w:t>(</w:t>
      </w:r>
      <w:r>
        <w:rPr>
          <w:rtl w:val="true"/>
        </w:rPr>
        <w:t>علیه السلام</w:t>
      </w:r>
      <w:r>
        <w:rPr>
          <w:rtl w:val="true"/>
        </w:rPr>
        <w:t xml:space="preserve">) - </w:t>
      </w:r>
      <w:r>
        <w:rPr>
          <w:rtl w:val="true"/>
        </w:rPr>
        <w:t xml:space="preserve">الشّيخ فاضل الحسّانيّ </w:t>
      </w:r>
      <w:r>
        <w:rPr>
          <w:rtl w:val="true"/>
        </w:rPr>
        <w:t>(</w:t>
      </w:r>
      <w:r>
        <w:rPr>
          <w:rtl w:val="true"/>
        </w:rPr>
        <w:t>دام عزه</w:t>
      </w:r>
      <w:r>
        <w:rPr>
          <w:rtl w:val="true"/>
        </w:rPr>
        <w:t>)</w:t>
      </w:r>
      <w:bookmarkEnd w:id="256"/>
    </w:p>
    <w:p>
      <w:pPr>
        <w:pStyle w:val="Heading3"/>
        <w:numPr>
          <w:ilvl w:val="2"/>
          <w:numId w:val="1"/>
        </w:numPr>
        <w:rPr/>
      </w:pPr>
      <w:bookmarkStart w:id="257" w:name="__RefHeading___Toc3380412_2870459653"/>
      <w:bookmarkStart w:id="258" w:name="_Toc105"/>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يحظى البحث عن صلاة العيدين بأهمّيّة خاصّة؛ ذلك للاختلاف الواقع بين المسلمين في استفادة أصل وجوبها من الكتاب أو السّنّة من جهة، وللخلاف بين علمائنا في وجوبها في عصر الغيبة من جهةٍ أخرى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يدي القارئ الكريم محاولة لاستجلاء الموقف تجاه هذا الاختلاف من خلال عرض الأدلّة ومناقشتها على وفق أحدث النظريات في الفقه والأصول والرجال</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لا زالت الفروع الفقهية التي لها نحو ارتباط بالإمام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مثاراً لاهتمام العلماء؛ ذلك لتفاوت أحكامها في الجملة بين زمن الحضور وزمن الغيبة، ومن ثَمَّ اختلف فقهاؤنا في أنّ الحكم الثابت لها في زمن الحضور هل هو مستمر إلى زمن الغيبة أو ينقطع فيختص بزمن الحضور؟ كما في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وتطبيق الحدود الشرعية،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الفروع صلاة العيدين، فإنّ المشهور بين فقهائنا وجوبها في زمن الحضور، واستحبابها في زمن الغيبة، ولكن يظهر من بعض فقهائنا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بوجوبها في زمن الغيبة كما هو الحال في زمن الحضور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قالوا بوجوبها في زمن الحضور دلّلوا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مع ذهاب جملة منهم فيما يظهر من كلماتهم إلى عدم صحّة الاستدلال عليها بالكتاب العزيز أو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وجود تفاصيل دقيقة في شروط وجوبها أو استحبابها، وكيفية أدائها قد توزّعت في بطون الكتب ضمن أبحاث الفقهاء، ولم يفرد لها تأليف مستقلّ ممّا استدعى تحريرها مستقلَّاً بما يتلاءم وطبيعة 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صلاة العيدين له مقامات متعدّدة ولكن سنقتصر على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 هذه الصلاة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تحقّق هذا الوجوب</w:t>
      </w:r>
      <w:r>
        <w:rPr>
          <w:rFonts w:eastAsia="Amiri" w:cs="Amiri" w:ascii="Amiri" w:hAnsi="Amiri"/>
          <w:color w:val="111111"/>
          <w:sz w:val="28"/>
          <w:szCs w:val="28"/>
          <w:rtl w:val="true"/>
          <w:lang w:bidi="ar-SA"/>
        </w:rPr>
        <w:t xml:space="preserve">. </w:t>
      </w:r>
      <w:bookmarkStart w:id="259" w:name="pg9153_76283"/>
    </w:p>
    <w:p>
      <w:pPr>
        <w:pStyle w:val="Heading3"/>
        <w:numPr>
          <w:ilvl w:val="2"/>
          <w:numId w:val="1"/>
        </w:numPr>
        <w:rPr/>
      </w:pPr>
      <w:bookmarkStart w:id="260" w:name="__RefHeading___Toc3380414_2870459653"/>
      <w:bookmarkStart w:id="261" w:name="_Toc106"/>
      <w:bookmarkEnd w:id="259"/>
      <w:bookmarkEnd w:id="260"/>
      <w:r>
        <w:rPr>
          <w:rtl w:val="true"/>
        </w:rPr>
        <w:t>المقام الأوّل</w:t>
      </w:r>
      <w:r>
        <w:rPr>
          <w:rtl w:val="true"/>
        </w:rPr>
        <w:t xml:space="preserve">: </w:t>
      </w:r>
      <w:r>
        <w:rPr>
          <w:rtl w:val="true"/>
        </w:rPr>
        <w:t>في وجوب صلاة العيدين</w:t>
      </w:r>
      <w:bookmarkEnd w:id="261"/>
    </w:p>
    <w:p>
      <w:pPr>
        <w:pStyle w:val="Heading4"/>
        <w:numPr>
          <w:ilvl w:val="3"/>
          <w:numId w:val="1"/>
        </w:numPr>
        <w:rPr/>
      </w:pPr>
      <w:bookmarkStart w:id="262" w:name="__RefHeading___Toc3380416_2870459653"/>
      <w:bookmarkStart w:id="263" w:name="_Toc10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وقد استُدلّ له بجملة أمور</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380418_2870459653"/>
      <w:bookmarkStart w:id="265" w:name="_Toc108"/>
      <w:bookmarkEnd w:id="264"/>
      <w:r>
        <w:rPr>
          <w:rtl w:val="true"/>
        </w:rPr>
        <w:t>الأمر الأوّل</w:t>
      </w:r>
      <w:r>
        <w:rPr>
          <w:rtl w:val="true"/>
        </w:rPr>
        <w:t xml:space="preserve">: </w:t>
      </w:r>
      <w:r>
        <w:rPr>
          <w:rtl w:val="true"/>
        </w:rPr>
        <w:t>الكتاب العزيز</w:t>
      </w:r>
      <w:bookmarkEnd w:id="265"/>
    </w:p>
    <w:p>
      <w:pPr>
        <w:pStyle w:val="BookText"/>
        <w:rPr/>
      </w:pPr>
      <w:r>
        <w:rPr>
          <w:rFonts w:ascii="Amiri" w:hAnsi="Amiri" w:eastAsia="Amiri" w:cs="Amiri"/>
          <w:color w:val="111111"/>
          <w:sz w:val="28"/>
          <w:sz w:val="28"/>
          <w:szCs w:val="28"/>
          <w:rtl w:val="true"/>
          <w:lang w:bidi="ar-SA"/>
        </w:rPr>
        <w:t>والمنظور منه آيتان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 وَانْحَرْ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جمعاًَ من المفسّرين ذكر أنّ الآيتين شرّعتا صلاة العيدين، أمّا الأولى فقالوا إنّ المراد من الزكاة هي زكاة الفطرة، والمراد بالصلاة هي صلاة العيد، وممّن ذكر ذلك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التفسير المنسوب إليه</w:t>
      </w:r>
      <w:r>
        <w:rPr>
          <w:rStyle w:val="FootnoteAnchor"/>
          <w:rtl w:val="true"/>
        </w:rPr>
        <w:footnoteReference w:id="157"/>
      </w:r>
      <w:r>
        <w:rPr>
          <w:rFonts w:ascii="Amiri" w:hAnsi="Amiri" w:eastAsia="Amiri" w:cs="Amiri"/>
          <w:color w:val="111111"/>
          <w:sz w:val="28"/>
          <w:sz w:val="28"/>
          <w:szCs w:val="28"/>
          <w:rtl w:val="true"/>
          <w:lang w:bidi="ar-SA"/>
        </w:rPr>
        <w:t xml:space="preserve">، 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الاحتمال</w:t>
      </w:r>
      <w:r>
        <w:rPr>
          <w:rStyle w:val="FootnoteAnchor"/>
          <w:rtl w:val="true"/>
        </w:rPr>
        <w:footnoteReference w:id="158"/>
      </w:r>
      <w:r>
        <w:rPr>
          <w:rFonts w:ascii="Amiri" w:hAnsi="Amiri" w:eastAsia="Amiri" w:cs="Amiri"/>
          <w:color w:val="111111"/>
          <w:sz w:val="28"/>
          <w:sz w:val="28"/>
          <w:szCs w:val="28"/>
          <w:rtl w:val="true"/>
          <w:lang w:bidi="ar-SA"/>
        </w:rPr>
        <w:t>، ومثله فعل بعض مفسّري العامّة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الأخرى فقد استدلّ بها جماعة من فقهاء الجمهور</w:t>
      </w:r>
      <w:r>
        <w:rPr>
          <w:rStyle w:val="FootnoteAnchor"/>
          <w:rtl w:val="true"/>
        </w:rPr>
        <w:footnoteReference w:id="160"/>
      </w:r>
      <w:r>
        <w:rPr>
          <w:rFonts w:ascii="IRNazanin" w:hAnsi="IRNazanin" w:eastAsia="IRNazanin"/>
          <w:color w:val="111111"/>
          <w:sz w:val="28"/>
          <w:sz w:val="28"/>
          <w:szCs w:val="28"/>
          <w:rtl w:val="true"/>
          <w:lang w:bidi="fa-IR"/>
        </w:rPr>
        <w:t xml:space="preserve">، وبعض فقهائنا، </w:t>
      </w:r>
    </w:p>
    <w:p>
      <w:pPr>
        <w:pStyle w:val="BookText"/>
        <w:rPr/>
      </w:pPr>
      <w:r>
        <w:rPr>
          <w:rFonts w:ascii="Amiri" w:hAnsi="Amiri" w:eastAsia="Amiri" w:cs="Amiri"/>
          <w:color w:val="111111"/>
          <w:sz w:val="28"/>
          <w:sz w:val="28"/>
          <w:szCs w:val="28"/>
          <w:rtl w:val="true"/>
          <w:lang w:bidi="ar-SA"/>
        </w:rPr>
        <w:t>منهم الطبرسي والراوندي</w:t>
      </w:r>
      <w:r>
        <w:rPr>
          <w:rStyle w:val="FootnoteAnchor"/>
          <w:rtl w:val="true"/>
        </w:rPr>
        <w:footnoteReference w:id="161"/>
      </w:r>
      <w:r>
        <w:rPr>
          <w:rFonts w:ascii="Amiri" w:hAnsi="Amiri" w:eastAsia="Amiri" w:cs="Amiri"/>
          <w:color w:val="111111"/>
          <w:sz w:val="28"/>
          <w:sz w:val="28"/>
          <w:szCs w:val="28"/>
          <w:rtl w:val="true"/>
          <w:lang w:bidi="ar-SA"/>
        </w:rPr>
        <w:t>، والمحقّق الحلّي</w:t>
      </w:r>
      <w:r>
        <w:rPr>
          <w:rStyle w:val="FootnoteAnchor"/>
          <w:rtl w:val="true"/>
        </w:rPr>
        <w:footnoteReference w:id="162"/>
      </w:r>
      <w:r>
        <w:rPr>
          <w:rFonts w:ascii="Amiri" w:hAnsi="Amiri" w:eastAsia="Amiri" w:cs="Amiri"/>
          <w:color w:val="111111"/>
          <w:sz w:val="28"/>
          <w:sz w:val="28"/>
          <w:szCs w:val="28"/>
          <w:rtl w:val="true"/>
          <w:lang w:bidi="ar-SA"/>
        </w:rPr>
        <w:t>، والعلّامة</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على سبيل الاحتمال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تقريب الاستدلال في الآية الأولى بما ذكره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وَذَكَرَ اسْمَ رَبِّهِ فَصَلَّى إشارة إلى صلاة العيد، وذلك لأنّ إخراج الفطرة يجب يوم الفطر قبل صلاة العيد على ما بدأ الله به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العلماء والمفسّرون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من القرآن يدلّ على الصلوات الخمس وزكاة الأموال فذكر الصلاة فيه مقدّم،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 وقدّم الزكاة في هذه الآية على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وَذَكَرَ اسْمَ رَبِّهِ فَصَلَّى إعلاماً أنّ تلك الزكاة زكاة الفطرة، وأنّ تلك الصلاة صلاة العيد</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اعتُرض على أصل الاستدلال بالآيتين على إرادة صلاة العيدين منهما، حيث إنّ المعروف أنّهما مكّيتان، وصلاة العيدين وزكاة الفطرة شرّعتا في المدينة، فكيف يراد من الآيتين صلاة العيدين وزكاة الفطرة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الطبرسي والراوندي الردّ على هذا الاعتراض في خصوص سورة الأعلى بأنّه يحتمل أن يكون نزل أوائلها بمكّة وختمت بالمدينة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نوقش</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يصعب اعتبار كون بعضها مكّياً والآخر مدنياً، خصوصاً وأنّ بعض الروايات تذكر بأنّ كلّ مجموعة من المسلمين حينما يصلون المدينة كانوا يقرءون هذه السورة لأهل المدينة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سورة الكوثر فقد قيل باحتمال نزولها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مكّة، ومرّة في المدينة</w:t>
      </w:r>
      <w:r>
        <w:rPr>
          <w:rStyle w:val="FootnoteAnchor"/>
          <w:rtl w:val="true"/>
        </w:rPr>
        <w:footnoteReference w:id="169"/>
      </w:r>
      <w:r>
        <w:rPr>
          <w:rFonts w:ascii="Amiri" w:hAnsi="Amiri" w:eastAsia="Amiri" w:cs="Amiri"/>
          <w:color w:val="111111"/>
          <w:sz w:val="28"/>
          <w:sz w:val="28"/>
          <w:szCs w:val="28"/>
          <w:rtl w:val="true"/>
          <w:lang w:bidi="ar-SA"/>
        </w:rPr>
        <w:t>، أو يجاب بأنّ هناك من ذكر أنّ سورة الكوثر مدنية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وبغض النظر عن ذلك فإنّنا نرجع إلى الروايات التي فسّرت الصلاة والنحر بصلاة العيد ونحر الأضحية في سورة الكوثر، وفسّرت الزكاة والصلاة في سورة الأعلى بزكاة الفطرة وصلاة العيد إن وجدت تلك الروايات، ونرى هل هي تامّة سنداً ودلالةً أو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سورة الكوثر فلم أجد في رواياتنا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ولو كانت ضعيفة السند تفسّر الصلاة والنحر فيها بصلاة العيد ونحر الأضحية، بل مجموعة منها فسّرت النحر بأنّه رفع اليدين حذاء الوجه</w:t>
      </w:r>
      <w:r>
        <w:rPr>
          <w:rStyle w:val="FootnoteAnchor"/>
          <w:rtl w:val="true"/>
        </w:rPr>
        <w:footnoteReference w:id="171"/>
      </w:r>
      <w:r>
        <w:rPr>
          <w:rFonts w:ascii="Amiri" w:hAnsi="Amiri" w:eastAsia="Amiri" w:cs="Amiri"/>
          <w:color w:val="111111"/>
          <w:sz w:val="28"/>
          <w:sz w:val="28"/>
          <w:szCs w:val="28"/>
          <w:rtl w:val="true"/>
          <w:lang w:bidi="ar-SA"/>
        </w:rPr>
        <w:t xml:space="preserve">، وبعضها فسّرته بالاعتدال في القيام،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سعيد، عن النضر، عن ابن سنان، عن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 وَانْحَرْ</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 وجاء في الكافي عن محمّد بن يحيى، عن أحمد بن محمّد، عن حمّاد، عن حريز،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 وَانْحَرْ؟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أن يقيم صلبه ونحره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 فإنّما يصنع ذلك المجوس، ولا تلثّم ولا تحتفز، ولا تقع على قدميك، ولا تفترش ذراعيك</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يتّضح الخدش فيما ذكره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ascii="IRNazanin" w:hAnsi="IRNazanin" w:eastAsia="IRNazanin"/>
          <w:color w:val="111111"/>
          <w:sz w:val="28"/>
          <w:sz w:val="28"/>
          <w:szCs w:val="28"/>
          <w:rtl w:val="true"/>
          <w:lang w:bidi="fa-IR"/>
        </w:rPr>
        <w:t>،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الأخبار أنّ الآية الأولى نزلت في زكاة الفطر، وصلاة عيد الفطر، والثانية نزلت في صلاة عيد الأضحى، ونحر الهدي والأضحية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فلم يتبيّن وجود أخبار دالّة على نزول آية سورة الكوثر في صلاة عيد الأضحى، وربّما يكون قد نظر في ذلك إلى مرسلة الصدوق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الآتية، أو إلى ما ورد في مثل ذلك من طرق العامّة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حتّى في روايات العامّة لم يجعلوه التفسير الوحيد للآية، بل الموجود في كتبهم آراء مختلفة، وقد ذكر ذلك الطبري في تفسيره</w:t>
      </w:r>
      <w:r>
        <w:rPr>
          <w:rStyle w:val="FootnoteAnchor"/>
          <w:rtl w:val="true"/>
        </w:rPr>
        <w:footnoteReference w:id="176"/>
      </w:r>
      <w:r>
        <w:rPr>
          <w:rFonts w:ascii="Amiri" w:hAnsi="Amiri" w:eastAsia="Amiri" w:cs="Amiri"/>
          <w:color w:val="111111"/>
          <w:sz w:val="28"/>
          <w:sz w:val="28"/>
          <w:szCs w:val="28"/>
          <w:rtl w:val="true"/>
          <w:lang w:bidi="ar-SA"/>
        </w:rPr>
        <w:t xml:space="preserve">، هذا بالنسبة إلى ما جاء في </w:t>
      </w:r>
    </w:p>
    <w:p>
      <w:pPr>
        <w:pStyle w:val="BookText"/>
        <w:rPr/>
      </w:pP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سورة الأعلى فلم أعثر بحسب التتبّع على رواية تفسّر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 بصلاة العيد إلّا ما جاء في تفسير القمّي من أنّ المراد بها صلاة الفطر والأضحى</w:t>
      </w:r>
      <w:r>
        <w:rPr>
          <w:rStyle w:val="FootnoteAnchor"/>
          <w:rtl w:val="true"/>
        </w:rPr>
        <w:footnoteReference w:id="177"/>
      </w:r>
      <w:r>
        <w:rPr>
          <w:rFonts w:ascii="IRNazanin" w:hAnsi="IRNazanin" w:eastAsia="IRNazanin"/>
          <w:color w:val="111111"/>
          <w:sz w:val="28"/>
          <w:sz w:val="28"/>
          <w:szCs w:val="28"/>
          <w:rtl w:val="true"/>
          <w:lang w:bidi="fa-IR"/>
        </w:rPr>
        <w:t xml:space="preserve">إذا اعتبرناه روايةً مرسلة، وما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من أنّه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إلى الجبّانة فصلّى</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بتقريب أنّ المراد من الخروج إلى الجبّانة والصلاة هو صلاة العيد بقرينة زكاة الفطرة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من إدراج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الرواية في باب استحباب أداء زكاة الفطرة ثمّ الخروج إلى الصلاة أنّه فهم منها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بهذه المرسلة تأمّل واضح من حيث الإرسال، ومن حيث الدلالة على الوجوب؛ فإنّ المنساق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 هو المدح ليس إلّا، وليس فيه 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قرينة زكاة الفطرة وأنّها واجبة، فتكون الصلاة أيضاً واجبة فغير تامّة؛ لأنّ وجوب زكاة الفطرة قد ثبت بروايات أخر، وليس من نفس هذه الرواية، مضافاً إلى أنّه لا يلزم من العطف على شيء واجب أن يكون المعطوف واجباً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الراوندي من تقريب الاستدلال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تقديم ذكر الزكاة على الصلاة في الآية لا يعدّ قرينة كافية على تعيين كون المراد من الصلاة صلاة </w:t>
      </w:r>
      <w:bookmarkStart w:id="266" w:name="pg9153_76288"/>
    </w:p>
    <w:p>
      <w:pPr>
        <w:pStyle w:val="BookText"/>
        <w:rPr/>
      </w:pPr>
      <w:bookmarkEnd w:id="266"/>
      <w:r>
        <w:rPr>
          <w:rFonts w:ascii="Amiri" w:hAnsi="Amiri" w:eastAsia="Amiri" w:cs="Amiri"/>
          <w:color w:val="111111"/>
          <w:sz w:val="28"/>
          <w:sz w:val="28"/>
          <w:szCs w:val="28"/>
          <w:rtl w:val="true"/>
          <w:lang w:bidi="ar-SA"/>
        </w:rPr>
        <w:t>العيد دون غيرها من الصلوات، فربّما كان تقديم الزكاة بداعي الاهتمام بها في خصوص المورد بلحاظ المناسبات الحافة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الاستدلال بالآيتين الكريمتين ليس تامّاً، وإنّما هو تفسيرٌ يصلح للتأييد، لا للاستدلال، ومنه يظهر الردّ على كلّ من استدلّ بالكتاب العزيز في محلّ الكلام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3380420_2870459653"/>
      <w:bookmarkStart w:id="268" w:name="_Toc109"/>
      <w:bookmarkEnd w:id="267"/>
      <w:r>
        <w:rPr>
          <w:rtl w:val="true"/>
        </w:rPr>
        <w:t>الأمر الثاني</w:t>
      </w:r>
      <w:r>
        <w:rPr>
          <w:rtl w:val="true"/>
        </w:rPr>
        <w:t xml:space="preserve">: </w:t>
      </w:r>
      <w:r>
        <w:rPr>
          <w:rtl w:val="true"/>
        </w:rPr>
        <w:t>الإجماع</w:t>
      </w:r>
      <w:bookmarkEnd w:id="268"/>
    </w:p>
    <w:p>
      <w:pPr>
        <w:pStyle w:val="BookText"/>
        <w:rPr/>
      </w:pPr>
      <w:r>
        <w:rPr>
          <w:rFonts w:ascii="Amiri" w:hAnsi="Amiri" w:eastAsia="Amiri" w:cs="Amiri"/>
          <w:color w:val="111111"/>
          <w:sz w:val="28"/>
          <w:sz w:val="28"/>
          <w:szCs w:val="28"/>
          <w:rtl w:val="true"/>
          <w:lang w:bidi="ar-SA"/>
        </w:rPr>
        <w:t>وقد استدلّ به السيّد في الانتصار</w:t>
      </w:r>
      <w:r>
        <w:rPr>
          <w:rStyle w:val="FootnoteAnchor"/>
          <w:rtl w:val="true"/>
        </w:rPr>
        <w:footnoteReference w:id="180"/>
      </w:r>
      <w:r>
        <w:rPr>
          <w:rFonts w:ascii="Amiri" w:hAnsi="Amiri" w:eastAsia="Amiri" w:cs="Amiri"/>
          <w:color w:val="111111"/>
          <w:sz w:val="28"/>
          <w:sz w:val="28"/>
          <w:szCs w:val="28"/>
          <w:rtl w:val="true"/>
          <w:lang w:bidi="ar-SA"/>
        </w:rPr>
        <w:t>، والشيخ في الخلاف</w:t>
      </w:r>
      <w:r>
        <w:rPr>
          <w:rStyle w:val="FootnoteAnchor"/>
          <w:rtl w:val="true"/>
        </w:rPr>
        <w:footnoteReference w:id="181"/>
      </w:r>
      <w:r>
        <w:rPr>
          <w:rFonts w:ascii="Amiri" w:hAnsi="Amiri" w:eastAsia="Amiri" w:cs="Amiri"/>
          <w:color w:val="111111"/>
          <w:sz w:val="28"/>
          <w:sz w:val="28"/>
          <w:szCs w:val="28"/>
          <w:rtl w:val="true"/>
          <w:lang w:bidi="ar-SA"/>
        </w:rPr>
        <w:t>، والسيّد ابن زهرة في الغنية</w:t>
      </w:r>
      <w:r>
        <w:rPr>
          <w:rStyle w:val="FootnoteAnchor"/>
          <w:rtl w:val="true"/>
        </w:rPr>
        <w:footnoteReference w:id="182"/>
      </w:r>
      <w:r>
        <w:rPr>
          <w:rFonts w:ascii="Amiri" w:hAnsi="Amiri" w:eastAsia="Amiri" w:cs="Amiri"/>
          <w:color w:val="111111"/>
          <w:sz w:val="28"/>
          <w:sz w:val="28"/>
          <w:szCs w:val="28"/>
          <w:rtl w:val="true"/>
          <w:lang w:bidi="ar-SA"/>
        </w:rPr>
        <w:t>، والشيخ عليّ في جامع الخلاف والوفاق</w:t>
      </w:r>
      <w:r>
        <w:rPr>
          <w:rStyle w:val="FootnoteAnchor"/>
          <w:rtl w:val="true"/>
        </w:rPr>
        <w:footnoteReference w:id="183"/>
      </w:r>
      <w:r>
        <w:rPr>
          <w:rFonts w:ascii="IRNazanin" w:hAnsi="IRNazanin" w:eastAsia="IRNazanin"/>
          <w:color w:val="111111"/>
          <w:sz w:val="28"/>
          <w:sz w:val="28"/>
          <w:szCs w:val="28"/>
          <w:rtl w:val="true"/>
          <w:lang w:bidi="fa-IR"/>
        </w:rPr>
        <w:t xml:space="preserve">، ويدعم ذلك أنّه لا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واحد من فقهاء الإمامية يقول بالاستحباب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حتّى مع توفّر الشروط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يكشف عن تلقّي هذا الحكم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الحجّة هو إجماع الفقهاء المعاصرين للأئمّة، أو المقاربين لعصرهم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ملاحظة عدم وجود نصّ من آية أو رواية نحتمل احتمالاً معتدّاً </w:t>
      </w:r>
      <w:bookmarkStart w:id="269" w:name="pg9153_76289"/>
    </w:p>
    <w:p>
      <w:pPr>
        <w:pStyle w:val="BookText"/>
        <w:rPr/>
      </w:pPr>
      <w:bookmarkEnd w:id="269"/>
      <w:r>
        <w:rPr>
          <w:rFonts w:ascii="Amiri" w:hAnsi="Amiri" w:eastAsia="Amiri" w:cs="Amiri"/>
          <w:color w:val="111111"/>
          <w:sz w:val="28"/>
          <w:sz w:val="28"/>
          <w:szCs w:val="28"/>
          <w:rtl w:val="true"/>
          <w:lang w:bidi="ar-SA"/>
        </w:rPr>
        <w:t>به استنادهم إليه</w:t>
      </w:r>
      <w:r>
        <w:rPr>
          <w:rStyle w:val="FootnoteAnchor"/>
          <w:rtl w:val="true"/>
        </w:rPr>
        <w:footnoteReference w:id="184"/>
      </w:r>
      <w:r>
        <w:rPr>
          <w:rFonts w:ascii="Amiri" w:hAnsi="Amiri" w:eastAsia="Amiri" w:cs="Amiri"/>
          <w:color w:val="111111"/>
          <w:sz w:val="28"/>
          <w:sz w:val="28"/>
          <w:szCs w:val="28"/>
          <w:rtl w:val="true"/>
          <w:lang w:bidi="ar-SA"/>
        </w:rPr>
        <w:t>، وفي المقام توجد نصوص نحتمل أنّهم استندوا إليها، بل قد نجزم بذلك</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380422_2870459653"/>
      <w:bookmarkStart w:id="271" w:name="_Toc110"/>
      <w:bookmarkEnd w:id="270"/>
      <w:r>
        <w:rPr>
          <w:rtl w:val="true"/>
        </w:rPr>
        <w:t>الأمر الثالث</w:t>
      </w:r>
      <w:r>
        <w:rPr>
          <w:rtl w:val="true"/>
        </w:rPr>
        <w:t xml:space="preserve">: </w:t>
      </w:r>
      <w:r>
        <w:rPr>
          <w:rtl w:val="true"/>
        </w:rPr>
        <w:t xml:space="preserve">مداومة النبيّ </w:t>
      </w:r>
      <w:r>
        <w:rPr>
          <w:rtl w:val="true"/>
        </w:rPr>
        <w:t>(</w:t>
      </w:r>
      <w:r>
        <w:rPr>
          <w:rtl w:val="true"/>
        </w:rPr>
        <w:t>صلی الله علیه و آله و سلم</w:t>
      </w:r>
      <w:r>
        <w:rPr>
          <w:rtl w:val="true"/>
        </w:rPr>
        <w:t xml:space="preserve">) </w:t>
      </w:r>
      <w:r>
        <w:rPr>
          <w:rtl w:val="true"/>
        </w:rPr>
        <w:t>على الإتيان بها طيلة فترة حياته الشريفة</w:t>
      </w:r>
      <w:bookmarkEnd w:id="271"/>
    </w:p>
    <w:p>
      <w:pPr>
        <w:pStyle w:val="BookText"/>
        <w:rPr/>
      </w:pPr>
      <w:r>
        <w:rPr>
          <w:rFonts w:ascii="IRNazanin" w:hAnsi="IRNazanin" w:eastAsia="IRNazanin"/>
          <w:color w:val="111111"/>
          <w:sz w:val="28"/>
          <w:sz w:val="28"/>
          <w:szCs w:val="28"/>
          <w:rtl w:val="true"/>
          <w:lang w:bidi="fa-IR"/>
        </w:rPr>
        <w:t>قال المحقّق في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فعلهما مواظباً، فتجب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المؤرّخون أنّ أوّل صلاة عيد فطر صلّاها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بعد الهجرة،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يونس بن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زيد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النبيّ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ستة عشر شهراً فبلغه أنّ اليهود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درى محمّد وأصحابه أين قبلتهم حتّى هديناهم، فكره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وجهه إلى السماء، فقال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w:t>
      </w:r>
      <w:r>
        <w:rPr>
          <w:rFonts w:ascii="IRNazanin" w:hAnsi="IRNazanin" w:eastAsia="IRNazanin"/>
          <w:color w:val="111111"/>
          <w:sz w:val="28"/>
          <w:sz w:val="28"/>
          <w:szCs w:val="28"/>
          <w:rtl w:val="true"/>
          <w:lang w:bidi="fa-IR"/>
        </w:rPr>
        <w:t xml:space="preserve"> الآية،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السنة فرض فيما ذكر صوم شهر رمضان، وقيل إنّه فرض في شعبان منها،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المدينة رأى يهود تصوم يوم عاشوراء، فسألهم فأخبروه أنّه اليوم الذي أغرق الله فيه آل فرعون، ونجّى موسى ومن معه منهم، فقال نحن أحقّ بموسى منهم، فصام وأمر الناس بصومه، فلمّا فرض صوم شهر رمضان لم يأمرهم بصوم يوم عاشوراء، ولم ينههم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بإخراج زكاة الفطر،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قبل الفطر بيوم أو </w:t>
      </w:r>
    </w:p>
    <w:p>
      <w:pPr>
        <w:pStyle w:val="BookText"/>
        <w:rPr/>
      </w:pPr>
      <w:r>
        <w:rPr>
          <w:rFonts w:ascii="Amiri" w:hAnsi="Amiri" w:eastAsia="Amiri" w:cs="Amiri"/>
          <w:color w:val="111111"/>
          <w:sz w:val="28"/>
          <w:sz w:val="28"/>
          <w:szCs w:val="28"/>
          <w:rtl w:val="true"/>
          <w:lang w:bidi="ar-SA"/>
        </w:rPr>
        <w:t xml:space="preserve">يومين، وأمرهم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المصلّى، فصلّى بهم صلاة العيد، وكان ذلك أوّل خرجة خرجها بالناس إلى المصلّى لصلاة العيد</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عيد الأضحى، فقد نقل ابن الأثير عند ذكره غزوة بني قينقاع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وحضر الأضحى، وخرج إلى المصلّى، فصلّى بالمسلمين، وهو أوّل صلاة عيد صلّاها، وضحّى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بشاتين،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بشاة، وكان أوّل أضحى رآه المسلمون، وضحّى معه ذوو اليَسَار، وكانت الغزاة في شوال بعد بدر،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صفر سنة ثلاث، وجعلها بعضهم بعد غزوة الكدر</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وقال في غزوة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شوال سنة اثنتين،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المحرّم سنة ثلاث</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يقال في ردّ هذا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مداومة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عبادةٍ لا تعني أنّها واجبة؛ لأنّ مداومته أعمّ من الوجوب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فالمراد به الإتيان بالصلاة بنفس الكيفية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بها الصلاة من اشتمالها على الأجزاء والشرائط، وليس المراد بها لا بدّية الإتيان بتلك الصلاة المخصوصة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مختلف هنا؛ حيث توجد قرينة على 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أعمّ، لأنّ </w:t>
      </w:r>
      <w:bookmarkStart w:id="272" w:name="pg9153_76291"/>
    </w:p>
    <w:p>
      <w:pPr>
        <w:pStyle w:val="BookText"/>
        <w:rPr/>
      </w:pPr>
      <w:bookmarkEnd w:id="272"/>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بها أصحابه، ويصلّيها جماعة، وهذا الأمر بها قد استمرّ في سنيّ حياته الشريفة كلّها بعدما شرّعت، فمن البعيد جدّاً أن يستمرّ الحثّ عليها بهذا النحو وهي ليست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القرينة لا تكفي للحكم بالوجوب؛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يواظب على المستحبّ لعدّة دواعي وخصوصاً في صلاة العيدين، ومن الدواعي أنّه كقائد يناسبه أن يجتمع بالناس، ويخطب بهم، ومن الدواعي الأخر الحثّ على الفعل المستحبّ لأهمّيته، ولا يلزم تركه مرّةً ليعلم أنّه مستحبّ؛ لعدم انحصار بيان كونه مستحبّاً بهذه الطريقة، بل توجد طرقٌ أخر كثيرة لبيان استحبابه، كالتصريح بالاستحباب، والسكوت عن عقوبة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 يثبت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الناس بها من خلال نصّ مرويّ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يتبيّن ضعف ما استدلّ به العلّامة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التذكرة،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داوم عليها، ولم يخلّ بها في وقت من الأوقات، ولو كانت تطوّعاً لأهملها في بعض الأوقات، ليدلّ بذلك على نفي وجوبها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3380424_2870459653"/>
      <w:bookmarkStart w:id="274" w:name="_Toc111"/>
      <w:bookmarkEnd w:id="273"/>
      <w:r>
        <w:rPr>
          <w:rtl w:val="true"/>
        </w:rPr>
        <w:t>الأمر الرابع</w:t>
      </w:r>
      <w:r>
        <w:rPr>
          <w:rtl w:val="true"/>
        </w:rPr>
        <w:t xml:space="preserve">: </w:t>
      </w:r>
      <w:r>
        <w:rPr>
          <w:rtl w:val="true"/>
        </w:rPr>
        <w:t>وجوب قتال تاركيها، ولا يكون ذلك إلّا لكونها واجبة في الشريعة</w:t>
      </w:r>
      <w:bookmarkEnd w:id="2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به العلّامة في التذكرة والمنتهى</w:t>
      </w:r>
      <w:r>
        <w:rPr>
          <w:rStyle w:val="FootnoteAnchor"/>
          <w:rtl w:val="true"/>
        </w:rPr>
        <w:footnoteReference w:id="191"/>
      </w:r>
      <w:r>
        <w:rPr>
          <w:rFonts w:ascii="Amiri" w:hAnsi="Amiri" w:eastAsia="Amiri" w:cs="Amiri"/>
          <w:color w:val="111111"/>
          <w:sz w:val="28"/>
          <w:sz w:val="28"/>
          <w:szCs w:val="28"/>
          <w:rtl w:val="true"/>
          <w:lang w:bidi="ar-SA"/>
        </w:rPr>
        <w:t>، وكذلك بعض علماء العامّة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75" w:name="pg9153_76292"/>
    </w:p>
    <w:p>
      <w:pPr>
        <w:pStyle w:val="BookText"/>
        <w:rPr/>
      </w:pPr>
      <w:bookmarkEnd w:id="275"/>
      <w:r>
        <w:rPr>
          <w:rFonts w:ascii="IRNazanin" w:hAnsi="IRNazanin" w:eastAsia="IRNazanin"/>
          <w:color w:val="111111"/>
          <w:sz w:val="28"/>
          <w:sz w:val="28"/>
          <w:szCs w:val="28"/>
          <w:rtl w:val="true"/>
          <w:lang w:bidi="fa-IR"/>
        </w:rPr>
        <w:t>ويردّه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ينقل في التاريخ والكتب الفقهية للفريقين أنّه قد توعّد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تاركيها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ثبت وجوبها من دليل آخر كان أمر قتال تاركيها راجعاً إلى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ذلك الشيخ الطوسي عند توفّر شرائطها</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الفقيه المبسوط اليد لو قلنا بوجوبها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أنّي 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الدليل من عين ولا أثر في كلمات أعلامنا ممّن تأخّر عن العلّامة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3380426_2870459653"/>
      <w:bookmarkStart w:id="277" w:name="_Toc112"/>
      <w:bookmarkEnd w:id="276"/>
      <w:r>
        <w:rPr>
          <w:rtl w:val="true"/>
        </w:rPr>
        <w:t>الأمر الخامس</w:t>
      </w:r>
      <w:r>
        <w:rPr>
          <w:rtl w:val="true"/>
        </w:rPr>
        <w:t xml:space="preserve">: </w:t>
      </w:r>
      <w:r>
        <w:rPr>
          <w:rtl w:val="true"/>
        </w:rPr>
        <w:t>نصوص روائية من طرقنا دلّت على وجوبها</w:t>
      </w:r>
      <w:bookmarkEnd w:id="277"/>
    </w:p>
    <w:p>
      <w:pPr>
        <w:pStyle w:val="Heading5"/>
        <w:numPr>
          <w:ilvl w:val="4"/>
          <w:numId w:val="1"/>
        </w:numPr>
        <w:rPr/>
      </w:pPr>
      <w:bookmarkStart w:id="278" w:name="__RefHeading___Toc3380428_2870459653"/>
      <w:bookmarkStart w:id="279" w:name="_Toc113"/>
      <w:bookmarkEnd w:id="278"/>
      <w:r>
        <w:rPr>
          <w:rtl w:val="true"/>
        </w:rPr>
        <w:t>الرواية الأولى</w:t>
      </w:r>
      <w:bookmarkEnd w:id="279"/>
    </w:p>
    <w:p>
      <w:pPr>
        <w:pStyle w:val="BookText"/>
        <w:rPr/>
      </w:pPr>
      <w:r>
        <w:rPr>
          <w:rFonts w:ascii="IRNazanin" w:hAnsi="IRNazanin" w:eastAsia="IRNazanin"/>
          <w:color w:val="111111"/>
          <w:sz w:val="28"/>
          <w:sz w:val="28"/>
          <w:szCs w:val="28"/>
          <w:rtl w:val="true"/>
          <w:lang w:bidi="fa-IR"/>
        </w:rPr>
        <w:t xml:space="preserve">ما جاء في الفقيه من قول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عن جميل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فريضة، وصلاة الكسوف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أنّهما من صغار الفرائض، وصغار الفرائض سنن لرواية حريز</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وسندها صحيح،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المشيخة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محمّد بن حمران وجميل بن درّاج فقد رويته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يعقوب بن يزيد، عن محمّد بن أبي عمير، عن محمّد بن حمران وجميل بن درّاج</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يختصّ بما يرويه عن كليهما، ولا يشمل ما رواه عن أحدهما، فلا تكون تامّة السند</w:t>
      </w:r>
      <w:r>
        <w:rPr>
          <w:rFonts w:eastAsia="Amiri" w:cs="Amiri" w:ascii="Amiri" w:hAnsi="Amiri"/>
          <w:color w:val="111111"/>
          <w:sz w:val="28"/>
          <w:szCs w:val="28"/>
          <w:rtl w:val="true"/>
          <w:lang w:bidi="ar-SA"/>
        </w:rPr>
        <w:t xml:space="preserve">. </w:t>
      </w:r>
      <w:bookmarkStart w:id="280" w:name="pg9153_76293"/>
    </w:p>
    <w:p>
      <w:pPr>
        <w:pStyle w:val="BookText"/>
        <w:rPr/>
      </w:pPr>
      <w:bookmarkEnd w:id="280"/>
      <w:r>
        <w:rPr>
          <w:rFonts w:ascii="Amiri" w:hAnsi="Amiri" w:eastAsia="Amiri" w:cs="Amiri"/>
          <w:color w:val="111111"/>
          <w:sz w:val="28"/>
          <w:sz w:val="28"/>
          <w:szCs w:val="28"/>
          <w:rtl w:val="true"/>
          <w:lang w:bidi="ar-SA"/>
        </w:rPr>
        <w:t xml:space="preserve">ودلالتها على الوجوب تامّة إلى هذا المقطع، ولكنّ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عبّر عن الصلاتين بأنّهما من صغار الفرائض كوجهٍ من وجوه الجمع بينها وبين الرواية التي تصرّح بأنّها سنّة، كما سيأتي الكلام في ذلك</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380430_2870459653"/>
      <w:bookmarkStart w:id="282" w:name="_Toc114"/>
      <w:bookmarkEnd w:id="281"/>
      <w:r>
        <w:rPr>
          <w:rtl w:val="true"/>
        </w:rPr>
        <w:t>الرواية الثانية</w:t>
      </w:r>
      <w:bookmarkEnd w:id="282"/>
    </w:p>
    <w:p>
      <w:pPr>
        <w:pStyle w:val="Heading6"/>
        <w:numPr>
          <w:ilvl w:val="5"/>
          <w:numId w:val="1"/>
        </w:numPr>
        <w:rPr/>
      </w:pPr>
      <w:bookmarkStart w:id="283" w:name="__RefHeading___Toc3380432_2870459653"/>
      <w:bookmarkStart w:id="284" w:name="_Toc115"/>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 xml:space="preserve">ما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بن سعيد، عن ابن أبي عمير وفضالة،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التكبير في العيدين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وخمس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سألته ما يقرأ فيهما؟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 وهل أتاك حديث الغاشية، وأشباههما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رجال السند فالحسين بن سعيد وابن أبي عمير في غاية الوثاقة، وأمّا فضالة فهو ابن أيّوب؛ فإنّه الذي يروي عنه الحسين بن سعيد، كما أشار إلى ذلك النجاشي والشيخ</w:t>
      </w:r>
      <w:r>
        <w:rPr>
          <w:rStyle w:val="FootnoteAnchor"/>
          <w:rtl w:val="true"/>
        </w:rPr>
        <w:footnoteReference w:id="198"/>
      </w:r>
      <w:r>
        <w:rPr>
          <w:rFonts w:ascii="Amiri" w:hAnsi="Amiri" w:eastAsia="Amiri" w:cs="Amiri"/>
          <w:color w:val="111111"/>
          <w:sz w:val="28"/>
          <w:sz w:val="28"/>
          <w:szCs w:val="28"/>
          <w:rtl w:val="true"/>
          <w:lang w:bidi="ar-SA"/>
        </w:rPr>
        <w:t>، وقد وثّقه كلّ منهما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تأمّلاً في رواية الحسين بن سعيد عن فضالة؛ حيث إنّ النجاشي حكى عن أبي الحسن البغدادي السورائي البزّاز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الحسين بن يزيد السورائي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غلط، إنّما هو الحسين، عن أخيه الحسن، عن فضالة،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سعيد لم يلق فضالة، وإنّ أخاه الحسن تفرّد بفضالة دون الحسين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لا مجال لهذا التأمّل؛ فإنّ النجاشي نفسه علّق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الجماعة تروي بأسانيد مختلفة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والله أعلم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وقد تصدّى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إحصاء تلك الموارد، فبلغت تسعمائة واثنين وعشرين مورداً</w:t>
      </w:r>
      <w:r>
        <w:rPr>
          <w:rStyle w:val="FootnoteAnchor"/>
          <w:rtl w:val="true"/>
        </w:rPr>
        <w:footnoteReference w:id="202"/>
      </w:r>
      <w:r>
        <w:rPr>
          <w:rFonts w:ascii="Amiri" w:hAnsi="Amiri" w:eastAsia="Amiri" w:cs="Amiri"/>
          <w:color w:val="111111"/>
          <w:sz w:val="28"/>
          <w:sz w:val="28"/>
          <w:szCs w:val="28"/>
          <w:rtl w:val="true"/>
          <w:lang w:bidi="ar-SA"/>
        </w:rPr>
        <w:t xml:space="preserve">، وغير ذلك من القرائن التي ذكرها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فلا سبيل لإنكار روايته عنه، بل لو فرض تنزّلاً توسّط الحسن بن سعيد بينه وبين فضالة فهو لا يضرّ في اعتبار السند؛ لوثاقة 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جميل فهو ابن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غاية في الجلالة ومن وجوه الطائفة، كما في رجال النجاشي</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الذي يروي عنه ابن أبي عمير في الغالب، ويقترن اسمه مع اسمه، فإذا ذكر جميل من دون ذكر اسم الأب ينصرف إلى ابن درّاج، مضافاً إلى قرينة عطف فضالة على ابن أبي عمير، وفضالة يروي عن جميل بن درّاج أيضاً، وله روايات أخر يعطف اسمه مع ابن أبي عمير، ويرويان عن جميل بن درّاج</w:t>
      </w:r>
      <w:r>
        <w:rPr>
          <w:rStyle w:val="FootnoteAnchor"/>
          <w:rtl w:val="true"/>
        </w:rPr>
        <w:footnoteReference w:id="205"/>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باب القاتل في الشهر الحرام والحرم،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من المطمأن به أنّ المراد بجميل هنا هو ابن درّاج </w:t>
      </w:r>
      <w:r>
        <w:rPr>
          <w:rFonts w:eastAsia="Amiri" w:cs="Amiri" w:ascii="Amiri" w:hAnsi="Amiri"/>
          <w:color w:val="111111"/>
          <w:sz w:val="28"/>
          <w:szCs w:val="28"/>
          <w:rtl w:val="true"/>
          <w:lang w:bidi="ar-SA"/>
        </w:rPr>
        <w:t>.</w:t>
      </w:r>
      <w:bookmarkStart w:id="285" w:name="pg9153_76295"/>
    </w:p>
    <w:p>
      <w:pPr>
        <w:pStyle w:val="BookText"/>
        <w:rPr/>
      </w:pPr>
      <w:bookmarkEnd w:id="285"/>
      <w:r>
        <w:rPr>
          <w:rFonts w:ascii="Amiri" w:hAnsi="Amiri" w:eastAsia="Amiri" w:cs="Amiri"/>
          <w:color w:val="111111"/>
          <w:sz w:val="28"/>
          <w:sz w:val="28"/>
          <w:szCs w:val="28"/>
          <w:rtl w:val="true"/>
          <w:lang w:bidi="ar-SA"/>
        </w:rPr>
        <w:t>وعلى فرض كون المراد به جميل بن صالح فإنّه لا يضرّ؛ لأنّه أيضاً ثقة</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ابن أبي عمير لا يروي إلّا عن ثقة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إلى كتب الحسين بن سعيد</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380434_2870459653"/>
      <w:bookmarkStart w:id="287" w:name="_Toc116"/>
      <w:bookmarkEnd w:id="286"/>
      <w:r>
        <w:rPr>
          <w:rtl w:val="true"/>
        </w:rPr>
        <w:t>الطريق الأوّل</w:t>
      </w:r>
      <w:bookmarkEnd w:id="287"/>
    </w:p>
    <w:p>
      <w:pPr>
        <w:pStyle w:val="Heading6"/>
        <w:numPr>
          <w:ilvl w:val="5"/>
          <w:numId w:val="1"/>
        </w:numPr>
        <w:rPr/>
      </w:pPr>
      <w:bookmarkStart w:id="288" w:name="__RefHeading___Toc3380436_2870459653"/>
      <w:bookmarkStart w:id="289" w:name="_Toc117"/>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ما ذكره في الفهرست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 ابن أبي جيد القمّي، عن محمّد بن الحسن، عن الحسين بن الحسن بن أبان، عن الحسين بن سعيد ابن حمّاد بن سعيد بن مهران، 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وأخرجها إلينا الحسين بن الحسن بن أبان بخطّ الحسين بن سعيد، وذكر أنّه كان ضيف أبيه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 تمامية هذا الطريق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جيد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الحسين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الحسن بن أبان لم يوثّق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استُدلّ لوثاقة ابن أبي جيد بأمور</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380438_2870459653"/>
      <w:bookmarkStart w:id="291" w:name="_Toc118"/>
      <w:bookmarkEnd w:id="290"/>
      <w:r>
        <w:rPr>
          <w:rtl w:val="true"/>
        </w:rPr>
        <w:t>الأمر الأوّل</w:t>
      </w:r>
      <w:bookmarkEnd w:id="291"/>
    </w:p>
    <w:p>
      <w:pPr>
        <w:pStyle w:val="Heading6"/>
        <w:numPr>
          <w:ilvl w:val="5"/>
          <w:numId w:val="1"/>
        </w:numPr>
        <w:rPr/>
      </w:pPr>
      <w:bookmarkStart w:id="292" w:name="__RefHeading___Toc3380440_2870459653"/>
      <w:bookmarkStart w:id="293" w:name="_Toc119"/>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أنّه من مشايخ الإجازة، ووثاقتهم ظاهرة لا تحتاج إلى بيان، وقد بنى على ذلك الكثير من أعلامنا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الإجازة هي صحّة </w:t>
      </w:r>
      <w:bookmarkStart w:id="294" w:name="pg9153_76296"/>
    </w:p>
    <w:p>
      <w:pPr>
        <w:pStyle w:val="BookText"/>
        <w:rPr/>
      </w:pPr>
      <w:bookmarkEnd w:id="294"/>
      <w:r>
        <w:rPr>
          <w:rFonts w:ascii="Amiri" w:hAnsi="Amiri" w:eastAsia="Amiri" w:cs="Amiri"/>
          <w:color w:val="111111"/>
          <w:sz w:val="28"/>
          <w:sz w:val="28"/>
          <w:szCs w:val="28"/>
          <w:rtl w:val="true"/>
          <w:lang w:bidi="ar-SA"/>
        </w:rPr>
        <w:t xml:space="preserve">الحكاية عن المجيز لا غير، وهي قضية شرفية، ولا تدلّ على الوثاقة، فكما لو روى الثقة عن شخص فإنّه لا يدلّ على وثاقة ذلك الشخص فكذلك لو روى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الذي أجازه، فإنّه لا يدلّ على وثاقة المجيز، وأمّا أنّهم مستغنون عن التوثيق فهذا مردود بمن هو أعلى شأناً منهم، وهم أصحاب الإجماع، ومع ذلك تعرّضت الكتب الرجالية لتوثيقهم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شيخوخة الإجازة لا تفيد في حدّ نفسها الوثاقة، ويمكن القول بالتفصيل بين حالات</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3380442_2870459653"/>
      <w:bookmarkStart w:id="296" w:name="_Toc120"/>
      <w:bookmarkEnd w:id="295"/>
      <w:r>
        <w:rPr>
          <w:rtl w:val="true"/>
        </w:rPr>
        <w:t>الحالة الأولى</w:t>
      </w:r>
      <w:bookmarkEnd w:id="296"/>
    </w:p>
    <w:p>
      <w:pPr>
        <w:pStyle w:val="BookText"/>
        <w:rPr/>
      </w:pPr>
      <w:r>
        <w:rPr>
          <w:rFonts w:ascii="Amiri" w:hAnsi="Amiri" w:eastAsia="Amiri" w:cs="Amiri"/>
          <w:color w:val="111111"/>
          <w:sz w:val="28"/>
          <w:sz w:val="28"/>
          <w:szCs w:val="28"/>
          <w:rtl w:val="true"/>
          <w:lang w:bidi="ar-SA"/>
        </w:rPr>
        <w:t>قد يكون شيخ الإجازة ممّن أكثر بعض الأعلام المعروفين بالعلم والوثاقة النقل عنه في عدّة كتب، بحيث يكاد يقرن المستجيز به لكثرة ما نقله عنه من كتب، وهنا تكون مشيخة الإجازة مفيدةً للاطمئنان بوثاقة الناقل؛ لأنّه من البعيد أن يكثر العالم الثقة الورع الاستجازة من شخص غير ثقة، فذلك يعرّضه للتهمة، والسمعة غير الطيّبة، وبالتالي لا تؤخذ منه الرواية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380444_2870459653"/>
      <w:bookmarkStart w:id="298" w:name="_Toc121"/>
      <w:bookmarkEnd w:id="297"/>
      <w:r>
        <w:rPr>
          <w:rtl w:val="true"/>
        </w:rPr>
        <w:t>الحالة الثانية</w:t>
      </w:r>
      <w:bookmarkEnd w:id="2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شيخ الإجازة كتاب غيره حال كون الكتاب مشتهراً معروف النسبة عنواناً ونسخةً إلى مصنّفه من غير أن تكون هناك كثرة استجازة منه من قبل الأعلام الموثوقين، وفي هذه الحالة لا تكون مشيخة الإجازة مفيدة للوثاقة بنحوٍ يطمئنّ بوثاقة شيخ الإجازة، ولكن وقوع شيخ الإجازة في السند لا يؤثّر على </w:t>
      </w:r>
      <w:bookmarkStart w:id="299" w:name="pg9153_76297"/>
    </w:p>
    <w:p>
      <w:pPr>
        <w:pStyle w:val="BookText"/>
        <w:rPr/>
      </w:pPr>
      <w:bookmarkEnd w:id="299"/>
      <w:r>
        <w:rPr>
          <w:rFonts w:ascii="Amiri" w:hAnsi="Amiri" w:eastAsia="Amiri" w:cs="Amiri"/>
          <w:color w:val="111111"/>
          <w:sz w:val="28"/>
          <w:sz w:val="28"/>
          <w:szCs w:val="28"/>
          <w:rtl w:val="true"/>
          <w:lang w:bidi="ar-SA"/>
        </w:rPr>
        <w:t xml:space="preserve">صحّته في هذه الحالة؛ لأنّ دوره شرفيٌ لأجل اتّصال السند فحسب، ويكون حاله حال الشخص الذي يجيز لتلميذه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تؤثّر مجهولية هذا المجيز على سند الروايات فكذلك ما فرضناه في هذه الحالة</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380446_2870459653"/>
      <w:bookmarkStart w:id="301" w:name="_Toc122"/>
      <w:bookmarkEnd w:id="300"/>
      <w:r>
        <w:rPr>
          <w:rtl w:val="true"/>
        </w:rPr>
        <w:t>الحالة الثالثة</w:t>
      </w:r>
      <w:bookmarkEnd w:id="301"/>
    </w:p>
    <w:p>
      <w:pPr>
        <w:pStyle w:val="BookText"/>
        <w:rPr/>
      </w:pPr>
      <w:r>
        <w:rPr>
          <w:rFonts w:ascii="Amiri" w:hAnsi="Amiri" w:eastAsia="Amiri" w:cs="Amiri"/>
          <w:color w:val="111111"/>
          <w:sz w:val="28"/>
          <w:sz w:val="28"/>
          <w:szCs w:val="28"/>
          <w:rtl w:val="true"/>
          <w:lang w:bidi="ar-SA"/>
        </w:rPr>
        <w:t>أن يجيز شيخ الإجازة كتاب غيره حال كون النسخة غير معلومة الانتساب إلى مصنّف الكتاب، ولا تكون هناك كثرة استجازة منه من قِبل بعض الأعلام الموثوقين، وفي هذه الحالة لا تفيد مشيخة الإجازة التوثيق، وتؤثّر مجهولية شيخ الإجازة على تمامية السند؛ لأنّه لا يعلم صحّة انتساب الكتاب إلى مصنّفه إلّا من قبل شيخ الإجازة</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3380448_2870459653"/>
      <w:bookmarkStart w:id="303" w:name="_Toc123"/>
      <w:bookmarkEnd w:id="302"/>
      <w:r>
        <w:rPr>
          <w:rtl w:val="true"/>
        </w:rPr>
        <w:t>الحالة الرابعة</w:t>
      </w:r>
      <w:bookmarkEnd w:id="303"/>
    </w:p>
    <w:p>
      <w:pPr>
        <w:pStyle w:val="BookText"/>
        <w:rPr/>
      </w:pPr>
      <w:r>
        <w:rPr>
          <w:rFonts w:ascii="Amiri" w:hAnsi="Amiri" w:eastAsia="Amiri" w:cs="Amiri"/>
          <w:color w:val="111111"/>
          <w:sz w:val="28"/>
          <w:sz w:val="28"/>
          <w:szCs w:val="28"/>
          <w:rtl w:val="true"/>
          <w:lang w:bidi="ar-SA"/>
        </w:rPr>
        <w:t>أن يجيز كتاب نفسه، مع عدم إكثار بعض الأعلام الموثوقين الاستجازة منه، وفي هذه الحالة لا بدّ أن تثبت وثاقته مسبقاً كي يتمّ السند، ولا تنفع مشيخة الإجازة في التوثيق كما في الحالة الثالثة؛ لأنّه في هذه الحالة يكون حاله حال أيّ راوٍ، فيحتاج إلى التوثيق كي يؤخذ بروايته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محلّ كلامنا نرى أنّ ابن أبي جيد ممّن أكثر النقل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أحصيت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نقل فيها عنه</w:t>
      </w:r>
      <w:r>
        <w:rPr>
          <w:rStyle w:val="FootnoteAnchor"/>
          <w:rtl w:val="true"/>
        </w:rPr>
        <w:footnoteReference w:id="212"/>
      </w:r>
      <w:r>
        <w:rPr>
          <w:rFonts w:ascii="Amiri" w:hAnsi="Amiri" w:eastAsia="Amiri" w:cs="Amiri"/>
          <w:color w:val="111111"/>
          <w:sz w:val="28"/>
          <w:sz w:val="28"/>
          <w:szCs w:val="28"/>
          <w:rtl w:val="true"/>
          <w:lang w:bidi="ar-SA"/>
        </w:rPr>
        <w:t>، وجعله واسطة بينه وبين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ترحّمه عليه</w:t>
      </w:r>
      <w:r>
        <w:rPr>
          <w:rStyle w:val="FootnoteAnchor"/>
          <w:rtl w:val="true"/>
        </w:rPr>
        <w:footnoteReference w:id="213"/>
      </w:r>
      <w:r>
        <w:rPr>
          <w:rFonts w:ascii="Amiri" w:hAnsi="Amiri" w:eastAsia="Amiri" w:cs="Amiri"/>
          <w:color w:val="111111"/>
          <w:sz w:val="28"/>
          <w:sz w:val="28"/>
          <w:szCs w:val="28"/>
          <w:rtl w:val="true"/>
          <w:lang w:bidi="ar-SA"/>
        </w:rPr>
        <w:t xml:space="preserve">، ممّا يدلّ على الاعتماد عليه؛ فإنّه وإن لم يندرج في الحالة الأولى من الحالات الأربعة المتقدّمة بشكل واضح ولكنّ الاهتمام بإكثار النقل عنه يورث الاطمئنان بالاعتماد عليه، ولكن يبقى السؤال بأنّه لماذا لم </w:t>
      </w:r>
    </w:p>
    <w:p>
      <w:pPr>
        <w:pStyle w:val="BookText"/>
        <w:rPr/>
      </w:pPr>
      <w:r>
        <w:rPr>
          <w:rFonts w:ascii="Amiri" w:hAnsi="Amiri" w:eastAsia="Amiri" w:cs="Amiri"/>
          <w:color w:val="111111"/>
          <w:sz w:val="28"/>
          <w:sz w:val="28"/>
          <w:szCs w:val="28"/>
          <w:rtl w:val="true"/>
          <w:lang w:bidi="ar-SA"/>
        </w:rPr>
        <w:t>يُذكر لشيخ الإجازة توثيق؟</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هناك ملازمة بين كون الراوي وشيخ الإجازة ثقة وبين وجوب ذكر توثيقه في الكتب الرجالية، وليست هناك ضابطة معيّنة، فمثلاً إبراهيم بن هاشم لم يتعرّضوا لتوثيقه مع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وصول الكتب التي تعنى ببيان حال الرجال إلينا، وما وصل منها ليس الغرض الأساسي منه بيان حال الراوي من حيث الوثاقة والضعف، بل هي في الغالب كتب 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الأخرى وهي عدم توثيق الحسين بن الحسن بن أبان الواقع في سند الرواية فيمكن القول بعدم توقّف الأخذ بالرواية على إثبات وثاقته؛ وذلك لأحد أمرين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مشايخ الإجازة الذين لم يكن لهم كتب، وكان دورهم في نقل الأحاديث شرفياً بحتاً، أي إنّهم كانوا مجرّد وسائط في إجازة كتب الآخرين، فعدم ثبوت وثاقتهم لا يضرّ بصحّة السند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بصحّة ما رواه ابن الوليد عن الحسين بن الحسن بن أبان عن الحسين بن سعيد؛ وذلك لأنّ الشيخ لمّا أورد في الفهرست أسامي كتب الحسين ابن سعيد، ورواها عنه عن طريق ابن الوليد عن الحسين بن الحسن بن أبان حكى عن ابن الوليد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أخرجها إلينا الحسين بن الحسن بن أبان بخطّ الحسين بن سعيد، وذكر أنّه كان ضيف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ابن الوليد روى كتب الحسين بن سعيد عن خطّه، وليس بتوسّط الحسين بن الحسن بن أبان، فلا يضرّ عدم ثبوت وثاقته</w:t>
      </w:r>
      <w:r>
        <w:rPr>
          <w:rFonts w:eastAsia="Amiri" w:cs="Amiri" w:ascii="Amiri" w:hAnsi="Amiri"/>
          <w:color w:val="111111"/>
          <w:sz w:val="28"/>
          <w:szCs w:val="28"/>
          <w:rtl w:val="true"/>
          <w:lang w:bidi="ar-SA"/>
        </w:rPr>
        <w:t xml:space="preserve">. </w:t>
      </w:r>
      <w:bookmarkStart w:id="304" w:name="pg9153_76299"/>
    </w:p>
    <w:p>
      <w:pPr>
        <w:pStyle w:val="Heading6"/>
        <w:numPr>
          <w:ilvl w:val="5"/>
          <w:numId w:val="1"/>
        </w:numPr>
        <w:rPr/>
      </w:pPr>
      <w:bookmarkStart w:id="305" w:name="__RefHeading___Toc3380450_2870459653"/>
      <w:bookmarkStart w:id="306" w:name="_Toc124"/>
      <w:bookmarkEnd w:id="304"/>
      <w:bookmarkEnd w:id="305"/>
      <w:r>
        <w:rPr>
          <w:rtl w:val="true"/>
        </w:rPr>
        <w:t>الطريق الآخر</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بها عدّة من أصحابنا، عن محمّد بن عليّ بن الحسين، عن أبيه ومحمّد بن الحسن ومحمّد بن موسى بن المتوكّل، عن سعد بن عبد الله والحميري، عن أحمد بن محمّد بن عيسى،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تامّ، وبالتالي تكون هذه الرواية تامّة السند</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380452_2870459653"/>
      <w:bookmarkStart w:id="308" w:name="_Toc125"/>
      <w:bookmarkEnd w:id="307"/>
      <w:r>
        <w:rPr>
          <w:rtl w:val="true"/>
        </w:rPr>
        <w:t>الرواية الثالثة</w:t>
      </w:r>
      <w:bookmarkEnd w:id="308"/>
    </w:p>
    <w:p>
      <w:pPr>
        <w:pStyle w:val="BookText"/>
        <w:rPr/>
      </w:pPr>
      <w:r>
        <w:rPr>
          <w:rFonts w:ascii="IRNazanin" w:hAnsi="IRNazanin" w:eastAsia="IRNazanin"/>
          <w:color w:val="111111"/>
          <w:sz w:val="28"/>
          <w:sz w:val="28"/>
          <w:szCs w:val="28"/>
          <w:rtl w:val="true"/>
          <w:lang w:bidi="fa-IR"/>
        </w:rPr>
        <w:t xml:space="preserve">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فريضة وصلاة الكسوف فريضة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ممّا تقدّم تمامية سندها، كما أنّ دلالتها واضحة وصريحة في وجوب صلاة العيدين</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380454_2870459653"/>
      <w:bookmarkStart w:id="310" w:name="_Toc126"/>
      <w:bookmarkEnd w:id="309"/>
      <w:r>
        <w:rPr>
          <w:rtl w:val="true"/>
        </w:rPr>
        <w:t>الرواية الرابعة</w:t>
      </w:r>
      <w:bookmarkEnd w:id="310"/>
    </w:p>
    <w:p>
      <w:pPr>
        <w:pStyle w:val="BookText"/>
        <w:rPr/>
      </w:pPr>
      <w:r>
        <w:rPr>
          <w:rFonts w:ascii="IRNazanin" w:hAnsi="IRNazanin" w:eastAsia="IRNazanin"/>
          <w:color w:val="111111"/>
          <w:sz w:val="28"/>
          <w:sz w:val="28"/>
          <w:szCs w:val="28"/>
          <w:rtl w:val="true"/>
          <w:lang w:bidi="fa-IR"/>
        </w:rPr>
        <w:t xml:space="preserve">خبر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التكبير في العيدين؟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وخمس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فريضة وصلاة الكسوف فريضة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سندها غير تامّ؛ من جهة أبي جميلة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فقد حصلنا على ثلاث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رواية جميل بطريق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تصرّح بالوجوب، مضافاً إلى تطابق آراء فقهائنا على الوجوب وإن اختلفوا ببعض الشرائط، ممّا يقوّي احتمال تلقّي ذلك من أهل بيت العصمة صلوات الله عليهم أجمعين</w:t>
      </w:r>
      <w:r>
        <w:rPr>
          <w:rFonts w:eastAsia="Amiri" w:cs="Amiri" w:ascii="Amiri" w:hAnsi="Amiri"/>
          <w:color w:val="111111"/>
          <w:sz w:val="28"/>
          <w:szCs w:val="28"/>
          <w:rtl w:val="true"/>
          <w:lang w:bidi="ar-SA"/>
        </w:rPr>
        <w:t xml:space="preserve">. </w:t>
      </w:r>
      <w:bookmarkStart w:id="311" w:name="pg9153_76300"/>
    </w:p>
    <w:p>
      <w:pPr>
        <w:pStyle w:val="Heading5"/>
        <w:numPr>
          <w:ilvl w:val="4"/>
          <w:numId w:val="1"/>
        </w:numPr>
        <w:rPr/>
      </w:pPr>
      <w:bookmarkStart w:id="312" w:name="__RefHeading___Toc3380456_2870459653"/>
      <w:bookmarkStart w:id="313" w:name="_Toc127"/>
      <w:bookmarkEnd w:id="311"/>
      <w:bookmarkEnd w:id="312"/>
      <w:r>
        <w:rPr>
          <w:rtl w:val="true"/>
        </w:rPr>
        <w:t>الروايات المعارضة</w:t>
      </w:r>
      <w:bookmarkEnd w:id="313"/>
    </w:p>
    <w:p>
      <w:pPr>
        <w:pStyle w:val="Heading6"/>
        <w:numPr>
          <w:ilvl w:val="5"/>
          <w:numId w:val="1"/>
        </w:numPr>
        <w:rPr/>
      </w:pPr>
      <w:bookmarkStart w:id="314" w:name="__RefHeading___Toc3380458_2870459653"/>
      <w:bookmarkStart w:id="315" w:name="_Toc128"/>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وفي مقابل ذلك توجد روايتان قد يُفهم منهما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علّق به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جميل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فريضة، وصلاة الكسوف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أنّهما من صغار الفرائض، وصغار الفرائض سنن؛ لرواية حريز</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الفرائض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الصدوق الذي طبّقها على صلاة العيدين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مع الإمام سنّة، وليس قبلهما ولا بعدهما صلاة ذلك اليوم إلى الزوال</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بناءً على أنّ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النافلة، فلا تكون واجبة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وطريق الصدوق إلى زرارة في المشيخة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زرارة بن أعين فقد رويته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الله بن جعفر الحميري، عن محمّد بن عيسى بن عبيد، والحسن بن ظريف، وعليّ بن إسماعيل بن عيسى كلّهم عن حمّاد بن عيسى، عن حريز بن عبد الله، عن زرارة بن أعين</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 ولا يهمّنا الآن الخلاف في وثاقة محمّد بن </w:t>
      </w:r>
    </w:p>
    <w:p>
      <w:pPr>
        <w:pStyle w:val="BookText"/>
        <w:rPr/>
      </w:pPr>
      <w:r>
        <w:rPr>
          <w:rFonts w:ascii="Amiri" w:hAnsi="Amiri" w:eastAsia="Amiri" w:cs="Amiri"/>
          <w:color w:val="111111"/>
          <w:sz w:val="28"/>
          <w:sz w:val="28"/>
          <w:szCs w:val="28"/>
          <w:rtl w:val="true"/>
          <w:lang w:bidi="ar-SA"/>
        </w:rPr>
        <w:t>عيسى بن عبيد، ولا في وثاقة عليّ بن إسماعيل بن عيسى وأنّه السندي أو غيره؛ لأنّ الحميري روى عن ثلاثة أحدهم الحسن بن ظريف، وهو ثقة</w:t>
      </w:r>
      <w:r>
        <w:rPr>
          <w:rStyle w:val="FootnoteAnchor"/>
          <w:rtl w:val="true"/>
        </w:rPr>
        <w:footnoteReference w:id="220"/>
      </w:r>
      <w:r>
        <w:rPr>
          <w:rFonts w:ascii="Amiri" w:hAnsi="Amiri" w:eastAsia="Amiri" w:cs="Amiri"/>
          <w:color w:val="111111"/>
          <w:sz w:val="28"/>
          <w:sz w:val="28"/>
          <w:szCs w:val="28"/>
          <w:rtl w:val="true"/>
          <w:lang w:bidi="ar-SA"/>
        </w:rPr>
        <w:t>، فالسند تامّ؛ لكون بقية السلسلة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التهذيب والاستبصار،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عن أبي جعفر، عن عليّ بن حديد وعبد الرحمن بن أبي نجران، عن حمّاد بن عيسى، عن حريز، عن زرارة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التهذيب فقط،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إسحاق الأحمري، عن البرقي، عن محمّد بن الحسن بن أبي خلف، عن حمّاد بن عيسى، عن حريز بن عبد الله، عن زرارة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ولكن مع زيادة،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الوتر في ليلتك قضيته بعد الزوال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الأوّل تامّ إلّا من جهة عليّ بن حديد؛ فقد ضعّفه الشيخ في موضع من الاستبصار</w:t>
      </w:r>
      <w:r>
        <w:rPr>
          <w:rStyle w:val="FootnoteAnchor"/>
          <w:rtl w:val="true"/>
        </w:rPr>
        <w:footnoteReference w:id="223"/>
      </w:r>
      <w:r>
        <w:rPr>
          <w:rFonts w:ascii="Amiri" w:hAnsi="Amiri" w:eastAsia="Amiri" w:cs="Amiri"/>
          <w:color w:val="111111"/>
          <w:sz w:val="28"/>
          <w:sz w:val="28"/>
          <w:szCs w:val="28"/>
          <w:rtl w:val="true"/>
          <w:lang w:bidi="ar-SA"/>
        </w:rPr>
        <w:t>، ولكن لا يضرّ وجوده في السند؛ لعطف عبد الرحمن بن أبي نجران عليه، وهو ثقة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الطريق الآخر فللشيخ إلى إبراهيم بن إسحاق الأحمري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أبو إسحاق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 أبو القاسم عليّ بن شبل بن أسد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أبو منصور ظفر بن حمدون بن شدّاد البادرائي،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إسحاق الأحمري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بها أيضاً الحسين بن عبيد الله،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نصر بن سعيد الباهلي المعروف بابن أبي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الأحمري بجميع كتبه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الطريق الأوّل فيبدأ بأبي القاسم عليّ بن شبل الوكيل، وهو على ما يبدو من مشايخ النجاشي</w:t>
      </w:r>
      <w:r>
        <w:rPr>
          <w:rStyle w:val="FootnoteAnchor"/>
          <w:rtl w:val="true"/>
        </w:rPr>
        <w:footnoteReference w:id="227"/>
      </w:r>
      <w:r>
        <w:rPr>
          <w:rFonts w:ascii="Amiri" w:hAnsi="Amiri" w:eastAsia="Amiri" w:cs="Amiri"/>
          <w:color w:val="111111"/>
          <w:sz w:val="28"/>
          <w:sz w:val="28"/>
          <w:szCs w:val="28"/>
          <w:rtl w:val="true"/>
          <w:lang w:bidi="ar-SA"/>
        </w:rPr>
        <w:t>، فقد يقال بوثاقته بناءً على القول بوثاقة مشايخ النجاشي</w:t>
      </w:r>
      <w:r>
        <w:rPr>
          <w:rStyle w:val="FootnoteAnchor"/>
          <w:rtl w:val="true"/>
        </w:rPr>
        <w:footnoteReference w:id="228"/>
      </w:r>
      <w:r>
        <w:rPr>
          <w:rFonts w:ascii="Amiri" w:hAnsi="Amiri" w:eastAsia="Amiri" w:cs="Amiri"/>
          <w:color w:val="111111"/>
          <w:sz w:val="28"/>
          <w:sz w:val="28"/>
          <w:szCs w:val="28"/>
          <w:rtl w:val="true"/>
          <w:lang w:bidi="ar-SA"/>
        </w:rPr>
        <w:t>، وأمّا ظفر بن حمدون فقد ذكره النجاشي ولم يوثّقه</w:t>
      </w:r>
      <w:r>
        <w:rPr>
          <w:rStyle w:val="FootnoteAnchor"/>
          <w:rtl w:val="true"/>
        </w:rPr>
        <w:footnoteReference w:id="229"/>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بن محمّد البادرائي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أنّه تصحيف</w:t>
      </w:r>
      <w:r>
        <w:rPr>
          <w:rStyle w:val="FootnoteAnchor"/>
          <w:rtl w:val="true"/>
        </w:rPr>
        <w:footnoteReference w:id="230"/>
      </w:r>
      <w:r>
        <w:rPr>
          <w:rFonts w:ascii="Amiri" w:hAnsi="Amiri" w:eastAsia="Amiri" w:cs="Amiri"/>
          <w:color w:val="111111"/>
          <w:sz w:val="28"/>
          <w:sz w:val="28"/>
          <w:szCs w:val="28"/>
          <w:rtl w:val="true"/>
          <w:lang w:bidi="ar-SA"/>
        </w:rPr>
        <w:t>، بل ضعّفه ابن الغضائري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مذهبه ضعف</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إن فهم من هذه العبارة الخدش في وثاقته، </w:t>
      </w:r>
    </w:p>
    <w:p>
      <w:pPr>
        <w:pStyle w:val="BookText"/>
        <w:rPr/>
      </w:pPr>
      <w:r>
        <w:rPr>
          <w:rFonts w:ascii="Amiri" w:hAnsi="Amiri" w:eastAsia="Amiri" w:cs="Amiri"/>
          <w:color w:val="111111"/>
          <w:sz w:val="28"/>
          <w:sz w:val="28"/>
          <w:szCs w:val="28"/>
          <w:rtl w:val="true"/>
          <w:lang w:bidi="ar-SA"/>
        </w:rPr>
        <w:t>فهذا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الآخر فلا مشكلة فيه إلّا من جهة أحمد بن نصر بن أبي هراسة، وقد يقال بوثاقته لكونه من مشايخ الإجازة، حيث أجاز هارون بن موسى التلعكبري الذي هو عظيم المنزلة، عديم النظير، كما عبّر عنه الشيخ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في أصحابنا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كما قال عنه النجاشي، حيث إنّ صاحب هذه المنزلة الرفيعة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يبعد استجازته من شخص غير ثقة، وهذه الإجازة ذكرها الشيخ في ترجمة ابن أبي هراسة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حتّى لو تمّ هذا الطريق فإنّه يبقى الإشكال من جهة إبراهيم بن إسحاق الأحمري، فقد ضعّفه النجاشي والشيخ </w:t>
      </w:r>
      <w:r>
        <w:rPr>
          <w:rStyle w:val="FootnoteAnchor"/>
          <w:rtl w:val="true"/>
        </w:rPr>
        <w:footnoteReference w:id="235"/>
      </w:r>
      <w:r>
        <w:rPr>
          <w:rFonts w:ascii="Amiri" w:hAnsi="Amiri" w:eastAsia="Amiri" w:cs="Amiri"/>
          <w:color w:val="111111"/>
          <w:sz w:val="28"/>
          <w:sz w:val="28"/>
          <w:szCs w:val="28"/>
          <w:rtl w:val="true"/>
          <w:lang w:bidi="ar-SA"/>
        </w:rPr>
        <w:t>، ومن جهة محمّد بن الحسن بن أبي خلف، فإنّه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ممّا تقدّم أنّ الرواية تامّة من حيث السند وإن كان بعض طرقها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يقع ما ظاهره التنافي بين الروايتين الدالّتين على كون صلاة العيدين فريضة، وبين الرواية الدالّة على أنّها من السنن، وهل يمكن الجمع بينهما أو لا يمكن؟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بينهما بأحد وجوه</w:t>
      </w:r>
      <w:r>
        <w:rPr>
          <w:rFonts w:eastAsia="Amiri" w:cs="Amiri" w:ascii="Amiri" w:hAnsi="Amiri"/>
          <w:color w:val="111111"/>
          <w:sz w:val="28"/>
          <w:szCs w:val="28"/>
          <w:rtl w:val="true"/>
          <w:lang w:bidi="ar-SA"/>
        </w:rPr>
        <w:t xml:space="preserve">: </w:t>
      </w:r>
      <w:bookmarkStart w:id="316" w:name="pg9153_76304"/>
    </w:p>
    <w:p>
      <w:pPr>
        <w:pStyle w:val="Heading6"/>
        <w:numPr>
          <w:ilvl w:val="5"/>
          <w:numId w:val="1"/>
        </w:numPr>
        <w:rPr/>
      </w:pPr>
      <w:bookmarkStart w:id="317" w:name="__RefHeading___Toc3380460_2870459653"/>
      <w:bookmarkStart w:id="318" w:name="_Toc129"/>
      <w:bookmarkEnd w:id="316"/>
      <w:bookmarkEnd w:id="317"/>
      <w:r>
        <w:rPr>
          <w:rtl w:val="true"/>
        </w:rPr>
        <w:t>الوجه الأوّل</w:t>
      </w:r>
      <w:bookmarkEnd w:id="318"/>
    </w:p>
    <w:p>
      <w:pPr>
        <w:pStyle w:val="BookText"/>
        <w:rPr/>
      </w:pPr>
      <w:r>
        <w:rPr>
          <w:rFonts w:ascii="IRNazanin" w:hAnsi="IRNazanin" w:eastAsia="IRNazanin"/>
          <w:color w:val="111111"/>
          <w:sz w:val="28"/>
          <w:sz w:val="28"/>
          <w:szCs w:val="28"/>
          <w:rtl w:val="true"/>
          <w:lang w:bidi="fa-IR"/>
        </w:rPr>
        <w:t xml:space="preserve">تفسير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الرواية بما ثبت فرضه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الفريضة الثابتة في القرآن، وهذا الوجه أشهر الوجوه في التخلّص من التنافي، وهو ما يظهر من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w:t>
      </w:r>
      <w:r>
        <w:rPr>
          <w:rStyle w:val="FootnoteAnchor"/>
          <w:rtl w:val="true"/>
        </w:rPr>
        <w:footnoteReference w:id="236"/>
      </w:r>
      <w:r>
        <w:rPr>
          <w:rFonts w:ascii="Amiri" w:hAnsi="Amiri" w:eastAsia="Amiri" w:cs="Amiri"/>
          <w:color w:val="111111"/>
          <w:sz w:val="28"/>
          <w:sz w:val="28"/>
          <w:szCs w:val="28"/>
          <w:rtl w:val="true"/>
          <w:lang w:bidi="ar-SA"/>
        </w:rPr>
        <w:t xml:space="preserve">إذا لم نفهم منه أنّه قول مختلف، فقد يشير إلى وجود رواية تصرّح بأنّ صغار الفرائض سنن، وصرّح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Style w:val="FootnoteAnchor"/>
          <w:rtl w:val="true"/>
        </w:rPr>
        <w:footnoteReference w:id="237"/>
      </w:r>
      <w:r>
        <w:rPr>
          <w:rFonts w:ascii="Amiri" w:hAnsi="Amiri" w:eastAsia="Amiri" w:cs="Amiri"/>
          <w:color w:val="111111"/>
          <w:sz w:val="28"/>
          <w:sz w:val="28"/>
          <w:szCs w:val="28"/>
          <w:rtl w:val="true"/>
          <w:lang w:bidi="ar-SA"/>
        </w:rPr>
        <w:t>والتهذيب</w:t>
      </w:r>
      <w:r>
        <w:rPr>
          <w:rStyle w:val="FootnoteAnchor"/>
          <w:rtl w:val="true"/>
        </w:rPr>
        <w:footnoteReference w:id="238"/>
      </w:r>
      <w:r>
        <w:rPr>
          <w:rFonts w:ascii="IRNazanin" w:hAnsi="IRNazanin" w:eastAsia="IRNazanin"/>
          <w:color w:val="111111"/>
          <w:sz w:val="28"/>
          <w:sz w:val="28"/>
          <w:szCs w:val="28"/>
          <w:rtl w:val="true"/>
          <w:lang w:bidi="fa-IR"/>
        </w:rPr>
        <w:t xml:space="preserve">بأنّ المراد من السنّة في الرواية هو ما ثبت فرضه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في ذلك المحقّق الحلّي في المعتبر</w:t>
      </w:r>
      <w:r>
        <w:rPr>
          <w:rStyle w:val="FootnoteAnchor"/>
          <w:rtl w:val="true"/>
        </w:rPr>
        <w:footnoteReference w:id="239"/>
      </w:r>
      <w:r>
        <w:rPr>
          <w:rFonts w:ascii="Amiri" w:hAnsi="Amiri" w:eastAsia="Amiri" w:cs="Amiri"/>
          <w:color w:val="111111"/>
          <w:sz w:val="28"/>
          <w:sz w:val="28"/>
          <w:szCs w:val="28"/>
          <w:rtl w:val="true"/>
          <w:lang w:bidi="ar-SA"/>
        </w:rPr>
        <w:t>، والعلّامة في منتهى المطلب</w:t>
      </w:r>
      <w:r>
        <w:rPr>
          <w:rStyle w:val="FootnoteAnchor"/>
          <w:rtl w:val="true"/>
        </w:rPr>
        <w:footnoteReference w:id="240"/>
      </w:r>
      <w:r>
        <w:rPr>
          <w:rFonts w:ascii="Amiri" w:hAnsi="Amiri" w:eastAsia="Amiri" w:cs="Amiri"/>
          <w:color w:val="111111"/>
          <w:sz w:val="28"/>
          <w:sz w:val="28"/>
          <w:szCs w:val="28"/>
          <w:rtl w:val="true"/>
          <w:lang w:bidi="ar-SA"/>
        </w:rPr>
        <w:t>، والشهيد الأوّل في الذكرى</w:t>
      </w:r>
      <w:r>
        <w:rPr>
          <w:rStyle w:val="FootnoteAnchor"/>
          <w:rtl w:val="true"/>
        </w:rPr>
        <w:footnoteReference w:id="241"/>
      </w:r>
      <w:r>
        <w:rPr>
          <w:rFonts w:ascii="Amiri" w:hAnsi="Amiri" w:eastAsia="Amiri" w:cs="Amiri"/>
          <w:color w:val="111111"/>
          <w:sz w:val="28"/>
          <w:sz w:val="28"/>
          <w:szCs w:val="28"/>
          <w:rtl w:val="true"/>
          <w:lang w:bidi="ar-SA"/>
        </w:rPr>
        <w:t>، وتبنّاه غيرهم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تتبّع موارد استعمال الشارع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أطلقت في لسانه على عدّة معان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الفريضة الثابتة من خلال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ما ثبت وجوبه من الكتاب العزيز، مثل ما جاء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الرحمن بن أبي نجران، وغيرها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فريضة وغُسل الميت سُنّة</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ومن الواضح أنّ غسل الميت </w:t>
      </w:r>
    </w:p>
    <w:p>
      <w:pPr>
        <w:pStyle w:val="BookText"/>
        <w:rPr/>
      </w:pPr>
      <w:r>
        <w:rPr>
          <w:rFonts w:ascii="Amiri" w:hAnsi="Amiri" w:eastAsia="Amiri" w:cs="Amiri"/>
          <w:color w:val="111111"/>
          <w:sz w:val="28"/>
          <w:sz w:val="28"/>
          <w:szCs w:val="28"/>
          <w:rtl w:val="true"/>
          <w:lang w:bidi="ar-SA"/>
        </w:rPr>
        <w:t>واجب، وعبّر عنه في هذه الرواية بالسُنّة؛ لأنّه لم يثبت من خلال القرآن بينما ثبت غُسل الجنابة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243"/>
      </w:r>
      <w:r>
        <w:rPr>
          <w:rFonts w:ascii="IRNazanin" w:hAnsi="IRNazanin" w:eastAsia="IRNazanin"/>
          <w:color w:val="111111"/>
          <w:sz w:val="28"/>
          <w:sz w:val="28"/>
          <w:szCs w:val="28"/>
          <w:rtl w:val="true"/>
          <w:lang w:bidi="fa-IR"/>
        </w:rPr>
        <w:t xml:space="preserve">، ومثل ما جاء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زرارة في أجزاء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سُنّة والتشهّد سنّة والتكبير سُنّة ولا تنقض السُنّة الفريضة</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فالقراءة واجبة في الصلاة، ووصفت بأنّها سُنّة، والتشهّد واجب في الصلاة وأطلق عليه سُنّة، وشبيه به ما جاء في أعداد الفرائض في صحيحة أخرى لزرارة،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وفوّض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سبع ركعات، وهي سنّة ليس فيها قراءة، إنّما هو تسبيح وتهليل وتكبير ودعاء</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 ومثل ما جاء في الزكاة، كما في صحيحة الفضلاء،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عزّ وجلّ الزكاة مع الصلاة في الأموال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تسعة أشياء، وعفا عمّا سواهن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الذهب والفضة والإبل والبقر والغنم والحنطة والشعير والتمر والزبيب، وعفا عمّا سوى ذلك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فأطلقت السُنّة على زكاة الذهب والفضة مع أنّها واجبة، ومثل ما جاء في رواية الأعمش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والوقوف بالمشعر فريضة، والهدي للمتمتع فريضة، فأمّا الوقوف بعرفة فهو سنّة واجبة، والحلق سنّة، ورمي الجمار سنّة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وغيرها من الروايات بهذا المعنى، فوصف </w:t>
      </w:r>
    </w:p>
    <w:p>
      <w:pPr>
        <w:pStyle w:val="BookText"/>
        <w:rPr/>
      </w:pPr>
      <w:r>
        <w:rPr>
          <w:rFonts w:ascii="IRNazanin" w:hAnsi="IRNazanin" w:eastAsia="IRNazanin"/>
          <w:color w:val="111111"/>
          <w:sz w:val="28"/>
          <w:sz w:val="28"/>
          <w:szCs w:val="28"/>
          <w:rtl w:val="true"/>
          <w:lang w:bidi="fa-IR"/>
        </w:rPr>
        <w:t>الوقوف بعرفة بأنّه سُنّة وصرّح بوجوبه، وكذا الحلق ورمي الجمار وصفها بالسنّة، مع وضوح كونها واجبات، ومثلها ما رواه الكليني بسنده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الفرض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والطهور والقبلة والتوجّه والركوع والسجود والدعاء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سوى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في فريضة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فمن الواضح جدّاً 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الفريضة التي شرّعها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أغلب بقية أجزاء وشروط الصلاة واجبة، وتبطل الصلاة بالإخلال بها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هذه الروايات وإن كان ضعيفاً سنداً ولكن إطلاق السنّة في لسان الشارع على الواجب الثابت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ومطمأنّ بصدوره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مقابل البدعة، وهذا كما جاء في الخطبة المروية في نهج البلاغة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أحدثت بدعة إلّا تركت بها سنّة، فاتّقوا البدع</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السُنّة وأماتوا البدعة</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في سنّة خير من كثير في بدعة</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وروى مثله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Style w:val="FootnoteAnchor"/>
          <w:rtl w:val="true"/>
        </w:rPr>
        <w:footnoteReference w:id="252"/>
      </w:r>
      <w:r>
        <w:rPr>
          <w:rFonts w:ascii="Amiri" w:hAnsi="Amiri" w:eastAsia="Amiri" w:cs="Amiri"/>
          <w:color w:val="111111"/>
          <w:sz w:val="28"/>
          <w:sz w:val="28"/>
          <w:szCs w:val="28"/>
          <w:rtl w:val="true"/>
          <w:lang w:bidi="ar-SA"/>
        </w:rPr>
        <w:t xml:space="preserve">والتهذيب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مقابل المكرمة، وهذا مثل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والختان سُنّة واجبة للرجال ومكرمة للنساء</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وروى مثل هذا المعنى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255"/>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الاستعمال يندرج في المعنى الأوّل؛ حيث إنّ الختان ممّا فرضه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المعنى الخامس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بمعنى المستحبّ في مقابل الفريضة بمعنى الواجب سواءٌ ثبت وجوبه من القرآن أو من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المعنى جاء في كثير من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فريضةٍ الأخذ بها هدى، وتركها ضلالة، وسنّة في غير فريضةٍ الأخذ بها فضيلة، وتركها إلى غيرِ خطيئة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المفضّل بن عمر من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 بالسواك فإنّها مطهّرة وسُنّة حسنة، وعليكم بفرائض الله فأدّوها، وعليكم بمحارم الله فاجتنبوها</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يونس عن بعض رجاله، عن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الكفن فريضة للرجال ثلاثة أثواب، والعمامة والخرقة سُنّة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الوتر بسنده عن أبي أسامة،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ليست بفريضة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والاستبصار 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التسبيح في الركوع والسجود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في الركوع سبحان ربّي العظيم، وفي السجود سبحان ربّي الأعلى، الفريضة من ذلك تسبيحة، والسنّة ثلاثة، والفضل في سبع</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حمّاد بن عيسى،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المساجد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السبعة فرض، ووضع الأنف على الأرض سنّة، وهو الإرغام</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وروى ما يقرب منه في الخصال والفقيه</w:t>
      </w:r>
      <w:r>
        <w:rPr>
          <w:rStyle w:val="FootnoteAnchor"/>
          <w:rtl w:val="true"/>
        </w:rPr>
        <w:footnoteReference w:id="262"/>
      </w:r>
      <w:r>
        <w:rPr>
          <w:rFonts w:ascii="Amiri" w:hAnsi="Amiri" w:eastAsia="Amiri" w:cs="Amiri"/>
          <w:color w:val="111111"/>
          <w:sz w:val="28"/>
          <w:sz w:val="28"/>
          <w:szCs w:val="28"/>
          <w:rtl w:val="true"/>
          <w:lang w:bidi="ar-SA"/>
        </w:rPr>
        <w:t>، وروى الشيخ مثله في التهذيب</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غير ذلك من الروايات</w:t>
      </w:r>
      <w:r>
        <w:rPr>
          <w:rStyle w:val="FootnoteAnchor"/>
          <w:rtl w:val="true"/>
        </w:rPr>
        <w:footnoteReference w:id="264"/>
      </w:r>
      <w:r>
        <w:rPr>
          <w:rFonts w:ascii="Amiri" w:hAnsi="Amiri" w:eastAsia="Amiri" w:cs="Amiri"/>
          <w:color w:val="111111"/>
          <w:sz w:val="28"/>
          <w:sz w:val="28"/>
          <w:szCs w:val="28"/>
          <w:rtl w:val="true"/>
          <w:lang w:bidi="ar-SA"/>
        </w:rPr>
        <w:t xml:space="preserve">جاءت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بمعنى المسنون والمقرّر شرعاً، وهو أعمّ من الوجوب والاستحباب، ولعلّ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في رواية عمر بن يزيد،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عمر، إنّ من السنّة أن تصلّي على محمّد وعلى أهل بيته في كلّ يوم جمعة ألف مرّة، وفي سائر الأيام مائة مرّة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في الكافي عن أبي داود المسترق، عن بعض رجاله،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حكى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سنّتي فليس منّي</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إنّ الصلاة على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والزواج ممّا هو ثابت ومقرّر ومسنون في الشريعة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من ذلك أيضاً 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من مسألة فأجاب فيها،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يقولون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الفقيه الزاهد في الدنيا الراغب في الآخرة المتمسّك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فالفقيه يتمسّك بالسنّة، أي بكلّ ما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مستحبّاً أو واجباً، ويجتنب المحرّم، والمكروه، وبمعنى جامع هو من يلتزم بكلّ مقرّر شرعي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مقابل التطوّع، فهناك طريقة أوضحتها الشريعة وسمّتها وأكدت عليها، وهناك ما لم تعيّنه الشريعة، ولكن يجوز التطوّع به، ولعلّ من ذلك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في حمل الجنازة أن تستقبل جانب السرير بشقّك الأيمن، فتلزم الأيسر بكتفك الأيمن، ثمّ تمرّ عليه إلى الجانب الآخر، وتدور من خلفه إلى الجانب الثالث من السرير، ثمّ تمرّ عليه إلى الجانب الرابع ممّا يلي يسارك</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بسنده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أن يحمل السرير من جوانبه الأربع، وما كان بعد ذلك من حمل فهو تطوّع</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مقابل ما لا يجوز فعله أعمّ من كونه حراماً مبتدعاً أو غير مبتدع، ولعلّ من ذلك ما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السنّة أن لا يخرج الإمام من منى إلى عرفة حتّى تطلع الشمس</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بمعنى العمل، والفعل، والصنيع، والطريقة، والعادة الجارية، والقانون، وقد جاء هذا المعنى في الآيات والروايات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بِهِ وَقَدْ خَلَتْ سُنَّةُ الْأَوَّلِينَ</w:t>
      </w:r>
      <w:r>
        <w:rPr>
          <w:rStyle w:val="FootnoteAnchor"/>
          <w:rtl w:val="true"/>
        </w:rPr>
        <w:footnoteReference w:id="271"/>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وَلَا تَجِدُ لِسُنَّتِنَا تَحْوِيلًا</w:t>
      </w:r>
      <w:r>
        <w:rPr>
          <w:rStyle w:val="FootnoteAnchor"/>
          <w:rtl w:val="true"/>
        </w:rPr>
        <w:footnoteReference w:id="272"/>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مَنَعَ النَّاسَ أَنْ يُؤْمِنُوا إِذْ جَاءَهُمُ الْهُدَى وَيَسْتَغْفِرُوا رَبَّهُمْ إِلَّا أَنْ تَأْتِيَهُمْ سُنَّةُ الْأَوَّلِينَ أَوْ يَأْتِيَهُمُ الْعَذَابُ قُبُلًا</w:t>
      </w:r>
      <w:r>
        <w:rPr>
          <w:rStyle w:val="FootnoteAnchor"/>
          <w:rtl w:val="true"/>
        </w:rPr>
        <w:footnoteReference w:id="273"/>
      </w:r>
      <w:r>
        <w:rPr>
          <w:rFonts w:ascii="Amiri" w:hAnsi="Amiri" w:eastAsia="Amiri" w:cs="Amiri"/>
          <w:color w:val="111111"/>
          <w:sz w:val="28"/>
          <w:sz w:val="28"/>
          <w:szCs w:val="28"/>
          <w:rtl w:val="true"/>
          <w:lang w:bidi="ar-SA"/>
        </w:rPr>
        <w:t>، وغير ذلك من الآيات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الروايات فمثل ما رواه الصدوق بسنده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وبشيراً لتركبن أمّتي سنن من كان قبلها حذو النعل بالنعل</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تدخل بعض الروايات المذكورة سابقاً تحت معنى آخر من المعاني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عرفنا موارد استعمالات الشارع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الجمع المتقدّم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ثبت وجوبه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أو 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تامّ، وتوجيه ذلك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التي وصفت صلاة العيدين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بها الفريضة النبوية، وهي صريحةٌ ونصّ في الوجوب، وآبية عن التخصيص، وأمّا الرواية التي وصفتها بالسُنّة فغاية ما يقال فيها إنّها يحتمل أن يراد بها الاستحباب، فيصرف هذا الظهور الاحتمالي إلى الوجوب بقرينة الرواية الصريحة فيه، حيث لا مانع من استعمال السُنّة بمعنى الفريضة الثابتة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وممّا يعزِّز هذا الوجه، ويجعله أرجح وجوه الجمع روايةٌ تكاد تكون صريحة في أنّ المراد بالسنّة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العيدين مع الإمام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الصلاة، وسنّ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الحضر، والسفر، وصلاة الخوف على ثلاثة أوجه، وصلاة كسوف الشمس، والقمر، وصلاة العيدين، وصلاة الاستسقاء، والصلاة على الميت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 فإنّك ترى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قابل بين ما فرضه الله عزّ وجلّ، وبين ما سنّه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بأنّ صلاة العيدين ممّا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ثبت وجوبها بصريح الروايتين المتقدّمتين، وأنّها فريضة، فيصبح لدينا ظهور واضح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هي الفريضة النبوية، ولا نحتاج إلى قرينة السياق لنثبت أنّ صلاة العيدين واجبة، كي يناقش فيها، ولم أجد في حدود ما تتبّعت أحداً من الأعلام قد ذكر هذه الرواية في بحثه معزّزاً بها هذا الوجه المشهور، مع أنّها شبه الصريحة في أنّ صلاة العيدين فريضة نبوية، وسندها تامّ، وقد رواها الصدوق في الخصال بسند تامّ أيضاً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استدلّ على وجوب صلاة العيدين بالكتاب العزيز يعترف ضمناً بأنّها ممّا ثبت فرضه فيه، ومعه لا يسعه القول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العيدين مع الإمام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ممّا ثبت فرضه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للتنافي الظاهر بين القولين</w:t>
      </w:r>
      <w:r>
        <w:rPr>
          <w:rFonts w:eastAsia="IRNazanin" w:cs="IRNazanin"/>
          <w:color w:val="111111"/>
          <w:sz w:val="28"/>
          <w:szCs w:val="28"/>
          <w:rtl w:val="true"/>
          <w:lang w:bidi="fa-IR"/>
        </w:rPr>
        <w:t xml:space="preserve">. </w:t>
      </w:r>
      <w:bookmarkStart w:id="319" w:name="pg9153_76313"/>
    </w:p>
    <w:p>
      <w:pPr>
        <w:pStyle w:val="BookText"/>
        <w:rPr/>
      </w:pPr>
      <w:bookmarkEnd w:id="31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من قال بأنّها فريضة قرآنية الاعتراف بأنّ أصل التكليف بها ممّا ثبت فرضه في الكتاب العزيز، وأمّا لزوم الإتيان بها مع الإمام فهو تكليف ثبت فرضه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تنافي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حاول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هذا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أنّ الكتاب 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دلالة قطعية، بل ظاهرة، وبالسنّة فعلاً وقولاً علم القطع</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الفريضة القرآنية أن تكون الآية الدالّة عليها قطعية الدلالة، بل يكفي الظهور</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380462_2870459653"/>
      <w:bookmarkStart w:id="321" w:name="_Toc130"/>
      <w:bookmarkEnd w:id="320"/>
      <w:r>
        <w:rPr>
          <w:rtl w:val="true"/>
        </w:rPr>
        <w:t>الوجه الثاني</w:t>
      </w:r>
      <w:bookmarkEnd w:id="321"/>
    </w:p>
    <w:p>
      <w:pPr>
        <w:pStyle w:val="BookText"/>
        <w:rPr/>
      </w:pPr>
      <w:r>
        <w:rPr>
          <w:rFonts w:ascii="Amiri" w:hAnsi="Amiri" w:eastAsia="Amiri" w:cs="Amiri"/>
          <w:color w:val="111111"/>
          <w:sz w:val="28"/>
          <w:sz w:val="28"/>
          <w:szCs w:val="28"/>
          <w:rtl w:val="true"/>
          <w:lang w:bidi="ar-SA"/>
        </w:rPr>
        <w:t xml:space="preserve">ما يخطر في الذهن من أنّ هذه الرواية مجملة في حدّ نفسها بسبب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معانٍ في لسان الشارع مع عدم وجود قرينة على إرادة معنىً معيّن من المعاني المتقدّمة، فتبقى الرواية الصريحة في الوجوب على حالها من دون معارض، وهذا الوجه أولى من الوجه المتقدّم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الأولوية أنّ من تبنّى ذلك الوجه يحتمل احتمالاً معتدّاً به بأنّ الظهور الأولي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محلّ البحث في الاستحباب، ثمّ يحاول صرف هذا الظهور بقرينة الرواية التي تصرّح بالوجوب، مع أنّه من الصعوبة القول بظهور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في الاستحباب مع استعمالها في روايات أخر بمعان مختلفة، هذا مضافاً إلى الإشكال المتقدّم، فما ذكرناه أولى</w:t>
      </w:r>
      <w:r>
        <w:rPr>
          <w:rFonts w:eastAsia="Amiri" w:cs="Amiri" w:ascii="Amiri" w:hAnsi="Amiri"/>
          <w:color w:val="111111"/>
          <w:sz w:val="28"/>
          <w:szCs w:val="28"/>
          <w:rtl w:val="true"/>
          <w:lang w:bidi="ar-SA"/>
        </w:rPr>
        <w:t xml:space="preserve">. </w:t>
      </w:r>
      <w:bookmarkStart w:id="322" w:name="pg9153_76314"/>
    </w:p>
    <w:p>
      <w:pPr>
        <w:pStyle w:val="BookText"/>
        <w:rPr/>
      </w:pPr>
      <w:bookmarkEnd w:id="322"/>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ذكرت في لسان الشارع من دون قرينة فإنّها تنصرف إلى المستحبّ</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380464_2870459653"/>
      <w:bookmarkStart w:id="324" w:name="_Toc131"/>
      <w:bookmarkEnd w:id="323"/>
      <w:r>
        <w:rPr>
          <w:rtl w:val="true"/>
        </w:rPr>
        <w:t>الوجه الثالث</w:t>
      </w:r>
      <w:bookmarkEnd w:id="324"/>
    </w:p>
    <w:p>
      <w:pPr>
        <w:pStyle w:val="BookText"/>
        <w:rPr/>
      </w:pPr>
      <w:r>
        <w:rPr>
          <w:rFonts w:ascii="IRNazanin" w:hAnsi="IRNazanin" w:eastAsia="IRNazanin"/>
          <w:color w:val="111111"/>
          <w:sz w:val="28"/>
          <w:sz w:val="28"/>
          <w:szCs w:val="28"/>
          <w:rtl w:val="true"/>
          <w:lang w:bidi="fa-IR"/>
        </w:rPr>
        <w:t xml:space="preserve">ما عن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الوافي، و تبنّاه آخرون،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تفسير الشيخ الصدوق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للصحيحة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فرضه من طريق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يستقيم مع الحديث الآتي في تفسير الآية، بل الصواب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مع الإمام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في فرضها أن تكون مع الإمام، فمن صلّاها بدون الإمام معتقداً وجوبها فقد خالف السنّة، وهذا بعينه معنى سائر الأخبار أنّه لا صلاة إلّا بإمام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المقصود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يستقيم مع الحديث الآتي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الذي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r>
        <w:rPr>
          <w:rStyle w:val="FootnoteAnchor"/>
          <w:rtl w:val="true"/>
        </w:rPr>
        <w:footnoteReference w:id="2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إلى الجبّانة فصلّى</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الاعتماد على الرواية؛ لمكان الإرسال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التنزّل عن ذلك فإنّ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وَذَكَرَ</w:t>
      </w:r>
      <w:bookmarkStart w:id="325" w:name="pg9153_76315"/>
    </w:p>
    <w:p>
      <w:pPr>
        <w:pStyle w:val="BookText"/>
        <w:rPr/>
      </w:pPr>
      <w:bookmarkEnd w:id="325"/>
      <w:r>
        <w:rPr>
          <w:rFonts w:ascii="Amiri" w:hAnsi="Amiri" w:eastAsia="Amiri" w:cs="Amiri"/>
          <w:color w:val="111111"/>
          <w:sz w:val="28"/>
          <w:sz w:val="28"/>
          <w:szCs w:val="28"/>
          <w:rtl w:val="true"/>
          <w:lang w:bidi="ar-SA"/>
        </w:rPr>
        <w:t>اسْمَ رَبِّهِ فَصَلَّى بالخروج إلى الجبّانة والصلاة هو من باب التطبيق، ولم تُذكر صلاة العيد في القرآن بعنوانها حتّى يقال إنّها ثابتة في الكتاب المجيد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عدم دلالة المدح للمصلّي والمزكّي على لزوم الإتيان بالصلاة</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380466_2870459653"/>
      <w:bookmarkStart w:id="327" w:name="_Toc132"/>
      <w:bookmarkEnd w:id="326"/>
      <w:r>
        <w:rPr>
          <w:rtl w:val="true"/>
        </w:rPr>
        <w:t>الوجه الرابع</w:t>
      </w:r>
      <w:bookmarkEnd w:id="327"/>
    </w:p>
    <w:p>
      <w:pPr>
        <w:pStyle w:val="BookText"/>
        <w:rPr/>
      </w:pP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بنينا على انصراف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المستحبّ في حالة عدم وجود قرينة على خلاف ذلك، فسوف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غيبته، وإقامته لصلاة العيد، مع إعطاء الإذن لآخرين من نوّابه وأصحابه في إقامتها أيضاً يكون الحضور معه في نفس الصلاة التي يقيمها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 لا واجباً وإن كان الإمام ليس معصوماً فلا يكون الحضور معه واجباً، بل يكفي الإتيان بها فرادى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أداء الصلاة واجب، ولكن لا يشترط أن يكون الأداء مع شخص الإمام المعصوم، بل يكفي أداؤها مع المأذون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الإمام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فالمعية مع الإمام لا تتسنّى لكلّ أحد، خصوصاً مع تباعد الأمكنة وقلّة وسائل النقل في ذاك الزمان، فوجوب هذه الصلاة ثبت بالأدلّة المتقدّمة، وأمّا استحباب كونها مع شخص الإمام فقد ثبت من خلال هذه الرواية، فلا يوجد تعارض من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هذا الوجه، ولعلّه موجود في كلماتهم ولم أتنبّه له</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3380468_2870459653"/>
      <w:bookmarkStart w:id="329" w:name="_Toc133"/>
      <w:bookmarkEnd w:id="328"/>
      <w:r>
        <w:rPr>
          <w:rtl w:val="true"/>
        </w:rPr>
        <w:t>الوجه الخامس</w:t>
      </w:r>
      <w:bookmarkEnd w:id="32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 من أنّه من الممكن أن يراد الاستحباب، ولكنه مخصوص بزمان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عاصروا الطغاة، ولا يمكنهم إقامتها بسهولة، فتحمل هذه </w:t>
      </w:r>
      <w:bookmarkStart w:id="330" w:name="pg9153_76316"/>
    </w:p>
    <w:p>
      <w:pPr>
        <w:pStyle w:val="BookText"/>
        <w:rPr/>
      </w:pPr>
      <w:bookmarkEnd w:id="330"/>
      <w:r>
        <w:rPr>
          <w:rFonts w:ascii="Amiri" w:hAnsi="Amiri" w:eastAsia="Amiri" w:cs="Amiri"/>
          <w:color w:val="111111"/>
          <w:sz w:val="28"/>
          <w:sz w:val="28"/>
          <w:szCs w:val="28"/>
          <w:rtl w:val="true"/>
          <w:lang w:bidi="ar-SA"/>
        </w:rPr>
        <w:t>الرواية على حالة عدم استجماع الشرائط</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على هذا الوجه، فضلاً عمّا تقدّم من الإشكال</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3380470_2870459653"/>
      <w:bookmarkStart w:id="332" w:name="_Toc134"/>
      <w:bookmarkEnd w:id="331"/>
      <w:r>
        <w:rPr>
          <w:rtl w:val="true"/>
        </w:rPr>
        <w:t>الوجه السادس</w:t>
      </w:r>
      <w:bookmarkEnd w:id="332"/>
    </w:p>
    <w:p>
      <w:pPr>
        <w:pStyle w:val="BookText"/>
        <w:rPr/>
      </w:pPr>
      <w:r>
        <w:rPr>
          <w:rFonts w:ascii="IRNazanin" w:hAnsi="IRNazanin" w:eastAsia="IRNazanin"/>
          <w:color w:val="111111"/>
          <w:sz w:val="28"/>
          <w:sz w:val="28"/>
          <w:szCs w:val="28"/>
          <w:rtl w:val="true"/>
          <w:lang w:bidi="fa-IR"/>
        </w:rPr>
        <w:t xml:space="preserve">ما ذكر من حمل هذه الرواية على التقيّة، لكون الرأي السائد لدى فقهاء العامّة هو الاستحباب، فعبّر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بالسُنّة إيهاماً للآخرين بالاستحباب حال كونه قاصداً بأنّها من الواجبات التي سنّها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العامّة مختلفون فيما بينهم، فمنهم من يقول بالوجوب، ومنهم من يقول بالاستحباب</w:t>
      </w:r>
      <w:r>
        <w:rPr>
          <w:rStyle w:val="FootnoteAnchor"/>
          <w:rtl w:val="true"/>
        </w:rPr>
        <w:footnoteReference w:id="285"/>
      </w:r>
      <w:r>
        <w:rPr>
          <w:rFonts w:ascii="IRNazanin" w:hAnsi="IRNazanin" w:eastAsia="IRNazanin"/>
          <w:color w:val="111111"/>
          <w:sz w:val="28"/>
          <w:sz w:val="28"/>
          <w:szCs w:val="28"/>
          <w:rtl w:val="true"/>
          <w:lang w:bidi="fa-IR"/>
        </w:rPr>
        <w:t xml:space="preserve">، والرواية صدرت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الواضح أنّ الرأي السائد عند العامّة آنذاك هو الاستحباب حتّى يقال بالتقيّة</w:t>
      </w:r>
      <w:r>
        <w:rPr>
          <w:rFonts w:eastAsia="IRNazanin" w:cs="IRNazanin"/>
          <w:color w:val="111111"/>
          <w:sz w:val="28"/>
          <w:szCs w:val="28"/>
          <w:rtl w:val="true"/>
          <w:lang w:bidi="fa-IR"/>
        </w:rPr>
        <w:t>.</w:t>
      </w:r>
    </w:p>
    <w:p>
      <w:pPr>
        <w:pStyle w:val="Heading6"/>
        <w:numPr>
          <w:ilvl w:val="5"/>
          <w:numId w:val="1"/>
        </w:numPr>
        <w:rPr/>
      </w:pPr>
      <w:bookmarkStart w:id="333" w:name="__RefHeading___Toc3380472_2870459653"/>
      <w:bookmarkStart w:id="334" w:name="_Toc135"/>
      <w:bookmarkEnd w:id="333"/>
      <w:r>
        <w:rPr>
          <w:rtl w:val="true"/>
        </w:rPr>
        <w:t>الوجه السابع</w:t>
      </w:r>
      <w:bookmarkEnd w:id="334"/>
    </w:p>
    <w:p>
      <w:pPr>
        <w:pStyle w:val="BookText"/>
        <w:rPr/>
      </w:pPr>
      <w:r>
        <w:rPr>
          <w:rFonts w:ascii="IRNazanin" w:hAnsi="IRNazanin" w:eastAsia="IRNazanin"/>
          <w:color w:val="111111"/>
          <w:sz w:val="28"/>
          <w:sz w:val="28"/>
          <w:szCs w:val="28"/>
          <w:rtl w:val="true"/>
          <w:lang w:bidi="fa-IR"/>
        </w:rPr>
        <w:t xml:space="preserve">أن نحمل السُنّة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الإمام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يقابل البدعة، فلعلّه هناك من يعتقد أنّ اشتراط صلاة العيدين بالجماعة في أصل تشريعها بدعة، فجاءت هذه الرواية لتبيّن أنّها شرّعت مع الإمام لا منفرداً، وهي سُنّة، وليست بدعة، وقد احتمل هذا الوجه الشيخ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قريب من الوجه الثالث المتقدّم، ويرد عليه نفس ما ذكرته في الإشكال الثالث على الوجه المشار إليه</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380474_2870459653"/>
      <w:bookmarkStart w:id="336" w:name="_Toc136"/>
      <w:bookmarkEnd w:id="335"/>
      <w:r>
        <w:rPr>
          <w:rtl w:val="true"/>
        </w:rPr>
        <w:t>الوجه الثامن</w:t>
      </w:r>
      <w:bookmarkEnd w:id="3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نحمل السُنّة في هذه الرواية على المسنون، والمقرّر شرعاً أعمّ </w:t>
      </w:r>
    </w:p>
    <w:p>
      <w:pPr>
        <w:pStyle w:val="BookText"/>
        <w:rPr/>
      </w:pPr>
      <w:r>
        <w:rPr>
          <w:rFonts w:ascii="Amiri" w:hAnsi="Amiri" w:eastAsia="Amiri" w:cs="Amiri"/>
          <w:color w:val="111111"/>
          <w:sz w:val="28"/>
          <w:sz w:val="28"/>
          <w:szCs w:val="28"/>
          <w:rtl w:val="true"/>
          <w:lang w:bidi="ar-SA"/>
        </w:rPr>
        <w:t>من الوجوب والاستحباب، ولا مانع حينئذٍ من القول بوجوب صلاة العيدين بقرينة تصريح الروايتين المتقدّمتين بأنّها فريضة، وبذلك يرتفع التنافي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فالوجوب ثابت بالشروط التي ستأتي، وقد عبّر عنه الشيخ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أصل الوجوب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37" w:name="pg9153_76318"/>
    </w:p>
    <w:p>
      <w:pPr>
        <w:pStyle w:val="Heading3"/>
        <w:numPr>
          <w:ilvl w:val="2"/>
          <w:numId w:val="1"/>
        </w:numPr>
        <w:rPr/>
      </w:pPr>
      <w:bookmarkStart w:id="338" w:name="__RefHeading___Toc3380476_2870459653"/>
      <w:bookmarkStart w:id="339" w:name="_Toc137"/>
      <w:bookmarkEnd w:id="337"/>
      <w:bookmarkEnd w:id="338"/>
      <w:r>
        <w:rPr>
          <w:rtl w:val="true"/>
        </w:rPr>
        <w:t>المقام الثاني</w:t>
      </w:r>
      <w:r>
        <w:rPr>
          <w:rtl w:val="true"/>
        </w:rPr>
        <w:t xml:space="preserve">: </w:t>
      </w:r>
      <w:r>
        <w:rPr>
          <w:rtl w:val="true"/>
        </w:rPr>
        <w:t>في شرائط تحقّق الوجوب</w:t>
      </w:r>
      <w:bookmarkEnd w:id="339"/>
    </w:p>
    <w:p>
      <w:pPr>
        <w:pStyle w:val="Heading4"/>
        <w:numPr>
          <w:ilvl w:val="3"/>
          <w:numId w:val="1"/>
        </w:numPr>
        <w:rPr/>
      </w:pPr>
      <w:bookmarkStart w:id="340" w:name="__RefHeading___Toc3380478_2870459653"/>
      <w:bookmarkStart w:id="341" w:name="_Toc138"/>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منصوبه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والمعروف في كلماتهم، وقد يستظهر من الفقه الرضوي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واخرج إلى المصلّى وابرز تحت السماء مع الإمام، فإنّ صلاة العيدين مع الإمام مفروضة، ولا تكون إلّا بإمام وبخطبة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فإنّ 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التأكيد أنّها مع الإمام مفروضة قد يقال بظهوره في المعصوم، وقد يستفاد ممّا أفتى به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صلاة العيدين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يصلّيان إلّا مع إمام في جماعة، ومن لم يدرك مع الإمام في جماعة فلا صلاة له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إمام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شرطية الإمام المعصوم؛ لأنّه لو أراد منها إمام الجماعة لكان شبه اللغو، إذ الجماعة لا تصحّ من دون إمام، اللهم إلّا أن يريد التأكيد، بينما إرادة المعصوم من هذه الكلمة تفيد معنى جديداً هو المرتكز 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بمغايرة هذه الإمامة عن إمامة الجماعة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منه كلامه في ثواب الأعمال،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لثواب من صلّى </w:t>
      </w:r>
    </w:p>
    <w:p>
      <w:pPr>
        <w:pStyle w:val="BookText"/>
        <w:rPr/>
      </w:pPr>
      <w:r>
        <w:rPr>
          <w:rFonts w:ascii="Amiri" w:hAnsi="Amiri" w:eastAsia="Amiri" w:cs="Amiri"/>
          <w:color w:val="111111"/>
          <w:sz w:val="28"/>
          <w:sz w:val="28"/>
          <w:szCs w:val="28"/>
          <w:rtl w:val="true"/>
          <w:lang w:bidi="ar-SA"/>
        </w:rPr>
        <w:t>أربع ركعات يوم الفطر بعد صلاة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 ذلك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الثواب هو لمن كان إمامه مخالفاً لمذهبه، فيصلّي معه تقيّة ثمّ يصلّي هذه الأربع ركعات للعيد، فأمّا إذا كان الإمام إماماً من الله عزّ وجلّ واجب الطاعة على العباد فصلّى خلفه صلاة العيد لم يكن له أن يصلّي بعد ذلك صلاة حتّى تزول الشمس، وكذلك من كان إمامه موافقاً لمذهبه إن لم يكن مفروض الطاعة صلّى معه العيد لم يكن له أن يصلّي بعد ذلك صلاة حتّى تزول الشمس، والمعتمد أنّه لا صلاة في العيدين إلّا مع الإمام فمن أحبّ أن يصلّي وحده فلا بأس</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أنّه لا صلاة في العيدين إلّا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للروايات التي تشترط الإمام، واضح الدلالة على اشتراط حضور المعصوم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أظهر منه ما جاء 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الصلاة فرض لازم لجميع من لزمته الجمعة على شرط حضور الإمام، وسنّة على الانفراد عند عدم حضور الإمام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الإمام المعصوم، ومنشأ هذا الظهور تداول استعمال الأعلام لهذه الكلمة في المعصوم خاصّة، وجاء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تصلّي العيدين في بيتك عند عدم إمامها، أو لعارض مع وجوده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فإضافته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الضمير العائد على صلاة العيدين يشعر باختصاص وجوبها بإمام خاصّ، وليس بمطلق إمام الجماعة، وليس هو إلّا </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لعارض 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يتّضح عدم صحّة ما استظهره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المفيد، وأنّه لا يشترط حضور الإمام المعصوم في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المفيد في المقنعة في باب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فرض لازم لجميع من لزمته الجمعة على شرط حضور الإمام، سنّة على الانفراد عند عدم حضور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مذهبه في الجمعة وشرطها عنده إنّما هو إمام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هنا على شرط 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أراد به بيان التفرقة بين الجمعة والعيدين بحصول الاستحباب في هذه دون تلك، فجعل مدار الوجوب والاستحباب على حضور الإمام وعدم حضوره، فمتى صلّى مع الإمام فهي واجبة عيناً، ومتى تعذّر الصلاة معه فهي مستحبّة فرادى بخلاف الجمعة فإنّه مع عدم الإمام تسقط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بالإمام في كلامه هو إمام الجماعة الذي تقدّم تصريحه به في صلاة الجمعة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 على هذا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تعليل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التفرقة بين صلاة الجمعة وصلاة العيدين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مجرّد احتمال لا يصل إلى حدّ الظهور، بل الظهور على خلافه، كما عرفت ممّا تقدّم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بأنّ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شرط 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المغايرة بين شرط الإمامة في صلاة الجمعة، وشرط الإمامة في صلاة العيدين؛ إذ لو كانت الإمامة بمعنى واحد لكان من المناسب له جدّاً أن يعبّر بالعطف على شروط الجمعة، </w:t>
      </w:r>
    </w:p>
    <w:p>
      <w:pPr>
        <w:pStyle w:val="BookText"/>
        <w:rPr/>
      </w:pPr>
      <w:r>
        <w:rPr>
          <w:rFonts w:ascii="Amiri" w:hAnsi="Amiri" w:eastAsia="Amiri" w:cs="Amiri"/>
          <w:color w:val="111111"/>
          <w:sz w:val="28"/>
          <w:sz w:val="28"/>
          <w:szCs w:val="28"/>
          <w:rtl w:val="true"/>
          <w:lang w:bidi="ar-SA"/>
        </w:rPr>
        <w:t>ويقول إنّ أمرهما واحد، وما شابه ذلك من الألفاظ كما فعل ذلك جمعٌ من الأعلام، ولكنّه 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اشتراط حضور الإمام المعصوم من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ذلك في الناصريات،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يذهب إليه أصحابنا في صلاة العيدين أنّها فرض على الأعيان، وتكامل الشروط التي تلزم معها صلاة الجمعة من حضور السلطان العادل، واجتماع العدد المخصوص إلى غير ذلك من الشرائط</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ويظهر منه أيضاً في جمل العلم والعمل،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فرض على كلّ من تكاملت له شرائط الجمعة التي ذكرناها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صلاة الجمعة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فرض لازم مع حضور الإمام العادل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ذلك من أبي يعلى الديلمي في المراسم العلوية، بل هو شبه الصريح،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وجوب صلاة العيدين شرط وجوب صلاة الجمعة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وقال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فرض مع حضور إمام الأصل، أو من يقوم مقامه</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فقد صرّح باشتراط المعصوم من خلال قوله إمام الأصل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صلاة العيدين فريضة عند </w:t>
      </w:r>
    </w:p>
    <w:p>
      <w:pPr>
        <w:pStyle w:val="BookText"/>
        <w:rPr/>
      </w:pPr>
      <w:r>
        <w:rPr>
          <w:rFonts w:ascii="Amiri" w:hAnsi="Amiri" w:eastAsia="Amiri" w:cs="Amiri"/>
          <w:color w:val="111111"/>
          <w:sz w:val="28"/>
          <w:sz w:val="28"/>
          <w:szCs w:val="28"/>
          <w:rtl w:val="true"/>
          <w:lang w:bidi="ar-SA"/>
        </w:rPr>
        <w:t>حصول شرائطها، وشرائطها شرائط الجمعة سواء في العدد والخطبة وغير ذلك، وتسقط عمّن تسقط عنه الجمعة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وقال فيما يخصّ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الشروط الراجعة إلى صحّة الانعقاد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يأمره السلطان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ويظهر منه ذلك أيضاً في الاستبصار،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ونفرد باباً أنّه لا تجب إلّا بحضور الإمام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 بشرط وجود الإمام العادل، أو وجود من نصبه الإمام للصلاة بالناس، وتلزم صلاة العيدين كلّ من تلزمه جمعة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يظهر من ابن البرّاج</w:t>
      </w:r>
      <w:r>
        <w:rPr>
          <w:rStyle w:val="FootnoteAnchor"/>
          <w:rtl w:val="true"/>
        </w:rPr>
        <w:footnoteReference w:id="303"/>
      </w:r>
      <w:r>
        <w:rPr>
          <w:rFonts w:ascii="Amiri" w:hAnsi="Amiri" w:eastAsia="Amiri" w:cs="Amiri"/>
          <w:color w:val="111111"/>
          <w:sz w:val="28"/>
          <w:sz w:val="28"/>
          <w:szCs w:val="28"/>
          <w:rtl w:val="true"/>
          <w:lang w:bidi="ar-SA"/>
        </w:rPr>
        <w:t>، وابن زهرة في الغنية</w:t>
      </w:r>
      <w:r>
        <w:rPr>
          <w:rStyle w:val="FootnoteAnchor"/>
          <w:rtl w:val="true"/>
        </w:rPr>
        <w:footnoteReference w:id="304"/>
      </w:r>
      <w:r>
        <w:rPr>
          <w:rFonts w:ascii="Amiri" w:hAnsi="Amiri" w:eastAsia="Amiri" w:cs="Amiri"/>
          <w:color w:val="111111"/>
          <w:sz w:val="28"/>
          <w:sz w:val="28"/>
          <w:szCs w:val="28"/>
          <w:rtl w:val="true"/>
          <w:lang w:bidi="ar-SA"/>
        </w:rPr>
        <w:t>، وابن إدريس في السرائر</w:t>
      </w:r>
      <w:r>
        <w:rPr>
          <w:rStyle w:val="FootnoteAnchor"/>
          <w:rtl w:val="true"/>
        </w:rPr>
        <w:footnoteReference w:id="305"/>
      </w:r>
      <w:r>
        <w:rPr>
          <w:rFonts w:ascii="Amiri" w:hAnsi="Amiri" w:eastAsia="Amiri" w:cs="Amiri"/>
          <w:color w:val="111111"/>
          <w:sz w:val="28"/>
          <w:sz w:val="28"/>
          <w:szCs w:val="28"/>
          <w:rtl w:val="true"/>
          <w:lang w:bidi="ar-SA"/>
        </w:rPr>
        <w:t>، وصريح كلام ابن أبي المجد الحلبي في إشارة السبق، حيث جعل شروطها شروط الجمعة</w:t>
      </w:r>
      <w:r>
        <w:rPr>
          <w:rStyle w:val="FootnoteAnchor"/>
          <w:rtl w:val="true"/>
        </w:rPr>
        <w:footnoteReference w:id="306"/>
      </w:r>
      <w:r>
        <w:rPr>
          <w:rFonts w:ascii="Amiri" w:hAnsi="Amiri" w:eastAsia="Amiri" w:cs="Amiri"/>
          <w:color w:val="111111"/>
          <w:sz w:val="28"/>
          <w:sz w:val="28"/>
          <w:szCs w:val="28"/>
          <w:rtl w:val="true"/>
          <w:lang w:bidi="ar-SA"/>
        </w:rPr>
        <w:t>، والكيدري في إصباح الشيعة</w:t>
      </w:r>
      <w:r>
        <w:rPr>
          <w:rStyle w:val="FootnoteAnchor"/>
          <w:rtl w:val="true"/>
        </w:rPr>
        <w:footnoteReference w:id="307"/>
      </w:r>
      <w:r>
        <w:rPr>
          <w:rFonts w:ascii="Amiri" w:hAnsi="Amiri" w:eastAsia="Amiri" w:cs="Amiri"/>
          <w:color w:val="111111"/>
          <w:sz w:val="28"/>
          <w:sz w:val="28"/>
          <w:szCs w:val="28"/>
          <w:rtl w:val="true"/>
          <w:lang w:bidi="ar-SA"/>
        </w:rPr>
        <w:t>، والمحقّق الحلّي في المختصر النافع</w:t>
      </w:r>
      <w:r>
        <w:rPr>
          <w:rStyle w:val="FootnoteAnchor"/>
          <w:rtl w:val="true"/>
        </w:rPr>
        <w:footnoteReference w:id="3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وادّعى في المعتبر أنّه مذهب علمائنا أجمع</w:t>
      </w:r>
      <w:r>
        <w:rPr>
          <w:rStyle w:val="FootnoteAnchor"/>
          <w:rtl w:val="true"/>
        </w:rPr>
        <w:footnoteReference w:id="309"/>
      </w:r>
      <w:r>
        <w:rPr>
          <w:rFonts w:ascii="IRNazanin" w:hAnsi="IRNazanin" w:eastAsia="IRNazanin"/>
          <w:color w:val="111111"/>
          <w:sz w:val="28"/>
          <w:sz w:val="28"/>
          <w:szCs w:val="28"/>
          <w:rtl w:val="true"/>
          <w:lang w:bidi="fa-IR"/>
        </w:rPr>
        <w:t xml:space="preserve">، وصرّح في الشرائع أنّها واجبة مع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 بل عليه إطباق فقهاء الشيعة إلّا ما ندر، كما سنبيّن 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في مقابل ذلك هناك مَن يُفهم من كلامه عدم اشتراط حضور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بعضهم استشكل بذلك صراحةً، ومنهم أبو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حيث يفهم من كلامه أنّه لا يشترط ذلك في عصر الغيبة،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يوم الفطر ويوم الأضحى واجبة بشرط تكامل شروط الجمعة لها على كلّ من تجب عليه الجمعة</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وقال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الجمعة إلّا بإمام الملّة، أو منصوب من قبله، أو بمن تتكامل له صفات إمام الجماعة عند تعذّر الأمرين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وهذا يعني أنّه يرى وجوب صلاة العيدين في عصر الغيبة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بوجوبها في عصر الغيبة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تجب على من تجب عليه الجمعة، والظاهر وجوبها في زمان غيبة الإمام بشروط وجوب الجمعة جماعة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أعثر على تصريح لواحد منهم </w:t>
      </w:r>
      <w:bookmarkStart w:id="342" w:name="pg9153_76324"/>
    </w:p>
    <w:p>
      <w:pPr>
        <w:pStyle w:val="BookText"/>
        <w:rPr/>
      </w:pPr>
      <w:bookmarkEnd w:id="342"/>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يعني باشتراط حضور المعصوم، واستشكل في هذا الشرط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سنوضح ذلك عند الاستدلال بالروايات،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 ذلك نظر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المحدّث الكاشاني في الوافي والمفاتيح نصوص المسألة من المتشابهات</w:t>
      </w:r>
      <w:r>
        <w:rPr>
          <w:rStyle w:val="FootnoteAnchor"/>
          <w:rtl w:val="true"/>
        </w:rPr>
        <w:footnoteReference w:id="316"/>
      </w:r>
      <w:r>
        <w:rPr>
          <w:rFonts w:ascii="Amiri" w:hAnsi="Amiri" w:eastAsia="Amiri" w:cs="Amiri"/>
          <w:color w:val="111111"/>
          <w:sz w:val="28"/>
          <w:sz w:val="28"/>
          <w:szCs w:val="28"/>
          <w:rtl w:val="true"/>
          <w:lang w:bidi="ar-SA"/>
        </w:rPr>
        <w:t xml:space="preserve">، وصرّح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بأنّه لا مانع من القول بوجوبها في عصر الغيبة</w:t>
      </w:r>
      <w:r>
        <w:rPr>
          <w:rStyle w:val="FootnoteAnchor"/>
          <w:rtl w:val="true"/>
        </w:rPr>
        <w:footnoteReference w:id="317"/>
      </w:r>
      <w:r>
        <w:rPr>
          <w:rFonts w:ascii="Amiri" w:hAnsi="Amiri" w:eastAsia="Amiri" w:cs="Amiri"/>
          <w:color w:val="111111"/>
          <w:sz w:val="28"/>
          <w:sz w:val="28"/>
          <w:szCs w:val="28"/>
          <w:rtl w:val="true"/>
          <w:lang w:bidi="ar-SA"/>
        </w:rPr>
        <w:t>، ويبدو ذلك من صاحب الوسائل أيضاً من خلال عنوان الباب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فلا بدّ من البحث في النصوص لتحقيق المطلب، وقد استدلّ عليه بمجموعة من الروايات</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380480_2870459653"/>
      <w:bookmarkStart w:id="344" w:name="_Toc139"/>
      <w:bookmarkEnd w:id="343"/>
      <w:r>
        <w:rPr>
          <w:rtl w:val="true"/>
        </w:rPr>
        <w:t>الرواية الأولى</w:t>
      </w:r>
      <w:bookmarkEnd w:id="34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إبراهيم، عن أبيه، عن ابن أبي عمير، عن عمر بن أذينة،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يوم الفطر والأضحى أذان ولا إقامة، أذانهما طلوع الشمس، إذا طلعت خرجوا، وليس قبلهما ولا بعدهما صلاة، ومن لم يصلّ مع إمام في جماعة فلا صلاة له، ولا قضاء عليه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إشكال في سندها إلّا من جهة إبراهيم بن هاشم؛ فإنّه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في أعلى درجات الوثاقة</w:t>
      </w:r>
      <w:r>
        <w:rPr>
          <w:rStyle w:val="FootnoteAnchor"/>
          <w:rtl w:val="true"/>
        </w:rPr>
        <w:footnoteReference w:id="320"/>
      </w:r>
      <w:r>
        <w:rPr>
          <w:rFonts w:ascii="Amiri" w:hAnsi="Amiri" w:eastAsia="Amiri" w:cs="Amiri"/>
          <w:color w:val="111111"/>
          <w:sz w:val="28"/>
          <w:sz w:val="28"/>
          <w:szCs w:val="28"/>
          <w:rtl w:val="true"/>
          <w:lang w:bidi="ar-SA"/>
        </w:rPr>
        <w:t xml:space="preserve">حيث نشر حديث الكوفيين في قم، ولا يسمح لأحد بفعل ذلك إلّا من كان في غاية الوثاقة والمنزلة العلمية الرفيعة، كما هو المعروف عن مدرسة قم المتشدّدة، وقد رواها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تامّ في ثواب الأعمال</w:t>
      </w:r>
      <w:r>
        <w:rPr>
          <w:rStyle w:val="FootnoteAnchor"/>
          <w:rtl w:val="true"/>
        </w:rPr>
        <w:footnoteReference w:id="321"/>
      </w:r>
      <w:r>
        <w:rPr>
          <w:rFonts w:ascii="Amiri" w:hAnsi="Amiri" w:eastAsia="Amiri" w:cs="Amiri"/>
          <w:color w:val="111111"/>
          <w:sz w:val="28"/>
          <w:sz w:val="28"/>
          <w:szCs w:val="28"/>
          <w:rtl w:val="true"/>
          <w:lang w:bidi="ar-SA"/>
        </w:rPr>
        <w:t xml:space="preserve">، ونقلها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عن الكافي بنفس سند الكليني</w:t>
      </w:r>
      <w:r>
        <w:rPr>
          <w:rStyle w:val="FootnoteAnchor"/>
          <w:rtl w:val="true"/>
        </w:rPr>
        <w:footnoteReference w:id="322"/>
      </w:r>
      <w:r>
        <w:rPr>
          <w:rFonts w:ascii="Amiri" w:hAnsi="Amiri" w:eastAsia="Amiri" w:cs="Amiri"/>
          <w:color w:val="111111"/>
          <w:sz w:val="28"/>
          <w:sz w:val="28"/>
          <w:szCs w:val="28"/>
          <w:rtl w:val="true"/>
          <w:lang w:bidi="ar-SA"/>
        </w:rPr>
        <w:t>، ولكن فيه ابن أبي عمير عن زرارة، ولم يذكر ابن أذينة، ومن الواضح أنّه سقط؛ لأنّ زرارة من الطبقة الرابعة، وابن أبي عمير من الطبقة السادسة، ومثله لا يروي عن زرارة مباشرةً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بها أغلب الأعلام الذين اشترطوا الحضور، منهم العلّامة في التذكرة والمنتهى</w:t>
      </w:r>
      <w:r>
        <w:rPr>
          <w:rStyle w:val="FootnoteAnchor"/>
          <w:rtl w:val="true"/>
        </w:rPr>
        <w:footnoteReference w:id="323"/>
      </w:r>
      <w:r>
        <w:rPr>
          <w:rFonts w:ascii="Amiri" w:hAnsi="Amiri" w:eastAsia="Amiri" w:cs="Amiri"/>
          <w:color w:val="111111"/>
          <w:sz w:val="28"/>
          <w:sz w:val="28"/>
          <w:szCs w:val="28"/>
          <w:rtl w:val="true"/>
          <w:lang w:bidi="ar-SA"/>
        </w:rPr>
        <w:t>، والمحقّق الأردبيلي في مجمع الفائدة</w:t>
      </w:r>
      <w:r>
        <w:rPr>
          <w:rStyle w:val="FootnoteAnchor"/>
          <w:rtl w:val="true"/>
        </w:rPr>
        <w:footnoteReference w:id="324"/>
      </w:r>
      <w:r>
        <w:rPr>
          <w:rFonts w:ascii="Amiri" w:hAnsi="Amiri" w:eastAsia="Amiri" w:cs="Amiri"/>
          <w:color w:val="111111"/>
          <w:sz w:val="28"/>
          <w:sz w:val="28"/>
          <w:szCs w:val="28"/>
          <w:rtl w:val="true"/>
          <w:lang w:bidi="ar-SA"/>
        </w:rPr>
        <w:t>، وأشار إليها المحقّق القمّي في الغنائم</w:t>
      </w:r>
      <w:r>
        <w:rPr>
          <w:rStyle w:val="FootnoteAnchor"/>
          <w:rtl w:val="true"/>
        </w:rPr>
        <w:footnoteReference w:id="325"/>
      </w:r>
      <w:r>
        <w:rPr>
          <w:rFonts w:ascii="Amiri" w:hAnsi="Amiri" w:eastAsia="Amiri" w:cs="Amiri"/>
          <w:color w:val="111111"/>
          <w:sz w:val="28"/>
          <w:sz w:val="28"/>
          <w:szCs w:val="28"/>
          <w:rtl w:val="true"/>
          <w:lang w:bidi="ar-SA"/>
        </w:rPr>
        <w:t>والمحقّق النراقي في المستند</w:t>
      </w:r>
      <w:r>
        <w:rPr>
          <w:rStyle w:val="FootnoteAnchor"/>
          <w:rtl w:val="true"/>
        </w:rPr>
        <w:footnoteReference w:id="326"/>
      </w:r>
      <w:r>
        <w:rPr>
          <w:rFonts w:ascii="Amiri" w:hAnsi="Amiri" w:eastAsia="Amiri" w:cs="Amiri"/>
          <w:color w:val="111111"/>
          <w:sz w:val="28"/>
          <w:sz w:val="28"/>
          <w:szCs w:val="28"/>
          <w:rtl w:val="true"/>
          <w:lang w:bidi="ar-SA"/>
        </w:rPr>
        <w:t>، والشيخ محمّد حسن في الجواهر</w:t>
      </w:r>
      <w:r>
        <w:rPr>
          <w:rStyle w:val="FootnoteAnchor"/>
          <w:rtl w:val="true"/>
        </w:rPr>
        <w:footnoteReference w:id="327"/>
      </w:r>
      <w:r>
        <w:rPr>
          <w:rFonts w:ascii="Amiri" w:hAnsi="Amiri" w:eastAsia="Amiri" w:cs="Amiri"/>
          <w:color w:val="111111"/>
          <w:sz w:val="28"/>
          <w:sz w:val="28"/>
          <w:szCs w:val="28"/>
          <w:rtl w:val="true"/>
          <w:lang w:bidi="ar-SA"/>
        </w:rPr>
        <w:t>، وغيرهم من فقهائنا المتأخّرين والمعاصرين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أجد في كلماتهم تقريباً للاستدلال غير دعوى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كان ذلك استناداً إلى انصراف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الإطلاق إلى المعصوم ما لم تنصب قرينة على الخلاف، والسرّ في هذا الانصراف كثرة استعمال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الكلمة في المعصوم</w:t>
      </w:r>
      <w:r>
        <w:rPr>
          <w:rStyle w:val="FootnoteAnchor"/>
          <w:rtl w:val="true"/>
        </w:rPr>
        <w:footnoteReference w:id="328"/>
      </w:r>
      <w:r>
        <w:rPr>
          <w:rFonts w:ascii="Amiri" w:hAnsi="Amiri" w:eastAsia="Amiri" w:cs="Amiri"/>
          <w:color w:val="111111"/>
          <w:sz w:val="28"/>
          <w:sz w:val="28"/>
          <w:szCs w:val="28"/>
          <w:rtl w:val="true"/>
          <w:lang w:bidi="ar-SA"/>
        </w:rPr>
        <w:t>، والتشديد على أنّها لا تطلق على كلّ أحد، بل تطلق على من يحمل مواصفات معيّنة مصداقها الأمثل هو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يقال إنّه لا مجال لدعوى ظهور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يجد المتتبّع أنّها كثيراً ما أطلقت في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 الجماعة، ولو لم يستظهر ذلك من كلماتهم يكون المعنى المراد منها مجملاً لتردّده بين المعنيين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لهذا استظهر السيّد في المدارك أنّ المراد بالإمام في هذه الرواية إمام الجماعة لا إمام الأصل، كما يشعر به تنكير الإمام ولفظة الجماعة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يجدر الالتفات إليه أنّ الشيخ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هذه الرواية نفسها في الاستبصار بتعريف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يوم العيد فلا صلاة له، ولا قضاء عليه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البعيد أن تكون روايةً أخرى بهذا السند نفسه والتقارب في الألفاظ، وبذلك لا يتمّ ما أشكل به من أنّ لفظ الإمام نكرة، ولكن في الوقت نفسه لا يطمأنّ بكون اللفظ الصادر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 باللام؛ وذلك لتعارض النقلين، ولا </w:t>
      </w:r>
      <w:bookmarkStart w:id="345" w:name="pg9153_76327"/>
    </w:p>
    <w:p>
      <w:pPr>
        <w:pStyle w:val="BookText"/>
        <w:rPr/>
      </w:pPr>
      <w:bookmarkEnd w:id="345"/>
      <w:r>
        <w:rPr>
          <w:rFonts w:ascii="Amiri" w:hAnsi="Amiri" w:eastAsia="Amiri" w:cs="Amiri"/>
          <w:color w:val="111111"/>
          <w:sz w:val="28"/>
          <w:sz w:val="28"/>
          <w:szCs w:val="28"/>
          <w:rtl w:val="true"/>
          <w:lang w:bidi="ar-SA"/>
        </w:rPr>
        <w:t xml:space="preserve">ترجيح لأحدهما على الآخر؛ لعدم تمامية ترجيح أصالة عدم الغفلة في جانب الزيادة على أصالة عدم الغفلة في جانب النقيصة إذا لم نقل بترجيح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4"/>
        <w:numPr>
          <w:ilvl w:val="3"/>
          <w:numId w:val="1"/>
        </w:numPr>
        <w:rPr/>
      </w:pPr>
      <w:bookmarkStart w:id="346" w:name="__RefHeading___Toc3380482_2870459653"/>
      <w:bookmarkStart w:id="347" w:name="_Toc140"/>
      <w:bookmarkEnd w:id="346"/>
      <w:r>
        <w:rPr>
          <w:rtl w:val="true"/>
        </w:rPr>
        <w:t>الرواية الثانية</w:t>
      </w:r>
      <w:bookmarkEnd w:id="347"/>
    </w:p>
    <w:p>
      <w:pPr>
        <w:pStyle w:val="BookText"/>
        <w:rPr/>
      </w:pP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معلّى بن محمّد، عن الوشّاء، عن حمّاد بن عثمان، عن معمر بن يحيى،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يوم الفطر والأضحى إلّا مع إمام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وسندها لا يخلو من إشكال من جهة معلّى بن محمّد، ومن جهة الوشّاء، أمّا الأوّل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الحديث والمذهب</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والاضطراب في الحديث يومئ عرفاً إلى عدم التثبّت في النقل، وهو ممّا ينافي الاطمئنان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فهو ممن لم يوثّق في كتب الرجال، وأمّا باقي رجال السند فهم ثقات</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مثلها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الأعمال</w:t>
      </w:r>
      <w:r>
        <w:rPr>
          <w:rStyle w:val="FootnoteAnchor"/>
          <w:rtl w:val="true"/>
        </w:rPr>
        <w:footnoteReference w:id="335"/>
      </w:r>
      <w:r>
        <w:rPr>
          <w:rFonts w:ascii="Amiri" w:hAnsi="Amiri" w:eastAsia="Amiri" w:cs="Amiri"/>
          <w:color w:val="111111"/>
          <w:sz w:val="28"/>
          <w:sz w:val="28"/>
          <w:szCs w:val="28"/>
          <w:rtl w:val="true"/>
          <w:lang w:bidi="ar-SA"/>
        </w:rPr>
        <w:t>، عن معمّر بن يحيى وزرارة، وسنده تامّ، ورواها في الفقيه مرسلة</w:t>
      </w:r>
      <w:r>
        <w:rPr>
          <w:rStyle w:val="FootnoteAnchor"/>
          <w:rtl w:val="true"/>
        </w:rPr>
        <w:footnoteReference w:id="336"/>
      </w:r>
      <w:r>
        <w:rPr>
          <w:rFonts w:ascii="Amiri" w:hAnsi="Amiri" w:eastAsia="Amiri" w:cs="Amiri"/>
          <w:color w:val="111111"/>
          <w:sz w:val="28"/>
          <w:sz w:val="28"/>
          <w:szCs w:val="28"/>
          <w:rtl w:val="true"/>
          <w:lang w:bidi="ar-SA"/>
        </w:rPr>
        <w:t xml:space="preserve">، ورواها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348" w:name="pg9153_76328"/>
    </w:p>
    <w:p>
      <w:pPr>
        <w:pStyle w:val="BookText"/>
        <w:rPr/>
      </w:pPr>
      <w:bookmarkEnd w:id="348"/>
      <w:r>
        <w:rPr>
          <w:rFonts w:ascii="Amiri" w:hAnsi="Amiri" w:eastAsia="Amiri" w:cs="Amiri"/>
          <w:color w:val="111111"/>
          <w:sz w:val="28"/>
          <w:sz w:val="28"/>
          <w:szCs w:val="28"/>
          <w:rtl w:val="true"/>
          <w:lang w:bidi="ar-SA"/>
        </w:rPr>
        <w:t>التهذيب بنفس سند الكليني</w:t>
      </w:r>
      <w:r>
        <w:rPr>
          <w:rStyle w:val="FootnoteAnchor"/>
          <w:rtl w:val="true"/>
        </w:rPr>
        <w:footnoteReference w:id="337"/>
      </w:r>
      <w:r>
        <w:rPr>
          <w:rFonts w:ascii="Amiri" w:hAnsi="Amiri" w:eastAsia="Amiri" w:cs="Amiri"/>
          <w:color w:val="111111"/>
          <w:sz w:val="28"/>
          <w:sz w:val="28"/>
          <w:szCs w:val="28"/>
          <w:rtl w:val="true"/>
          <w:lang w:bidi="ar-SA"/>
        </w:rPr>
        <w:t xml:space="preserve">، ولكنّه رواها في الاستبصار بتعريف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ويبدو أنّه من خطأ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بها شبيه بما تقدّم في الرواية الأولى، والإشكال هو الإشكال</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380484_2870459653"/>
      <w:bookmarkStart w:id="350" w:name="_Toc141"/>
      <w:bookmarkEnd w:id="349"/>
      <w:r>
        <w:rPr>
          <w:rtl w:val="true"/>
        </w:rPr>
        <w:t>الرواية الثالثة</w:t>
      </w:r>
      <w:bookmarkEnd w:id="350"/>
    </w:p>
    <w:p>
      <w:pPr>
        <w:pStyle w:val="BookText"/>
        <w:rPr/>
      </w:pP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يوم الفطر والأضحى إلّا مع إمام عادل</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الصدوق إلى زرارة في المشيخة تامّ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عدم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كما أشير إلى ذلك في الهامش، ولكن صاحب الوسائل ذكر هذه الكلمة، فإذا كانت موجودة فقد يتوهّم انصراف الإمام العادل إلى المعصوم، وإذا لم تكن موجودة فوجه الاستدلال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فانصرافها إلى مطلق إمام الجماعة واضح، وإذا لم تكن موجودة فيرد الإشكال المتقدّم نفسه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380486_2870459653"/>
      <w:bookmarkStart w:id="352" w:name="_Toc142"/>
      <w:bookmarkEnd w:id="351"/>
      <w:r>
        <w:rPr>
          <w:rtl w:val="true"/>
        </w:rPr>
        <w:t>الرواية الرابعة</w:t>
      </w:r>
      <w:bookmarkEnd w:id="3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الحسين بن سعيد، عن </w:t>
      </w:r>
      <w:bookmarkStart w:id="353" w:name="pg9153_76329"/>
    </w:p>
    <w:p>
      <w:pPr>
        <w:pStyle w:val="BookText"/>
        <w:rPr/>
      </w:pPr>
      <w:bookmarkEnd w:id="353"/>
      <w:r>
        <w:rPr>
          <w:rFonts w:ascii="IRNazanin" w:hAnsi="IRNazanin" w:eastAsia="IRNazanin"/>
          <w:color w:val="111111"/>
          <w:sz w:val="28"/>
          <w:sz w:val="28"/>
          <w:szCs w:val="28"/>
          <w:rtl w:val="true"/>
          <w:lang w:bidi="fa-IR"/>
        </w:rPr>
        <w:t xml:space="preserve">صفوان،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يوم الفطر والأضحى،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صلاة إلّا مع إمام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وسندها تامّ، والمراد بصفوان هو ابن يحيى بقرينة الراوي والمروي،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 بقرينة المروي عنه، والكلام فيها هو الكلام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380488_2870459653"/>
      <w:bookmarkStart w:id="355" w:name="_Toc143"/>
      <w:bookmarkEnd w:id="354"/>
      <w:r>
        <w:rPr>
          <w:rtl w:val="true"/>
        </w:rPr>
        <w:t>الرواية الخامسة</w:t>
      </w:r>
      <w:bookmarkEnd w:id="355"/>
    </w:p>
    <w:p>
      <w:pPr>
        <w:pStyle w:val="Heading5"/>
        <w:numPr>
          <w:ilvl w:val="4"/>
          <w:numId w:val="1"/>
        </w:numPr>
        <w:rPr/>
      </w:pPr>
      <w:bookmarkStart w:id="356" w:name="__RefHeading___Toc3380490_2870459653"/>
      <w:bookmarkStart w:id="357" w:name="_Toc144"/>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ما رواه الصدوق والطوسي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بسنديهما عن الحسين بن سعيد، عن عثمان بن عيسى،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العيدين إلّا مع الإمام، فإن صلّيت وحدك فلا بأس</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سندها كلام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إنّه واقفي، بل وصفه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الواقفة ووجهها وأحد الوكلاء المستبدّين بمال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43"/>
      </w:r>
      <w:r>
        <w:rPr>
          <w:rFonts w:ascii="Amiri" w:hAnsi="Amiri" w:eastAsia="Amiri" w:cs="Amiri"/>
          <w:color w:val="111111"/>
          <w:sz w:val="28"/>
          <w:sz w:val="28"/>
          <w:szCs w:val="28"/>
          <w:rtl w:val="true"/>
          <w:lang w:bidi="ar-SA"/>
        </w:rPr>
        <w:t>، ولكن هذا لا يقدح بالوثاقة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وثاقته، من جهة عدم ورود توثيق صريح له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وثاقته بأحد أمرين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من ضمن الواقفة المتحرّجين في الرواية، وأنّه من الذين عملت الطائفة بأخبارهم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58" w:name="pg9153_76330"/>
    </w:p>
    <w:p>
      <w:pPr>
        <w:pStyle w:val="BookText"/>
        <w:rPr/>
      </w:pPr>
      <w:bookmarkEnd w:id="358"/>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روى عنه صفوان بن يحيى وابن أبي عمير</w:t>
      </w:r>
      <w:r>
        <w:rPr>
          <w:rStyle w:val="FootnoteAnchor"/>
          <w:rtl w:val="true"/>
        </w:rPr>
        <w:footnoteReference w:id="345"/>
      </w:r>
      <w:r>
        <w:rPr>
          <w:rFonts w:ascii="Amiri" w:hAnsi="Amiri" w:eastAsia="Amiri" w:cs="Amiri"/>
          <w:color w:val="111111"/>
          <w:sz w:val="28"/>
          <w:sz w:val="28"/>
          <w:szCs w:val="28"/>
          <w:rtl w:val="true"/>
          <w:lang w:bidi="ar-SA"/>
        </w:rPr>
        <w:t>، وهما لا يرويان ولا يرسلان إلّا عن ثقة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الاستدلال بها فقد يوجّه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تحقّق صلاة العيدين بدون الإمام الذي جاء معرّفاً بالألف واللام العهدية، وليس هو سوى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أن يكون المعهود 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يمكن أن يكون إمام الجماعة، وخصوصاً مع وجود قرينة على ذلك،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صلّيت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يناسب المقابلة لصلاة الجماعة، ويحمل نفي جنس الصلاة على نفي الكمال، كما أجاب بذلك بعض الأعلام</w:t>
      </w:r>
      <w:r>
        <w:rPr>
          <w:rStyle w:val="FootnoteAnchor"/>
          <w:rtl w:val="true"/>
        </w:rPr>
        <w:footnoteReference w:id="347"/>
      </w:r>
      <w:r>
        <w:rPr>
          <w:rFonts w:ascii="Amiri" w:hAnsi="Amiri" w:eastAsia="Amiri" w:cs="Amiri"/>
          <w:color w:val="111111"/>
          <w:sz w:val="28"/>
          <w:sz w:val="28"/>
          <w:szCs w:val="28"/>
          <w:rtl w:val="true"/>
          <w:lang w:bidi="ar-SA"/>
        </w:rPr>
        <w:t xml:space="preserve">، فيكون حاله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فيكفينا إجمال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تقريبات ثلاثة لكون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الإمام المعصوم</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380492_2870459653"/>
      <w:bookmarkStart w:id="360" w:name="_Toc145"/>
      <w:bookmarkEnd w:id="359"/>
      <w:r>
        <w:rPr>
          <w:rtl w:val="true"/>
        </w:rPr>
        <w:t>التقريب الأوّل</w:t>
      </w:r>
      <w:bookmarkEnd w:id="360"/>
    </w:p>
    <w:p>
      <w:pPr>
        <w:pStyle w:val="BookText"/>
        <w:rPr/>
      </w:pPr>
      <w:r>
        <w:rPr>
          <w:rFonts w:ascii="IRNazanin" w:hAnsi="IRNazanin" w:eastAsia="IRNazanin"/>
          <w:color w:val="111111"/>
          <w:sz w:val="28"/>
          <w:sz w:val="28"/>
          <w:szCs w:val="28"/>
          <w:rtl w:val="true"/>
          <w:lang w:bidi="fa-IR"/>
        </w:rPr>
        <w:t xml:space="preserve">وهو للمحقّق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حمل الإمام في هذه الرواية على مطلق إمام الجماعة ينافي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صلّيت وحدك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رفع التنافي بحمل النفي على نفي الكمال لا الحقيقة،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النفي في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وأمثاله راجعاً إلى الكمال في الاستعمال اللفظي ليكون معنى القضية المذكورة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النفي راجع إلى حقيقة الصلاة، ولمّا علم من الخارج بدليل آخر صحّة الصلاة في غير المسجد لجاره حمل النفي في القضية المذكورة على النفي ادّعاءً، وكما أنّه قد تحمل حقيقة على غير مصداقها الواقعي ادّعاءً، 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أسد؛ لظهور أظهر آثاره فيه، كذلك قد تنفى حقيقة عن مصداقها الواقعي بواسطة عدم ظهور آثارها المترقّبة فيه،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العيدين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الواقعي نفي الكمال فلا بدّ أن تكون الصلاة الواقعة مع غير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العدم، بمعنى أن يكون الملحوظ في تلك القضية أنّ صلاة الفرادى ليست مصداقاً للصلاة ادّعاءً، فلا يناسب عقيب هذه القضية بتلك الملاحظة قوله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صلّيت فرادى فلا بأس</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مرامه ببيان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يراد منه مجرّد التحسين اللفظي الذي لا يمسّ المضمون الحقيقي، كي تكون هناك فرصة لحمله على نفي الكمال، بل يراد منه نفي حقيقة الصلاة، أي انتفاؤها كلّياً لو لم يصلّها جار المسجد في المسجد؛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نافية للجنس، فلا يراد نفي الحقيقة ادّعاءً ومجازاً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مجال لأن يقال إنّه لا يصحّ بلاغةً أن تنفى الحقيقة ادعاءً، بل ذلك سائغٌ، وحاله حال إثبات وحمل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مصداقها الواقعي الادّعائي على طريقة المجاز العقلي عند السكاكي، وهو الرجل </w:t>
      </w:r>
    </w:p>
    <w:p>
      <w:pPr>
        <w:pStyle w:val="BookText"/>
        <w:rPr/>
      </w:pPr>
      <w:r>
        <w:rPr>
          <w:rFonts w:ascii="Amiri" w:hAnsi="Amiri" w:eastAsia="Amiri" w:cs="Amiri"/>
          <w:color w:val="111111"/>
          <w:sz w:val="28"/>
          <w:sz w:val="28"/>
          <w:szCs w:val="28"/>
          <w:rtl w:val="true"/>
          <w:lang w:bidi="ar-SA"/>
        </w:rPr>
        <w:t>الشجاع،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 أسد، والمسوّغ لهذا الحمل هو توفّر أظهر صفات الأسد، وهي الجرأة والشجاعة في زيد، وكذلك نفي الحقيقة ادّعاءً، فمثلاً تقول في رجلٍ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ليس رجلاً، فتنفي عنه الرجولة ادّعاءً؛ لعدم توفّر أظهر آثار الرجولة فيه، وهي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يقع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نفي الكمال مع ظهورها في نفي الحقيقة؟</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سوّغ هذا الحمل هو الدليل الخارجي الدالّ على صحّة صلاة جار المسجد في غير المسجد لو صلّاها عامداً، وبمساعدته عرفنا أنّ الشارع لمّا نفى حقيقة الصلاة خارج المسجد لجاره ظاهراً أنّه لا يريد ذلك واقعاً، وإنّما أراد أنّ أظهر صفات وخصائص الصلاة تتوفّر وتتحقّق حينما تصلّى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في ما نحن فيه كذلك؛ إذ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العيدين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صلاة العيدين ادّعاءً عمّن صلّاها فرادى، فإنّها ليست مصداقاً لها، ومعه لا يناسب عرفاً أن يردفه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صلّيت وحدك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معنى ذلك أنّ الصلاة الفرادى مصداق لصلاة العيدين 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 أنّه قد نفى كونها مصداقاً للصلاة ادّعاءً من غير فاصلٍ في كلامه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قد يرد على مدّعاه،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تحمل هاتين القضيتين اللتين صورتهما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القضية الأولى على نفي الحقيقة واقعاً بحسب الجعل الأوّلي، والقضية الثانية على المجعول الثانوي، أي بعد عدم التمكّن من إتيان ما هو المقصود أوّلاً، وحاصل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w:t>
      </w:r>
    </w:p>
    <w:p>
      <w:pPr>
        <w:pStyle w:val="BookText"/>
        <w:rPr/>
      </w:pPr>
      <w:r>
        <w:rPr>
          <w:rFonts w:ascii="Amiri" w:hAnsi="Amiri" w:eastAsia="Amiri" w:cs="Amiri"/>
          <w:color w:val="111111"/>
          <w:sz w:val="28"/>
          <w:sz w:val="28"/>
          <w:szCs w:val="28"/>
          <w:rtl w:val="true"/>
          <w:lang w:bidi="ar-SA"/>
        </w:rPr>
        <w:t xml:space="preserve">الواجبة من الله تعالى أوّلاً في العيدين هي الصلاة التي يؤتى بها مع الإمام المنصوب من الله تعالى، وإن لم تتمكّن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المخاطب في زمان صدور هذه الرواية وصلّيت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يعنى أنّها مشروعة مستحبّة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رفض النفي الادّعائي بالتقريب المتقدّم لم يحلّ مشكلة التنافي الظاهر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إلّا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وحدك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الأولى بناءً على ما تقدّم تدلّ على أنّ صلاة العيدين فرادى ليست مصداقاً للصلاة حقيقةً، والأخرى تدلّ بظاهرها على أنّ صلاة العيدين فرادى مصداق حقيقي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لا محيص من كون الجملة الأولى مسوقة لبيان الجعل الأوّلي من اشتراط وجوب صلاة العيدين بكونها مع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دالّةٌ على أنّ صلاة العيدين فرادى ليست مصداقاً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الجملة الأخرى فهي مسوقة لبيان أنّ صلاة العيدين فرادى بدل طولي للصلاة مع الإمام المنصوب من قبل الله تعالى في حال عدم تمكّن المكلّف من الصلاة معه لأيّ سبب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الوجه في عدم التناسب بين النفي الادّعائي لمصداقية فرد لطبيعةٍ ما، وتعقيبه بإثبات مصداقيته لهذه الطبيعة نفسها بنحو الحقيقة، بل ربّما يقال إنّ ذلك من قبيل المجاز المستساغ، وهو نظير التخصيص المتّصل، حيث تقول مثلاً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كلّ نحوي إلّا أن يكون من مدرسة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يفهم قبل التلفظ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إكرام أيّ نحوي مهما كان، ولكن بعد الإتيان بأداة الاستثناء يتغيّر الظهور إلى ظهور آخر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قريب من ذلك؛ حيث يُفهم بدواً بحسب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العيدين إلّا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تصحّ صلاة العيدين ولا تتحقّق إلّا مع إمام الجماعة، ولكن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صلّيت وحدك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هذا الظهور، ويفهم من مجموع الكلام التأكيد على أهمّية وعلوّ مرتبة صلاة العيدين جماعةً، وفضلها على صلاة العيدين فرادى؛ حيث إنّه من الواضح جدّاً تأكيد الشارع المقدّس على الإتيان بالصلوات الفرائض جماعةً، وتصريحه بفضلها العظيم، وتقدّم رتبتها على الفرادى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هذا المعنى أكثر وجود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نفسها؛ حيث إنّه يستعمل في لسان الشارع كثيراً كناية عن عدم المنع التحريمي، أي أنّه مباح</w:t>
      </w:r>
      <w:r>
        <w:rPr>
          <w:rStyle w:val="FootnoteAnchor"/>
          <w:rtl w:val="true"/>
        </w:rPr>
        <w:footnoteReference w:id="350"/>
      </w:r>
      <w:r>
        <w:rPr>
          <w:rFonts w:ascii="IRNazanin" w:hAnsi="IRNazanin" w:eastAsia="IRNazanin"/>
          <w:color w:val="111111"/>
          <w:sz w:val="28"/>
          <w:sz w:val="28"/>
          <w:szCs w:val="28"/>
          <w:rtl w:val="true"/>
          <w:lang w:bidi="fa-IR"/>
        </w:rPr>
        <w:t xml:space="preserve">، فيستشعر منه المرتبة الدنيا باعتبار أنّ الإباحة بالمعنى الأعمّ تشمل الإباحة بالمعنى الأخصّ والواجب والمستحبّ،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صلّيت وحدك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بمقابلتها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العيدين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إلّا على الإباحة بالمعنى </w:t>
      </w:r>
    </w:p>
    <w:p>
      <w:pPr>
        <w:pStyle w:val="BookText"/>
        <w:rPr/>
      </w:pPr>
      <w:r>
        <w:rPr>
          <w:rFonts w:ascii="Amiri" w:hAnsi="Amiri" w:eastAsia="Amiri" w:cs="Amiri"/>
          <w:color w:val="111111"/>
          <w:sz w:val="28"/>
          <w:sz w:val="28"/>
          <w:szCs w:val="28"/>
          <w:rtl w:val="true"/>
          <w:lang w:bidi="ar-SA"/>
        </w:rPr>
        <w:t>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تفاوت المرتبة الكمالية أيضاً ما جاء 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يشهد جماعة الناس في العيدين فليغتسل وليتطيّب بما وجد، وليصلّ وحده كما يصلّي في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تشبيهه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العيدين فرادى بصلاتها جماعة، يعطي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اتّحاد ماهية الصلاتين من حيث عدد الركعات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اشتمالها على بعض خصائص صلاتها جماعة، وليس ذلك إلّا لتعدّد مراتب صلاة العيدين وتفاوتها، فصلاتها جماعة تحتوي على كمال المرتبة، وصلاتها فرادى أقلّ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كلّ ما تقدّم تصحّ دعوى حمل نفي جنس الصلاة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العيدين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نفي الكمال في الفرادى، ولا يلزم الحمل على إرادة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عن تقريب حمل النفي على الكمال، وقبلنا بما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مناسبة أن يثبت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نفاه ادّعاءً، فلازم ذلك القول بأنّ إشكال التناقض بين الجملتين يكون أشد على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عدم قبوله بالنفي الادّعائي معناه القول بأنّ كلَّاً من النفي والإثبات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في العيدين إلّا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صلّيت وحدك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 ولذا اضطرّ أن يحمل الأولى على الجعل الأوّلي، والأخرى على المجعول الثانوي كي يتخلّص من إشكال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المناسبة في الحمل على نفي الكمال أخف إشكالاً من إشكال التناقض، فكان الأولى اختياره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للتخلّص من التناقض بين القضيتين يتأتّى حتى على القول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الجماعة مع فارق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الأوّلي لوجوب </w:t>
      </w:r>
      <w:bookmarkStart w:id="361" w:name="pg9153_76336"/>
    </w:p>
    <w:p>
      <w:pPr>
        <w:pStyle w:val="BookText"/>
        <w:rPr/>
      </w:pPr>
      <w:bookmarkEnd w:id="361"/>
      <w:r>
        <w:rPr>
          <w:rFonts w:ascii="Amiri" w:hAnsi="Amiri" w:eastAsia="Amiri" w:cs="Amiri"/>
          <w:color w:val="111111"/>
          <w:sz w:val="28"/>
          <w:sz w:val="28"/>
          <w:szCs w:val="28"/>
          <w:rtl w:val="true"/>
          <w:lang w:bidi="ar-SA"/>
        </w:rPr>
        <w:t>صلاة العيدين هو أن تكون جماعةً بغض النظر عن كون إمام الجماعة هو المعصوم أو غيره ممّن تتوفّر فيه شروط إمامة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التنزّل عن جميع ما سبق يمكن القول بإجمال الرواية من جهة عدم وضوح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لتردّده بين الإمام المعصوم وبين مطلق إمام الجماعة، فلا تصلح للاستدلال بها من هذه الجهة</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380494_2870459653"/>
      <w:bookmarkStart w:id="363" w:name="_Toc146"/>
      <w:bookmarkEnd w:id="362"/>
      <w:r>
        <w:rPr>
          <w:rtl w:val="true"/>
        </w:rPr>
        <w:t>التقريب الثاني</w:t>
      </w:r>
      <w:bookmarkEnd w:id="363"/>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القول بنفي الكمال في صلاة العيدين فرادى هو استحباب صلاة العيدين جماعة، وهو خلاف النصّ المصرّح بوجوبها في زمن الحضور جماعةً، وخلاف فتوى الأعلام كذلك</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الكلام بظاهره تامّ، ولكنّه لا يجعل الرواية دليلاً حتى على اشتراط حضور الإمام المعصوم في وجوب صلاة العيد؛ إذ لو قلنا بأنّ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صلّيت وحدك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التخيير بين صلاتها مع الإمام سواء كان المراد به المعصوم أو مطلق إمام الجماعة، وبين صلاتها فرادى، فيشكّل ذلك قرينة على كلّ الروايات الأخر، فلا بدّ من حمل تلك الروايات أيضاً على استحباب الجماعة مع المعصوم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أن يجاب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علمها إلى أهلها؛ لأنّ ظهورها في التخيير مخالف للإجماع المحقّق باشتراط الجماعة في وجوب صلاة العيدين في عصر الحضور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ظاهرة في التخيير ولكن اشتراط الوجوب </w:t>
      </w:r>
      <w:bookmarkStart w:id="364" w:name="pg9153_76337"/>
    </w:p>
    <w:p>
      <w:pPr>
        <w:pStyle w:val="BookText"/>
        <w:rPr/>
      </w:pPr>
      <w:bookmarkEnd w:id="364"/>
      <w:r>
        <w:rPr>
          <w:rFonts w:ascii="Amiri" w:hAnsi="Amiri" w:eastAsia="Amiri" w:cs="Amiri"/>
          <w:color w:val="111111"/>
          <w:sz w:val="28"/>
          <w:sz w:val="28"/>
          <w:szCs w:val="28"/>
          <w:rtl w:val="true"/>
          <w:lang w:bidi="ar-SA"/>
        </w:rPr>
        <w:t>بالجماعة أظهر أو شبه الصريح، فيحمل هذا الظهور على الأظهر أو شبه الصريح، فتبقى الرواية دالّة على الوجوب، ولا يلزم من القول ببقاء الوجوب ثبوت شرطية الإمام المعصوم؛ فإنّ استفادة الوجوب تنسجم حتّى مع القول باشتراطه بمطلق إمام الجماعة</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380496_2870459653"/>
      <w:bookmarkStart w:id="366" w:name="_Toc147"/>
      <w:bookmarkEnd w:id="365"/>
      <w:r>
        <w:rPr>
          <w:rtl w:val="true"/>
        </w:rPr>
        <w:t>التقريب الثالث</w:t>
      </w:r>
      <w:bookmarkEnd w:id="366"/>
    </w:p>
    <w:p>
      <w:pPr>
        <w:pStyle w:val="BookText"/>
        <w:rPr/>
      </w:pPr>
      <w:r>
        <w:rPr>
          <w:rFonts w:ascii="IRNazanin" w:hAnsi="IRNazanin" w:eastAsia="IRNazanin"/>
          <w:color w:val="111111"/>
          <w:sz w:val="28"/>
          <w:sz w:val="28"/>
          <w:szCs w:val="28"/>
          <w:rtl w:val="true"/>
          <w:lang w:bidi="fa-IR"/>
        </w:rPr>
        <w:t>ما ذكر في مهذّب الأحكام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المراد مطلق إمام الجماعة لزم التناقض بين صدر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وذيله، فإنّ محصولها يصير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العيدين إلّا بالجماعة، وتصحّ فرادى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كونهما متناقضين إن كان مثل هذه الأخبار مسوقة لبيان شرطية الجماعة مطلقاً مع مطلق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كان المراد بالإمام الإمام المعصوم فلا تنافي بينهما حينئذٍ؛ إذ المعنى يصير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مشروط بالجماعة، وتصحّ فرادى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بعين ذلك في الإمام غير المعصوم أيضاً، فيكون الوجوب مشروطاً بالجماعة وتصحّ فرادى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بطلانه؛ لأنّه مستلزم لتعلّق وجوب الجماعة على إرادتها، فتكون مع إرادتها واجبة، ومع إرادة الفرادى غير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وجه لحمل النفي على نفي الكمال،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كاملة إلّا مع الإمام، وتصحّ فرادى أيضاً،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لاستلزامه استحبابه جماعة حتّى مع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وتصحّان فرادى أيضاً، مع أنّ تعريف الإمام بالألف ولام العهد قرينة عرفية على الإشارة إلى إمام مخصوص، وليس إلّا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العيدين الواجبة من الله تعالى أوّلاً هي التي يؤتى بها مع المنصوب من قبله تعالى، ومع عدم التمكّن منه كما في أزمنة صدور </w:t>
      </w:r>
    </w:p>
    <w:p>
      <w:pPr>
        <w:pStyle w:val="BookText"/>
        <w:rPr/>
      </w:pPr>
      <w:r>
        <w:rPr>
          <w:rFonts w:ascii="Amiri" w:hAnsi="Amiri" w:eastAsia="Amiri" w:cs="Amiri"/>
          <w:color w:val="111111"/>
          <w:sz w:val="28"/>
          <w:sz w:val="28"/>
          <w:szCs w:val="28"/>
          <w:rtl w:val="true"/>
          <w:lang w:bidi="ar-SA"/>
        </w:rPr>
        <w:t>الأخبار تكون مشروعة، بل مندوبة فرادى أيضاً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استلزام تعلّق وجوب الجماعة على إرادتها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غير واضح؛ فإنّه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هي عدم معقولية أن يكون وجوب الجماعة فعلاً اختيارياً للمكلّفين لكي يتحقّق وجوب الجماعة، فمردّ اشتراط الوجوب بالجماعة إلى الوجوب عند إرادة الجماعة، بينما لو كان المراد الإمام المعصوم فإنّه يعقل ذلك، فالشارع هو من أوجب حضور الإمام المعصوم، وعندما يحضر يدعو الناس كي يصلّوا معه فيتحقّق وجوب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المعقولية غير مسلّم؛ فإنّه يشترط في انعقاد صلاة العيدين وصلاة الجمعة العدد، وحضور هذا العدد في البداية اختياري منوط بإرادتهم، فإذا حضروا مع الإمام تحقّق الوجوب، وإذا امتنعوا كلّهم أو أحدهم لم يتحقّق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بأنّه يلزم القول باستحباب صلاتها جماعة باقٍ لوجود قرينة في هذه الرواية بالذات تمنع من حملها على المعصوم حتّى مع تجنّب القول بنفي الكمال، وهي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صلّيت وحدك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التخيير، كما تقدّم بيان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هو اعتبار الجماعة في المتعلّق، وليس في الحكم، أي يجب أن تصلّى جماعة لا أنّ وجوبها مشروط بالجماعة، فلا يرد إشكال استلزام تعلّق </w:t>
      </w:r>
      <w:bookmarkStart w:id="367" w:name="pg9153_76339"/>
    </w:p>
    <w:p>
      <w:pPr>
        <w:pStyle w:val="BookText"/>
        <w:rPr/>
      </w:pPr>
      <w:bookmarkEnd w:id="367"/>
      <w:r>
        <w:rPr>
          <w:rFonts w:ascii="IRNazanin" w:hAnsi="IRNazanin" w:eastAsia="IRNazanin"/>
          <w:color w:val="111111"/>
          <w:sz w:val="28"/>
          <w:sz w:val="28"/>
          <w:szCs w:val="28"/>
          <w:rtl w:val="true"/>
          <w:lang w:bidi="fa-IR"/>
        </w:rPr>
        <w:t xml:space="preserve">الوجوب بالإرادة، فهي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فالصلاة مشروطة بالطهارة، لا أنّ وجوبها مشروط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المعنى هو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إمام جماعة وإمكانية إقامتها جماعةً بالشروط المعتبرة تجب جماعةً، وإن لم يوجد فلا بأس أن تصلّى فرادى، فلا يلزم توقّف الوجوب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الإجمال لردّ الاستدلال بها،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من كون الألف واللام قرينة على تعيّن إرادة الإمام المعصوم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الجواب عنه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380498_2870459653"/>
      <w:bookmarkStart w:id="369" w:name="_Toc148"/>
      <w:bookmarkEnd w:id="368"/>
      <w:r>
        <w:rPr>
          <w:rtl w:val="true"/>
        </w:rPr>
        <w:t>الرواية السادسة</w:t>
      </w:r>
      <w:bookmarkEnd w:id="369"/>
    </w:p>
    <w:p>
      <w:pPr>
        <w:pStyle w:val="BookText"/>
        <w:rPr/>
      </w:pPr>
      <w:r>
        <w:rPr>
          <w:rFonts w:ascii="IRNazanin" w:hAnsi="IRNazanin" w:eastAsia="IRNazanin"/>
          <w:color w:val="111111"/>
          <w:sz w:val="28"/>
          <w:sz w:val="28"/>
          <w:szCs w:val="28"/>
          <w:rtl w:val="true"/>
          <w:lang w:bidi="fa-IR"/>
        </w:rPr>
        <w:t xml:space="preserve">وهي ما 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الحسين بن سعيد، عن عثمان بن عيسى،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متى يذبح؟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انصرف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في أرضٍ ليس فيها إمام فأصلّي بهم 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تصلّي وحدك، ولا صلاة إلّا مع إمام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الرواية هي أهمّ ما يستدلّ به على اشتراط الوجوب بحضور المعصوم، وقد أكّد على ذلك جمعٌ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وهي من حيث السند تامّة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ووجه الاستدلال بها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ثلاث قرائن تدلّ على كون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إتيان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بالألف واللام بعدما سأله السائل عن وقت الذبح، وهو ملائم لأن يكون المنصرف منه 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افترض نفسه في أرض ليس فيها إمام، ومن البعيد أن لا يوجد من يؤتمّ به لو كان المراد مطلق إمام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أراد أن يكون هو إمام الجماعة، ولكنّ الإمام أعرض عن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تصلّي وحدك، فلو كان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الجماعة لم يكن مانع من سماح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بإمامة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القرينة الأولى فقد تقدّم النقاش فيها، وأمّا الثانية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فيحتمل أن يكون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الراتب؛ لأنّه في أرضٍ نائية، كما يشعر بذلك الإتيان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ويشعر بذلك أيضاً تنكير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فيها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القرينة الثالثة فغير ظاهرة؛ إذ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ينه السائل عن إمامة الجماعة، وإنّما رجع وأكّد على أنّه لا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صلاة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إمام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في الرواية نوع اضطراب، فلا نعرف ما دار من حوار بين السائل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حاول بعض الأعلام تبرير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 الكلام في مناسبة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استقلّت الشمس جواباً لسؤاله، فإن كنت في أرض ليس فيها إمام فصلّ بهم،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فهم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انصرف الإمام في جواب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نذبح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370" w:name="pg9153_76341"/>
    </w:p>
    <w:p>
      <w:pPr>
        <w:pStyle w:val="BookText"/>
        <w:rPr/>
      </w:pPr>
      <w:bookmarkEnd w:id="370"/>
      <w:r>
        <w:rPr>
          <w:rFonts w:ascii="IRNazanin" w:hAnsi="IRNazanin" w:eastAsia="IRNazanin"/>
          <w:color w:val="111111"/>
          <w:sz w:val="28"/>
          <w:sz w:val="28"/>
          <w:szCs w:val="28"/>
          <w:rtl w:val="true"/>
          <w:lang w:bidi="fa-IR"/>
        </w:rPr>
        <w:t>انصرف</w:t>
      </w:r>
      <w:r>
        <w:rPr>
          <w:rStyle w:val="FootnoteAnchor"/>
          <w:rtl w:val="true"/>
        </w:rPr>
        <w:footnoteReference w:id="356"/>
      </w:r>
      <w:r>
        <w:rPr>
          <w:rFonts w:ascii="IRNazanin" w:hAnsi="IRNazanin" w:eastAsia="IRNazanin"/>
          <w:color w:val="111111"/>
          <w:sz w:val="28"/>
          <w:sz w:val="28"/>
          <w:szCs w:val="28"/>
          <w:rtl w:val="true"/>
          <w:lang w:bidi="fa-IR"/>
        </w:rPr>
        <w:t>الإمام له دخل في الذبح،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كنت في أرض ليس فيها إمام فأصلّي بهم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يصحّ أن أصلّي بهم، ليتحقّق وقت الذبح بانصرافي عن الجماعة،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لهذا التوهّم، وبيان أنّ انصراف الإمام إشارة إلى الوقت المخصوص الذي ينطبق على انصراف الإمام من صلاة العيد، وهو استقبال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صلاة العيد فهي ليست إلّا مع إمام، ولا بأس أن تصلّي وحدك</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استفادة شرطية حضور المعصوم منها مشكل</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380500_2870459653"/>
      <w:bookmarkStart w:id="372" w:name="_Toc149"/>
      <w:bookmarkEnd w:id="371"/>
      <w:r>
        <w:rPr>
          <w:rtl w:val="true"/>
        </w:rPr>
        <w:t>الرواية السابعة</w:t>
      </w:r>
      <w:bookmarkEnd w:id="372"/>
    </w:p>
    <w:p>
      <w:pPr>
        <w:pStyle w:val="BookText"/>
        <w:rPr/>
      </w:pP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الحسين بن سعيد، عن النضر، عن عاصم،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الناس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تخلّف رجلاً يصلّي في العيدين؟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أخالف السنّة</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 ورواها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بضعفاء الناس</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 النظر عن سندها يمكن أن يقال في توجيه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يستجب لطلب المسلمين بجعل نائبٍ عنه في إمامة جماعة العيدين،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مخالفاً للسنّة، ممّا يدلّ على عدم صحّتها وجوباً إلّا بإمامة المعصوم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حملها على عدم الصحّة مطلقاً؛ إذ من الواضح أنّ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تنصيب إمام للجماعة للعيدين أو لغيرها، وليس في الرواية تعرّض إلى شرطية </w:t>
      </w:r>
      <w:bookmarkStart w:id="373" w:name="pg9153_76342"/>
    </w:p>
    <w:p>
      <w:pPr>
        <w:pStyle w:val="BookText"/>
        <w:rPr/>
      </w:pPr>
      <w:bookmarkEnd w:id="373"/>
      <w:r>
        <w:rPr>
          <w:rFonts w:ascii="Amiri" w:hAnsi="Amiri" w:eastAsia="Amiri" w:cs="Amiri"/>
          <w:color w:val="111111"/>
          <w:sz w:val="28"/>
          <w:sz w:val="28"/>
          <w:szCs w:val="28"/>
          <w:rtl w:val="true"/>
          <w:lang w:bidi="ar-SA"/>
        </w:rPr>
        <w:t>حضور الإمام، ثمّ إنّها قضية خارجية، فلا بدّ من أن تحمل على محامل أخر</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380502_2870459653"/>
      <w:bookmarkStart w:id="375" w:name="_Toc150"/>
      <w:bookmarkEnd w:id="374"/>
      <w:r>
        <w:rPr>
          <w:rtl w:val="true"/>
        </w:rPr>
        <w:t>الرواية الثامنة</w:t>
      </w:r>
      <w:bookmarkEnd w:id="375"/>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أحمد بن محمّد، عن عليّ بن الحسين، عن عمرو بن عثمان، عن حنان بن سدير، عن عبد الله بن دينار،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ما من عيد للمسلمين، أضحى ولا فطر إلّا وهو يجدّد لآل محمّد فيه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يرون حقّهم في يد غيرهم</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الشيخ الصدوق في العلل بسنده إلى عبد الله بن دينار</w:t>
      </w:r>
      <w:r>
        <w:rPr>
          <w:rStyle w:val="FootnoteAnchor"/>
          <w:rtl w:val="true"/>
        </w:rPr>
        <w:footnoteReference w:id="361"/>
      </w:r>
      <w:r>
        <w:rPr>
          <w:rFonts w:ascii="Amiri" w:hAnsi="Amiri" w:eastAsia="Amiri" w:cs="Amiri"/>
          <w:color w:val="111111"/>
          <w:sz w:val="28"/>
          <w:sz w:val="28"/>
          <w:szCs w:val="28"/>
          <w:rtl w:val="true"/>
          <w:lang w:bidi="ar-SA"/>
        </w:rPr>
        <w:t>، وفي الفقيه رواها مرسلة</w:t>
      </w:r>
      <w:r>
        <w:rPr>
          <w:rStyle w:val="FootnoteAnchor"/>
          <w:rtl w:val="true"/>
        </w:rPr>
        <w:footnoteReference w:id="362"/>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 عن عبد الله بن ذبيان</w:t>
      </w:r>
      <w:r>
        <w:rPr>
          <w:rStyle w:val="FootnoteAnchor"/>
          <w:rtl w:val="true"/>
        </w:rPr>
        <w:footnoteReference w:id="363"/>
      </w:r>
      <w:r>
        <w:rPr>
          <w:rFonts w:ascii="Amiri" w:hAnsi="Amiri" w:eastAsia="Amiri" w:cs="Amiri"/>
          <w:color w:val="111111"/>
          <w:sz w:val="28"/>
          <w:sz w:val="28"/>
          <w:szCs w:val="28"/>
          <w:rtl w:val="true"/>
          <w:lang w:bidi="ar-SA"/>
        </w:rPr>
        <w:t xml:space="preserve">، وهو تصحيف دينار؛ إذ لا وجود لراوٍ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حنان بن سدير، وبقرينة رواية الكليني يكون 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الاستدلال فهو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منها أنّ منصب إمامة جماعة العيدين من مختصّات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يقيمها إلّا المعصوم أو نائبه الخاصّ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الاختصاص مجرّد دعوى، وكونهم يرون حقّهم في يد غيرهم لا يعني أنّه لا يجب على شيعتهم إقامتها، وهم الذين يحثّون على ذلك، فكثير من </w:t>
      </w:r>
    </w:p>
    <w:p>
      <w:pPr>
        <w:pStyle w:val="BookText"/>
        <w:rPr/>
      </w:pPr>
      <w:r>
        <w:rPr>
          <w:rFonts w:ascii="Amiri" w:hAnsi="Amiri" w:eastAsia="Amiri" w:cs="Amiri"/>
          <w:color w:val="111111"/>
          <w:sz w:val="28"/>
          <w:sz w:val="28"/>
          <w:szCs w:val="28"/>
          <w:rtl w:val="true"/>
          <w:lang w:bidi="ar-SA"/>
        </w:rPr>
        <w:t xml:space="preserve">الواجبات يختصّ وجوب إقامتها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أنّها لا تصحّ من غيرهم سيّما 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يتعيّن أن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يراد به مثل صلاة العيدين، بل يحتمل احتمالاً معتدّاً به أن يراد به حقّهم في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سلبه منهم الظالمون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هل هو على نحو الوجوب أو لا؟ هذه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 قد يستدلّ بها</w:t>
      </w:r>
      <w:r>
        <w:rPr>
          <w:rStyle w:val="FootnoteAnchor"/>
          <w:rtl w:val="true"/>
        </w:rPr>
        <w:footnoteReference w:id="364"/>
      </w:r>
      <w:r>
        <w:rPr>
          <w:rFonts w:ascii="Amiri" w:hAnsi="Amiri" w:eastAsia="Amiri" w:cs="Amiri"/>
          <w:color w:val="111111"/>
          <w:sz w:val="28"/>
          <w:sz w:val="28"/>
          <w:szCs w:val="28"/>
          <w:rtl w:val="true"/>
          <w:lang w:bidi="ar-SA"/>
        </w:rPr>
        <w:t>، ولكن ما ذكرناه هو أهمّ ما يستدلّ به على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أنّه لا يوجد دليل واضح على اشتراط وجوب صلاة العيدين بحضور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وحينئذٍ هل يبنى على الوجوب في عصر الغيبة، كما بنى على ذلك جمعٌ من الأعلام؟</w:t>
      </w:r>
    </w:p>
    <w:p>
      <w:pPr>
        <w:pStyle w:val="BookText"/>
        <w:rPr/>
      </w:pPr>
      <w:r>
        <w:rPr>
          <w:rFonts w:ascii="Amiri" w:hAnsi="Amiri" w:eastAsia="Amiri" w:cs="Amiri"/>
          <w:color w:val="111111"/>
          <w:sz w:val="28"/>
          <w:sz w:val="28"/>
          <w:szCs w:val="28"/>
          <w:rtl w:val="true"/>
          <w:lang w:bidi="ar-SA"/>
        </w:rPr>
        <w:t>إنّ العمومات والمطلقات الدالّة على وجوب هذه الصلاة كما تقدّم ذلك غير قاصرة الدلالة عن شمولها لعصر الغيبة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عدم تصريح رواية واحدة ضعيفة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بشرطية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البعيد جدّاً أن يكون عدم التصريح بسبب التقية، لكن مع ذلك يبقى القول بالوجوب بدون هذا الشرط محتاجاً إلى القائل من فقهائنا </w:t>
      </w:r>
    </w:p>
    <w:p>
      <w:pPr>
        <w:pStyle w:val="BookText"/>
        <w:rPr/>
      </w:pPr>
      <w:r>
        <w:rPr>
          <w:rFonts w:ascii="Amiri" w:hAnsi="Amiri" w:eastAsia="Amiri" w:cs="Amiri"/>
          <w:color w:val="111111"/>
          <w:sz w:val="28"/>
          <w:sz w:val="28"/>
          <w:szCs w:val="28"/>
          <w:rtl w:val="true"/>
          <w:lang w:bidi="ar-SA"/>
        </w:rPr>
        <w:t xml:space="preserve">القدامى، ولا يوجد تصريح بالوجوب في عصر الغيبة سوى ما يظهر من 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قول الشيخ الصدوق، والمفيد، والمرتضى، وآخرين ممّا يضعف القول بالوجوب،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لي من بحث لهذا الشرط في هذه العجالة، وهو قابل للتوسعة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على محمّد وآله الطاهرين</w:t>
      </w:r>
      <w:r>
        <w:rPr>
          <w:rFonts w:eastAsia="Amiri" w:cs="Amiri" w:ascii="Amiri" w:hAnsi="Amiri"/>
          <w:color w:val="111111"/>
          <w:sz w:val="28"/>
          <w:szCs w:val="28"/>
          <w:rtl w:val="true"/>
          <w:lang w:bidi="ar-SA"/>
        </w:rPr>
        <w:t>.</w:t>
      </w:r>
      <w:bookmarkStart w:id="376" w:name="pg9153_76345"/>
    </w:p>
    <w:p>
      <w:pPr>
        <w:pStyle w:val="Heading3"/>
        <w:numPr>
          <w:ilvl w:val="2"/>
          <w:numId w:val="1"/>
        </w:numPr>
        <w:rPr/>
      </w:pPr>
      <w:bookmarkStart w:id="377" w:name="__RefHeading___Toc3380504_2870459653"/>
      <w:bookmarkStart w:id="378" w:name="_Toc151"/>
      <w:bookmarkEnd w:id="376"/>
      <w:bookmarkEnd w:id="377"/>
      <w:r>
        <w:rPr>
          <w:rtl w:val="true"/>
        </w:rPr>
        <w:t>المصادر</w:t>
      </w:r>
      <w:bookmarkEnd w:id="37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السبق إلى معرفة الحقّ، للشيخ أبي الحسن عليّ بن الحسن بن أبي 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إصباح الشيعة بمصباح الشريعة، لقطب الدين محمّد بن حسين الكيدري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بهادري مراغي،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الأمثل في تفسير كتاب الله المنزل، للشيخ ناصر مكارم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في انفرادات الإمامية، للشريف المرتضى عليّ بن 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في شرح مناسك الحجّ، تقرير أبحاث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الشيخ أمجد رياض والشيخ نزار يوسف،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المؤرّخ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لأبي جعفر محمّد بن جرير الطبري،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حبيب قصير العاملي، نشر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 لأبي منصور الحسن بن يوسف بن المطهر الأسدي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السمرقندي، لأبي الليث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لأبي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w:t>
      </w:r>
    </w:p>
    <w:p>
      <w:pPr>
        <w:pStyle w:val="BookText"/>
        <w:rPr/>
      </w:pPr>
      <w:r>
        <w:rPr>
          <w:rFonts w:ascii="IRNazanin" w:hAnsi="IRNazanin" w:eastAsia="IRNazanin"/>
          <w:color w:val="111111"/>
          <w:sz w:val="28"/>
          <w:sz w:val="28"/>
          <w:szCs w:val="28"/>
          <w:rtl w:val="true"/>
          <w:lang w:bidi="fa-IR"/>
        </w:rPr>
        <w:t xml:space="preserve">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للشيخ الصدوق أبي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الخلاف والوفاق بين الإمامية وبين أئمّة الحجاز والعراق، للشيخ عليّ بن محمّد القمّي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الحسيني البيرجندي،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زمينه سازان ظهور إمام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باسدار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والعمل، للشريف المرتضى علي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في النجف الأشرف،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الكلام في شرح شرائع الإسلام، 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مستدرك الوسائل، للشيخ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للشيخ الصدوق أبي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لجلال الدين عبد الرحمن ابن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لأبي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في شرح الإرشاد، للمحقّق ملّا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ذكرى الشيعة في أحكام الشريعة، للشيخ محمّد بن جمال الدين مكّي العاملي الجزيني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الغضائري، لأحمد بن الحسين بن عبيد الله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أسماء مصنّفي الشيعة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للشيخ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الإشتهاردي،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إسلامي حاج محمّد حسين كوشانيور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للشيخ أبي عبد الله محمّد 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لأبي محمّد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شرائع الإسلام، لأبي القاسم نجم الدين جعفر بن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انتشارات استقلال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لشمس الدين أبي الفرج عبد الرحمن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لأبي عبد 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في أصول الفقه، لشيخ الطائفة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مهدي النجفي، 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أبي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الصدوق أبي جعفر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في مسائل الحلال والحرام، للميرزا أبي القاسم بن محمّد 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تبريزيان،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غنية النزوع إلى علمي الأصول والفروع، للسيّد حمزة بن عليّ بن زهرة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العزيز شرح الوجيز، لأبي القاسم عبد الكريم بن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الوهّاب بشرح منهج الطلّاب، لزكريّا بن محمّد بن أحمد بن 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لأبي الهلال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لقطب الدين أبي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للسيّد محمّد 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قاموس الرجال، للشيخ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قبسات من علم الرجال، أبحاث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جمعها ونظمها السيّد محمّد البكاء،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التداول،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للشيخ أبي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للفقيه أبي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لعزّ الدين أبي الحسن علي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الصلاة، للشيخ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التبليغ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محمّد 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نظير الساعدي،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الأحكام، للعلّامة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نشر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وتمام النعمة، للشيخ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أكبر الغفاري،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تقي الطباطبائي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حاجياني،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قلم الشرق،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إيران، 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لشيخ الطائفة 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لأبي بكر محمّد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 في شرح إرشاد الأذهان، للمولى أحمد بن محمّد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آغا مجتبى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پناه الأشتهارديّ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لأبي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للشيخ 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في فقه الإماميّة، للشيخ المحقّق أبي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في شرح شرائع الإسلام، للسيّد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المراسم العلوية في الأحكام النبويّة، للشيخ أبي يعلى حمزة بن عبد العزيز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الحسيني الأميني،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المعاونيّة الثقافيّة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في أحكام الشريعة، للشيخ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للشيخ آغا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في شرح المختصر، للشيخ المحقّق أبي القاسم نجم الدين جعفر بن الحسن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للسيّد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لأبي محمّد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المحتاج إلى معرفة معاني ألفاظ المنهاج، لمحمّد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 للملّا محمّد محسن بن مرتضى بن محمود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للشيخ الصدوق أبي جعفر 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التابعة لمؤسّسة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للشيخ أبي عبد الله محمّد بن محمّد بن النعمان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للشيخ الصدوق أبي جعفر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لجمال الدين الحسن بن يوسف 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نشر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المهذّب البارع في شرح المختصر النافع، لجمال الدين أبي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الأحكام في بيان الحلال والحرام، للسيّد عبد الأعلى الموسوي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الناصريات، للسيّد علي بن الحسين بن موسى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والدراسات العمليّة،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والعلاقات الإسلاميّة مديريّة الترجمة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والفتاوى،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المحتاج إلى شرح المنهاج، لمحمّد بن أحمد بن حمزة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للشيخ محمّد محسن بن مرتضى بن محمود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ضياء الدين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أفست نشاط أصفهان،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مسائل الشريعة، للشيخ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379" w:name="pg9153_76357"/>
    </w:p>
    <w:p>
      <w:pPr>
        <w:pStyle w:val="Heading2"/>
        <w:numPr>
          <w:ilvl w:val="1"/>
          <w:numId w:val="1"/>
        </w:numPr>
        <w:rPr/>
      </w:pPr>
      <w:bookmarkStart w:id="380" w:name="__RefHeading___Toc3380506_2870459653"/>
      <w:bookmarkStart w:id="381" w:name="_Toc152"/>
      <w:bookmarkEnd w:id="379"/>
      <w:bookmarkEnd w:id="380"/>
      <w:r>
        <w:rPr>
          <w:rtl w:val="true"/>
        </w:rPr>
        <w:t xml:space="preserve">استثناء الواقف المنافع لنفسه </w:t>
      </w:r>
      <w:r>
        <w:rPr>
          <w:rtl w:val="true"/>
        </w:rPr>
        <w:t>(</w:t>
      </w:r>
      <w:r>
        <w:rPr>
          <w:rtl w:val="true"/>
        </w:rPr>
        <w:t>الحلقة الاولی</w:t>
      </w:r>
      <w:r>
        <w:rPr>
          <w:rtl w:val="true"/>
        </w:rPr>
        <w:t xml:space="preserve">) - </w:t>
      </w:r>
      <w:r>
        <w:rPr>
          <w:rtl w:val="true"/>
        </w:rPr>
        <w:t xml:space="preserve">الشّيخ أمجد رياض </w:t>
      </w:r>
      <w:r>
        <w:rPr>
          <w:rtl w:val="true"/>
        </w:rPr>
        <w:t>(</w:t>
      </w:r>
      <w:r>
        <w:rPr>
          <w:rtl w:val="true"/>
        </w:rPr>
        <w:t>دام عزه</w:t>
      </w:r>
      <w:r>
        <w:rPr>
          <w:rtl w:val="true"/>
        </w:rPr>
        <w:t>)</w:t>
      </w:r>
      <w:bookmarkEnd w:id="381"/>
    </w:p>
    <w:p>
      <w:pPr>
        <w:pStyle w:val="Heading3"/>
        <w:numPr>
          <w:ilvl w:val="2"/>
          <w:numId w:val="1"/>
        </w:numPr>
        <w:rPr/>
      </w:pPr>
      <w:bookmarkStart w:id="382" w:name="__RefHeading___Toc3380508_2870459653"/>
      <w:bookmarkStart w:id="383" w:name="_Toc153"/>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إنّ من المؤمنين من يريد أن يقف بعض أملاكه ولكن لا يرغب أن يستغني عن منافعه في حياته، فلديه رغبة شديدة في أن يكون له صدقة جارية تبقى له ذخراً لآخرته، ولكن يريد أن ينتفع بما يروم وقفه طوال حياته أو في جزء منها، هل يجوز ذلك أو 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سنتناول البحث عنه من جميع جوانبه، بدءاً بتاريخ الوقف وحقيقته، والأقوال في هذه المسألة بالخصوص، ثمّ نستعرض الأدلّة والمناقشة فيها، وخاتمة في الحدود المتعلّقة بهذه المسألة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وآله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الاهتمام بالوقف مختصّاً بالمسلمين، بل هو ثقافة سائدة في المجتمعات، وهي متجذّرة ترجع إلى عصور سابقة، ففي عصر الفراعنة كانت هناك أراضٍ تعدّ عندهم وقفاً، وهي تحت سلطة الكهنة، وكانت لهم حصّة من وارداتها</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الفقه الروماني، حيث جاء في مدونة جوستنيان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المقدّسة والأشياء الدينية والأشياء الحرام لا يملكها أحد؛ إذ ما كان لله فلا يملكه إنسان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ثمّ يفصّل بعد </w:t>
      </w:r>
    </w:p>
    <w:p>
      <w:pPr>
        <w:pStyle w:val="BookText"/>
        <w:rPr/>
      </w:pPr>
      <w:r>
        <w:rPr>
          <w:rFonts w:ascii="Amiri" w:hAnsi="Amiri" w:eastAsia="Amiri" w:cs="Amiri"/>
          <w:color w:val="111111"/>
          <w:sz w:val="28"/>
          <w:sz w:val="28"/>
          <w:szCs w:val="28"/>
          <w:rtl w:val="true"/>
          <w:lang w:bidi="ar-SA"/>
        </w:rPr>
        <w:t>ذلك في هذه العناوين وبيان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القوانين الهندوسية القديمة، فقد ورد في كتاب منوسمرتي عند الكلام عن 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تقسّم الثياب ولا المركبة ولا الحلية ولا الطعام المطبوخ ولا الماء ولا كلّ ما قد أوقف على أعمال الخير والإحسان أو على التقدمات ولا أرض المرعى</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الحال عند الجرمانيين والفرنسيين وكذا في النظام الإنجلو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الغريب ما ذكره الشافعي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علمنا جاهلياً حبس داراً على ولد ولا في سبيل الله ولا على مساكين، وحبسهم كانت ما وصفنا من البحيرة والسائبة والوصيلة والحام،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بإطلاقها، والله أعلم</w:t>
      </w:r>
      <w:r>
        <w:rPr>
          <w:rFonts w:eastAsia="IRNazanin" w:cs="IRNazanin"/>
          <w:color w:val="111111"/>
          <w:sz w:val="28"/>
          <w:szCs w:val="28"/>
          <w:rtl w:val="true"/>
          <w:lang w:bidi="fa-IR"/>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يحبس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ولا أرضاً تبرّراً بحبسها، وإنّما حبس أهل الإسلام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الغرابة أنّ الوقف والحبس من الأمور المألوفة لدى العرب قبل الإسلام، </w:t>
      </w:r>
    </w:p>
    <w:p>
      <w:pPr>
        <w:pStyle w:val="BookText"/>
        <w:rPr/>
      </w:pPr>
      <w:r>
        <w:rPr>
          <w:rFonts w:ascii="Amiri" w:hAnsi="Amiri" w:eastAsia="Amiri" w:cs="Amiri"/>
          <w:color w:val="111111"/>
          <w:sz w:val="28"/>
          <w:sz w:val="28"/>
          <w:szCs w:val="28"/>
          <w:rtl w:val="true"/>
          <w:lang w:bidi="ar-SA"/>
        </w:rPr>
        <w:t xml:space="preserve">منها الوقف الذرّي للمقابر، ووقفهم للمعابد ونحو ذلك، قال الدكتور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كانت المعابد أوقاف حبست عليها، ولها موظفون لجباية غلّتها، هي أوقاف قديمة سجلت اسم المعابد منذ كان الكهّان المكربون يتولّون أمور الحكم، وأوقاف كان يحبسها الأغنياء الأتقياء في حياتهم أو بعد وفاتهم على المعابد قربة إلى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الجاهلية يحبسون السوائب والبحائر والحوامي وما أشبهها، فلا يعتدي عليها ولا يستغلها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الجاهلية يحبسون مال الميت ونساءه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يحبسون الأرض والنخل والكروم وغير ذلك على أصنامهم، ويجعل بعضهم غلّتها على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الحبس يقع على كلّ شيء وقفه صاحبه وقفاً محرّماً لا يورث ولا يباع من أرض ونخل وكرم ومستغل</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بعد الإسلام فأوّل من وقف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ذكر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مخيريق حبراً عالماً، فقال يوم أحد لليهود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إنّكم لتعلمون أنّ محمّداً نبيّ وأنّ نصره حقّ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اليوم يوم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سبت، وأخذ سلاحه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حين خرج للقتال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أصبت فأموالي لمحمّد يضعها حيث أراه الله، فجعلها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الماوردي</w:t>
      </w:r>
      <w:r>
        <w:rPr>
          <w:rStyle w:val="FootnoteAnchor"/>
          <w:rtl w:val="true"/>
        </w:rPr>
        <w:footnoteReference w:id="373"/>
      </w:r>
      <w:r>
        <w:rPr>
          <w:rFonts w:ascii="IRNazanin" w:hAnsi="IRNazanin" w:eastAsia="IRNazanin"/>
          <w:color w:val="111111"/>
          <w:sz w:val="28"/>
          <w:sz w:val="28"/>
          <w:szCs w:val="28"/>
          <w:rtl w:val="true"/>
          <w:lang w:bidi="fa-IR"/>
        </w:rPr>
        <w:t xml:space="preserve">أنّ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محصورة في ثمانية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مخيريق، وهي سبعة حوائط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والصافية، والدلال، وجسني، وبرقة، والأعراف، والمسربة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أرضه في أموال بني النضير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حصون في خيبر الكتيبة والوطيح والسلالم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من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الثلث من أرض وادي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سوق بالمدينة يقال له مهروذ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انتشرت الأوقاف انتشاراً واسعاً بين المسلمين، وقد غطّت عدّة مجالات من احتياجات المسلمين، فمضافاً إلى المساجد والحسينيات والمراكز الدينية فقد كان لها دور كبير في توفير موارد لليتامى والمساكين والفقراء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سبب نزول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Style w:val="FootnoteAnchor"/>
          <w:rtl w:val="true"/>
        </w:rPr>
        <w:footnoteReference w:id="374"/>
      </w:r>
      <w:r>
        <w:rPr>
          <w:rFonts w:ascii="IRNazanin" w:hAnsi="IRNazanin" w:eastAsia="IRNazanin"/>
          <w:color w:val="111111"/>
          <w:sz w:val="28"/>
          <w:sz w:val="28"/>
          <w:szCs w:val="28"/>
          <w:rtl w:val="true"/>
          <w:lang w:bidi="fa-IR"/>
        </w:rPr>
        <w:t>أنّها بشأن قضيّة أبي الدحداح، فقد ذكر الطبرسي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الكلبي في سبب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تصدّق بصدقة فله مثلها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الدحداح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بن الدحداح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حديقتين إن تصدّقت بإحداهما، فإنّ لي مثليها في الجنة؟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الدحداح معي؟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والصبية معي؟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فتصدّق بأفضل حديقتيه، فدفعها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 فضاعف الله له صدقته ألفي ألف، وذلك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نخلة متدلٍّ عذوقها لأبي الدحداح في الجنة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وهي ظاهرة في الوقف، فالتصدّق بالأرض أو البستان ظاهر في وقفها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ونصوصنا قد استفاضت في الحثّ على الصدقة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مصاديق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تجري بعد موته، وصدقة مبتولة لا تورث، أو سنّة هدىً يعمل بها بعده، أو ولد صالح يدعو له</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معتبرة إسحاق بن عمّار، ومعتبرة معاوية بن عمّار، وغيرهما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معتبرة أيّوب بن عطيّة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الفيء فأصاب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فاحتفر فيها عيناً فخرج ماء ينبع في السماء كهيئة عنق البعير، فسمّاها ينبع، فجاء البشير يبشّر،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هي صدقة بتّة بتلاً في حجيج بيت الله وعابري سبيل الله، لا تباع ولا توهب ولا تورث، فمن باعها أو وهبها فعليه لعنة الله والملائكة والناس أجمعين، لا يقبل الله منه صرفاً ولا عدلاً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ومعتبرة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 تصدّق به فلان بن فلان وهو حيّ سويّ بداره التي في بني فلان </w:t>
      </w:r>
    </w:p>
    <w:p>
      <w:pPr>
        <w:pStyle w:val="BookText"/>
        <w:rPr/>
      </w:pPr>
      <w:r>
        <w:rPr>
          <w:rFonts w:ascii="Amiri" w:hAnsi="Amiri" w:eastAsia="Amiri" w:cs="Amiri"/>
          <w:color w:val="111111"/>
          <w:sz w:val="28"/>
          <w:sz w:val="28"/>
          <w:szCs w:val="28"/>
          <w:rtl w:val="true"/>
          <w:lang w:bidi="ar-SA"/>
        </w:rPr>
        <w:t>بحدودها، صدقة لا تباع ولا توهب حتّى يرثها الله الذي يرث السماوات والأرض، وأنّه قد أسكن صدقته هذه فلاناً وعقبه، فإذا انقرضوا فهي على ذي الحاجة من المسلمين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تصدّق به موسى بن جعفر، تصدّق بأرضه في مكان كذا وكذا كلّها، وحدّ الأرض كذا وكذا، تصدّق بها كلّها ونخلها وأرضها وقناتها ومائها وأرجائها وحقوقها وشربها من الماء، كلّ حقّ هو لها في مرتفع أو مطمئن أو عرض أو طول أو مرفق أو ساحة أو أسقية أو متشعّب أو مسيل أو عامر أو غامر، تصدّق بجميع حقوقه من ذلك على ولد صلبه من الرجال والنساء يقسّم، وإليها ما أخرج الله عزّ وجلّ من غلّتها بعد الذي يكفيها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جملة المسائل الابتلائية المهمّة هو وقف العين مع استثناء الواقف المنافع لنفسه؛ فإنّ جملة ممّن يرومون الوقف لا يرغبون أن يستغنوا عن منافعه في حياتهم، إذ تجتمع عندهم رغبتان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في أن يكون لديهم صدقة جارية تبقى لهم ذخراً لآخرتهم، ورغبة في أن ينتفعوا ممّا يرومون وقفه في حياتهم، بل لعلّ الكثير منهم عند الالتفات لذلك يرغبون بالوقف مع استثناء المنافع لهم مدّة حياتهم، فيعتبر </w:t>
      </w:r>
      <w:bookmarkStart w:id="384" w:name="pg9153_76365"/>
    </w:p>
    <w:p>
      <w:pPr>
        <w:pStyle w:val="BookText"/>
        <w:rPr/>
      </w:pPr>
      <w:bookmarkEnd w:id="384"/>
      <w:r>
        <w:rPr>
          <w:rFonts w:ascii="Amiri" w:hAnsi="Amiri" w:eastAsia="Amiri" w:cs="Amiri"/>
          <w:color w:val="111111"/>
          <w:sz w:val="28"/>
          <w:sz w:val="28"/>
          <w:szCs w:val="28"/>
          <w:rtl w:val="true"/>
          <w:lang w:bidi="ar-SA"/>
        </w:rPr>
        <w:t>مثل هذا الاستثناء مشجّعاً لأن يجعلوا أموالهم صدقات جارية تخدم المجتمع، وبالخصوص من لا يكون لديه عائلة تنتفع بما يتركه لها، وكذا بالنسبة إلى البلدان التي لديها قيود معيّنة تجاه الإرث، فلذا البناء على جواز انتفاع الواقف ممّا يستثنيه من المنافع في حياة الواقف ممّا يفتح باباً واسعاً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بحث في أنّه هل يجوز أن يستثني الواقف جملة من منافع الوقف أو الانتفاع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لمدّة محدّدة كسنة مثلاً، أم غير محدّدة كمدّة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ونتيجة لتجاوز البحث الحدّ الأقصى من الصفحات المسموح به لكلّ بحث في المجلّة سيكون على حلقتين، نسأل الله التوفيق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الولوج في البحث عن صحّة هذا الاشتراط لا بدّ من ذكر أمور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3380510_2870459653"/>
      <w:bookmarkStart w:id="386" w:name="_Toc154"/>
      <w:bookmarkEnd w:id="385"/>
      <w:r>
        <w:rPr>
          <w:rtl w:val="true"/>
        </w:rPr>
        <w:t>الأمر الأوّل</w:t>
      </w:r>
      <w:r>
        <w:rPr>
          <w:rtl w:val="true"/>
        </w:rPr>
        <w:t xml:space="preserve">: </w:t>
      </w:r>
      <w:r>
        <w:rPr>
          <w:rtl w:val="true"/>
        </w:rPr>
        <w:t>في المراد من الوقف</w:t>
      </w:r>
      <w:bookmarkEnd w:id="3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اللغويون أنّ المراد من الوقف هو حبس الشيء وتمكّثه، قال الصاحب ابن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الدابّة والكلمة أقفها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حبستها في سبيل الله تعالى</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أصل واحد يدلّ على تمكّث في شيء، ثمّ يقاس عليه، منه وقفت أقف وقوفاً ووقفت وقفي</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الشيء،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الدابّة والأرض وكلّ شيء، فأمّا أوقفت فهي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وقْفاً للمساكين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أنا وقفاً ووقوفاً إذا احتبسْتَ راكباً ولا يكون ذلك للماشي</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 الأرض على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للمساكين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ووقفْتُ الدابّة والأرض وكلّ شيء</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وقال ابن درستويه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الدابّة أقفها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الدابّة عن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وقفت وقفاً للمساكين أي حبسته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وقفت أنا، أي احتبست عن الشيء أو المضي، وثبت في مكاني قائماً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 في مرسل العوالي، عن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الأصل وسبل الثمرة</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وهو مروي في روايات الجمهور بعدّة نصوص في قضيّة عمر</w:t>
      </w:r>
      <w:r>
        <w:rPr>
          <w:rStyle w:val="FootnoteAnchor"/>
          <w:rtl w:val="true"/>
        </w:rPr>
        <w:footnoteReference w:id="387"/>
      </w:r>
      <w:r>
        <w:rPr>
          <w:rFonts w:ascii="Amiri" w:hAnsi="Amiri" w:eastAsia="Amiri" w:cs="Amiri"/>
          <w:color w:val="111111"/>
          <w:sz w:val="28"/>
          <w:sz w:val="28"/>
          <w:szCs w:val="28"/>
          <w:rtl w:val="true"/>
          <w:lang w:bidi="ar-SA"/>
        </w:rPr>
        <w:t xml:space="preserve">، ولا يبعد أن يكون هو الأصل لمرسل العوالي؛ فإنّه رواه بطريقه عن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مقدّمة الباب الثاني</w:t>
      </w:r>
      <w:r>
        <w:rPr>
          <w:rStyle w:val="FootnoteAnchor"/>
          <w:rtl w:val="true"/>
        </w:rPr>
        <w:footnoteReference w:id="388"/>
      </w:r>
      <w:r>
        <w:rPr>
          <w:rFonts w:ascii="Amiri" w:hAnsi="Amiri" w:eastAsia="Amiri" w:cs="Amiri"/>
          <w:color w:val="111111"/>
          <w:sz w:val="28"/>
          <w:sz w:val="28"/>
          <w:szCs w:val="28"/>
          <w:rtl w:val="true"/>
          <w:lang w:bidi="ar-SA"/>
        </w:rPr>
        <w:t>، وفي الأغلب أنّه أخذها من مصادر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لاستخدام التحبيس والتسبيل للتعبير عن الوقف فمن المناسب أن نوضح معناهما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احتبستُ الشيء أي خصصته لنفسي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الحبيس الفرس يجعل في سبيل الله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الحبس ضد التخلية، وحبسته </w:t>
      </w:r>
    </w:p>
    <w:p>
      <w:pPr>
        <w:pStyle w:val="BookText"/>
        <w:rPr/>
      </w:pPr>
      <w:r>
        <w:rPr>
          <w:rFonts w:ascii="Amiri" w:hAnsi="Amiri" w:eastAsia="Amiri" w:cs="Amiri"/>
          <w:color w:val="111111"/>
          <w:sz w:val="28"/>
          <w:sz w:val="28"/>
          <w:szCs w:val="28"/>
          <w:rtl w:val="true"/>
          <w:lang w:bidi="ar-SA"/>
        </w:rPr>
        <w:t>واحتبسته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واحتبس أيضاً بنفسه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وتحبس على كذا أي حبس نفسه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وأحبست فرساً في سبيل الله أي وقفت، فهو محبس وحبيس</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حبسته حبساً، والحبس ما وقف،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أحبست فرساً في سبيل الله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التسبيل فقد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السين والباء واللام أصل واحد يدلّ على إرسال شيء من علو إلى سفل، وعلى امتداد شيء، فالأوّل من قيلك أسبلت الستر أسبلت السحابة ماءها وبمائها، والسبل المطر الجود، وسبال الإنسان من هذا لأنّه شعر منسدل</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تقدّم في النبويّ المرسل فقد عرّفه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تحبيس الأصل وتسبيل المنفعة</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 ووافقه على ذلك ابن إدريس، والكيدري، والمحقّق الحلّي في بعض كتبه، وابن سعيد، والعلّامة الحلّي في بعض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وافقهم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تحبيس الأصل وتسبيل الثمرة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ومثله السيّد الحكيم</w:t>
      </w:r>
      <w:r>
        <w:rPr>
          <w:rStyle w:val="FootnoteAnchor"/>
          <w:rtl w:val="true"/>
        </w:rPr>
        <w:footnoteReference w:id="396"/>
      </w:r>
      <w:r>
        <w:rPr>
          <w:rFonts w:ascii="Amiri" w:hAnsi="Amiri" w:eastAsia="Amiri" w:cs="Amiri"/>
          <w:color w:val="111111"/>
          <w:sz w:val="28"/>
          <w:sz w:val="28"/>
          <w:szCs w:val="28"/>
          <w:rtl w:val="true"/>
          <w:lang w:bidi="ar-SA"/>
        </w:rPr>
        <w:t>والسيّد الخوئي</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المراد من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بتحبيس الأصل المنع من التصرّف فيه كالتصرّف في الأملاك بالبيع والهبة والصدقة ونحوها، بحيث يكون ناقلاً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وتسبيل الثمرة إباحتها للموقوف عليه بحيث يتصرّف فيها كتصرّفه في أملاكه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أهمّية للفرق بين الثمرة والمنفعة، إذ مقصودهم منها ما يعمّ ثمرة الأشجار؛ ليشمل كلّ منفعة كماء البئر والسكن في الخان وغير ذلك من المنافع، ولعلّهم إنّما عبّروا بالثمرة تقيّداً بما ورد في المرسل المتقدّم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عدل جمع من التسبيل إلى الإطلاق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تحبيس الأصل وإطلاق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المحقّق الحلّي في بعض كتبه، والفاضل الآبي، والعلّامة الحلّي في بعض كتبه، والشهيد الأوّل، والمقداد، وابن فهد، والمحقّق الكركي، وصاحب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ونبّه غير واحد</w:t>
      </w:r>
      <w:r>
        <w:rPr>
          <w:rStyle w:val="FootnoteAnchor"/>
          <w:rtl w:val="true"/>
        </w:rPr>
        <w:footnoteReference w:id="400"/>
      </w:r>
      <w:r>
        <w:rPr>
          <w:rFonts w:ascii="Amiri" w:hAnsi="Amiri" w:eastAsia="Amiri" w:cs="Amiri"/>
          <w:color w:val="111111"/>
          <w:sz w:val="28"/>
          <w:sz w:val="28"/>
          <w:szCs w:val="28"/>
          <w:rtl w:val="true"/>
          <w:lang w:bidi="ar-SA"/>
        </w:rPr>
        <w:t>على أنّ العدول من التسبيل إلى الإطلاق لأنّ الإطلاق أظهر في المراد منه، فيكون أظهر في مقابلة التحبيس، ويكون معناه إباحتها للجهة الموقوف عليها بحيث يتصرّف كيف شاء كغيره من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اعترض الشيخ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فلان ضيعته أي جعلها في سبيل الله تعالى، ومن هنا كان التعبير بالتسبيل أولى بناءً على إرادة ذلك من الإطلاق القابل للتحبيس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إبداله بذلك في المتن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لإشعاره باعتبار القربة حينئذٍ وأنّه من الصدقات</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فالخلاف بينهم في تعريفه ليس ذا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غير واحد</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من المعلوم أنّه ليس تعريفاً حقيقياً، بل المقصود منه التمييز في الجملة ولو بذكر بعض خواصه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اختلف في حقيقة الوقف فهل هو حقيقة واحدة أو يختلف باختلاف أقسام الوقف؟</w:t>
      </w:r>
    </w:p>
    <w:p>
      <w:pPr>
        <w:pStyle w:val="BookText"/>
        <w:rPr/>
      </w:pPr>
      <w:r>
        <w:rPr>
          <w:rFonts w:ascii="Amiri" w:hAnsi="Amiri" w:eastAsia="Amiri" w:cs="Amiri"/>
          <w:color w:val="111111"/>
          <w:sz w:val="28"/>
          <w:sz w:val="28"/>
          <w:szCs w:val="28"/>
          <w:rtl w:val="true"/>
          <w:lang w:bidi="ar-SA"/>
        </w:rPr>
        <w:t xml:space="preserve">ذهب جمع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حقيقة واحدة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الوقف بجميع أقسامه نوع من الصدقة، وذلك بجعل الموقوف صدقة مؤبّدة، فتكون وقفاً لا يجوز بيعها ولا تمليكها ولا غيرها ممّا ينافي تأبيد كونها صدقة كما عرفت، فالوقف إذاً هو الصدقة المؤبّدة، فتخرج العين عن ملك المالك، ولا تدخل في ملك مالك، كما لا يجوز التصرّف فيها بالتمليك ونحوه ممّا ينافي تأبيد التصدّق بها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خالف آخرون منهم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فذهبوا إلى أنّ الوقف على نحوين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يكون ملكاً لأحد، بل يكون فكّ ملك، نظير التحرير كما في المساجد والمدارس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 منفعته مملوكة للموقوف عليهم سواء كانت جهة عامّة أو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جمع ثالث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إلى أنّه على ثلاثة أنحاء، فإنّه إن كان مسجداً ونحوه فهو فكّ ملك، وإن كان وقفاً على معيّن فهو تمليك منفعته للجهة الموقوف عليها، وإن كان على جهة عامّة فهو ملك 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اختلافهم في ما ذكرنا إلّا أنّهم يتّفقون جميعاً على أنّ الوقف هو إخراج </w:t>
      </w:r>
    </w:p>
    <w:p>
      <w:pPr>
        <w:pStyle w:val="BookText"/>
        <w:rPr/>
      </w:pPr>
      <w:r>
        <w:rPr>
          <w:rFonts w:ascii="Amiri" w:hAnsi="Amiri" w:eastAsia="Amiri" w:cs="Amiri"/>
          <w:color w:val="111111"/>
          <w:sz w:val="28"/>
          <w:sz w:val="28"/>
          <w:szCs w:val="28"/>
          <w:rtl w:val="true"/>
          <w:lang w:bidi="ar-SA"/>
        </w:rPr>
        <w:t>الموقوف عن ملك الواقف وانقطاعه عنه، والاختلاف بينهم في العلاقة بين الموقوف وبين الموقوف عليهم أو المنظورين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في المقام هو البحث عن دخالة المنفعة في حقيقة الوقف، وهل أنّه يتقوّم بها أو لا؟ لما لذلك من تأثير في بعض ما يستدلّ به في المسألة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ظاهر تعبيرهم بأنّ الوقف هو تحبيس الأصل وإطلاق المنفعة أو تسبيلها، كأستاذنا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وقف المساجد والمشاهد،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الوقف عبارة عن إخراج العين عن ملك مالكها وتحبيسها من أجل استيفاء منفعتها أو نمائها مع تسبيل تلك المنفعة أو النماء وبذلهما لجهة معيّنة عامّة أو خاصّة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هو ظاهر الشهيد الثاني، وصريح الآخوند الخراساني، والمحقّق الأصفهاني والسيّد الخوئي في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وكذا ما ذكره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الوقف فكّ ملك وإخراج عن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ملكية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وتسليط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واحد يتعلّق بالعين ابتداءً، ويظهر أثره في المنفعة والثمرة تبعاً كما هو التحقيق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الوقف هو الحبس المساوق للسكون والإسكان، </w:t>
      </w:r>
    </w:p>
    <w:p>
      <w:pPr>
        <w:pStyle w:val="BookText"/>
        <w:rPr/>
      </w:pPr>
      <w:r>
        <w:rPr>
          <w:rFonts w:ascii="Amiri" w:hAnsi="Amiri" w:eastAsia="Amiri" w:cs="Amiri"/>
          <w:color w:val="111111"/>
          <w:sz w:val="28"/>
          <w:sz w:val="28"/>
          <w:szCs w:val="28"/>
          <w:rtl w:val="true"/>
          <w:lang w:bidi="ar-SA"/>
        </w:rPr>
        <w:t>في قبال الجريان في أنحاء التقليبات والتقلّبات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الحبس والسكون مقابل الحركة، فليس مفهومه إلّا متقوّماً بالإيقاف والسكون وعدم توارد البيع والشراء والهبة والإجارة عليه بحيث يبقى طبقة بعد طبقة وجيلاً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مجموع ما ذكره اللغويون في معنى الوقف والتحبيس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الصدقة كما سيأتي في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المعنى الثاني، أي أنّه تحبيس الملك على أمر ومنع التصرّف فيه كالتصرّف في الأملاك ببيعه وإيجاره ورهنه ونحو ذلك، وأمّا المنفعة فهي من آثار الوقف وثمراته التي لا تنفكّ عنه عادة، ولكنّها ليست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المسجد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متقوّماً بحفظ عنوان خاصّ من دون نظر إلى موقوف عليه تعود المنفعة إليه، وهو وقف المسجد، فإنّه يتقوّم بعنوانه من دون نظر إلى منفعة خاصّة ترجع لموقوف عليه خاصّ، والانتفاع به للمصلّين ونحوهم من توابع العنوان المذكور لا من مقوّماته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حتّى لمن ذهب إلى دخالة المنفعة في بعض أقسام الوقف لم يبنِ على اطّرادها في جميع أقسامه ممّا يعني عدم دخالتها في نفس الوقف، وإنّما هي من خصوصيات بعض أنحاء الموقوف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أنّه لا يتقوّم الوقف بشكل عامّ إلّا بالتحبيس لموقوف معيّن، ومنع المالك من التصرّف فيه بتصرّفات المالك من البيع والشراء والإيجار والرهن ونحو ذلك، والمنفعة إنّما هي من التوابع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في بعض أقسام الوقف من موقوف عليه كما في الوقف الذرّي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أيضاً بما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ويشهد له إضافة الوقف بنفس العين، وكذلك مفهوم التصدّق المذكور في باب الأوقاف، مع أنّه مقتضى مفهوم الوقف، فإنّه ليس إلّا الحبس وما يساوقه مفهوماً، وليس ما ينسب إليه إلّا ما يطابق مفهومه الإنشائي، ولذا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الصريحة دون غيرها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بدخالة المنفعة في حقيقة الوقف استناداً إلى النبويّ المرسل وتعريف الفقهاء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أفيد من كون الوقف حقيقة مركّبة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التعاريف الفقهية كما هو المرسوم من باب الرسوم غالباً، لا أنّها حدود حقيقية، ومن البيّن أنّ لازم قصر العين ملكاً على أحد تملّك المنافع من دون قصر فيها، فإطلاق المنافع وتسبيلها لازم اختصاص الحبس الملكي بالعين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الجواب في محلّه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اختلف في حقيقة الوقف من جهة أخرى وأنّه هل هو عقد أو إيقاع؟ وهل هو كذلك في جميع أقسام الوقف أو في بعضها؟ </w:t>
      </w:r>
      <w:bookmarkStart w:id="387" w:name="pg9153_76374"/>
    </w:p>
    <w:p>
      <w:pPr>
        <w:pStyle w:val="BookText"/>
        <w:rPr/>
      </w:pPr>
      <w:bookmarkEnd w:id="387"/>
      <w:r>
        <w:rPr>
          <w:rFonts w:ascii="Amiri" w:hAnsi="Amiri" w:eastAsia="Amiri" w:cs="Amiri"/>
          <w:color w:val="111111"/>
          <w:sz w:val="28"/>
          <w:sz w:val="28"/>
          <w:szCs w:val="28"/>
          <w:rtl w:val="true"/>
          <w:lang w:bidi="ar-SA"/>
        </w:rPr>
        <w:t xml:space="preserve">فذهب جمع منهم ابن إدريس، والمحقّق، والعلّامة، والمحقّق الكركي، والسيّد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إلى أنّه عقد على تفصيل في تحقّق القبول في الوقف العامّ، ووقف المساجد، ونحوها، في حين ذهب آخرون، منهم السيّد الخميني، والسيّد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إلى أنّه 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البحث هنا عن هذه الجهة بعد أن لم يكن لها تأثير معتدّ به في ما هو المهمّ من بحثنا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380512_2870459653"/>
      <w:bookmarkStart w:id="389" w:name="_Toc155"/>
      <w:bookmarkEnd w:id="388"/>
      <w:r>
        <w:rPr>
          <w:rtl w:val="true"/>
        </w:rPr>
        <w:t>الأمر الثاني</w:t>
      </w:r>
      <w:r>
        <w:rPr>
          <w:rtl w:val="true"/>
        </w:rPr>
        <w:t xml:space="preserve">: </w:t>
      </w:r>
      <w:r>
        <w:rPr>
          <w:rtl w:val="true"/>
        </w:rPr>
        <w:t>تحرير محلّ النزاع</w:t>
      </w:r>
      <w:bookmarkEnd w:id="389"/>
    </w:p>
    <w:p>
      <w:pPr>
        <w:pStyle w:val="BookText"/>
        <w:rPr/>
      </w:pPr>
      <w:r>
        <w:rPr>
          <w:rFonts w:ascii="Amiri" w:hAnsi="Amiri" w:eastAsia="Amiri" w:cs="Amiri"/>
          <w:color w:val="111111"/>
          <w:sz w:val="28"/>
          <w:sz w:val="28"/>
          <w:szCs w:val="28"/>
          <w:rtl w:val="true"/>
          <w:lang w:bidi="ar-SA"/>
        </w:rPr>
        <w:t>محلّ النزاع في هذه المسألة يعمّ جميع أنواع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من ريع الوقف بشكل مباشر، سواء كان مالياً كبدل الإيجار للمباني، أو كان عينياً كالصوف واللبن من الدواب، والثمر من الشجر، والماء من البئر،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من خدمات الموقوف من قبيل السكن في الدار، أو إشغال الدكان، أو استعمال المركبة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رفع بعض الالتزامات التي على الواقف، من قبيل أداء ديونه، أو </w:t>
      </w:r>
      <w:bookmarkStart w:id="390" w:name="pg9153_76375"/>
    </w:p>
    <w:p>
      <w:pPr>
        <w:pStyle w:val="BookText"/>
        <w:rPr/>
      </w:pPr>
      <w:bookmarkEnd w:id="390"/>
      <w:r>
        <w:rPr>
          <w:rFonts w:ascii="Amiri" w:hAnsi="Amiri" w:eastAsia="Amiri" w:cs="Amiri"/>
          <w:color w:val="111111"/>
          <w:sz w:val="28"/>
          <w:sz w:val="28"/>
          <w:szCs w:val="28"/>
          <w:rtl w:val="true"/>
          <w:lang w:bidi="ar-SA"/>
        </w:rPr>
        <w:t>الإنفاق على أولاده وزوجته وضيوفه وغيره من متعلّقيه، ومن ذلك أداء العبادات التي بذمّته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يكون في أن يشترط الواقف في نفس الوقف بقاء بعض أو تمام منافع الوقف مدّة محدّدة أو غير محدّدة، أو أن يستثني من وقفه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يشمل وقف العين المستأجرة قبل انتهاء مدّة الإجارة وسيأتي التنبيه على ذلك عند الحديث في حدود المسألة، ولعلّ الظاهر عدم شمول البحث للمنفعة الموجودة فعلاً كالثمرة واللبن الموجودين كما سيأتي التنبيه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جريان البحث أيضاً في الصدقات حيث يتصدّق أحد على فقير بدار مسلوبة المنفعة مدّة حياة المتصدّق مثلاً، أو مع إيجارها لمدّة طويلة</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380514_2870459653"/>
      <w:bookmarkStart w:id="392" w:name="_Toc156"/>
      <w:bookmarkEnd w:id="391"/>
      <w:r>
        <w:rPr>
          <w:rtl w:val="true"/>
        </w:rPr>
        <w:t>الأمر الثالث</w:t>
      </w:r>
      <w:r>
        <w:rPr>
          <w:rtl w:val="true"/>
        </w:rPr>
        <w:t xml:space="preserve">: </w:t>
      </w:r>
      <w:r>
        <w:rPr>
          <w:rtl w:val="true"/>
        </w:rPr>
        <w:t>الأقوال في المسألة</w:t>
      </w:r>
      <w:bookmarkEnd w:id="392"/>
    </w:p>
    <w:p>
      <w:pPr>
        <w:pStyle w:val="Heading4"/>
        <w:numPr>
          <w:ilvl w:val="3"/>
          <w:numId w:val="1"/>
        </w:numPr>
        <w:rPr/>
      </w:pPr>
      <w:bookmarkStart w:id="393" w:name="__RefHeading___Toc3380516_2870459653"/>
      <w:bookmarkStart w:id="394" w:name="_Toc157"/>
      <w:bookmarkEnd w:id="393"/>
      <w:r>
        <w:rPr>
          <w:rtl w:val="true"/>
        </w:rPr>
        <w:t>اشارة</w:t>
      </w:r>
      <w:bookmarkEnd w:id="3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المسألة مطروحة في ما يبدو في العصور السابقة، وقد نقل للجمهور أقوال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تبلغنا فيها رواية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فقهاء أصحابنا فأوّل من عثرت عليه ممّن تعرّض لهذه المسألة هو ابن الجنيد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حُكي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يشترط الواقف تطوّعاً لنفسه ولمن يولّيه بعده صدقته الأكل لثمرتها أو لقيمتها إذا لم يجعل له تغيير أصلها وجنسها، وكان آخرها إلى أبواب البرّ من المساكين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أصحابنا منعوا من عود نفع الوقف إلى الواقف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له أن يشترط إدرار مؤنته ولا الانتفاع به، لأنّها صدقة، فلا يجوز عود نفعها إليه؛ للأحاديث الدالّة على المنع منه</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xml:space="preserve">، ولعلّ ظاهر العبارة أنّ المنع كان متقدّماً عليه، </w:t>
      </w:r>
      <w:bookmarkStart w:id="395" w:name="pg9153_76376"/>
    </w:p>
    <w:p>
      <w:pPr>
        <w:pStyle w:val="BookText"/>
        <w:rPr/>
      </w:pPr>
      <w:bookmarkEnd w:id="395"/>
      <w:r>
        <w:rPr>
          <w:rFonts w:ascii="Amiri" w:hAnsi="Amiri" w:eastAsia="Amiri" w:cs="Amiri"/>
          <w:color w:val="111111"/>
          <w:sz w:val="28"/>
          <w:sz w:val="28"/>
          <w:szCs w:val="28"/>
          <w:rtl w:val="true"/>
          <w:lang w:bidi="ar-SA"/>
        </w:rPr>
        <w:t>ولم أعثر على من منع من السابقين عليه، وأيضاً يستفاد من عبارته أنّ مستند المنع هو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المسألة أربعة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380518_2870459653"/>
      <w:bookmarkStart w:id="397" w:name="_Toc158"/>
      <w:bookmarkEnd w:id="396"/>
      <w:r>
        <w:rPr>
          <w:rtl w:val="true"/>
        </w:rPr>
        <w:t>القول الأول</w:t>
      </w:r>
      <w:bookmarkEnd w:id="397"/>
    </w:p>
    <w:p>
      <w:pPr>
        <w:pStyle w:val="BookText"/>
        <w:rPr/>
      </w:pPr>
      <w:r>
        <w:rPr>
          <w:rFonts w:ascii="Amiri" w:hAnsi="Amiri" w:eastAsia="Amiri" w:cs="Amiri"/>
          <w:color w:val="111111"/>
          <w:sz w:val="28"/>
          <w:sz w:val="28"/>
          <w:szCs w:val="28"/>
          <w:rtl w:val="true"/>
          <w:lang w:bidi="ar-SA"/>
        </w:rPr>
        <w:t xml:space="preserve">الجواز، وهو ما ذهب إليه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المتأخّرين، قال الشيخ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الظاهر عدم اقتضائها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اقتضاء قاعدة أنّ الوقف يقتضي نقل الملك والمنافع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اشتراط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اشتراط المنافع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الاستثناء له من التسبيل الذي قصده بالوقف؛ لقاعدة المؤمنون والوقوف وغيرهما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استثنى في ضمن إجراء الصيغة من منافع الوقف مقدار مؤنته ما دام حيّاً، أو استثنى نحو ذلك ممّا يعود إليه نفعه، فالظاهر عدم الإشكال فيه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يبعد صحّة وقف العين مع اشتراط بقاء منافعها على ملكه مدّة معيّنة كسنة، أو غير معيّنة مثل مدّة حياته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 ومثله بعض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استثنى في ضمن إجراء الوقف بعض منافع العين الموقوفة لنفسه صحّ؛ لأنّه يعدّ خارجاً عن الوقف لا من الوقف على نفسه </w:t>
      </w:r>
      <w:bookmarkStart w:id="398" w:name="pg9153_76377"/>
    </w:p>
    <w:p>
      <w:pPr>
        <w:pStyle w:val="BookText"/>
        <w:rPr/>
      </w:pPr>
      <w:bookmarkEnd w:id="398"/>
      <w:r>
        <w:rPr>
          <w:rFonts w:ascii="Amiri" w:hAnsi="Amiri" w:eastAsia="Amiri" w:cs="Amiri"/>
          <w:color w:val="111111"/>
          <w:sz w:val="28"/>
          <w:sz w:val="28"/>
          <w:szCs w:val="28"/>
          <w:rtl w:val="true"/>
          <w:lang w:bidi="ar-SA"/>
        </w:rPr>
        <w:t>ليبطل، فيصحّ أن يوقف البستان ويستثني السعف وغصون الأشجار وأوراقها عند اليبس، أو يستثني مقدار أداء ديونه سواء أكان بنحو التوزيع على السنين كلّ سنة كذا، أو بنحو تقديم أداء الديون على الصرف من مصارف الوقف</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3380520_2870459653"/>
      <w:bookmarkStart w:id="400" w:name="_Toc159"/>
      <w:bookmarkEnd w:id="399"/>
      <w:r>
        <w:rPr>
          <w:rtl w:val="true"/>
        </w:rPr>
        <w:t>القول الثاني</w:t>
      </w:r>
      <w:bookmarkEnd w:id="400"/>
    </w:p>
    <w:p>
      <w:pPr>
        <w:pStyle w:val="BookText"/>
        <w:rPr/>
      </w:pPr>
      <w:r>
        <w:rPr>
          <w:rFonts w:ascii="Amiri" w:hAnsi="Amiri" w:eastAsia="Amiri" w:cs="Amiri"/>
          <w:color w:val="111111"/>
          <w:sz w:val="28"/>
          <w:sz w:val="28"/>
          <w:szCs w:val="28"/>
          <w:rtl w:val="true"/>
          <w:lang w:bidi="ar-SA"/>
        </w:rPr>
        <w:t xml:space="preserve">المنع من استثناء الواقف المنافع لنفسه، وأوّل من عثرت على كلامه هو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عندي أنّ الواقف لا يجوز له الانتفاع بما وقفه على حال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بعده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وقف على غيره وشرط قضاء ديونه أو إدرار مؤنته لم يصحّ</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ووافقه الشهيد الأوّل، والمحقّق الكركي، والشهيد الثاني، والمحقّق السبزواري، وصاحب مفتاح الكرامة، وصاحب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قضاء ديونه أو إدرار مؤنته أو الانتفاع به بطل الوقف، بخلاف ما لو وقف على الفقهاء وهو منهم، أو على الفقراء فصار فقيراً فإنّه يشارك</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01" w:name="pg9153_76378"/>
    </w:p>
    <w:p>
      <w:pPr>
        <w:pStyle w:val="BookText"/>
        <w:rPr/>
      </w:pPr>
      <w:bookmarkEnd w:id="401"/>
      <w:r>
        <w:rPr>
          <w:rFonts w:ascii="Amiri" w:hAnsi="Amiri" w:eastAsia="Amiri" w:cs="Amiri"/>
          <w:color w:val="111111"/>
          <w:sz w:val="28"/>
          <w:sz w:val="28"/>
          <w:szCs w:val="28"/>
          <w:rtl w:val="true"/>
          <w:lang w:bidi="ar-SA"/>
        </w:rPr>
        <w:t xml:space="preserve">وقال صاحب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وقف مسكناً وشرط لنفسه السكنى فيه بطل كما صرّح به الحلّي في ما حكي عنه، وكذا صرّح به العلّامة في التحرير وتذكرة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للواقف أن يشرط الانتفاع بما وقفه بأي نحو كان، فلو شرط بطل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ممّا لا خلاف فيه إلّا من الإسكافي على ما حكي، وهو ضعيف</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على ذلك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وقفها واشترط بقاء منافعها على ملكيته مدّة معيّنة كسنة، أو غير معيّنة مثل مدّة حياة ففي صحّته إشكال، لاحتمال رجوعه إلى الوقف على النفس، لأنّه الوقف على نحو يرجع بعض منافعه إليه، والأظهر البطلان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ومثله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3380522_2870459653"/>
      <w:bookmarkStart w:id="403" w:name="_Toc160"/>
      <w:bookmarkEnd w:id="402"/>
      <w:r>
        <w:rPr>
          <w:rtl w:val="true"/>
        </w:rPr>
        <w:t>القول الثالث</w:t>
      </w:r>
      <w:bookmarkEnd w:id="40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ذهب إليه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فبنى على عدم الجواز في حياة الواقف وجوازه بعد وفاته،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عوده إليه في وقف أو عند الحاجة أو وفاء ديونه أو الانتفاع به مدّة أو إعطاء نفقة زوجته أو مملوكه بطل، ويقوى عدم البأس في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أكل أهله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إجارة عبادة تجوز عن الأحياء وكان حيّاً كزيارة وحجّة ونحوهما قوي البطلان</w:t>
      </w:r>
      <w:r>
        <w:rPr>
          <w:rFonts w:eastAsia="Amiri" w:cs="Amiri" w:ascii="Amiri" w:hAnsi="Amiri"/>
          <w:color w:val="111111"/>
          <w:sz w:val="28"/>
          <w:szCs w:val="28"/>
          <w:rtl w:val="true"/>
          <w:lang w:bidi="ar-SA"/>
        </w:rPr>
        <w:t xml:space="preserve">. </w:t>
      </w:r>
      <w:bookmarkStart w:id="404" w:name="pg9153_76379"/>
    </w:p>
    <w:p>
      <w:pPr>
        <w:pStyle w:val="BookText"/>
        <w:rPr/>
      </w:pPr>
      <w:bookmarkEnd w:id="404"/>
      <w:r>
        <w:rPr>
          <w:rFonts w:ascii="Amiri" w:hAnsi="Amiri" w:eastAsia="Amiri" w:cs="Amiri"/>
          <w:color w:val="111111"/>
          <w:sz w:val="28"/>
          <w:sz w:val="28"/>
          <w:szCs w:val="28"/>
          <w:rtl w:val="true"/>
          <w:lang w:bidi="ar-SA"/>
        </w:rPr>
        <w:t>ولو شرط ردّ مظالم عنه أو صدقة أو عبادة أو أداء ديون لزمته في حياته ونحو ذلك قوي القول بالصحّة، وكذا لو وقف على مصارف الأموات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إلحاق ذلك بتبدّل الجهات، ويمكن أن يقال بتبدّل الموضوع بذهاب الحياة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3380524_2870459653"/>
      <w:bookmarkStart w:id="406" w:name="_Toc161"/>
      <w:bookmarkEnd w:id="405"/>
      <w:r>
        <w:rPr>
          <w:rtl w:val="true"/>
        </w:rPr>
        <w:t>القول الرابع</w:t>
      </w:r>
      <w:bookmarkEnd w:id="406"/>
    </w:p>
    <w:p>
      <w:pPr>
        <w:pStyle w:val="BookText"/>
        <w:rPr/>
      </w:pPr>
      <w:r>
        <w:rPr>
          <w:rFonts w:ascii="Amiri" w:hAnsi="Amiri" w:eastAsia="Amiri" w:cs="Amiri"/>
          <w:color w:val="111111"/>
          <w:sz w:val="28"/>
          <w:sz w:val="28"/>
          <w:szCs w:val="28"/>
          <w:rtl w:val="true"/>
          <w:lang w:bidi="ar-SA"/>
        </w:rPr>
        <w:t xml:space="preserve">صحّة الوقف وبطلان خصوص الشرط، وهو ما بنى عليه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 واحتمله صاحب المناهل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 والكلام في هذا القول سيأتي عند الكلام في حدود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فقهائنا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فقهاء الجمهور فقد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الواقف إذا اشترط في الوقف أن ينفق منه على نفسه صحّ الوقف والشرط، نصّ عليه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الوقف رواية واحدة، لأنّ أحمد نصّ عليها في رواية جماعة، وبذلك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وابن شبرمة وأبو يوسف والزبير وابن شريح، وقال مالك والشافعي ومحمّد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لأنّه إزالة الملك فلم يجز اشتراط نفعه لنفسه</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جمهور المالكية ذلك إلّا إذا كان ما استثناه من منفعة الوقف شيئاً يسيراً بحيث لا يتّهم بأنّه أراد حرمان الورثة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407" w:name="pg9153_76380"/>
    </w:p>
    <w:p>
      <w:pPr>
        <w:pStyle w:val="Heading3"/>
        <w:numPr>
          <w:ilvl w:val="2"/>
          <w:numId w:val="1"/>
        </w:numPr>
        <w:rPr/>
      </w:pPr>
      <w:bookmarkStart w:id="408" w:name="__RefHeading___Toc3380526_2870459653"/>
      <w:bookmarkStart w:id="409" w:name="_Toc162"/>
      <w:bookmarkEnd w:id="407"/>
      <w:bookmarkEnd w:id="408"/>
      <w:r>
        <w:rPr>
          <w:rtl w:val="true"/>
        </w:rPr>
        <w:t>الأدلة في المسألة</w:t>
      </w:r>
      <w:bookmarkEnd w:id="409"/>
    </w:p>
    <w:p>
      <w:pPr>
        <w:pStyle w:val="BookText"/>
        <w:rPr/>
      </w:pPr>
      <w:r>
        <w:rPr>
          <w:rFonts w:ascii="Amiri" w:hAnsi="Amiri" w:eastAsia="Amiri" w:cs="Amiri"/>
          <w:color w:val="111111"/>
          <w:sz w:val="28"/>
          <w:sz w:val="28"/>
          <w:szCs w:val="28"/>
          <w:rtl w:val="true"/>
          <w:lang w:bidi="ar-SA"/>
        </w:rPr>
        <w:t xml:space="preserve">قد استدلّ على كلّ من القولين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تتبين أدلّة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بمقتضى القاعدة، وأخرى بالأدلّة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وهو جواز استثناء منافع الوقف لنفسه فقد استدلّ عليه غير واحد</w:t>
      </w:r>
      <w:r>
        <w:rPr>
          <w:rStyle w:val="FootnoteAnchor"/>
          <w:rtl w:val="true"/>
        </w:rPr>
        <w:footnoteReference w:id="433"/>
      </w:r>
      <w:r>
        <w:rPr>
          <w:rFonts w:ascii="Amiri" w:hAnsi="Amiri" w:eastAsia="Amiri" w:cs="Amiri"/>
          <w:color w:val="111111"/>
          <w:sz w:val="28"/>
          <w:sz w:val="28"/>
          <w:szCs w:val="28"/>
          <w:rtl w:val="true"/>
          <w:lang w:bidi="ar-SA"/>
        </w:rPr>
        <w:t>بالأدلّة العامّة وهي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أنّ الوقوف بحسب ما يوقفها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المؤمنون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لزوم الوفاء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الخاصّة فهي ثلاثة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أبي الجارود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من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والصرف على أضيافه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من استثناء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بعض عمّاله وأهاليهم من منافع أوقافه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الأدلّة العامّة على القول الأوّل فهي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 ما دلّ على أنّ الوقوف بحسب ما يوقفها أهلها، وهو ما رواه المشايخ الثلاثة من توقيع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ما يوقفها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الكليني</w:t>
      </w:r>
      <w:r>
        <w:rPr>
          <w:rStyle w:val="FootnoteAnchor"/>
          <w:rtl w:val="true"/>
        </w:rPr>
        <w:footnoteReference w:id="434"/>
      </w:r>
      <w:r>
        <w:rPr>
          <w:rFonts w:ascii="IRNazanin" w:hAnsi="IRNazanin" w:eastAsia="IRNazanin"/>
          <w:color w:val="111111"/>
          <w:sz w:val="28"/>
          <w:sz w:val="28"/>
          <w:szCs w:val="28"/>
          <w:rtl w:val="true"/>
          <w:lang w:bidi="fa-IR"/>
        </w:rPr>
        <w:t>عن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الصدوق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الوقوف وما روي فيها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5"/>
      </w:r>
      <w:r>
        <w:rPr>
          <w:rFonts w:ascii="IRNazanin" w:hAnsi="IRNazanin" w:eastAsia="IRNazanin"/>
          <w:color w:val="111111"/>
          <w:sz w:val="28"/>
          <w:sz w:val="28"/>
          <w:szCs w:val="28"/>
          <w:rtl w:val="true"/>
          <w:lang w:bidi="fa-IR"/>
        </w:rPr>
        <w:t>، ورواه الشيخ أيضاً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محمّد بن الحسن الصفّار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الوقوف وما روي فيها،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غبار على سند الصدوق والشيخ، لوثاقة الصفّار صاحب المكاتبة وسندهما إليه معتبر</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وسند الشيخ في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ذكرته في هذا الكتاب عن محمّد بن الحسن الصفّار فقد أخبرني به الشيخ أبو عبد الله محمّد بن النعمان والحسين بن عبيد الله وأحمد بن عبدون كلّهم عن أحمد بن محمّد بن الحسن بن الوليد،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به أيضاً أبو الحسين بن أبي جيد، عن محمّد بن الحسن بن الوليد،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ذكر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مكاتبات الصفّار مع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موجودة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 الكليني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صحيح أيضاً؛ إذ شيخه محمّد بن يحيى العطّار ثقة، وظاهره أنّه قد اطّلع على المكاتبة بشكل مباشر وعرف صحّة انتساب الخطّ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ولعلّه لذا بنى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على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على ذلك بأنّه لا يعدو كونه قد جزم بما كتبه بعض أصحابنا من دون جزم بخطّ الإمام وصحّة المكاتبة، إلّا إذا كان قد علم بكون البعض هو الصفّار،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الاستدلال بهذا النصّ أنّ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على حسب ما يوقفها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الإلزام بالعمل بمقتضى الوقف بحسب ما يوقفه أهله، وعمومه يفيد العمل بمقتضاه بجميع كيفياته وأنحائه، والشرط من جملة الأنحاء والكيفية، فيجب العمل بمفاده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يناقش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بنظير ما أفاده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آخر</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صدق الوقف مع عدم انقطاع الواقف عن الموقوف؛ لقرب كون الوقف من سنخ الصدقة المبنيّة على حرمان النفس وإيثار الغير، فلا يحرز صدقه عرفاً في المقام، ليتمسّك لصحّته بإطلاق أدلّته المقامية أو اللفظية لو كانت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التأمّل فيه بأنّه إذا كان المقصود هو انقطاع ملكية الواقف عن رقبة الموقوف فمن الواضح تحقّق ذلك في المقام، إذ هو قد حرم نفسه ممّا وقفه وقام بإيثار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المقصود هو انقطاعه عن الموقوف انقطاعاً تامّاً أصلاً ومنفعة </w:t>
      </w:r>
    </w:p>
    <w:p>
      <w:pPr>
        <w:pStyle w:val="BookText"/>
        <w:rPr/>
      </w:pPr>
      <w:r>
        <w:rPr>
          <w:rFonts w:ascii="Amiri" w:hAnsi="Amiri" w:eastAsia="Amiri" w:cs="Amiri"/>
          <w:color w:val="111111"/>
          <w:sz w:val="28"/>
          <w:sz w:val="28"/>
          <w:szCs w:val="28"/>
          <w:rtl w:val="true"/>
          <w:lang w:bidi="ar-SA"/>
        </w:rPr>
        <w:t>وعلى شكل الدوام فهو ممّا لا شاهد على اشتراطه فيه، كما هو الحال في الصدقة، فقد تقدّم آنفاً في حقيقة الوقف أنّه ليس إلّا تحبيس الأصل، وأمّا تسبيل منافعه كلّها فهو ليس من مقوّماته، بل هو ممّا يقتضيه إطلاقه، فلا ينافي الوقف استثناء المنفعة من قبل الواقف لنفسه مدّة من الزمن حتّى لو كانت كلّ المنافع فضلاً عمّا إذا كان البعض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فماذا يقال في وقف العين واشتراط وفاء ديونه الشرعية أو غيرها بعد وفاته من وارداتها، وقد أفتى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ذلك</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وتجدر الإشارة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عدم صحّة اشتراط الواقف أداء ديونه في حال الحياة، لا من جهة عدم صدق الوقف لعدم انقطاع الواقف عن الموقوف، بل لمكاتبة عليّ بن سليمان وصحيح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في معتبرة عليّ بن رئاب</w:t>
      </w:r>
      <w:r>
        <w:rPr>
          <w:rStyle w:val="FootnoteAnchor"/>
          <w:rtl w:val="true"/>
        </w:rPr>
        <w:footnoteReference w:id="441"/>
      </w:r>
      <w:r>
        <w:rPr>
          <w:rFonts w:ascii="Amiri" w:hAnsi="Amiri" w:eastAsia="Amiri" w:cs="Amiri"/>
          <w:color w:val="111111"/>
          <w:sz w:val="28"/>
          <w:sz w:val="28"/>
          <w:szCs w:val="28"/>
          <w:rtl w:val="true"/>
          <w:lang w:bidi="ar-SA"/>
        </w:rPr>
        <w:t>، ومعتبرة منصور بن بزرج</w:t>
      </w:r>
      <w:r>
        <w:rPr>
          <w:rStyle w:val="FootnoteAnchor"/>
          <w:rtl w:val="true"/>
        </w:rPr>
        <w:footnoteReference w:id="442"/>
      </w:r>
      <w:r>
        <w:rPr>
          <w:rFonts w:ascii="Amiri" w:hAnsi="Amiri" w:eastAsia="Amiri" w:cs="Amiri"/>
          <w:color w:val="111111"/>
          <w:sz w:val="28"/>
          <w:sz w:val="28"/>
          <w:szCs w:val="28"/>
          <w:rtl w:val="true"/>
          <w:lang w:bidi="ar-SA"/>
        </w:rPr>
        <w:t>، ومعتبرة الحلبي</w:t>
      </w:r>
      <w:r>
        <w:rPr>
          <w:rStyle w:val="FootnoteAnchor"/>
          <w:rtl w:val="true"/>
        </w:rPr>
        <w:footnoteReference w:id="443"/>
      </w:r>
      <w:r>
        <w:rPr>
          <w:rFonts w:ascii="Amiri" w:hAnsi="Amiri" w:eastAsia="Amiri" w:cs="Amiri"/>
          <w:color w:val="111111"/>
          <w:sz w:val="28"/>
          <w:sz w:val="28"/>
          <w:szCs w:val="28"/>
          <w:rtl w:val="true"/>
          <w:lang w:bidi="ar-SA"/>
        </w:rPr>
        <w:t>، ومعتبرة سليمان بن خالد</w:t>
      </w:r>
      <w:r>
        <w:rPr>
          <w:rStyle w:val="FootnoteAnchor"/>
          <w:rtl w:val="true"/>
        </w:rPr>
        <w:footnoteReference w:id="444"/>
      </w:r>
      <w:r>
        <w:rPr>
          <w:rFonts w:ascii="IRNazanin" w:hAnsi="IRNazanin" w:eastAsia="IRNazanin"/>
          <w:color w:val="111111"/>
          <w:sz w:val="28"/>
          <w:sz w:val="28"/>
          <w:szCs w:val="28"/>
          <w:rtl w:val="true"/>
          <w:lang w:bidi="fa-IR"/>
        </w:rPr>
        <w:t>، وغيرها من الروايات المعتبرة،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مستفيضة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الاستدلال بهذا العموم هو أنّ هذا التعبير كغيره من الجمل الخبرية </w:t>
      </w:r>
    </w:p>
    <w:p>
      <w:pPr>
        <w:pStyle w:val="BookText"/>
        <w:rPr/>
      </w:pPr>
      <w:r>
        <w:rPr>
          <w:rFonts w:ascii="Amiri" w:hAnsi="Amiri" w:eastAsia="Amiri" w:cs="Amiri"/>
          <w:color w:val="111111"/>
          <w:sz w:val="28"/>
          <w:sz w:val="28"/>
          <w:szCs w:val="28"/>
          <w:rtl w:val="true"/>
          <w:lang w:bidi="ar-SA"/>
        </w:rPr>
        <w:t>التي تقوم مقام الإنشاء، ويكون مفاده نفوذ الشرط، وأنّ المؤمنين أو المسلمين ملزمون بالوفاء بالشروط مطلقاً، وشرط بقاء المنافع للواقف من جملة هذه الشروط، فهو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البناء على كون الوقف عقداً أو إيقاعاً؛ فإنّ النصّ شامل لكلّ شرط سواء كان في العقد أو الإيقاع، بل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شامل للشروط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من شمول دليل نفوذ الشروط للمقام، من جهة أنّه ظاهر في نفوذ الشرط للمشروط له على المشروط عليه، ولا مشروط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ما ذكره بأنّه ليس المراد من الشرط في النصّ المذكور غير الإلزام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اللغويون</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دخالة في وجود مشروط عليه في تحقّقهما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الروايات المتعلّقة إنّما هو لزوم الوفاء بالشرط، ومن يصحّ أن يكون مخاطباً بذلك هو المشروط عليه، فلا بدّ من افتراض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أن يجاب عنه بأنّ المتفاهم العرفي من دليل لزوم الوفاء بالشرط هو المفروغية عن نفوذ الشرط، وإنّما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بيان وجوب أن يفي المشروط عليه للمشروط له بشرطه، فليتأمّل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المشروط عليه في المقام هو متولّي الوقف أو </w:t>
      </w:r>
    </w:p>
    <w:p>
      <w:pPr>
        <w:pStyle w:val="BookText"/>
        <w:rPr/>
      </w:pPr>
      <w:r>
        <w:rPr>
          <w:rFonts w:ascii="Amiri" w:hAnsi="Amiri" w:eastAsia="Amiri" w:cs="Amiri"/>
          <w:color w:val="111111"/>
          <w:sz w:val="28"/>
          <w:sz w:val="28"/>
          <w:szCs w:val="28"/>
          <w:rtl w:val="true"/>
          <w:lang w:bidi="ar-SA"/>
        </w:rPr>
        <w:t>الموقوف عليهم، فيلزمهم تمكين الواقف من المنافع المستثناة وعدم الاستحواذ عليها، فلا إشكال في شمول دليل نفوذ الشرط لمحلّ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ورد في مضمرة حمران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السكنى والعمرى؟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فيه عند شروطهم، إن كان شرطه حياته سكن حياته، وإن كان لعقبه فهو لعقبه كما شرط، حتّى يفنوا، ثمّ يردّ إلى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فيه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السكنى والعمرى كالوقف من الإيقاعات، والمشروط عليه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هو سوى من يجعل له الإسكان أو ما بحكمه، فلِم لا يكون في الوقف الموقوف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المعتبرة في صحّة الشرط هو أن لا يكون منافياً لمقتضى العقد وإلّا لم يصحّ</w:t>
      </w:r>
      <w:r>
        <w:rPr>
          <w:rStyle w:val="FootnoteAnchor"/>
          <w:rtl w:val="true"/>
        </w:rPr>
        <w:footnoteReference w:id="449"/>
      </w:r>
      <w:r>
        <w:rPr>
          <w:rFonts w:ascii="Amiri" w:hAnsi="Amiri" w:eastAsia="Amiri" w:cs="Amiri"/>
          <w:color w:val="111111"/>
          <w:sz w:val="28"/>
          <w:sz w:val="28"/>
          <w:szCs w:val="28"/>
          <w:rtl w:val="true"/>
          <w:lang w:bidi="ar-SA"/>
        </w:rPr>
        <w:t xml:space="preserve">، وفي المقام شرط استثناء المنافع منافي لمقتضى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عن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في البين، وإنّما الثابت هو منافاة هذا الشرط لإطلاق الوقف، ولا ضرر في ذلك؛ فإنّ المعتبر في صحّة الشرط هو عدم منافاته لمقتضى العقد لا لإطلاقه، وسيأتي التفصيل في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 منافاة الشرط لمقتضى الوقف فما هو المرجع؟ </w:t>
      </w:r>
    </w:p>
    <w:p>
      <w:pPr>
        <w:pStyle w:val="BookText"/>
        <w:rPr/>
      </w:pPr>
      <w:r>
        <w:rPr>
          <w:rFonts w:ascii="Amiri" w:hAnsi="Amiri" w:eastAsia="Amiri" w:cs="Amiri"/>
          <w:color w:val="111111"/>
          <w:sz w:val="28"/>
          <w:sz w:val="28"/>
          <w:szCs w:val="28"/>
          <w:rtl w:val="true"/>
          <w:lang w:bidi="ar-SA"/>
        </w:rPr>
        <w:t xml:space="preserve">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أنّ المرجع عند الشكّ في مخالفة الشرط لمقتضى العقد هو أصالة عدم المخالفة،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الخارج عن هذا العموم هو الشرط المخالف لمقتضى العقد واقعاً لا ما علم مخالفته، إلّا أنّ البناء على أصالة عدم المخالفة يكفي في إحراز عدمها واقعاً كما في سائر مجاري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وافقه على ذلك الميرزا حبيب الله الرشتي والآخوند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عدم ثبوت المنافاة صحّ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أصالة عدم كون الشرط ممّا وقع بينه وبين مقتضى العقد المنافاة، ومثله باقٍ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يورد على ما ذكروه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من أنّ هذا الأصل من الأصول المثبتة؛ وذلك لأنّ منافاة الشرط لمقتضى الوقف ليست بحكم شرعي ولا موضوع له، وقد ذكر في محلّه أنّه لا يكون مجرى للاستصحاب إلّا الحكم الشرعي أو موضوعه، وإنّما يجرى الأصل هنا لإحراز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مخالفة الشرط للكتاب والسنّة</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عليه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صحّة استصحاب العدم الأزلي من أنّه لا حالة سابقة لمورد الأصل المدّعى كي تستصحب؛ وذلك لأنّ وصف المنافاة أو عدمها لازم للشرط من حين حدوثه، وليس للشرط حالة سابقة كي تستصحب، فجريان هذا الأصل يبتني على مسألة جريان استصحاب العدم الأزلي، وهو محلّ بحث في علم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إطلاق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أَوْفُوا بِالْعُقُودِ فالمراد بالعقد مطلق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 به في معتبرة ابن سنان</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كما روى أيضاً عن الحسين بن محمّد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المعلّى بن محمّد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على وثاقته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12507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عن ابن أبي عمير،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عليهم لعليّ بالخلافة في عشرة مواطن، ثمّ أنزل الله </w:t>
      </w:r>
      <w:r>
        <w:rPr>
          <w:rFonts w:ascii="Amiri" w:hAnsi="Amiri" w:eastAsia="Amiri" w:cs="Amiri"/>
          <w:color w:val="111111"/>
          <w:sz w:val="28"/>
          <w:sz w:val="28"/>
          <w:szCs w:val="28"/>
          <w:rtl w:val="true"/>
          <w:lang w:bidi="ar-SA"/>
        </w:rPr>
        <w:t>يَا أَيُّهَا الَّذِينَ آَمَنُوا أَوْفُوا بِالْعُقُودِ</w:t>
      </w:r>
      <w:r>
        <w:rPr>
          <w:rFonts w:ascii="IRNazanin" w:hAnsi="IRNazanin" w:eastAsia="IRNazanin"/>
          <w:color w:val="111111"/>
          <w:sz w:val="28"/>
          <w:sz w:val="28"/>
          <w:szCs w:val="28"/>
          <w:rtl w:val="true"/>
          <w:lang w:bidi="fa-IR"/>
        </w:rPr>
        <w:t xml:space="preserve"> التي عقدت عليكم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يسمّى عقداً لغة وعرفاً وهو شامل لكلّ عهد أو عقد كان مع الناس أو مع الباري عزّ وجلّ كالنذر والوصية ومنها الوقف، والمراد بوجوب الوفاء هو العمل بما اقتضاه هذا الالتزام في نفسه بحسب دلالته اللفظية، وعليه يحرم بإطلاق الآية جميع ما يكون نقضاً لمضمون الوقف الذي تضمّن شرط بقاء المنفعة للواقف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فسواء قلنا إنّ الوقف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من الإيقاعات الملزمة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شاملة له، لما ذكره غير واحد من أنّ المقصود بالعقد فيها ما يعمّ العقود والإيقاعات والشروط والالتزامات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جمع عقد، وأصله عقد الشيء بغيره وهو وصله به كما يعقد الحبل إذا وصل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فلان بينه وبين فلان عقداً فهو يعقده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عَقَدوا عَقْداً لجارِهمُ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العِناجَ وشَدُّوا فَوْقَه الكَرَبَا</w:t>
      </w:r>
    </w:p>
    <w:p>
      <w:pPr>
        <w:pStyle w:val="BookText"/>
        <w:rPr/>
      </w:pPr>
      <w:r>
        <w:rPr>
          <w:rFonts w:ascii="Amiri" w:hAnsi="Amiri" w:eastAsia="Amiri" w:cs="Amiri"/>
          <w:color w:val="111111"/>
          <w:sz w:val="28"/>
          <w:sz w:val="28"/>
          <w:szCs w:val="28"/>
          <w:rtl w:val="true"/>
          <w:lang w:bidi="ar-SA"/>
        </w:rPr>
        <w:t>وذلك إذا واثقه على أمر عاهده عليه عهداً بالوفاء له بما عاقده عليه من أمان أو ذمّة أو نصرة أو نكاح أو غير ذلك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ascii="Amiri" w:hAnsi="Amiri" w:eastAsia="Amiri" w:cs="Amiri"/>
          <w:color w:val="111111"/>
          <w:sz w:val="28"/>
          <w:sz w:val="28"/>
          <w:szCs w:val="28"/>
          <w:rtl w:val="true"/>
          <w:lang w:bidi="ar-SA"/>
        </w:rPr>
        <w:t>، ثمّ ذكر عدّة أقوال وعلّق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وأقوى هذه الأقوال ما حكيناه عن ابن عبّاس أنّ معناه أوفوا بعقود الله التي أوجبها عليكم، وعقدها في ما أحل لكم وحرّم، وألزمكم فرضه، وبيّن لكم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جميع ذلك ما قالوه إلّا ما كان عقداً على المعاونة على أمر قبيح، فإنّ ذلك محظور بلا خلاف</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منع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من الاستدلال بعموم نفوذ العقود بدعوى أنّ الوقف ليس عقداً، ولكن قد تبيّن أنّ العقد في الآية يعمّ العقود الاصطلاحية </w:t>
      </w:r>
    </w:p>
    <w:p>
      <w:pPr>
        <w:pStyle w:val="BookText"/>
        <w:rPr/>
      </w:pPr>
      <w:r>
        <w:rPr>
          <w:rFonts w:ascii="Amiri" w:hAnsi="Amiri" w:eastAsia="Amiri" w:cs="Amiri"/>
          <w:color w:val="111111"/>
          <w:sz w:val="28"/>
          <w:sz w:val="28"/>
          <w:szCs w:val="28"/>
          <w:rtl w:val="true"/>
          <w:lang w:bidi="ar-SA"/>
        </w:rPr>
        <w:t>والإيقاعات والالتزامات بشهادة اللغة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الأدلّة الخاصّة فقد استدلّ على صحّة استثناء المنافع أو اشتراط بقاء بعض المنافع للواقف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رواه الكليني والشيخ،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يشتري الرجل ما تصدّق به، وإن تصدّق بمسكن على ذي قرابته فإن شاء سكن معهم، وإن تصدّق بخادم على ذي قرابته خدمته إن شاء</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 فإنّه قد ذكر غير واحد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بأنّ المستفاد منها جواز أن يسكن الإنسان داراً أوقفها مع من وقفها عليه، وذلك لا يكون إلّا بوجوه محدّدة، منها أن يكون عنوان الموقوف عليهم منطبقاً عليه، أو يجعل نفسه هو الناظر على الوقف وقد اشترط في الوقف أن يكون للمتولّي حقّ الانتفاع من الوقف، أو يكون قد استثنى بعض المنافع لنفسه، ولم يمنع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من هذه الوجوه، فيثبت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المناقشة في دلالة الرواية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المعلوم أنّ ما تصدّق به كان على نحو الوقف، بل يحتمل أن </w:t>
      </w:r>
    </w:p>
    <w:p>
      <w:pPr>
        <w:pStyle w:val="BookText"/>
        <w:rPr/>
      </w:pPr>
      <w:r>
        <w:rPr>
          <w:rFonts w:ascii="Amiri" w:hAnsi="Amiri" w:eastAsia="Amiri" w:cs="Amiri"/>
          <w:color w:val="111111"/>
          <w:sz w:val="28"/>
          <w:sz w:val="28"/>
          <w:szCs w:val="28"/>
          <w:rtl w:val="true"/>
          <w:lang w:bidi="ar-SA"/>
        </w:rPr>
        <w:t>يكون على نحو السكنى مدّة من الزمن أو العمرى</w:t>
      </w:r>
      <w:r>
        <w:rPr>
          <w:rStyle w:val="FootnoteAnchor"/>
          <w:rtl w:val="true"/>
        </w:rPr>
        <w:footnoteReference w:id="461"/>
      </w:r>
      <w:r>
        <w:rPr>
          <w:rFonts w:ascii="Amiri" w:hAnsi="Amiri" w:eastAsia="Amiri" w:cs="Amiri"/>
          <w:color w:val="111111"/>
          <w:sz w:val="28"/>
          <w:sz w:val="28"/>
          <w:szCs w:val="28"/>
          <w:rtl w:val="true"/>
          <w:lang w:bidi="ar-SA"/>
        </w:rPr>
        <w:t>، أو أنّ ذلك يكون بإذن الموقوف عليه</w:t>
      </w:r>
      <w:r>
        <w:rPr>
          <w:rStyle w:val="FootnoteAnchor"/>
          <w:rtl w:val="true"/>
        </w:rPr>
        <w:footnoteReference w:id="462"/>
      </w:r>
      <w:r>
        <w:rPr>
          <w:rFonts w:ascii="Amiri" w:hAnsi="Amiri" w:eastAsia="Amiri" w:cs="Amiri"/>
          <w:color w:val="111111"/>
          <w:sz w:val="28"/>
          <w:sz w:val="28"/>
          <w:szCs w:val="28"/>
          <w:rtl w:val="true"/>
          <w:lang w:bidi="ar-SA"/>
        </w:rPr>
        <w:t>، فلا يكون له علاقة بمحلّ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يحمل التصدّق على السكنى ونحوها إلّا مع القرينة، فالمتبادر من الصدقة هو الوقف أو نحوه ممّا يوجب نقل الملكية والتأبيد، ولا يوجد في المقام قرينة على السكنى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جواز السكن معهم مع أنّ المنصرف من تصدّقه بالمسكن هو التصدّق بتمامه، وكذا قرن التصدّق بالمسكن بالتصدّق بالخادم مع بقائه في خدمته أيضاً، قرينة على أنّ المراد هو السكنى ونحوها،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الرواية على إذن الموقوف عليهم لا يخلو من بعد، فهو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الموقوف عليهم أو قرابته، وهو يدلّ على لزوم موافقتهم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بصحيح؛ إذ الضمير راجع إلى الواقف نفسه كما هو واضح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ما كان فالظاهر أنّ المنظور في الرواية أنّه يجوز للرجل أن يسكن مع ذي قرابته، ويجوز أن يستخدم خادمه من جهة أنّه من شؤونهم حسب طبيعة الحياة من سكن الأقارب معاً، وخدمة العبد المملوك لهم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قيّده بذي قرابته، ولو أراد استثناء بعض منافعه لنفسه لم يقيّده بذلك، على أنّه كان يسعه أن يكتفي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تصدّق بمسكن على ذي قرابته واشترط السكن معهم فإن شاء سكن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هذه الرواية غير معتبر، لأنّ أحمد بن عديس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الجارود فقد وقع الكلام في وثاقته فبنى على وثاقته الفاضل الخاجوئي والمحقّق النراقي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وأستاذنا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وضعّفه آخرون، منهم المحقّق الحلّي والفاضل الآبي والعلّامة الحلّي وصاحب المدارك والمجلسي الأوّل في بعض كلماته والشيخ الأنصاري والمحقّق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في حين بنى جمع على وثاقته قبل تغيّره وانتحاله مذهباً فاسداً، منهم المجلسي الأوّل في بعض كلماته</w:t>
      </w:r>
      <w:r>
        <w:rPr>
          <w:rStyle w:val="FootnoteAnchor"/>
          <w:rtl w:val="true"/>
        </w:rPr>
        <w:footnoteReference w:id="466"/>
      </w:r>
      <w:r>
        <w:rPr>
          <w:rFonts w:ascii="IRNazanin" w:hAnsi="IRNazanin" w:eastAsia="IRNazanin"/>
          <w:color w:val="111111"/>
          <w:sz w:val="28"/>
          <w:sz w:val="28"/>
          <w:szCs w:val="28"/>
          <w:rtl w:val="true"/>
          <w:lang w:bidi="fa-IR"/>
        </w:rPr>
        <w:t xml:space="preserve">واحتمله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عدّة وجوه للبناء على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في ضمن رسالته في الردّ على أصحاب القول بالعدد في شهر رمضان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رواة الحديث بأنّ شهر رمضان شهر من شهور السنة يكون تسعة وعشرين يوماً ويكون ثلاثين يوماً فهم فقهاء أصحاب أبي جعفر محمّد بن عليّ وأبي عبد الله جعفر بن محمّد وأبي الحسن موسى بن جعفر وأبي الحسن عليّ بن موسى وأبي جعفر محمّد بن عليّ وأبي الحسن عليّ بن محمّد وأبي محمّد الحسن ابن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والأعلام الرؤساء المأخوذ عنهم الحلال والحرام والفتيا والأحكام الذين لا يطعن عليهم، ولا طريق إلى ذمّ واحد منهم، وهم أصحاب الأصول المدوّنة، والمصنّفات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فصّلت أحاديثهم بذلك في كتابي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النور في علامات أوائل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أثبت من ذلك ما يدلّ على تفصيلها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التعابير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فقهاء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الرؤساء المأخوذ عنهم الحلال والحرام والفتيا والأحكام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يطعن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إلى 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بوضوح على علوّ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ووثاقتهم واعتبار رواياتهم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يشكل عليه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 كبار الأصحاب فيهم كأبي الصباح الكناني، ومنصور بن حازم، وابن أبي يعفور، وهارون بن حمزة الغنوي، والفضل بن عبد الملك، وأبي أيّوب الخزّاز، ومحمّد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هذه الأوصاف </w:t>
      </w:r>
    </w:p>
    <w:p>
      <w:pPr>
        <w:pStyle w:val="BookText"/>
        <w:rPr/>
      </w:pPr>
      <w:r>
        <w:rPr>
          <w:rFonts w:ascii="Amiri" w:hAnsi="Amiri" w:eastAsia="Amiri" w:cs="Amiri"/>
          <w:color w:val="111111"/>
          <w:sz w:val="28"/>
          <w:sz w:val="28"/>
          <w:szCs w:val="28"/>
          <w:rtl w:val="true"/>
          <w:lang w:bidi="ar-SA"/>
        </w:rPr>
        <w:t xml:space="preserve">لا تنطبق على جميع من ذكر؛ فإنّ بعضهم ممّن رموا بالضعف والغلوّ كمحمّد بن الفضيل الصيرفي، وبعضهم من أصحاب المذاهب الباطلة كعمّار بن موسى الساباطي وكرّام الخثعمي وأبي الجارود، وبعضهم كان ممّن رمي بالتخليط كجابر الجعفي، وبعضهم لم يرو إلّا روايات محدودة، وبعضهم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العلل المانعة من انطباق هذه الأوصاف عليهم، فهل يصحّ أن يقال عن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 الرؤساء المأخوذ عنهم الحلال والحرام والفتيا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يطعن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إلى ذمّ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علّق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المفيد كان قد عدّهم من غير مراجعة، فعدّ جمعاً ممّن قد اتّفقوا على الطعن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إنّما هو ما تولّد من قناعته بهم، وقد خالفه آخرون، وليس بعزيز اختلافهم في توثيق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مؤدّى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مجرّد التوثيق كي يقال ذلك، بل تعدّى ذلك ليصفهم بالرؤساء والأعلام وليس عليهم من مطعن ونحو ذلك، وهذا لا يجتمع مع الصفات المذكورة فيهم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الأولى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ما ذكره مبنيّ على ضرب من التغليب، وربما بغرض مزيد من التأكيد على بطلان القول بالعدد</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xml:space="preserve">فإنّه لا تعدّ مثل هذه الكلمات توثيقاً أو اعتداداً بالرواة أنفسهم، وإنّما هي طرق </w:t>
      </w:r>
    </w:p>
    <w:p>
      <w:pPr>
        <w:pStyle w:val="BookText"/>
        <w:rPr/>
      </w:pPr>
      <w:r>
        <w:rPr>
          <w:rFonts w:ascii="Amiri" w:hAnsi="Amiri" w:eastAsia="Amiri" w:cs="Amiri"/>
          <w:color w:val="111111"/>
          <w:sz w:val="28"/>
          <w:sz w:val="28"/>
          <w:szCs w:val="28"/>
          <w:rtl w:val="true"/>
          <w:lang w:bidi="ar-SA"/>
        </w:rPr>
        <w:t>لإثبات مقبولية هذه الروايات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الظاهر؛ إذ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توثيقهم ولا سيما أنّه قد عدّ جملة من أسماء الرواة من غير أن يذكر رواياتهم، وحمله على ما ذكر يحتاج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يجاب عن ذلك بأنّه لا غاية له من عدّ الرواة في كتاب جوابات أهل الموصل إلّا الإشارة إلى الروايات التي أوردها في كتابه مصباح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عدّة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فمحلّ كلامه هو الروايات وأنّها معتبرة، وليس مقصوده توثيق هؤلاء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يبقى أنّ عباراته صريحة في التوثيق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يطعن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إلى 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أنّهم جميعهم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الملفت للانتباه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أبي الجارود في هذه الرسالة من طريق محمّد بن سنان في حين قال عنه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يكرهون ما رواه محمّد بن سنان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عدم اعتمادهم رواياته من هذا الطريق، فلعلّ ذلك يشهد بأنّ الشيخ المفيد إنّما قصد الرواة والروايات في الجملة لا بالجملة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كلام ابن الغضائري في وثاقته واعتماد رواياته،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 بن المنذر 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يكرهون ما رواه محمّد بن سنان عنه، ويعتمدون ما رواه محمّد بن بكر الأرحبي</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استفاد منها غير واحد وثاقة نفس أبي الجارود وقبول رواياته، إذ كان </w:t>
      </w:r>
    </w:p>
    <w:p>
      <w:pPr>
        <w:pStyle w:val="BookText"/>
        <w:rPr/>
      </w:pPr>
      <w:r>
        <w:rPr>
          <w:rFonts w:ascii="Amiri" w:hAnsi="Amiri" w:eastAsia="Amiri" w:cs="Amiri"/>
          <w:color w:val="111111"/>
          <w:sz w:val="28"/>
          <w:sz w:val="28"/>
          <w:szCs w:val="28"/>
          <w:rtl w:val="true"/>
          <w:lang w:bidi="ar-SA"/>
        </w:rPr>
        <w:t>الأصحاب يعتمدون على ما رواه، وإنّما يكرهون ما رواه عنه محمّد بن سنان لعلّة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ذكر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يناقش هذا الكلام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أقصى ما يدلّ عليه اعتماد الأصحاب على روايات الأرحبي عن أبي الجارود هو أنّ أبا الجارود لم يكن من الضعفاء جداً الذين لا يعتدّ بشيء من رواياتهم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مقبول الرواية في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كونه ثقة فلا دلالة في ما ذكر عليه، فليتدبّر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يحتمل أن يكون الوجه في ما ذكره ابن الغضائري من التفريق بين ما رواه الأرحبي عن أبي الجارود، وما رواه ابن سنان عنه هو اختلاف حال أبي الجارود نفسه، فقد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وتغيّر لما خرج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Style w:val="FootnoteAnchor"/>
          <w:rtl w:val="true"/>
        </w:rPr>
        <w:footnoteReference w:id="472"/>
      </w:r>
      <w:r>
        <w:rPr>
          <w:rFonts w:ascii="Amiri" w:hAnsi="Amiri" w:eastAsia="Amiri" w:cs="Amiri"/>
          <w:color w:val="111111"/>
          <w:sz w:val="28"/>
          <w:sz w:val="28"/>
          <w:szCs w:val="28"/>
          <w:rtl w:val="true"/>
          <w:lang w:bidi="ar-SA"/>
        </w:rPr>
        <w:t>في الإشارة إلى صيرورته زيدياً وتزعّمه فرقة من فرق الزيدية، وهي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كراهة أصحابنا لما كان يرويه محمّد بن سنان عنه هي من جهة أنّه أدركه بعد تغيّره، بخلاف محمّد بن بكر الأرحبي إذ كانت روايته عنه قبل ذلك، فليتأمّل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التأمّل أنّ الشيخ ذكر في رجاله أنّ محمّد بن بكر الأرحبي مات سنة إحدى وسبعين ومائة وله سبع وسبعون سنة، وخروج زيد كان سنة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فيستبعد أن تكون رواية الأرحبي عن أبي الجارود قبل تغيّره خاصّة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أسانيد كامل الزيارات، وهذا على مبنى من يرى وثاقة كلّ من جاء في أسانيد رواياته كأستاذنا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وقد خالفه سيّد </w:t>
      </w:r>
    </w:p>
    <w:p>
      <w:pPr>
        <w:pStyle w:val="BookText"/>
        <w:rPr/>
      </w:pPr>
      <w:r>
        <w:rPr>
          <w:rFonts w:ascii="IRNazanin" w:hAnsi="IRNazanin" w:eastAsia="IRNazanin"/>
          <w:color w:val="111111"/>
          <w:sz w:val="28"/>
          <w:sz w:val="28"/>
          <w:szCs w:val="28"/>
          <w:rtl w:val="true"/>
          <w:lang w:bidi="fa-IR"/>
        </w:rPr>
        <w:t xml:space="preserve">أساتيذنا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بل عدل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 البحث عنه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بما يغني عن الحديث عنه، ومحصّل ما أفاده أنّه لا يفي بوثاقة كلّ من وقع في 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أسانيد تفسير القمّي، وذلك على مبنى من يرى وثاقة من يقع في أسانيده، كما هو مسلك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هذا الوجه صغرى وكبرى، فهو يشكّك في صحّة نسبة هذه العبارة إلى عليّ بن إبراهيم القمّي، مضافاً إلى عدم استفادة التوثيق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ممّا ذكره ابن الغضائري هو أنّه يمكن الاعتماد على أبي الجارود في الجملة، والاقتصار على ما رواه الأرحبي عنه، وفي مقامنا الراوي عنه ليس هو الأرحبي بل هو أبان، فلذا لدينا علّتان في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وثاقة أحمد بن عديس وأبي الجارود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يستدلّ أيضاً على جواز أن يستثني الواقف المنافع لنفسه بما روي من أنّ </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ينفق على أضيافه ممّا أوقفه، وهو ما رواه الحميري، عن أحمد ابن محمّد بن عيسى،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الحيطان السبعة،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ميراثاً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منها ما ينفق على أضيافه، والنائبة تلزمه، فلمّا قبض جاء العبّاس يخاصم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أنّها وقف،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 والعواف، والحسنى، والصافية، ومال أم إبراهيم، والميثب، والبرقة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عن محمّد بن يحيى، عن أحمد بن محمّد، عن أبي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الحيطان السبعة التي كانت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إنّما كانت وقفاً،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إليه منها ما ينفق على أضيافه، والتابعة يلزمه فيها، فلمّا قبض جاء العبّاس يخاصم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أنّها وقف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 والعواف، والحسنى، والصافية، ومال أم إبراهيم، والميثب، والبرقة</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ومثله ما رواه الصدوق والشيخ مرسلاً</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اتحاد الروايتين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وإسناد الحميري معتبر، وأمّا إسناد الكليني فقد يشكل بالإرسال؛ لأنّ الظاهر أنّ أحمد بن محمّد هو البزنطي بقرينة إسناد الحميري المتقدّم، ولا يروي محمّد بن يحيى عنه إلّا بواسطة، لأنّ محمّد بن يحيى من الطبقة الثامنة، والبزنطي من الطبقة السادسة، </w:t>
      </w:r>
    </w:p>
    <w:p>
      <w:pPr>
        <w:pStyle w:val="BookText"/>
        <w:rPr/>
      </w:pPr>
      <w:r>
        <w:rPr>
          <w:rFonts w:ascii="Amiri" w:hAnsi="Amiri" w:eastAsia="Amiri" w:cs="Amiri"/>
          <w:color w:val="111111"/>
          <w:sz w:val="28"/>
          <w:sz w:val="28"/>
          <w:szCs w:val="28"/>
          <w:rtl w:val="true"/>
          <w:lang w:bidi="ar-SA"/>
        </w:rPr>
        <w:t>ومثله لا يروي عن مثله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يجاب عن ذلك بأنّه وإن كان محمّد بن يحيى لا يروي عن ابن أبي نصر إلّا بواسطة، ولكن الوسائط بينهما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ومحمّد بن الحسين بن أبي الخطّاب، وسهل بن زياد، والأخير لم يتوسّط إلّا في سند واحد من بين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فاحتمال توسّطه في سند الرواية ضعيف لا يعتدّ به، والأوّلان كلاهما ثقة، فيكون السند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الوسيط هو أحمد بن محمّد بن عيسى كما في سند الحميري المتقدّم، وقد نبّه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اسم أحمد بن محمّد بن عيسى في عدّة موارد</w:t>
      </w:r>
      <w:r>
        <w:rPr>
          <w:rStyle w:val="FootnoteAnchor"/>
          <w:rtl w:val="true"/>
        </w:rPr>
        <w:footnoteReference w:id="483"/>
      </w:r>
      <w:r>
        <w:rPr>
          <w:rFonts w:ascii="Amiri" w:hAnsi="Amiri" w:eastAsia="Amiri" w:cs="Amiri"/>
          <w:color w:val="111111"/>
          <w:sz w:val="28"/>
          <w:sz w:val="28"/>
          <w:szCs w:val="28"/>
          <w:rtl w:val="true"/>
          <w:lang w:bidi="ar-SA"/>
        </w:rPr>
        <w:t>، ولا يبعد حذفه هو أو أحمد بن محمّد بن أبي نصر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484"/>
      </w:r>
      <w:r>
        <w:rPr>
          <w:rFonts w:ascii="IRNazanin" w:hAnsi="IRNazanin" w:eastAsia="IRNazanin"/>
          <w:color w:val="111111"/>
          <w:sz w:val="28"/>
          <w:sz w:val="28"/>
          <w:szCs w:val="28"/>
          <w:rtl w:val="true"/>
          <w:lang w:bidi="fa-IR"/>
        </w:rPr>
        <w:t xml:space="preserve">أنّ هذه الأرض كانت لمخيريق،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أوقفها بعد مقتله، ويمكن الاستدلال بها على محلّ الكلام، فإنّ رسول الله إنّما يأخذ منها ما ينفق على أضيافه وهي وقف، فلا بدّ أنّه استثنى بعض المنافع لنفسه كي ينفق منها على أضيافه أو بعض الأمور الأخرى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الخبر المذكور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هذه الحوائط في حياته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الإنفاق منها على أضيافه وما ينوبه، وهو المشار إليه بالتابعة أي ما يتبع الإنسان ممّا يهمّه ويعينه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فرق في الوقف بين أن يكون وقفاً في سبيل الله، أو وقفاً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معتبرة ابن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المنفعة المستثناة في كليهما ممّا تعود إلى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الذي تمّ الوقف عليه يشمل ما يصرف على الضيوف ونحوه، فلا يكون لأجل استثناء المنافع للواقف، فالصدقة لا تختصّ بالفقراء، بل يمكن أن تكون في مطلق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استأذن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فليتأمّل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ولعلّه يمكن أن يستدلّ بما صنعه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في أمواله، كما في معتبرة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أوصى به وقضى به في ماله عبد الله عليّ ابتغاء وجه الله ليولجني به الجنّة، ويصرفني به عن النار، ويصرف النار عني يوم تبيضّ وجوه وتسودّ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كان لي من مال بينبع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لي فيها وما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ورقيقها، غير أنّ رباحاً وأبا نيزر وجبيراً عتقاء ليس لأحد عليهم سبيل، فهم موالي يعملون في المال خمس حجج، وفيه نفقتهم ورزقهم وأرزاق أهاليهم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لي بديمة وأهلها صدقة غير أنّ زريقاً له مثل ما كتبت لأصحابه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خبر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نيزر ورباحاً وجبيراً عتقوا على أن يعملوا في المال خمس سنين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معتبرة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 حرّ وعليه عمالة كذا وكذا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حرّ، وعليه العمالة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ليلى يزعم أنّه حرّ وليس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أبا نيزر وعياضاً ورياحاً وعليهم عمالة كذا وكذا سنة، ولهم رزقهم وكسوتهم بالمعروف في تلك السنين</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النصوص أنّ كلَّاً من أبي نيزر ورباح أو رياح وجبير أو عياض كانوا من الموالي الذين اعتقوا بشرط أن يستمرّوا بالعمل لسنين محدّدة، ولهم نفقتهم وأهليهم من منفعة هذا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الموالي في فترة عملهم ليسوا أحراراً بل هم موالي حتّى يتمّوا ما اشترط عليهم، ومن ثَمّ فنفقتهم ونفقة أهاليهم في هذه الفترة على مولاهم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فاستثناء هذه النفقة إنّما هو استثناء لما تعود منفعته للواقف، فيمكن الاستدلال بها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استثناه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أجرهم على عملهم وليس نفقتهم، فتكون أجنبيّة عن محلّ الكلام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المولى في الأرض إنّما هو ملك لمولاه ما دام لم يعتق، </w:t>
      </w:r>
    </w:p>
    <w:p>
      <w:pPr>
        <w:pStyle w:val="BookText"/>
        <w:rPr/>
      </w:pPr>
      <w:r>
        <w:rPr>
          <w:rFonts w:ascii="Amiri" w:hAnsi="Amiri" w:eastAsia="Amiri" w:cs="Amiri"/>
          <w:color w:val="111111"/>
          <w:sz w:val="28"/>
          <w:sz w:val="28"/>
          <w:szCs w:val="28"/>
          <w:rtl w:val="true"/>
          <w:lang w:bidi="ar-SA"/>
        </w:rPr>
        <w:t>فلا يكون له في مقابله أجر، إلّا إذا أراد المولى أن يجعل له على ذلك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عدم كون ذلك أجراً في قبال عملهم أنّه لم تذكر نفقتهم ولا نفقة أهاليهم في خبر عبد الرحمن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هناك كلام في أنّ نفقة زوجة المولى في فترة المكاتبة هل تكون على زوجها أو على السيّد، هذا فيما إذا لم تكن أمة للسيّد، وإلّا فإنّ نفقتها على مولاها، ولا يعلم حال المذكورين في زمن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كانت زوجاتهم وأهاليهم مملوكين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وهل كانت مكاتبتهم مشروطة أو مطلقة؟ فليتأمّل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وجه لتأييد ما ذكر من استثناء الواقف المنافع لنفسه بما رواه الصدوق والشيخ، عن مهران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أن يناح عليه سبعة مواسم، فأوقف لكلّ موسم مالاً ينفق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يبعد أن يكون المراد من الوقف هنا بمعنى الجعل والتحديد، فيكون مؤدّى الرواية هو الوصية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التعرّض له في هذه الحلقة، وستأتي بقية الكلام في الحلقة اللاحقة إن شاء الله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9153_76403"/>
      <w:bookmarkStart w:id="411" w:name="pg9153_76403"/>
      <w:bookmarkEnd w:id="411"/>
    </w:p>
    <w:p>
      <w:pPr>
        <w:pStyle w:val="Heading2"/>
        <w:numPr>
          <w:ilvl w:val="1"/>
          <w:numId w:val="1"/>
        </w:numPr>
        <w:rPr/>
      </w:pPr>
      <w:bookmarkStart w:id="412" w:name="pg9153_76403"/>
      <w:bookmarkStart w:id="413" w:name="__RefHeading___Toc3380528_2870459653"/>
      <w:bookmarkStart w:id="414" w:name="_Toc163"/>
      <w:bookmarkEnd w:id="412"/>
      <w:bookmarkEnd w:id="413"/>
      <w:r>
        <w:rPr>
          <w:rtl w:val="true"/>
        </w:rPr>
        <w:t xml:space="preserve">القرائن المعنويّة العامّة وأثرها في الدّلالة </w:t>
      </w:r>
      <w:r>
        <w:rPr>
          <w:rtl w:val="true"/>
        </w:rPr>
        <w:t>(</w:t>
      </w:r>
      <w:r>
        <w:rPr>
          <w:rtl w:val="true"/>
        </w:rPr>
        <w:t>مناسبة الحكم والموضوع أنموذجاً</w:t>
      </w:r>
      <w:r>
        <w:rPr>
          <w:rtl w:val="true"/>
        </w:rPr>
        <w:t>) (</w:t>
      </w:r>
      <w:r>
        <w:rPr>
          <w:rtl w:val="true"/>
        </w:rPr>
        <w:t>الحلقة الاولی</w:t>
      </w:r>
      <w:r>
        <w:rPr>
          <w:rtl w:val="true"/>
        </w:rPr>
        <w:t xml:space="preserve">) - </w:t>
      </w:r>
      <w:r>
        <w:rPr>
          <w:rtl w:val="true"/>
        </w:rPr>
        <w:t xml:space="preserve">الشّيخ عليّ الجزيريّ </w:t>
      </w:r>
      <w:r>
        <w:rPr>
          <w:rtl w:val="true"/>
        </w:rPr>
        <w:t>(</w:t>
      </w:r>
      <w:r>
        <w:rPr>
          <w:rtl w:val="true"/>
        </w:rPr>
        <w:t>دام عزه</w:t>
      </w:r>
      <w:r>
        <w:rPr>
          <w:rtl w:val="true"/>
        </w:rPr>
        <w:t>)</w:t>
      </w:r>
      <w:bookmarkEnd w:id="414"/>
    </w:p>
    <w:p>
      <w:pPr>
        <w:pStyle w:val="Heading3"/>
        <w:numPr>
          <w:ilvl w:val="2"/>
          <w:numId w:val="1"/>
        </w:numPr>
        <w:rPr/>
      </w:pPr>
      <w:bookmarkStart w:id="415" w:name="__RefHeading___Toc3380530_2870459653"/>
      <w:bookmarkStart w:id="416" w:name="_Toc164"/>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يتناول هذا البحث مفردة هامّة من مفردات الفقه الحديث، لها حضور واسع في كلمات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عصر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يومنا هذا،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مناسبات الحكم والموضوع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حاولنا من خلاله استنطاق كلمات العلماء في موارد توظيفهم لهذه المناسبات، وما تنطوي عليه هذه الكلمات من فوائد وفرائد علميّة كثيرة لها دورها البارز في استنباط الحكم الشرعيّ من مظانّه المقرّرة، وما ذاك إلّا من أجل رسم حدود القاعدة وأبعاد المسألة، وإعطاء القانون وتأصيل الضابطة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مناسبات الحكم والموضوع عند بعض العلماء من القرائن المهمّة التي يعوّل عليها الفقيه في كثير من المقامات، ولكنّها عند بعضهم من الأدلّة المستقلّة، ولو فتّشت في بحوث علمائنا المعاصرين لعلّك لن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واحداً لا يعمل بهذه المناسبات في أبحاثه الفقهية والأصولية، ويعبّرون عنها غالباً بأنّها قرائن عرفية ارتكازية من قبيل القرائن اللبّية المتّصلة التي تصرف الكلام عن ظاهره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البيان الموجز لطبيعة مناسبات الحكم والموضوع نكون قد وضعنا أناملنا على الوجه الصناعي لحجّيتها، فهي ترجع وفق رأي بعض العلماء إلى نحوٍ من أنحاء الظهور، وإذا كان الظهور حجّة فلا يفرّق فيه بين مناشئ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يسمّي حكمة التشريع باسم مناسبة الحكم والموضوع فليس الوجه في حجّيتها عنده منحصراً في رجوعها إلى الظهور، بل ربّما رجع إلى حجّية القطع، أو حجّية </w:t>
      </w:r>
    </w:p>
    <w:p>
      <w:pPr>
        <w:pStyle w:val="BookText"/>
        <w:rPr/>
      </w:pP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رأي آخر لبعض العلماء يرى أنّ مناسبة الحكم والموضوع دليلٌ مستقلّ؛ ولذا يمكن الاعتماد عليها حتّى في الأدلّة اللبّية كالإجماع مثلاً، والقائل بذلك هو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التعرّض لكلامه مفصّلاً، ومن الواضح أنّ تفسيره لهذه المناسبات لا يستند إلى حجّية الظهور، فيحتاج أن يُلتمس لها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مشكورة في رسم أبعاد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مبعثرة في فقهه وأصوله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سعى في هذه المواضع المختلفة لتقنين هذه المسألة من خلال تحليل طبيعة هذا الارتكاز الموجود عند العرف، وأنّه عبارة عن خبرة مشتركة، وذهنية موحّدة بين أفراد المجتمع، تشكّل أساساً لمرتكزات عامّة وذوق مشترك في مجالات عديدة بما فيها المجال التشريعي والتقنيني، وعلى ضوئها يفهم الفقيه بأنّ الشيء الذي يناسب أن يكون موضوعاً لحكم من الأحكام أوسع نطاقاً من الأشياء المنصوص عليها في الصيغة اللفظية، وعبّر عن هذه الظاهرة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الاجتماعي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تختلف عن الفهم اللفظي واللغوي للنصّ الذي يعني تحديد الدلالات الوضعية والسياقية للكلام</w:t>
      </w:r>
      <w:r>
        <w:rPr>
          <w:rStyle w:val="FootnoteAnchor"/>
          <w:rtl w:val="true"/>
        </w:rPr>
        <w:footnoteReference w:id="491"/>
      </w:r>
      <w:r>
        <w:rPr>
          <w:rFonts w:ascii="Amiri" w:hAnsi="Amiri" w:eastAsia="Amiri" w:cs="Amiri"/>
          <w:color w:val="111111"/>
          <w:sz w:val="28"/>
          <w:sz w:val="28"/>
          <w:szCs w:val="28"/>
          <w:rtl w:val="true"/>
          <w:lang w:bidi="ar-SA"/>
        </w:rPr>
        <w:t xml:space="preserve">وإن كنّا نرى أنّ هذا ليس تفسيراً لما يعتمد عليه الفقهاء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بيان لقرينة عامّة يسمّيها هو مناسبة الحكم والموضوع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فقد 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المنظور من مشكلة تواجه الفقيه عند </w:t>
      </w:r>
    </w:p>
    <w:p>
      <w:pPr>
        <w:pStyle w:val="BookText"/>
        <w:rPr/>
      </w:pPr>
      <w:r>
        <w:rPr>
          <w:rFonts w:ascii="Amiri" w:hAnsi="Amiri" w:eastAsia="Amiri" w:cs="Amiri"/>
          <w:color w:val="111111"/>
          <w:sz w:val="28"/>
          <w:sz w:val="28"/>
          <w:szCs w:val="28"/>
          <w:rtl w:val="true"/>
          <w:lang w:bidi="ar-SA"/>
        </w:rPr>
        <w:t>استنباط الحكم الشرعي، وهي أنّ كثيراً من الأحكام بيّنت عن طريق الجواب على أسئلة الرواة، ولم تبيّن بصورة ابتدائية وبلغة تقنينية، فكيف نتعدّى عن هذه الحالات الخاصّة إلى جعل تقنين عامٍّ؟</w:t>
      </w:r>
    </w:p>
    <w:p>
      <w:pPr>
        <w:pStyle w:val="BookText"/>
        <w:rPr/>
      </w:pPr>
      <w:r>
        <w:rPr>
          <w:rFonts w:ascii="Amiri" w:hAnsi="Amiri" w:eastAsia="Amiri" w:cs="Amiri"/>
          <w:color w:val="111111"/>
          <w:sz w:val="28"/>
          <w:sz w:val="28"/>
          <w:szCs w:val="28"/>
          <w:rtl w:val="true"/>
          <w:lang w:bidi="ar-SA"/>
        </w:rPr>
        <w:t>وأجاب عنه بأنّ مناسبة الحكم والموضوع تقضي بأنّ بيان الأحكام على تلك الحالات الخاصّة لم يكن في جميع الموارد نتيجة لاختصاصها بها، وإنّما نشأ عن اختصاص السؤال بتلك الحالات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في بحوثه الفقهية والأصولية سلّط الضوء كثيراً على طبيعة مناسبات الحكم والموضوع، وحاول استكناه حقيقة هذه القرينة، والحدود التي يمكن أن نعتمد فيها عليها، فهو يؤكّد في بحوثه في شرح العروة الوثقى على أنّ مناسبة الحكم والموضوع الارتكازية لمّا كانت ليست بنفسها موضوعاً للحجّية، وإنّما هي منشأ لإيجاد الظهور في الدليل اللفظي بوصفها من القرائن اللبّية المتّصلة به، وهذا الظهور هو موضوع الحجّية، فلا يتصوّر جريانها في الأدلّة اللبّية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إعجابه بالتفصيل الذي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وحاصل هذا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الاعتماد على مناسبات الحكم والموضوع في استنباط الحكم من النصّ إذا كان النصّ مرتبطاً بالعبادات؛ وذلك لأنّ نظام العبادات نظام غيبي لا تحكم عليه الارتكازات الاجتماعية، ولا صلة لها به، وأمّا إذا كان النصّ مرتبطاً بمجال حياتي اجتماعي من قبيل المعاملات </w:t>
      </w:r>
    </w:p>
    <w:p>
      <w:pPr>
        <w:pStyle w:val="BookText"/>
        <w:rPr/>
      </w:pPr>
      <w:r>
        <w:rPr>
          <w:rFonts w:ascii="Amiri" w:hAnsi="Amiri" w:eastAsia="Amiri" w:cs="Amiri"/>
          <w:color w:val="111111"/>
          <w:sz w:val="28"/>
          <w:sz w:val="28"/>
          <w:szCs w:val="28"/>
          <w:rtl w:val="true"/>
          <w:lang w:bidi="ar-SA"/>
        </w:rPr>
        <w:t>فيجيء دور الفهم الاجتماعي للنصّ</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والملاحظ أنّ الفقهاء يتمسّكون بمناسبة الحكم والموضوع كثيراً حتّى في أبواب العبادات المحضة، كالصلاة والصوم وغيرهما، وهذا يدعونا لإعادة النظر في حقيقة هذه المناسبة وحدودها، خصوصاً أنّها في بعض المساحات الضيّقة قد تشتبه بالقياس المردوع عن اشتمام رائحته في الشرع، وحيث إنّهم لم يفردوا لها عنواناً بالبحث، ولم يحرّروا حقيقتها بشكل تركن إليه النفس، مسّت الحاجة إلى إعادة النظر في موارد اعتمادهم عليها؛ لنستخرج بذلك ضابطةً نستطيع الاعتماد عليها في ممارساتنا الفقهية الاستدلالية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الرسالة تسعى لمعالجة هذه القضية بمقدار ما يقتضيه المقام، أسأل الله تعالى بنيّة صادقة أن لا يحرمني أجرها، ويعمّ على جميع المحصّلين نفعها وخيرها</w:t>
      </w:r>
      <w:r>
        <w:rPr>
          <w:rFonts w:eastAsia="Amiri" w:cs="Amiri" w:ascii="Amiri" w:hAnsi="Amiri"/>
          <w:color w:val="111111"/>
          <w:sz w:val="28"/>
          <w:szCs w:val="28"/>
          <w:rtl w:val="true"/>
          <w:lang w:bidi="ar-SA"/>
        </w:rPr>
        <w:t xml:space="preserve">. </w:t>
      </w:r>
      <w:bookmarkStart w:id="417" w:name="pg9153_76409"/>
    </w:p>
    <w:p>
      <w:pPr>
        <w:pStyle w:val="BookText"/>
        <w:rPr/>
      </w:pPr>
      <w:bookmarkEnd w:id="417"/>
      <w:r>
        <w:rPr>
          <w:rFonts w:ascii="Amiri" w:hAnsi="Amiri" w:eastAsia="Amiri" w:cs="Amiri"/>
          <w:color w:val="111111"/>
          <w:sz w:val="28"/>
          <w:sz w:val="28"/>
          <w:szCs w:val="28"/>
          <w:rtl w:val="true"/>
          <w:lang w:bidi="ar-SA"/>
        </w:rPr>
        <w:t>القرائن المعنوية العامّة وأثرها في الدلالة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 أنموذجاً</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3380532_2870459653"/>
      <w:bookmarkStart w:id="419" w:name="_Toc165"/>
      <w:bookmarkEnd w:id="418"/>
      <w:r>
        <w:rPr>
          <w:rtl w:val="true"/>
        </w:rPr>
        <w:t>مقدّمة</w:t>
      </w:r>
      <w:bookmarkEnd w:id="419"/>
    </w:p>
    <w:p>
      <w:pPr>
        <w:pStyle w:val="Heading4"/>
        <w:numPr>
          <w:ilvl w:val="3"/>
          <w:numId w:val="1"/>
        </w:numPr>
        <w:rPr/>
      </w:pPr>
      <w:bookmarkStart w:id="420" w:name="__RefHeading___Toc3380534_2870459653"/>
      <w:bookmarkStart w:id="421" w:name="_Toc166"/>
      <w:bookmarkEnd w:id="420"/>
      <w:r>
        <w:rPr>
          <w:rtl w:val="true"/>
        </w:rPr>
        <w:t>أثر القرائن المعنوية في الدلالة</w:t>
      </w:r>
      <w:bookmarkEnd w:id="421"/>
    </w:p>
    <w:p>
      <w:pPr>
        <w:pStyle w:val="BookText"/>
        <w:rPr/>
      </w:pPr>
      <w:r>
        <w:rPr>
          <w:rFonts w:ascii="Amiri" w:hAnsi="Amiri" w:eastAsia="Amiri" w:cs="Amiri"/>
          <w:color w:val="111111"/>
          <w:sz w:val="28"/>
          <w:sz w:val="28"/>
          <w:szCs w:val="28"/>
          <w:rtl w:val="true"/>
          <w:lang w:bidi="ar-SA"/>
        </w:rPr>
        <w:t>قد يقوم الدليل اللفظي على حكمٍ ما بأن نجد آية أو رواية تثبت الحكم، فإنْ كانت النسبة بين دلالة مفردات الآية أو الرواية، وبين الحكم الذي يفتي به الفقيه، هي التساوي، وكان الدليل بحسب ما تفيده ألفاظه مطابقاً للفتوى، فلا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الدليل بحسب دلالة مفرداته لا يتطابق دائماً مع فتوى الفقهاء، بل قد يكون اللفظ الوارد في الدليل أعمّ من الحكم الذي يثبته الفقيه، وقد يكون لفظ الدليل أخصّ ولكنّ الفقيه يفهم من الدليل الذي لفظه عامّ معنىً خاصّاً، أو يفهم من الدليل الذي لفظه أو مورده خاصّ معنىً عامّاً من دون أن يكون في الدليل قرينة لفظية يستند إليها الفقيه في حمله اللفظ العامّ على المعنى الخاصّ، أو في حمله اللفظ الخاصّ على المعنى العامّ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كثير من الناس في أخطاء فاحشة لغفلتهم عن أثر القرائن غير اللفظية، فظنّوا ما ليس بعامّ عامّاً، ومن أعظم ما ترتّب على هذه الغفلة اتّهام أهل القبلة بالشرك؛ لتوهّم أنّ كلّ آية منعت من دعاء غير الله تعالى يراد بها المنع عن مطلق الدعاء، وأنّ كلّ آية عدّت الاستعانة بغير الله تعالى شركاً، فالمقصود بها مطلق الاستعانة، ومن الوهم الآتي من هذا الباب أيضاً ما بني عليه من ردّ الرواية التي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 حسنة لا يضرّ معه سيّئة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يظنّ أنّ الفقهاء يحملون النصّ الشرعي على غير ما أريد به اتّباعاً للهوى، أو استحساناً، أو تبرّعاً من دون موجب للحمل، أو تحكّماً من 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الظنّ ليس في محلّه؛ فإنّ العلماء قد تنبّهوا لأثر القرائن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الكلام منذ عهد بعيد،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لفظه عامّ ومعناه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أريد به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أنّهم أدركوا أنّ اللفظ العامّ محفوف بقرينة معنوية دلّت على أنّ المراد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عبارات العلماء في تسمية هذه القرينة المعنوية، وتخريج مثل هذا الفهم، ليس في الفقه فقط، بل في التفسير، وفي شرح الحديث، وغيرها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عندنا هي وجوه التخريج التي جاءت على لسان الفقهاء، وهي عديدة، كمفهوم الموافقة، والأولوية، وقياس المساواة، والجزم بالخصوصية أو بعدمها، والحمل على المثالية، وتنقيح المناط، والانصراف، وحكمة التشريع، والقرينة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والقرينة المعنوية، والقرينة العقلية، وفهم العرف، والارتكاز العرفي، والارتكاز العقلائي، والذوق السليم، وشمّ الفقاهة، ومعرفة لحن القول ومعاريضه، والمخصّص العقلي، والمخصّص المعنوي، وعدم تعقّل الفرق، والأنسب بالحكم، والأقرب إلى الاعتبار، والورود في مورد الامتنان، وأقرب المجازات، والمخصص اللبّي، والجميع يشترك في أنّها قرائن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ملفوظة</w:t>
      </w:r>
      <w:r>
        <w:rPr>
          <w:rFonts w:eastAsia="Amiri" w:cs="Amiri" w:ascii="Amiri" w:hAnsi="Amiri"/>
          <w:color w:val="111111"/>
          <w:sz w:val="28"/>
          <w:szCs w:val="28"/>
          <w:rtl w:val="true"/>
          <w:lang w:bidi="ar-SA"/>
        </w:rPr>
        <w:t xml:space="preserve">). </w:t>
      </w:r>
      <w:bookmarkStart w:id="422" w:name="pg9153_76411"/>
    </w:p>
    <w:p>
      <w:pPr>
        <w:pStyle w:val="BookText"/>
        <w:rPr/>
      </w:pPr>
      <w:bookmarkEnd w:id="422"/>
      <w:r>
        <w:rPr>
          <w:rFonts w:ascii="Amiri" w:hAnsi="Amiri" w:eastAsia="Amiri" w:cs="Amiri"/>
          <w:color w:val="111111"/>
          <w:sz w:val="28"/>
          <w:sz w:val="28"/>
          <w:szCs w:val="28"/>
          <w:rtl w:val="true"/>
          <w:lang w:bidi="ar-SA"/>
        </w:rPr>
        <w:t>ولعلّك تجد بينها عبارات متعدّدة لمعنىً واحد، وربّما كان بعضها تطويراً لبعض وتحسيناً له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380536_2870459653"/>
      <w:bookmarkStart w:id="424" w:name="_Toc167"/>
      <w:bookmarkEnd w:id="423"/>
      <w:r>
        <w:rPr>
          <w:rtl w:val="true"/>
        </w:rPr>
        <w:t>أهمّية القرائن المعنوية</w:t>
      </w:r>
      <w:bookmarkEnd w:id="424"/>
    </w:p>
    <w:p>
      <w:pPr>
        <w:pStyle w:val="BookText"/>
        <w:rPr/>
      </w:pPr>
      <w:r>
        <w:rPr>
          <w:rFonts w:ascii="Amiri" w:hAnsi="Amiri" w:eastAsia="Amiri" w:cs="Amiri"/>
          <w:color w:val="111111"/>
          <w:sz w:val="28"/>
          <w:sz w:val="28"/>
          <w:szCs w:val="28"/>
          <w:rtl w:val="true"/>
          <w:lang w:bidi="ar-SA"/>
        </w:rPr>
        <w:t xml:space="preserve">ولعمري إنّ تأثير القرائن غير الملفوظة على دلالة الكلام أكبر وأكثر من تأثير القرائن الملفوظة، بل لا نكاد نجد جملةً تخلو من قرينة أو أكثر من القرائن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الملفوظة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ذلك في اللغة العربية، أم في غيرها من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أثر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خُصّت الأحكام بموارد الأخبار وإن لم تعلم الخصوصية لضاقت الشريعة، ولزم القول بجملة من الأحكام من غير دليل، وهو ظاهر البطلان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وقال عن بعض القرائن المعنوية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يخفى أنّ جُلّ الأحكام الشرعية التي صارت عند الأصحاب قواعد كلّية إنّما استفيد حكمها من جزئيات السؤالات المخصوصة، وخصوص وقائع جزئية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مبلغ أثر قرينة واحدة من القرائن المعنوية فكيف بتأثيرها بأجمعها؟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ولعلماء أصول الفقه وعلوم القرآن كلمات جيّدة في إيضاح بعض القرائن، لكنّي لم أجد تحريراً مستوعباً لهذه القرائن وأنواعها، ومقدار أثرها على الدلالة، وشروط تأثيرها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حريّاً بعلم الأصول أن يعقد لهذه القرائن مسائل عديدة لدراستها؛ فإنّها جديرة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قد غفلوا عن هذه القرائن، أو غفلوا عن أثرها على الدلالة؛ فإنّ كلّ عارف بالكلام يعرف أثر القرائن المعنوية، حتّى لو كان طفلاً صغيراً ولو كان في الخامسة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علم الأصول لم يوضع للتنبيه على القواعد التي يغفل عنها الناس، بل الغرض منه عصمة استنباط الأحكام عن الخلل، حاله حال علم المنطق الذي دوّنت فيه قواعد يجري عليها كلّ عاقل، حتّى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علم النحو الذي كتبت فيه قواعد يجري عليها المتكلّم الفصيح بالعربية وإن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العلماء وضعوا المنطق لصيانة التفكير عن الخطأ، والنحو لصيانة اللسان عن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علم الأصول، وضع لصيانة صناعة الاستنباط عن الخطأ، ببيان القواعد التي تراعى فيه، وبيان شروطها، وحدود ما تثبته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يدخلوا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القرائن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أصول الفقه، لصيانة استنباط الأحكام عن الخلل الناشئ من الغفلة عن القرائن غير الملفوظة، أو الغفلة عن شروطها، أو عن مقدار أثرها،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القرائن المعنوية كثيرة، وربّما غفل أهل المحاورة عن بعضها، ولكنّهم لا يغفلون عن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القرائن العامّة منها قليلة، ويمكن أن تدخل في علم الأصول 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ضوابطها، وشروطها، ومقدار تأثيرها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إنّنا أشرنا إلى حجّة من رمى أهل القبلة بالشرك، بسبب غفلته عن أثر </w:t>
      </w:r>
    </w:p>
    <w:p>
      <w:pPr>
        <w:pStyle w:val="BookText"/>
        <w:rPr/>
      </w:pPr>
      <w:r>
        <w:rPr>
          <w:rFonts w:ascii="Amiri" w:hAnsi="Amiri" w:eastAsia="Amiri" w:cs="Amiri"/>
          <w:color w:val="111111"/>
          <w:sz w:val="28"/>
          <w:sz w:val="28"/>
          <w:szCs w:val="28"/>
          <w:rtl w:val="true"/>
          <w:lang w:bidi="ar-SA"/>
        </w:rPr>
        <w:t>القرائن في تقييد المطلقات، فيحسن بنا أن ننبّه على كلام بعض أسلافه في ذلك، وأهل مذهبه، فإنّه بالقبول منهم أحقّ، وبالأخذ عنهم أرجى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نزل من الكتاب عامّ الظاهر يراد به كلّه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هم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فمخرج اللفظ عامّ على الناس كلّهم، وبيّنٌ عند أهل العلم منهم أنّه إنّما يراد بهذا اللفظ العامّ المخرج بعض الناس دون بعض</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التمهيد لما في 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ومعروف من كلام العرب الإتيان بلفظ العموم والمراد به الخصوص، ألا ترى إلى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وهذه الإشارة في الناس إنّما هي إلى رجل واحد أخبر أصحاب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قريشاً جمعت لهم، وجاء اللفظ كما ترى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تَذَرُ مِن شَيْءٍ أَتَتْ عَلَيْهِ ومثل هذا كثير لا يجهله إلّا من لا عناية له بالعلم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25" w:name="pg9153_76414"/>
    </w:p>
    <w:p>
      <w:pPr>
        <w:pStyle w:val="BookText"/>
        <w:rPr/>
      </w:pPr>
      <w:bookmarkEnd w:id="425"/>
      <w:r>
        <w:rPr>
          <w:rFonts w:ascii="Amiri" w:hAnsi="Amiri" w:eastAsia="Amiri" w:cs="Amiri"/>
          <w:color w:val="111111"/>
          <w:sz w:val="28"/>
          <w:sz w:val="28"/>
          <w:szCs w:val="28"/>
          <w:rtl w:val="true"/>
          <w:lang w:bidi="ar-SA"/>
        </w:rPr>
        <w:t xml:space="preserve">وقال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العامّ ويراد به الخاصّ لا يحتاج إلى دليل لكثرته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الطاهر 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والتنوير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تعميم ما قصد منه الخصوص، ولا إطلاق ما قصد منه التقييد؛ لأنّ ذلك قد يفضي إلى التخليط في المراد، أو إلى إبطاله من أصله وقد اغتر بعض الفرق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 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عمدوا إلى آيات الوعيد النازلة في المشركين، فوضعوها على المسلمين، فجاؤوا ببدعة القول بالتكفير بالذنب</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3380538_2870459653"/>
      <w:bookmarkStart w:id="427" w:name="_Toc168"/>
      <w:bookmarkEnd w:id="426"/>
      <w:r>
        <w:rPr>
          <w:rtl w:val="true"/>
        </w:rPr>
        <w:t>أهمّ موارد القرائن المعنويّة العامّة</w:t>
      </w:r>
      <w:bookmarkEnd w:id="427"/>
    </w:p>
    <w:p>
      <w:pPr>
        <w:pStyle w:val="BookText"/>
        <w:rPr/>
      </w:pPr>
      <w:r>
        <w:rPr>
          <w:rFonts w:ascii="Amiri" w:hAnsi="Amiri" w:eastAsia="Amiri" w:cs="Amiri"/>
          <w:color w:val="111111"/>
          <w:sz w:val="28"/>
          <w:sz w:val="28"/>
          <w:szCs w:val="28"/>
          <w:rtl w:val="true"/>
          <w:lang w:bidi="ar-SA"/>
        </w:rPr>
        <w:t>ثمّ إنّ القرائن العامّة وإن كانت لها آثار مختلفة على دلالة الكلام، فقد تفيد تخصيص العامّ، وقد تفيد تعميم الخاصّ، وأنّ الخاصّ مذكور من باب المثال، وقد تفيد أنّ العنوان المذكور في الكلام ليس له موضوعية، لا عموماً ولا خصوصاً، بل هو عنوان مشير، وقد تفيد غير ذلك، ولا غنى لطالب الفقه عن دراسة القرائن المعنوية العامّة، وآثارها المختلفة على دلالة الكلام، إلّا أنّ أكثر موارد القرائن المعنوية العامّة هي المطلقات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لو فتحت أيّ كتاب حتّى القرآن الكريم لن تجد ثلاثة أسطر تخلو عن قرينة معنوية تقيّد مطلقاً، ولو سألت أيّ عارف باللغة عن المراد بها لأجابك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28" w:name="pg9153_76415"/>
    </w:p>
    <w:p>
      <w:pPr>
        <w:pStyle w:val="BookText"/>
        <w:rPr/>
      </w:pPr>
      <w:bookmarkEnd w:id="428"/>
      <w:r>
        <w:rPr>
          <w:rFonts w:ascii="Amiri" w:hAnsi="Amiri" w:eastAsia="Amiri" w:cs="Amiri"/>
          <w:color w:val="111111"/>
          <w:sz w:val="28"/>
          <w:sz w:val="28"/>
          <w:szCs w:val="28"/>
          <w:rtl w:val="true"/>
          <w:lang w:bidi="ar-SA"/>
        </w:rPr>
        <w:t>إطلاقها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والقرائن المعنوية العامّة كثيرة، وأثرها في الدلالة عظيم، واختلاف الفقهاء في فهم الروايات والآيات في كثير من مواضع الاختلاف ينشأ عن القرائن العامّة، فمنهم من يثبتها في موردٍ ما، ومنهم من ينفيها، وكما يختلفون في إثباتها ونفيها، فإنّ المثبتين لها يختلفون في تشخيصها، وتحديد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أثر القرينة المعنوية بالذي يحتاج إلى مزيد توضيح، فإنّ أثرها من المسلّمات، وهو في وضوحه لا يقلّ عن أثر القرينة اللفظية، وإنّما أردنا أن نجعل الحديث عن أثر القرائن المعنوية تمهيداً ومدخلاً لما نحن بصدده من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المعنوية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هذا البحث لم يحرّر في علم الأصول تجد العلماء يحاولون توجيه ردّهم لما فهمه عالم آخر بعبارات لا تخلو من نظر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3380540_2870459653"/>
      <w:bookmarkStart w:id="430" w:name="_Toc169"/>
      <w:bookmarkEnd w:id="429"/>
      <w:r>
        <w:rPr>
          <w:rtl w:val="true"/>
        </w:rPr>
        <w:t>بحث القرائن المعنوية لا يخصّ اللغة العربية</w:t>
      </w:r>
      <w:bookmarkEnd w:id="4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أنّ بحث القرائن العامّة وإن كان من لواحق بحث الدلالة وما يؤثّر فيها، إلّا أنّه لا يخصّ اللغة العربية، فإنّ أكثر القرائن المعنوية العامّة والتي تؤثّر على دلالة الكلام موجودة في عامّة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نجد فقيهاً غير عربي أجود فهماً للنصّ العربي من فقيه عربي، وما ذاك إلّا لأنّه تفطّن للقرينة غير اللفظية، وأثرها على دلالة النصّ، بل 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التفطّن للقرائن المعنوية على الدلالة في فهم الكلام أعظم من أثر الدقّة في تحديد مدلول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تشخيص معاني المفردات يتيسّر بالرجوع إلى المعاجم اللغوية، وكتب الغريب، والاستعمالات الفصيحة في القرآن الكريم، والنصوص الفصيحة، وهو أمر ميسور لغير العربي، </w:t>
      </w:r>
    </w:p>
    <w:p>
      <w:pPr>
        <w:pStyle w:val="BookText"/>
        <w:rPr/>
      </w:pPr>
      <w:r>
        <w:rPr>
          <w:rFonts w:ascii="Amiri" w:hAnsi="Amiri" w:eastAsia="Amiri" w:cs="Amiri"/>
          <w:color w:val="111111"/>
          <w:sz w:val="28"/>
          <w:sz w:val="28"/>
          <w:szCs w:val="28"/>
          <w:rtl w:val="true"/>
          <w:lang w:bidi="ar-SA"/>
        </w:rPr>
        <w:t>فيسعه أن يعوّض ما ينقصه من الوجدان اللغوي الذي يمتاز به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التنبّه للقرينة غير الملفوظة، وتشخيص مقدار أثرها فليس ثمّة ما يعوّضه، ويجبر النقص الذي يحدث بفقده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لمعرفة الكنايات والمجازات العربية أثر بالغ في فهم الكلام العربي زيادة على أثر معرفة معاني المفردات مادّةً وهيئة، ومعرفة هيئات الجمل، وما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التراكيب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الطريق إلى معرفة كل ذلك معبّد، وقد وضعت علوم متعدّدة لخدمة ذلك الغرض، كالنحو والصرف والبلاغة والمعاجم، فإذا لم نعرف المراد بمادّة من الموادّ رجعنا إلى المعاجم، وإذا أشكل علينا معنى هيئة رجعنا إلى كتب الصرف،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القرائن العامّة فلم يوضع لدراستها علم، ولم تحرّر مسائلها في شيء من العلوم التي تعنى بدراسة الدلالات اللغوية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عددنا أثر القرائن العامّة في فهم الكلام أعظم من أثر غيرها؛ لأنّها عامل لم يخدم، وما سواه من عوامل الدلالة قد خدم، إلّا بعض هيئات الجمل، ومن هنا قد يمتاز غير العربي في فهم الكلام العربي على العربي، وكم رأينا في الفقهاء ممّن لسانه فارسي أو تركي وفهمه أقرب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أريد المفاضلة بين الفقيه العربي وغيره، فإنّ التفطّن للقرائن غير اللفظية يحصل للعربي وغيره، وربّما كان العربي أفطن، وربّما كان غيره أفطن، والغالب أنّ من كان للقرائن المعنوية العامّة أفطن كان للفهم الصحيح أقرب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للقرائن غير الملفوظة سهماً كبيراً في دلالة الكلام، خصوصاً في تقييد الإطلاقات، وأنّ جهة البحث فيها ليست خاصّة بلغة 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القرائن كون الأمر مسبوقاً بالنهي،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r>
        <w:rPr>
          <w:rStyle w:val="FootnoteAnchor"/>
          <w:rtl w:val="true"/>
        </w:rPr>
        <w:footnoteReference w:id="503"/>
      </w:r>
      <w:r>
        <w:rPr>
          <w:rFonts w:ascii="Amiri" w:hAnsi="Amiri" w:eastAsia="Amiri" w:cs="Amiri"/>
          <w:color w:val="111111"/>
          <w:sz w:val="28"/>
          <w:sz w:val="28"/>
          <w:szCs w:val="28"/>
          <w:rtl w:val="true"/>
          <w:lang w:bidi="ar-SA"/>
        </w:rPr>
        <w:t>، وهذه القرينة تغيّر دلالة الأمر على الطلب، وتجعله دالَّاً على رفع الحظر، والعربي وغيره سواء في التنبّه لأثر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القرائن رواج نقد معيّن في البلد، فإذا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بعشرة آلاف، فلا يحتاج إلى ذكر تمييز هذه العشرة آلاف، ولو جاءه المشتري بعشرة آلاف حصاة محتجّاً بأنّ البائع قد أطلق كلامه كان فعله مضحكاً، ولو طلب البائع عشرة آلاف سبيكة ذهب لم يكن قوله مقبولاً؛ لأنّ قوله ظاهر في إرادة نقد البلد، والقرينة على ذلك معنوية غير ملفوظة، والعربي وغيره سواء في التنبّه لأثر 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أسقطنا أثر القرائن المعنوية العامّة في تقييد المطلقات لأفادت معاني لا تخطر ببال سامع أو قارئ، وإليك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الكلام ما يقيّده، ولو كان إطلاقه مقصوداً لم يوجد له مصداق، فإنّك لا ترى أحداً إلّا وله من هو غاضب عليه، حتّى الأنبياء، فإنّ لهم خصوماً وأعداءً غاضبين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نجزم أنّ هذا الإطلاق غير مقصود، بل المقصود مقيّد، والقرينة عليه ظاهرة، ولم يخفَ ذلك حتّى على أعداء الدين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يُؤْمِنُونَ بِالْغَيْبِ وَيُقِيمُونَ الصَّلَاةَ وَمِمَّا رَزَقْنَاهُمْ</w:t>
      </w:r>
    </w:p>
    <w:p>
      <w:pPr>
        <w:pStyle w:val="BookText"/>
        <w:rPr/>
      </w:pPr>
      <w:r>
        <w:rPr>
          <w:rFonts w:ascii="Amiri" w:hAnsi="Amiri" w:eastAsia="Amiri" w:cs="Amiri"/>
          <w:color w:val="111111"/>
          <w:sz w:val="28"/>
          <w:sz w:val="28"/>
          <w:szCs w:val="28"/>
          <w:rtl w:val="true"/>
          <w:lang w:bidi="ar-SA"/>
        </w:rPr>
        <w:t>يُنْفِقُونَ</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ليس لها لفظ يقيّدها، ولو كان إطلاقها مقصوداً لاقتضت الإيمان بغيب كثير، فما أدّخره في بيتي غائب عن غيري، وما في بيوتهم غائب عنّي، وما في البحار غائب عنّي، والأمم الماضية وما جرى لها غائب عنّا، والأمم الآتية وما سيجري عليها غائب عنّا، فهل توهّم أحد حسن الإيمان بذلك الغيب؟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لفظ يقيّدها، ولو أريد إطلاقها لاقتضى الوعد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يفسح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لمن فسح في مجالس اللهو والقمار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وَالْمَلَائِكَةُ يُسَبِّحُونَ بِحَمْدِ رَبِّهِمْ وَيَسْتَغْفِرُونَ لِمَنْ فِي الْأَرْضِ</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الآية لفظ يقيّدها، ولو كان إطلاقها مقصوداً لدلّت على أنّ الملائكة يستغفرون حتّى لفرعون وهامان وسائر الكفّار والمعاندين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يُؤْمِنْ بِرَبِّهِ فَلَا يَخَافُ بَخْسًا وَلَا رَهَقًا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يخاف المؤمن بربّه من ظلم المتجبّرين، ورهق المرض؟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فهم أحد من هذه الآية أنّ الذين ينفقون أموالهم في القمار والميسر وغيرهما من المحرّمات أيضاً لهم أجرهم عند ربّهم ولا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فهم أحد منها أنّ الذين ينفقون أموالهم في الخيرات لا خوف عليهم مطلقاً، حتّى من عدوان المتجبّرين من بني جنسهم؟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لا يحزنون مطلقاً، حتّى لو فقدوا عزيزاً؟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رأيت أحداً فهم منه الاستعاذة من شرّ الأنبياء والملائكة؟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أمثلة قليلة لظاهرة كبيرة في اللغة، لا نقصد اللغة العربية خاصّة، بل جميع اللغات، وهي على الإجمال ظاهرة يدركها حتّى الأطفال، وقد تنبّه العلماء لهذه الظاهرة، فعبّروا عن المطلقات التي لا يراد إطلاقها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أريد 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العلماء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المسألة الثامنة من المسائل السروية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في أصناف أحاديث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الجملة، إنّ أقوال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تخرج على ظاهر يوافق باطنه الأمن من العواقب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منها ما ظاهره خلاف باطنه للتقيّة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ظاهره الإيجاب والإلزام، وهو في نفسه ندب ونفل واستحباب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ظاهره نفل وندب، وهو على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عامّ يراد به </w:t>
      </w:r>
    </w:p>
    <w:p>
      <w:pPr>
        <w:pStyle w:val="BookText"/>
        <w:rPr/>
      </w:pPr>
      <w:r>
        <w:rPr>
          <w:rFonts w:ascii="Amiri" w:hAnsi="Amiri" w:eastAsia="Amiri" w:cs="Amiri"/>
          <w:color w:val="111111"/>
          <w:sz w:val="28"/>
          <w:sz w:val="28"/>
          <w:szCs w:val="28"/>
          <w:rtl w:val="true"/>
          <w:lang w:bidi="ar-SA"/>
        </w:rPr>
        <w:t>الخصوص، وخاصّ يراد به العموم، وظاهر مستعار في غير ما وضع له حقيقة الكلام، وتعريض في القول للاستصلاح والمداراة وحقن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ذلك بعجيب منهم ولا ببدع، والقرآن الذي هو كلام الله عزّ وجلّ وفيه الشفاء والبيان قد اختلفت ظواهره، وتباين الناس في اعتقاد معانيه، وكذلك السنّة الثابتة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فالعلماء على اختلافٍ في معنى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ومع ذلك كلّه فالناس ممتحنون في الأخبار وسماعها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 في النقل، ومتعمّد فيه الزيادة والنقصان، ومبدع في الشريعة، متصنّع لحسن الظاهر يقصد به إضلال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موفّق للصواب</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المخصوص من جهة الخطاب الذي أريد به بعض ما يقتضيه ظاهره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فيه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إضماراً، أي إن رأيت لكم مصلحة في الدين، وقد صرّح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مَا تَدْعُونَ إِلَيْهِ إِنْ شَاءَ</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هو العبادة، أي اعبدوني بالتوحيد أجزكم عليه، يدلّ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عموماً والمراد به الخصوص، وهذا في العرف كثير</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اليمين على نيّة الحالف، فإذا نوى ما يحتمله اللفظ انصرف الحلف إليه، سواء نوى ما يوافق الظاهر أو يخالفه، كالعامّ يريد به الخاصّ، كأن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كلّ لحم، وينوي نوعاً معيّناً، وكالعكس مثل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لك ماء من عطش، ويريد به قطع كلّ ما له فيه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وكالمطلق يريد به المقيّد، وكالحقيقة يريد بها المجاز، وكالحقيقة العرفية يريد بها اللغوية، وبالعكس</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يخاطب بالعامّ ويريد به الخاصّ من غير قرينة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تنصرف إلى فقراء ملّة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 الفقراء وإن كان جمعاً معرّفاً مفيداً للعموم، والمخصّص شاهد الحال الدالّ على عدم إرادة فقراء غير ملّته، ونحلته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الفوائد الملية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العالم بألف ركعة، وخلف القرشي بمائة، وخلف العربي خمسون، وخلف المولى خمس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بالعالم هنا العالم بالعلوم الدينية والأحكام الشرعية كالعلم بالله تعالى وبكتابه وسنّة </w:t>
      </w:r>
    </w:p>
    <w:p>
      <w:pPr>
        <w:pStyle w:val="BookText"/>
        <w:rPr/>
      </w:pPr>
      <w:r>
        <w:rPr>
          <w:rFonts w:ascii="IRNazanin" w:hAnsi="IRNazanin" w:eastAsia="IRNazanin"/>
          <w:color w:val="111111"/>
          <w:sz w:val="28"/>
          <w:sz w:val="28"/>
          <w:szCs w:val="28"/>
          <w:rtl w:val="true"/>
          <w:lang w:bidi="fa-IR"/>
        </w:rPr>
        <w:t xml:space="preserve">نبيّه، وما يتوقّف عليه من المقدّمات، والعلم بكيفية طهارة القلب، وتزكية النفس مع استعمالها على وجهها، لا مطلق العالم، كما نبّه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أمّتي كأنبياء بني إسرائيل، فإنّ العلماء لا يشبهون الأنبياء إلّا على الوجه الذي ذكرناه،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الأنبياء، فإنّ الأنبياء لم يورّثوا مجرّد الرسم، وغير من ذكر من العلماء لا تعلّق لهم بوراثة الأنبياء، بل هم إلى خلافة أضدادهم أشبه، وإليهم أميل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دلالة في 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 حصر الخشية فيهم على وجه العموم، وهو يدلّ على أنّ العلم الذي لا يوجب القرب إلى الله تعالى والخشية منه لا يكون علماً على الحقيقة، وظاهر أنّ مطلق العلم لا يوجب ذلك، إنّما يوجبه ما ذكرناه، بل القسم الأخير منه، وأمّا ما قبله فهو من شرائطه ومقدّماته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حاشيته على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 على المسلمين انصرف إلى مَن صلَّى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اعتقد وجوب الصلاة إليها حيث تكون الصلاة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انصرافه إلى مَن دان بالشهادتين، واعترف بما علم من الدين ضرورة، ومنه الصلاة إليها وإنْ لم يصلّ، حيث لا يكفر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أطفاله ومجانينه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على المؤمنين انصرف إلى الاثني عشرية،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مجتنبي الكبائر، والأوّل أشبه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يطلق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فالعامّ هو التصديق القلبي بما جاء به النبيّ، والإقرار باللسان كاشف عنه، وهو أخصّ من الإسلام، وهذا المعنى هو المراد حيث يُطلق المؤمنون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قسمان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مع العمل الصالح، بمعنى كون العمل جزءاً منه، وصاحب الكبيرة ليس بمؤمن، وهذا مذهب الوعيدية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إمامة الأئمّة الاثني عشر، وهذا هو المعنى المتعارف بين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واقفٌ على المؤمنين وأطلق فإنْ كان من الإمامية انصرف الوقف إلى الاثني عشرية؛ لأنّه المعروف عنده من هذا الإطلاق، وإنْ كان من غيرهم فظاهر المصنّف والأكثر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لأنّ ذلك غير معروف عنده، ولا قصده متوجّه إليه، فكيف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الحكم فيه كالمسلمين في أنّ لفظه عامّ فينصرف إلى ما دلّ عليه اللفظ وإنْ خالف معتقد الواقف، كما قرّرناه من إطلاقه على معانٍ تختلف بحسب المصطلحين، والمعنى الذي اعتبره أكثر المسلمين هو المعنى الأوّل،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عليه إذا كان الواقف غير إمامي كان حسناً،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المعنى الذي يعتقده الواقف بشهادة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لا يشترط اجتناب الكبائر، خلافاً للشيخ رحمه الله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قال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تواترت الأخبار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في القرآن عامّاً وخاصّاً، وأنّ فيه ما لفظه عامّ ومعناه خاصّ، وما لفظه خاصّ ومعناه عامّ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عبارات العلماء، وقد تبيّن لك منها تفطّنهم للقرائن المعنوية، </w:t>
      </w:r>
      <w:bookmarkStart w:id="431" w:name="pg9153_76424"/>
    </w:p>
    <w:p>
      <w:pPr>
        <w:pStyle w:val="BookText"/>
        <w:rPr/>
      </w:pPr>
      <w:bookmarkEnd w:id="431"/>
      <w:r>
        <w:rPr>
          <w:rFonts w:ascii="Amiri" w:hAnsi="Amiri" w:eastAsia="Amiri" w:cs="Amiri"/>
          <w:color w:val="111111"/>
          <w:sz w:val="28"/>
          <w:sz w:val="28"/>
          <w:szCs w:val="28"/>
          <w:rtl w:val="true"/>
          <w:lang w:bidi="ar-SA"/>
        </w:rPr>
        <w:t>والتفاتهم إلى ظاهرة الاعتماد على القرائن غير الملفوظة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سكتوا عن بيان طرق معرفة المعنى الخاصّ، وتشخيص المقدار المقصود من اللفظ العامّ،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معرفة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المعنوية، ومن تلك القرائن قرينة مناسبة الحكم والموضوع</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380542_2870459653"/>
      <w:bookmarkStart w:id="433" w:name="_Toc170"/>
      <w:bookmarkEnd w:id="432"/>
      <w:r>
        <w:rPr>
          <w:rtl w:val="true"/>
        </w:rPr>
        <w:t>مناسبة الحكم والموضوع</w:t>
      </w:r>
      <w:bookmarkEnd w:id="433"/>
    </w:p>
    <w:p>
      <w:pPr>
        <w:pStyle w:val="BookText"/>
        <w:rPr/>
      </w:pPr>
      <w:r>
        <w:rPr>
          <w:rFonts w:ascii="Amiri" w:hAnsi="Amiri" w:eastAsia="Amiri" w:cs="Amiri"/>
          <w:color w:val="111111"/>
          <w:sz w:val="28"/>
          <w:sz w:val="28"/>
          <w:szCs w:val="28"/>
          <w:rtl w:val="true"/>
          <w:lang w:bidi="ar-SA"/>
        </w:rPr>
        <w:t>لا يخفى عليك أنّ ما بات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مساحةً واسعة في العصور المتأخّرة في فضاء البحث الفقهي، فلا تكاد ترى كتاباً في الفقه المستدلّ إلّا وترى فيه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كثرة اعتمادهم عليها إلّا أنّها كسائر القرائن المعنوية لم تعطَ حقّها في علم الأصول، بل صارت كالذي يسمّى في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المهنة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كوزه 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المراد بها؟ وما وجه حجّيتها؟ وما هي شروط الاحتجاج بها؟ وما هو مقدار أثرها؟ كلّ ذلك يحتاج عقد بحث تأصيلي، وتحرير مسألة له في علم أصول الفقه، ليجاب فيها عن هذه الأسئلة وغيرها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380544_2870459653"/>
      <w:bookmarkStart w:id="435" w:name="_Toc171"/>
      <w:bookmarkEnd w:id="434"/>
      <w:r>
        <w:rPr>
          <w:rtl w:val="true"/>
        </w:rPr>
        <w:t>مسألتنا في علم الأصول</w:t>
      </w:r>
      <w:bookmarkEnd w:id="435"/>
    </w:p>
    <w:p>
      <w:pPr>
        <w:pStyle w:val="BookText"/>
        <w:rPr/>
      </w:pPr>
      <w:r>
        <w:rPr>
          <w:rFonts w:ascii="Amiri" w:hAnsi="Amiri" w:eastAsia="Amiri" w:cs="Amiri"/>
          <w:color w:val="111111"/>
          <w:sz w:val="28"/>
          <w:sz w:val="28"/>
          <w:szCs w:val="28"/>
          <w:rtl w:val="true"/>
          <w:lang w:bidi="ar-SA"/>
        </w:rPr>
        <w:t xml:space="preserve">إنّ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مهمّ، ويندرج تحت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القرائن المعنوية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ومحلّه علم أصول الفقه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القول إنّ علم أصول الفقه إن كان قد اكتشف نصفه بعد انفتاح البحث </w:t>
      </w:r>
      <w:bookmarkStart w:id="436" w:name="pg9153_76425"/>
    </w:p>
    <w:p>
      <w:pPr>
        <w:pStyle w:val="BookText"/>
        <w:rPr/>
      </w:pPr>
      <w:bookmarkEnd w:id="436"/>
      <w:r>
        <w:rPr>
          <w:rFonts w:ascii="Amiri" w:hAnsi="Amiri" w:eastAsia="Amiri" w:cs="Amiri"/>
          <w:color w:val="111111"/>
          <w:sz w:val="28"/>
          <w:sz w:val="28"/>
          <w:szCs w:val="28"/>
          <w:rtl w:val="true"/>
          <w:lang w:bidi="ar-SA"/>
        </w:rPr>
        <w:t>عن الأصول العملية فإنّ بحث القرائن إن لم يكن أكثر من مباحث الألفاظ المدوّنة، فليس بأقلّ منها أهمّية ولا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الواقع يدعو إلى دراسة مناسبة الحكم والموضوع في بحثٍ تأصيلي، وإدراجه في القواعد الممهّدة لاستنباط الحكم الشرعي، والتي يبحث عنها في علم أصول الفقه، فدراستها تدعو إلى تحرير مسألة جديدة في مسائل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البحث عنها باعتبار أنّها قرينة معنوية عامّة تؤثّر على دلالة الكلام يجرّنا إلى تحرير مسائل متعدّدة تشابهها، وهذا يدعونا إلى فتح فصلٍ جديد في علم أصول الفقه، وهو فصل القرائن المعنوية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من القرائن، وفتحنا فصلاً باسم القرائن، أي ما يؤثّر على دلالة الدليل، فيلزمنا أيضاً أن نفتح قسماً جديداً للأدلّة، وهي أربعة، فناسب إفراد كلّ واحدٍ منها بباب يخصّه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380546_2870459653"/>
      <w:bookmarkStart w:id="438" w:name="_Toc172"/>
      <w:bookmarkEnd w:id="437"/>
      <w:r>
        <w:rPr>
          <w:rtl w:val="true"/>
        </w:rPr>
        <w:t>تقسيم مقترح لمباحث السُنّة في علم الأصول</w:t>
      </w:r>
      <w:bookmarkEnd w:id="438"/>
    </w:p>
    <w:p>
      <w:pPr>
        <w:pStyle w:val="BookText"/>
        <w:rPr/>
      </w:pPr>
      <w:r>
        <w:rPr>
          <w:rFonts w:ascii="Amiri" w:hAnsi="Amiri" w:eastAsia="Amiri" w:cs="Amiri"/>
          <w:color w:val="111111"/>
          <w:sz w:val="28"/>
          <w:sz w:val="28"/>
          <w:szCs w:val="28"/>
          <w:rtl w:val="true"/>
          <w:lang w:bidi="ar-SA"/>
        </w:rPr>
        <w:t>وعلى هذا فاللازم أن نرسم هيكلاً جديداً لمباحث الأدلّة، فنجعل لها أبواباً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الباب الأول وهو البحث عن دلالة الكلام يجعل البحث في فصول، ومن </w:t>
      </w:r>
    </w:p>
    <w:p>
      <w:pPr>
        <w:pStyle w:val="BookText"/>
        <w:rPr/>
      </w:pPr>
      <w:r>
        <w:rPr>
          <w:rFonts w:ascii="Amiri" w:hAnsi="Amiri" w:eastAsia="Amiri" w:cs="Amiri"/>
          <w:color w:val="111111"/>
          <w:sz w:val="28"/>
          <w:sz w:val="28"/>
          <w:szCs w:val="28"/>
          <w:rtl w:val="true"/>
          <w:lang w:bidi="ar-SA"/>
        </w:rPr>
        <w:t xml:space="preserve">هذه الفصول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تقسّم القرائن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وخاصّة، والقرائن الخاصّة أكثر من أن تحصى، وليست لها ضابطة عامّة، فتترك، ونبحث عن القرائن العامّة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تقسّم القرائن العامّة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وغير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دلالة الألفاظ تتأثّر بما يوجب تضييقها، أو تغييرها، أو توكيدها، بالقرينة اللفظية، فإنّها أيضاً تتأثّر بما يوجب ذلك من القرائن غير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علماء الأصول الأدلّة الأربعة موضوعاً لعلم الأصول، وأكثرها اعتماداً هو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السنّة بأنّها قول المعصوم،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اقتصروا على دراسة مسائل متّصلة بدلالة القول فقط، وكان ينبغي أن يحرّروا مسائل تدرس دلالة فعل المعصوم، وأخر تدرس دلالة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عذرهم أنّ دلالة التقرير واحدة، بخلاف دلالة الكلام، فإنّها تتعدّد بعدد أنواع التركيب، وأساليب البيان، فوجب عقد مسائل لدراسة دلالات الألفاظ دون دلالة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قبلنا هذا العذر عن دراسة التقرير، فما هو عذرهم في ترك تحرير مسائل لدراسة دلالات الفعل، خصوصاً أنّ الأفعال مختلفة، ودلالتها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إنّها في كثرتها وتنوّعها كالأقوال، لكنّها ليست نوعاً واحداً كالتقرير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علم الأصول لم يستوفِ الحديث عن الأدلّة؛ لأنّه درس دلالة الألفاظ، وكان اللازم أن يدرس أيضاً دلالة السكوت، ودلالة الأفعال والتروك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نحن ندرس شيئاً قليلاً ممّا يلزم أن يدرس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العلماء لتأثّر الدلالة بالقرائن المعنوية من قديم الزمن، سواء أكانوا من </w:t>
      </w:r>
    </w:p>
    <w:p>
      <w:pPr>
        <w:pStyle w:val="BookText"/>
        <w:rPr/>
      </w:pPr>
      <w:r>
        <w:rPr>
          <w:rFonts w:ascii="Amiri" w:hAnsi="Amiri" w:eastAsia="Amiri" w:cs="Amiri"/>
          <w:color w:val="111111"/>
          <w:sz w:val="28"/>
          <w:sz w:val="28"/>
          <w:szCs w:val="28"/>
          <w:rtl w:val="true"/>
          <w:lang w:bidi="ar-SA"/>
        </w:rPr>
        <w:t>علماء أصول الفقه، أم من علماء التفسير، أم من علماء البلاغة، فإنّ من يرجع إلى كتبهم يجدهم قد تنبّهوا إلى أنّ بعض القرائن غير الملفوظة تؤثّر على دلالة اللفظ، بل يجدهم صنّفوا القرائن إلى أصناف، فتراهم يصطلحون على بعض القرائن بالقرائن المعنوية، وعلى بعضها بالقرائن العقلية، وعلى ثالثة بالقرائن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نجد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والفقهاء منهم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استندوا إلى عدّة قرائن معنوية عامّة، كامتناع الإطلاق، والورود في مورد الامتنان، وغيرها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كلّ هذه القرائن تؤثّر في دلالة الألفاظ، فأين موضعها من البحث التأصيلي؟ وأين انعكاسها في علم الأصول؟ ولماذا لم يبحث عنها في علم الأصول مع كونها من القواعد الممهّدة لاستنباط الحكم؟</w:t>
      </w:r>
    </w:p>
    <w:p>
      <w:pPr>
        <w:pStyle w:val="BookText"/>
        <w:rPr/>
      </w:pPr>
      <w:r>
        <w:rPr>
          <w:rFonts w:ascii="Amiri" w:hAnsi="Amiri" w:eastAsia="Amiri" w:cs="Amiri"/>
          <w:color w:val="111111"/>
          <w:sz w:val="28"/>
          <w:sz w:val="28"/>
          <w:szCs w:val="28"/>
          <w:rtl w:val="true"/>
          <w:lang w:bidi="ar-SA"/>
        </w:rPr>
        <w:t>إذن فنحن بحاجةٍ إلى استيعاب القرائن اللفظية وغير اللفظية المؤثّرة في الكلام، ثمّ التعرّض لأقسام هذه القرائن، ومقدار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لم يبحث شيء من ذلك في مباحث الأصول، فلم يترجم التفاتهم إلى هذا الطيف الواسع من القرائن إلى تحرير بحث تأصيلي في علم الأصول لدراسة القرائن وأنواعها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والاعتذار عن ذلك بصعوبة الضبط كما صنع عبد الملك الجويني، الملقّب بإمام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في أصول الفقه،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رام واجد العلوم ضبط القرائن ووصفها بما تتميّز به عن غيرها لم يجد إلى ذلك سبيلاً، فكأنّها تدِقُّ عن العبارات، وتأبى على من يحاول ضبطها بها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الاحتجاج بأنّ نطاق النطق يضيق عن التعبير عنها، كما احتجّ القاءاني </w:t>
      </w:r>
      <w:bookmarkStart w:id="439" w:name="pg9153_76428"/>
    </w:p>
    <w:p>
      <w:pPr>
        <w:pStyle w:val="BookText"/>
        <w:rPr/>
      </w:pPr>
      <w:bookmarkEnd w:id="439"/>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غير مقبول؛ فإنّ العلم إنّما وضع لأجل أن توصف به المسائل والقواعد، وكما يقول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تستطع أمراً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وجاوزه إلى ما تستطيع</w:t>
      </w:r>
    </w:p>
    <w:p>
      <w:pPr>
        <w:pStyle w:val="BookText"/>
        <w:rPr/>
      </w:pPr>
      <w:r>
        <w:rPr>
          <w:rFonts w:ascii="Amiri" w:hAnsi="Amiri" w:eastAsia="Amiri" w:cs="Amiri"/>
          <w:color w:val="111111"/>
          <w:sz w:val="28"/>
          <w:sz w:val="28"/>
          <w:szCs w:val="28"/>
          <w:rtl w:val="true"/>
          <w:lang w:bidi="ar-SA"/>
        </w:rPr>
        <w:t>وربّما اعتذر بأنّ القرائن في غاية الكثرة، ولا يمكن حصرها، والعلوم إنّما تكتب فيها القواعد التي يمكن حصرها وضبطها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القرائن وإن كانت كذلك، إلّا أنّ لكلّ فنّ قرائن عامّة كثيرة الدوران فيه، بل يوجد في القرآن الكريم قرائن كثيرة الدوران فيه، وكذلك في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تمنع كثرة القرائن اللفظية العامّة وصعوبة ضبطها عن أن يُحرّر في علم الأصول جملة منها، فلا مجال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القرائن العامّة غير اللفظية هي التي حالت دون تحريرها في علم الأصول، وليكن حال ما لم يذكر منها في علم الأصول ممّا يظهر بمعرفة ما يذكر منها، فهذا ليس بعذر</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380548_2870459653"/>
      <w:bookmarkStart w:id="441" w:name="_Toc173"/>
      <w:bookmarkEnd w:id="440"/>
      <w:r>
        <w:rPr>
          <w:rtl w:val="true"/>
        </w:rPr>
        <w:t>موضع مسألتنا في أصول الفقه</w:t>
      </w:r>
      <w:bookmarkEnd w:id="441"/>
    </w:p>
    <w:p>
      <w:pPr>
        <w:pStyle w:val="BookText"/>
        <w:rPr/>
      </w:pPr>
      <w:r>
        <w:rPr>
          <w:rFonts w:ascii="Amiri" w:hAnsi="Amiri" w:eastAsia="Amiri" w:cs="Amiri"/>
          <w:color w:val="111111"/>
          <w:sz w:val="28"/>
          <w:sz w:val="28"/>
          <w:szCs w:val="28"/>
          <w:rtl w:val="true"/>
          <w:lang w:bidi="ar-SA"/>
        </w:rPr>
        <w:t xml:space="preserve">علم ممّا تقدّم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تندرج في بحث القرائن العامّة غير اللفظية على فرض أنّها قرينة عامّة، كما هو أحد التفسيرات فيها، ولعلّه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أن تكون دليلاً مستقلَّاً فموضعها في مسائل الأصول أظهر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تقدير أن تكون من موجبات الاطمئنان بحكمة التشريع أو اليقين بها، فيصعب تصنيفها في مسائل أصول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دخولها في مسائله على أحد الأقوال فيها، بل على أحد المحتملات كافٍ، فلا حاجة إلى إتعاب النفس في توجيه دخولها على جميع التقديرات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تعريفات متعدّدة للمسألة الأصولية، وهي متقاربة، كما أنّها قريبة للصواب،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الأصولية هي ما يستنبط منه الحكم، أو الوظيفة الشرعية أو العقلية 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الضابطة تنطبق على مناسبة الحكم والموضوع، ولو على بعض الأقوال فيها؛ فإنّها إذا كانت قرينة على المراد بالكلام، فهي تقع في طريق استنباط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فالكلام في مناسبة الحكم والموضوع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إجمالية لتاريخ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مفادها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اعتبارها، ومقدار حجّيتها، وموارد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بينها وبين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موارد تطبيقها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وسيدور البحث في هذه الحلقة عن الجهتين الأوّليين، ونرجئ البحث عن الباقي إلى الحلقة اللاحقة إن شاء الله تعالى</w:t>
      </w:r>
      <w:r>
        <w:rPr>
          <w:rFonts w:eastAsia="Amiri" w:cs="Amiri" w:ascii="Amiri" w:hAnsi="Amiri"/>
          <w:color w:val="111111"/>
          <w:sz w:val="28"/>
          <w:szCs w:val="28"/>
          <w:rtl w:val="true"/>
          <w:lang w:bidi="ar-SA"/>
        </w:rPr>
        <w:t xml:space="preserve">. </w:t>
      </w:r>
      <w:bookmarkStart w:id="442" w:name="pg9153_76430"/>
    </w:p>
    <w:p>
      <w:pPr>
        <w:pStyle w:val="Heading3"/>
        <w:numPr>
          <w:ilvl w:val="2"/>
          <w:numId w:val="1"/>
        </w:numPr>
        <w:rPr/>
      </w:pPr>
      <w:bookmarkStart w:id="443" w:name="__RefHeading___Toc3380550_2870459653"/>
      <w:bookmarkStart w:id="444" w:name="_Toc174"/>
      <w:bookmarkEnd w:id="442"/>
      <w:bookmarkEnd w:id="443"/>
      <w:r>
        <w:rPr>
          <w:rtl w:val="true"/>
        </w:rPr>
        <w:t>الجهة الأولى</w:t>
      </w:r>
      <w:r>
        <w:rPr>
          <w:rtl w:val="true"/>
        </w:rPr>
        <w:t xml:space="preserve">: </w:t>
      </w:r>
      <w:r>
        <w:rPr>
          <w:rtl w:val="true"/>
        </w:rPr>
        <w:t>تاريخ هذه المسألة</w:t>
      </w:r>
      <w:bookmarkEnd w:id="444"/>
    </w:p>
    <w:p>
      <w:pPr>
        <w:pStyle w:val="Heading4"/>
        <w:numPr>
          <w:ilvl w:val="3"/>
          <w:numId w:val="1"/>
        </w:numPr>
        <w:rPr/>
      </w:pPr>
      <w:bookmarkStart w:id="445" w:name="__RefHeading___Toc3380552_2870459653"/>
      <w:bookmarkStart w:id="446" w:name="_Toc175"/>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إنّ المتتبّع لكتب علوم اللغة يجد بوضوح أنّ للحديث عن ظاهرة المناسبة والتناسب في كلماتهم مواضع متعدّدة، ومسائل متفرّقة، فالنحاة يشترطون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مراعاة التناسب بين المعطوف والمعطوف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التناسب بين السؤال والجواب</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التناسب بين المضاف والمضاف إليه</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الكسرة مناسبة للياء، والفتحة للألف، والضمّة للواو،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ابن هشام في مغني اللبيب في معاني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على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السببية والمسببية، وكونهما في الماضي، وامتناع السبب، ثمّ تارةً يعقل بين الجزئين ارتباط مناسب، وتارةً لا يعقل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 قولهم في وجه اختصاص المثنّى بالألف وجمع المذكّر السالم بالواو، أنّ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لمناسبة الألف بخفّته لقلّة عدد المثنّى، والواو بثقله لكثرة عدد الجمع</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الرضي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العلل المانعة من الصرف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قول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الشيء الفلاني علّة لكذا لا يريدون به أنّه موجب له، بل المعنى أنّه شيء </w:t>
      </w:r>
    </w:p>
    <w:p>
      <w:pPr>
        <w:pStyle w:val="BookText"/>
        <w:rPr/>
      </w:pPr>
      <w:r>
        <w:rPr>
          <w:rFonts w:ascii="Amiri" w:hAnsi="Amiri" w:eastAsia="Amiri" w:cs="Amiri"/>
          <w:color w:val="111111"/>
          <w:sz w:val="28"/>
          <w:sz w:val="28"/>
          <w:szCs w:val="28"/>
          <w:rtl w:val="true"/>
          <w:lang w:bidi="ar-SA"/>
        </w:rPr>
        <w:t>إذا حصل ذلك الشيء ينبغي أن يختار المتكلّم ذلك الحكم؛ لمناسبة بين ذلك الشيء وذلك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اصطلاح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توجبه العلّة، وإيّاه عنى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أن لا كسر ولا تنوين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القاضي الأحمد نگري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دستور العلماء إنّ العِلَّة عند النحاة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ينبغي أَن يختار المتكلّم عند حُصُوله أمراً يناسبه وذلك الأمر المناسب حكمه وأثره، لا بِمَعْنى المُوجِب</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البلاغيون من محسّنات الوصل بعد وجود المصحّح من تناسب الجملتين في الاسمية والفعلية، وتناسب الجملتين الفعليتين في المضيّ والمضارعة</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في وجه تسمية السجع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السجع سجعاً لاشتباه أواخره، وتناسب فواصله</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في موارد متعدّدة، كالمدح والذمّ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الأنسب للمقام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اللغة، ما جاء في مجمع البحرين في مواضع متعدّدة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ينفيان الفقر كما ينفي الكير خبث الحديد</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 الحدّاد، وهو زقّ أو جلد غليظ ذو حافات ينفخ </w:t>
      </w:r>
    </w:p>
    <w:p>
      <w:pPr>
        <w:pStyle w:val="BookText"/>
        <w:rPr/>
      </w:pPr>
      <w:r>
        <w:rPr>
          <w:rFonts w:ascii="Amiri" w:hAnsi="Amiri" w:eastAsia="Amiri" w:cs="Amiri"/>
          <w:color w:val="111111"/>
          <w:sz w:val="28"/>
          <w:sz w:val="28"/>
          <w:szCs w:val="28"/>
          <w:rtl w:val="true"/>
          <w:lang w:bidi="ar-SA"/>
        </w:rPr>
        <w:t>فيه، وأمّا المبنيّ من الطين فكور لا كير، وجمع الكير كيَرَة كعِنَبة، وأكيار وكيرات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مضمومة الخاء ساكنة الباء، وعلى الأوّل يعني ما تبرزه النار من الجواهر المعدنية التي تصلح للطبع، فيخلّصها على تميّزه عنها من ذلك، وعلى الثانية يعني به الشيء الخبيث، والمعتدّ به هو الأوّل؛ لأنّه أكثر وأشبه بالصواب؛ لمناسبة الكير ولمصادفته المعنى المراد فيه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مِنْ هذا أي في منهمك من الباطل، وقيل في غطاء وغفلة، والجمع غَمَرَات،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وسجدات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والجمع غُمَر،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نوبة ونوب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فِي غَمْرَتِهِمْ،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حيرتهم وجهلهم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خشيته تموج البحار ومن يسبح في غمراتها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عليه غَمَرَاتُ الموت شدائده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ولا مناسبة لحمله على المعنى الأوّل، والمناسبة حمله على المعنى الثاني، لكنّه لم يجمع على غمرات فربّما وقع تصحيف فيه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الباء 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صحّة استعماله في المضمضة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ودونها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الإضافة لأدنى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بدل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الاستيال بمعنى التسوّل، وهو التزيّن مطاوع للتسويل، وهو تحسين الشيء وتزيينه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هنا الأغسال التي هي للنظافة والتزيين كغسل الجمعة </w:t>
      </w:r>
    </w:p>
    <w:p>
      <w:pPr>
        <w:pStyle w:val="BookText"/>
        <w:rPr/>
      </w:pPr>
      <w:r>
        <w:rPr>
          <w:rFonts w:ascii="Amiri" w:hAnsi="Amiri" w:eastAsia="Amiri" w:cs="Amiri"/>
          <w:color w:val="111111"/>
          <w:sz w:val="28"/>
          <w:sz w:val="28"/>
          <w:szCs w:val="28"/>
          <w:rtl w:val="true"/>
          <w:lang w:bidi="ar-SA"/>
        </w:rPr>
        <w:t>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بالكاف بمعنى التمصمص بالمهملتين، ومعناه الاغتسال من الدنس للتنظيف والتطهير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مصمص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غسله وجعل فيه الماء وحرّكه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جعله بمعنى التمضمض بالمعجمتين من مضمضة الوضوء لمناسبة السواك كما تكلّفه فرق من المتكلّفين، فمن ضعف التحصيل وقلّة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كما ترى</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الاستيال إمّا باللام بمعنى التسوّل، وهو التزين مطاوع التسويل، وهو تحسين الشيء وتزيينه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التنزيل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 أَمْرًا، ونعني به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التي هي للنظافة والتزين، كغسل الجمعة وغسل الإحرام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بالكاف بمعنى التمصمص بالمهملتين، ومعناه الاغتسال من الدنس للتنظيف والتطهّر، كغسل الجمعة وسائر الأغسال المسنونة للنظافة، لا لرفع الحدث، 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مصمص إناءه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غسله، وجعل فيه الماء، وحرّكه للتنظيف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في سبيل الله ممصمصة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مطهرة من دنس الخطايا، افتعالاً من السوك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سبيل التحصيل في تحقيق هذه اللفظة وتفسيرها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جماهير المتكلّفين القاصرين من بني زماننا هذا تجشمّوا تكلّفاً متوعّراً جدَّاً، فأخذوها من السواك، وذلك معروف كالتسوّك،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استاك وتسوّك إذا ساك فاه بالمسواك، ثمّ جعلوا الاستياك هذا بمعنى التمضمض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لمناسبة السواك؛ إذ كما السواك من مسنونات الوضوء، فكذلك المضمضة والاستنشاق من مسنوناته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هذه أعجوبة من الأعاجيب، فأين الثكلى على واحدتها حتّى تضحك منها، وتلتهي بذلك عن فجيعة رزيتها؟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ما 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534"/>
      </w:r>
      <w:r>
        <w:rPr>
          <w:rFonts w:ascii="Amiri" w:hAnsi="Amiri" w:eastAsia="Amiri" w:cs="Amiri"/>
          <w:color w:val="111111"/>
          <w:sz w:val="28"/>
          <w:sz w:val="28"/>
          <w:szCs w:val="28"/>
          <w:rtl w:val="true"/>
          <w:lang w:bidi="ar-SA"/>
        </w:rPr>
        <w:t>، بأنّه على وجه الهزء والسخرية؛ فإنّ المفسّرين لم يأخذوا بالمدلول الحرفي لكلمتي العزيز والكريم، لجزمهم بأنّ المراد بهما في الآية الشريفة ليس المدح ولا التبجيل؛ لأنّه خطاب لمن يُلقى في جهنّم، وأيّ إذلال أعظم من ذلك، فمناسبة المقام قرينة على إرادة التهكّم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فَلَا تَعْضُلُوهُنَّ أَن يَنكِحْنَ أَزْوَاجَهُنَّ إِذَا تَرَاضَوْا بَيْنَهُم بِالْمَعْرُوفِ</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المفسّرون في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خطاب لمن؟ فقال الأكثرون إنّه خطاب للأولياء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للأزواج، وهذا هو المختار، الذي يدل عليه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فَلَا تَعْضُلُوهُنَّ جملة واحدة مركّبة من شرط وجزاء، فالشرط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w:t>
      </w:r>
      <w:r>
        <w:rPr>
          <w:rFonts w:ascii="IRNazanin" w:hAnsi="IRNazanin" w:eastAsia="IRNazanin"/>
          <w:color w:val="111111"/>
          <w:sz w:val="28"/>
          <w:sz w:val="28"/>
          <w:szCs w:val="28"/>
          <w:rtl w:val="true"/>
          <w:lang w:bidi="fa-IR"/>
        </w:rPr>
        <w:t>، والجزاء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الشرط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خطاب مع الأزواج، فوجب أن يكون الجزاء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خطاباً معهم أيضاً، إذ لو لم يكن كذلك لصار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طلّقتم النساء أيّها الأزواج فلا تعضلوهن أيّها الأولياء، وحينئذٍ لا تكون بين الشرط وبين الجزاء مناسبة أصلاً، وذلك يوجب تفكّك نظم الكلام، وتنزيه كلام الله عن مثله واجب، فهذا كلام قويّ متين في تقرير </w:t>
      </w:r>
    </w:p>
    <w:p>
      <w:pPr>
        <w:pStyle w:val="BookText"/>
        <w:rPr/>
      </w:pP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حسن تفسير لفظ معيّن لشيء معيّن إذا حصل بين ذلك اللفظ وبين ذلك المعنى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تحصل هذه الحالة كان ذلك التفسير فاسداً، فإذا فسّرنا العدل بشيء والإحسان بشيء آخر، وجب أن نبيّن أنّ لفظ العدل يناسب ذلك المعنى، ولفظ الإحسان يناسب هذا المعنى، فلمّا لم نبيّن هذا المعنى كان ذلك مجرّد التحكّم، ولم يكن جعل بعض تلك المعنى تفسيراً لبعض تلك الألفاظ أولى من العكس</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مَآ أَنزَلْنَا مِنَ الْبَيِّنَاتِ وَالْهُدَى</w:t>
      </w:r>
      <w:r>
        <w:rPr>
          <w:rStyle w:val="FootnoteAnchor"/>
          <w:rtl w:val="true"/>
        </w:rPr>
        <w:footnoteReference w:id="538"/>
      </w:r>
      <w:r>
        <w:rPr>
          <w:rFonts w:ascii="Amiri" w:hAnsi="Amiri" w:eastAsia="Amiri" w:cs="Amiri"/>
          <w:color w:val="111111"/>
          <w:sz w:val="28"/>
          <w:sz w:val="28"/>
          <w:szCs w:val="28"/>
          <w:rtl w:val="true"/>
          <w:lang w:bidi="ar-SA"/>
        </w:rPr>
        <w:t>، وهل هو في كلّ من كتم، أو في اليهود خاصّة؟ قرّب العموم، واحتجّ له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أيضاًَ في أصول الفقه أنّ ترتيب الحكم على الوصف مشعر بكون الوصف علّة لذلك الحكم لا سيّما إذا كان الوصف مناسباً للحكم، ولا شكّ أنّ كتمان الدين يناسبه استحقاق اللعن من الله تعالى، وإذا كان هذا الوصف علّة لهذا الحكم وجب عموم هذا الحكم عند عموم الوصف</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 القرآن، ما قاله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الثاني من علوم </w:t>
      </w:r>
    </w:p>
    <w:p>
      <w:pPr>
        <w:pStyle w:val="BookText"/>
        <w:rPr/>
      </w:pPr>
      <w:r>
        <w:rPr>
          <w:rFonts w:ascii="Amiri" w:hAnsi="Amiri" w:eastAsia="Amiri" w:cs="Amiri"/>
          <w:color w:val="111111"/>
          <w:sz w:val="28"/>
          <w:sz w:val="28"/>
          <w:szCs w:val="28"/>
          <w:rtl w:val="true"/>
          <w:lang w:bidi="ar-SA"/>
        </w:rPr>
        <w:t>القرآن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المناسبات 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المناسبة علم شريف، تحرز به العقول، ويعرف به قدر القائل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وفلان يناسب فلاناً، أي يقرب منه ويشاكله، ومنه النسيب الذي هو القريب المتّصل، كالأخوين وابن العمّ ونحوه وإن كانا متناسبين بمعنى رابط بينهما، وهو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المناسبة في العلّة في باب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المقارب للحكم؛ لأنّه إذا حصلت مقاربته له ظنّ عند وجود ذلك الوصف وجود الحكم؛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أمرٌ معقول إذا عرض على العقول تلقته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المناسبة في فواتح الآي وخواتمها، ومرجعها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ما رابط بينهما عامّ أو خاصّ، عقلي أو حسّي أو خيالي وغير ذلك من أنواع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التلازم الذهني، كالسبب والمسبّب، والعلّة والمعلول، والنظيرين، والضدّين،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التلازم الخارجي، كالمرتّب على ترتيب الوجود الواقع في باب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وفائدته جعل أجزاء الكلام بعضها آخذاً بأعناق بعض، فيقوى بذلك الارتباط، ويصير التأليف حاله حال البناء المحكم المتلائم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 اعتناء المفسّرين بهذا النوع لدقّته؛ وممّن أكثر منه الإمام فخر الدين الرازي، وقال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لطائف القرآن مودعة في الترتيبات والروابط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محاسن الكلام أن يرتبط بعضه ببعض، لئلا يكون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يهمله بعض المفسّرين، أو كثير منهم، وفوائده غزيرة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أبو بكر بن العربي في سراج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آي القرآن بعضها ببعض حتّى تكون كالكلمة الواحدة متّسقة المعاني منتظمة المباني، علم عظيم لم يتعرّض له إلّا عالم واحد عمل فيه سورة البقرة، ثمّ فتح الله عزّ وجلّ لنا فيه، فلمّا لم </w:t>
      </w:r>
    </w:p>
    <w:p>
      <w:pPr>
        <w:pStyle w:val="BookText"/>
        <w:rPr/>
      </w:pPr>
      <w:r>
        <w:rPr>
          <w:rFonts w:ascii="Amiri" w:hAnsi="Amiri" w:eastAsia="Amiri" w:cs="Amiri"/>
          <w:color w:val="111111"/>
          <w:sz w:val="28"/>
          <w:sz w:val="28"/>
          <w:szCs w:val="28"/>
          <w:rtl w:val="true"/>
          <w:lang w:bidi="ar-SA"/>
        </w:rPr>
        <w:t>نجد له حملة، ورأينا الخلق بأوصاف البطلة ختمنا عليه، وجعلناه بيننا وبين الله، ورددناه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أبو الحسن الشهراباني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ببغداد علم المناسبة ولم نكن سمعناه من غيره هو الشيخ الإمام أبو بكر النيسابوري، وكان غزير العلم في الشريعة والأدب، وكان يقول على الكرسيّ إذا قرئ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هذه الآية إلى جنب هذه؟ وما الحكمة في جعل هذه السورة إلى جنب هذه السورة؟ وكان يزري على علماء بغداد لعدم علمهم بالمناسبة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أفرد ما سمّاه الزركشي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الآيات والسور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جعفر بن الزبير شيخ أبي حيّان بالتأليف في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مناسبة ترتيب سور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صنع الشيخ برهان الدين البقاعي في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 الدرر في تناسب الآي والسور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السيوطي الذي صنعه في أسرار التنزيل كافل بذلك، جامع لمناسبات السور والآيات، مع ما تضمّنه من بيان وجوه الإعجاز وأساليب البلاغة، وقد لخّص منه مناسبات السور خاصّة في جزء لطيف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تناسق الدرر في تناسب السور</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المختصّين في علوم القرآن من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الضروري لزوم رعاية المناسبة القريبة بين عنوان المسند إليه وفحوى مدلول المسند، وذلك فيما إذا تعنون المسند إليه بوصفٍ خاصّ، فإنّه يجب حينذاك من مراعاة ما بين هذه الصفة والحكم المترتّب على ذي الصفة من علاقة سببية أو شبهها، وهي التي لاحظها علماء </w:t>
      </w:r>
    </w:p>
    <w:p>
      <w:pPr>
        <w:pStyle w:val="BookText"/>
        <w:rPr/>
      </w:pPr>
      <w:r>
        <w:rPr>
          <w:rFonts w:ascii="Amiri" w:hAnsi="Amiri" w:eastAsia="Amiri" w:cs="Amiri"/>
          <w:color w:val="111111"/>
          <w:sz w:val="28"/>
          <w:sz w:val="28"/>
          <w:szCs w:val="28"/>
          <w:rtl w:val="true"/>
          <w:lang w:bidi="ar-SA"/>
        </w:rPr>
        <w:t>الفنّ فيما أثر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باقون ما بقي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خاصّية صفة العلم وآثاره البنّاءة هي التي تستدعي الخلود للعلماء، ومن ثَمّ قد يستشم نوعية المخبر به من نفس عنوان المخبر عنه، قبل أن ينطق بالمخبر به،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وأرفع</w:t>
      </w:r>
    </w:p>
    <w:p>
      <w:pPr>
        <w:pStyle w:val="BookText"/>
        <w:rPr/>
      </w:pPr>
      <w:r>
        <w:rPr>
          <w:rFonts w:ascii="Amiri" w:hAnsi="Amiri" w:eastAsia="Amiri" w:cs="Amiri"/>
          <w:color w:val="111111"/>
          <w:sz w:val="28"/>
          <w:sz w:val="28"/>
          <w:szCs w:val="28"/>
          <w:rtl w:val="true"/>
          <w:lang w:bidi="ar-SA"/>
        </w:rPr>
        <w:t xml:space="preserve">فقد لمسنا عظمة المخبر به ورفعة شأنه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الموضوع</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عند الفقهاء فتعدّ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القرائن العامّة المعنوية، وهي مسألة جديدة الظهور نسبياً، ولعلّ أوّل من تنبّه لها هو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عدّة الأصول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وذهب بعض أصحاب الشافعي كالجويني والغزّالي في المنخول دون المستصفى إلى التفرقة بين الصفة المناسبة مع الحكم،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سائمة الغنم زكاة، فقالوا فيه بالمفهوم، وبين الصفة التي لا توجد فيها مناسبة الحكم كقول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الأبيض يشبع إذا أكل، فقالوا فيه بعدم المفهوم</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في حكم الأمة المتزوّجة لو طلّقت، ثمّ أعتقت في العدّة بين المطلّقة رجعياً فتكمل عدّة الحرّة؛ لأنّ الرجعية زوجة، وبين </w:t>
      </w:r>
    </w:p>
    <w:p>
      <w:pPr>
        <w:pStyle w:val="BookText"/>
        <w:rPr/>
      </w:pPr>
      <w:r>
        <w:rPr>
          <w:rFonts w:ascii="Amiri" w:hAnsi="Amiri" w:eastAsia="Amiri" w:cs="Amiri"/>
          <w:color w:val="111111"/>
          <w:sz w:val="28"/>
          <w:sz w:val="28"/>
          <w:szCs w:val="28"/>
          <w:rtl w:val="true"/>
          <w:lang w:bidi="ar-SA"/>
        </w:rPr>
        <w:t>المطلّقة البائنة فتكمل عدّة الأمة، ثمّ نقل روايتين مطلقتين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تعتدّ عدّة الحرّة، وفي الأخرى تعتدّ عدّة المملوكة،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بينهما بحمل الأوّل على الرجعي والثاني على البائن؛ لمناسبة الحكم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وسواء أكان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مكتشف هذه القرينة، أم سبقه غيره باكتشافها، فإنّه لا شكّ أنّه أكثر من استحضرها، فلا تجد لهذا التركيب الثلاثي قبله عيناً ولا أثراً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وسرعان ما شاع هذا التعبير على لسان العلماء وانتشر في أروقة الحوزة، حتّى عند معاصري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شيءٌ ملفت للنظر، فنجد مثلاً السيّد محمّد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معاصر للفقيه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بلغة الفقيه يوظّف هذا التعبير في بعض الموارد</w:t>
      </w:r>
      <w:r>
        <w:rPr>
          <w:rStyle w:val="FootnoteAnchor"/>
          <w:rtl w:val="true"/>
        </w:rPr>
        <w:footnoteReference w:id="546"/>
      </w:r>
      <w:r>
        <w:rPr>
          <w:rFonts w:ascii="Amiri" w:hAnsi="Amiri" w:eastAsia="Amiri" w:cs="Amiri"/>
          <w:color w:val="111111"/>
          <w:sz w:val="28"/>
          <w:sz w:val="28"/>
          <w:szCs w:val="28"/>
          <w:rtl w:val="true"/>
          <w:lang w:bidi="ar-SA"/>
        </w:rPr>
        <w:t>، وقد كثر الاعتماد على هذه المناسبة عند المحقّقين من علمائنا بعد ذلك كالمحقّقينَ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والأصفهاني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تجدهم يعملونها باطّراد، ولعلّهم يستعملون هذا التعبير في غير مناسبة الحكم والموضوع من القرائن غير اللفظية، وهذا لا يعني أنّهم يسمّون كلّ قرينة غير لفظية بمناسبة الحكم والموضوع، ولكنّك تكاد تفهم منهم في بعض المقامات أنّهم يقصدون بذلك الاستعمال القرينةَ المعنوية، لا خصوص مناسبة الحكم والموضوع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يُظنّ أنّ لمناسبة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كمفردة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زمنياً أعمق من زمن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اعتماداً على ما نقله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عن أستاذه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قيّدنا المناسبة بكونها عرفية احترازاً عمّا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الدالّة على إرث الزوجة مطلقاً، والأخبار الدالّة على عدم الإرث، بحمل الأُولى على ذات الولد، والثانية على غير ذات الولد، من جهة مناسبة الحكم للموضوع المستفادة من التعليل الوارد في بعض أخبار المنع، بأنّها تدخل عليهم من لا يحبّون، فإنّه يستفاد منه كون غير ذات الولد قدراً متيقّناً، وإنّما احترزنا عنه لأنّ هذه المناسبة ليست مناسبة عرفية يطّلع عليها كلّ أحد، فلا تكون موجبةً لكون موردها قدراً متيقّناً في مقام التخاطب، كي يكون نصّاً فيها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استفاد ذلك من عبارة الشهيد الثاني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المفردة في إرث الزوجة،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الجمع حمل تلك الأخبار على غير ذات الولد، وهذه على ذات الولد؛ لمناسبة كلّ واحدة لحكمها دون العكس</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المسالك في مسألة التفرقة بين الأطفال وأمهاتهم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جماعة بين الروايات بحمل السبع على الأنثى، والحولين على الذكر، لمناسبة الحكمة في احتياج الأنثى إلى تربية الأمّ زيادةً على الذكر</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في مسألة الأمة لو أعتقت ثُمّ طلّقت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والجمع </w:t>
      </w:r>
    </w:p>
    <w:p>
      <w:pPr>
        <w:pStyle w:val="BookText"/>
        <w:rPr/>
      </w:pPr>
      <w:r>
        <w:rPr>
          <w:rFonts w:ascii="Amiri" w:hAnsi="Amiri" w:eastAsia="Amiri" w:cs="Amiri"/>
          <w:color w:val="111111"/>
          <w:sz w:val="28"/>
          <w:sz w:val="28"/>
          <w:szCs w:val="28"/>
          <w:rtl w:val="true"/>
          <w:lang w:bidi="ar-SA"/>
        </w:rPr>
        <w:t>بينهما بحمل الأوّل على الرجعي والثاني على البائن؛ لمناسبة الحكم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مزاحمة صلاة الليل للفريضة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اضطرار إلى ما في التهذيب والاستبصار من أنّ من أدرك أربعاً من صلاة الليل جاز له أن يتمّها قبل فريضة الصبح، والأفضل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ما في المنتهى من ترجيح الخبر الأوّل بعدم الإضمار، وباعتضاده بعمل الأصحاب، وبمناسبة الحكم من حيث المحافظة على السنن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التأمّل يعطي خلاف ذلك؛ فإنّ ما جاء في هذه الكلمات من باب المناسبة بين العلّة والحكم المرتّب عليها،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مناسبة الحكمة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قاعدة فقهية مقرّرة عندهم</w:t>
      </w:r>
      <w:r>
        <w:rPr>
          <w:rStyle w:val="FootnoteAnchor"/>
          <w:rtl w:val="true"/>
        </w:rPr>
        <w:footnoteReference w:id="552"/>
      </w:r>
      <w:r>
        <w:rPr>
          <w:rFonts w:ascii="Amiri" w:hAnsi="Amiri" w:eastAsia="Amiri" w:cs="Amiri"/>
          <w:color w:val="111111"/>
          <w:sz w:val="28"/>
          <w:sz w:val="28"/>
          <w:szCs w:val="28"/>
          <w:rtl w:val="true"/>
          <w:lang w:bidi="ar-SA"/>
        </w:rPr>
        <w:t xml:space="preserve">، وقد مثّل لها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في وجوب الغسل؛ فإنّها مستقذرة طبعاً، فناسب ذلك وجوب الإزالة بالغسل وشبهه، والزنا في وجوب الحدّ؛ لأنّه مؤدّ إلى اختلاط الأنساب، فيقع التقاطع والتدابر، فناسب وجوب الحدّ الرادع عنه، والقتل عمداً للمكافي في وجوب القصاص؛ فإنّه سبب في زهاق الأنفس المطلوب بقاؤها للقيام بعبادة الله، فجعل الرادع عنه القتل ليكون سبباً في بقاء الحياة، كما أشار إليه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447" w:name="pg9153_76442"/>
    </w:p>
    <w:p>
      <w:pPr>
        <w:pStyle w:val="BookText"/>
        <w:rPr/>
      </w:pPr>
      <w:bookmarkEnd w:id="447"/>
      <w:r>
        <w:rPr>
          <w:rFonts w:ascii="Amiri" w:hAnsi="Amiri" w:eastAsia="Amiri" w:cs="Amiri"/>
          <w:color w:val="111111"/>
          <w:sz w:val="28"/>
          <w:sz w:val="28"/>
          <w:szCs w:val="28"/>
          <w:rtl w:val="true"/>
          <w:lang w:bidi="ar-SA"/>
        </w:rPr>
        <w:t xml:space="preserve">وأمّا السبب في اصطلاحهم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فيه مناسبة وإن كان مناسباً في نفس الأمر كما بيّن في الأصول، مثاله الدلوك وباقي الأوقات للصلوات، والحدث الموجب للوضوء والغسل، والاعتداد مع عدم الدخول، واستئناف العدّة في المسترابة بعد التربّص، والهرولة في السعي، ورمي الجمار، فإنّ العقل لا يهتدي إلى وجه الحكمة المقتضية لنصب هذه الأشياء أسباباً دون غيرها، أو شروطاً، أو 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الظاهرة فيها مجرّد الإذعان والانقياد</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380554_2870459653"/>
      <w:bookmarkStart w:id="449" w:name="_Toc176"/>
      <w:bookmarkEnd w:id="448"/>
      <w:r>
        <w:rPr>
          <w:rtl w:val="true"/>
        </w:rPr>
        <w:t>سبب انتشار مناسبة الحكم والموضوع</w:t>
      </w:r>
      <w:bookmarkEnd w:id="449"/>
    </w:p>
    <w:p>
      <w:pPr>
        <w:pStyle w:val="BookText"/>
        <w:rPr/>
      </w:pPr>
      <w:r>
        <w:rPr>
          <w:rFonts w:ascii="Amiri" w:hAnsi="Amiri" w:eastAsia="Amiri" w:cs="Amiri"/>
          <w:color w:val="111111"/>
          <w:sz w:val="28"/>
          <w:sz w:val="28"/>
          <w:szCs w:val="28"/>
          <w:rtl w:val="true"/>
          <w:lang w:bidi="ar-SA"/>
        </w:rPr>
        <w:t xml:space="preserve">والسبب في انتشار هذه القرينة قد يُعزى إلى اعتماد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بعض المواضع، كمبحث حجّية قطع القَطّاع</w:t>
      </w:r>
      <w:r>
        <w:rPr>
          <w:rStyle w:val="FootnoteAnchor"/>
          <w:rtl w:val="true"/>
        </w:rPr>
        <w:footnoteReference w:id="554"/>
      </w:r>
      <w:r>
        <w:rPr>
          <w:rFonts w:ascii="Amiri" w:hAnsi="Amiri" w:eastAsia="Amiri" w:cs="Amiri"/>
          <w:color w:val="111111"/>
          <w:sz w:val="28"/>
          <w:sz w:val="28"/>
          <w:szCs w:val="28"/>
          <w:rtl w:val="true"/>
          <w:lang w:bidi="ar-SA"/>
        </w:rPr>
        <w:t xml:space="preserve">، وفي البحث الذي عقده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اشتراط بقاء الموضوع في الاستصحاب، وأنّ المناط في الاتّحاد هو النظر العرفي</w:t>
      </w:r>
      <w:r>
        <w:rPr>
          <w:rStyle w:val="FootnoteAnchor"/>
          <w:rtl w:val="true"/>
        </w:rPr>
        <w:footnoteReference w:id="555"/>
      </w:r>
      <w:r>
        <w:rPr>
          <w:rFonts w:ascii="Amiri" w:hAnsi="Amiri" w:eastAsia="Amiri" w:cs="Amiri"/>
          <w:color w:val="111111"/>
          <w:sz w:val="28"/>
          <w:sz w:val="28"/>
          <w:szCs w:val="28"/>
          <w:rtl w:val="true"/>
          <w:lang w:bidi="ar-SA"/>
        </w:rPr>
        <w:t>، وحيث إنّ كتابه من الكتب الأصولية المهمّة التي تدرّس في المنهج الدراسي في الحوزة العلمية، وما من طالب علمٍ إلّا ويقف على هذا الكتاب، فلعلّ هذا ساعد على انتشار الاعتماد على هذه القرينة أكثر ربّما من الدور الذي قام به الفقيه الهمداني، الذي لعلّه يُعدّ مكتشف هذه القرينة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كان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المؤسّس لها، وأخذها الفقيه الهمداني منه وإن كان أكثر استناداً لها، وهذه مسألة تاريخية، والأمر فيها سهل، وإنّما تذكر تشويقاً</w:t>
      </w:r>
      <w:r>
        <w:rPr>
          <w:rFonts w:eastAsia="Amiri" w:cs="Amiri" w:ascii="Amiri" w:hAnsi="Amiri"/>
          <w:color w:val="111111"/>
          <w:sz w:val="28"/>
          <w:szCs w:val="28"/>
          <w:rtl w:val="true"/>
          <w:lang w:bidi="ar-SA"/>
        </w:rPr>
        <w:t xml:space="preserve">. </w:t>
      </w:r>
      <w:bookmarkStart w:id="450" w:name="pg9153_76443"/>
    </w:p>
    <w:p>
      <w:pPr>
        <w:pStyle w:val="Heading4"/>
        <w:numPr>
          <w:ilvl w:val="3"/>
          <w:numId w:val="1"/>
        </w:numPr>
        <w:rPr/>
      </w:pPr>
      <w:bookmarkStart w:id="451" w:name="__RefHeading___Toc3380556_2870459653"/>
      <w:bookmarkStart w:id="452" w:name="_Toc177"/>
      <w:bookmarkEnd w:id="450"/>
      <w:bookmarkEnd w:id="451"/>
      <w:r>
        <w:rPr>
          <w:rtl w:val="true"/>
        </w:rPr>
        <w:t>مراد العلماء بمناسبة الحكم والموضوع</w:t>
      </w:r>
      <w:bookmarkEnd w:id="452"/>
    </w:p>
    <w:p>
      <w:pPr>
        <w:pStyle w:val="BookText"/>
        <w:rPr/>
      </w:pPr>
      <w:r>
        <w:rPr>
          <w:rFonts w:ascii="Amiri" w:hAnsi="Amiri" w:eastAsia="Amiri" w:cs="Amiri"/>
          <w:color w:val="111111"/>
          <w:sz w:val="28"/>
          <w:sz w:val="28"/>
          <w:szCs w:val="28"/>
          <w:rtl w:val="true"/>
          <w:lang w:bidi="ar-SA"/>
        </w:rPr>
        <w:t>إنّ تحقيق مراد العلماء المتأخّرين في الفقه والأصول الذين يستندون إلى هذه القرينة، بعد أن تركوا بيان ذلك بنحوٍ ينضبط به المقصود منها، وأغفلوا بيان وجه صلاحيتها للاحتجاج، يقطع علينا السبيل للجزم بمعرفة مرادهم، إلاّ بملاحظة موارد استفادتهم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تطبيق هذا المنهج في تحديد المقصود من هذه القرينة مجمعاً بين التأصيل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لذكر تطبيقاتهم وموارد توظيفهم لهذه القرينة مآرب أخر غير ملاحظة الخصوصيات في 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استذكار جملة متفرّقة من الفروع الفقهية في الأبواب المختلفة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عليك أنّ الذي يظهر من أكثر كلمات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قرينة تبيّن المراد بالكلام الذي تحتفّ به</w:t>
      </w:r>
      <w:r>
        <w:rPr>
          <w:rFonts w:eastAsia="Amiri" w:cs="Amiri" w:ascii="Amiri" w:hAnsi="Amiri"/>
          <w:color w:val="111111"/>
          <w:sz w:val="28"/>
          <w:szCs w:val="28"/>
          <w:rtl w:val="true"/>
          <w:lang w:bidi="ar-SA"/>
        </w:rPr>
        <w:t xml:space="preserve">. </w:t>
      </w:r>
      <w:bookmarkStart w:id="453" w:name="pg9153_76445"/>
    </w:p>
    <w:p>
      <w:pPr>
        <w:pStyle w:val="Heading3"/>
        <w:numPr>
          <w:ilvl w:val="2"/>
          <w:numId w:val="1"/>
        </w:numPr>
        <w:rPr/>
      </w:pPr>
      <w:bookmarkStart w:id="454" w:name="__RefHeading___Toc3380558_2870459653"/>
      <w:bookmarkStart w:id="455" w:name="_Toc178"/>
      <w:bookmarkEnd w:id="453"/>
      <w:bookmarkEnd w:id="454"/>
      <w:r>
        <w:rPr>
          <w:rtl w:val="true"/>
        </w:rPr>
        <w:t>الجهة الثانية</w:t>
      </w:r>
      <w:r>
        <w:rPr>
          <w:rtl w:val="true"/>
        </w:rPr>
        <w:t xml:space="preserve">: </w:t>
      </w:r>
      <w:r>
        <w:rPr>
          <w:rtl w:val="true"/>
        </w:rPr>
        <w:t>في مفادها ومضمونها</w:t>
      </w:r>
      <w:bookmarkEnd w:id="455"/>
    </w:p>
    <w:p>
      <w:pPr>
        <w:pStyle w:val="Heading4"/>
        <w:numPr>
          <w:ilvl w:val="3"/>
          <w:numId w:val="1"/>
        </w:numPr>
        <w:rPr/>
      </w:pPr>
      <w:bookmarkStart w:id="456" w:name="__RefHeading___Toc3380560_2870459653"/>
      <w:bookmarkStart w:id="457" w:name="_Toc179"/>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مرّ عليك في تاريخ المسألة أنّ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السبق في توظيف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التركيب الثلاثي في المباحث الفقهية والأصولية، وأنّ أصل المسألة كان لها حضور في أذهان أرباب العلوم قبله، فإنّ الحديث عن المناسبة والتناسب شائع في العلوم، وقد تكرّر في عبارات النحويين، والمفسّرين، وعلماء البلاغة، وغيرهم من أرباب العلوم في مواضع متعدّدة؛ فإنّهم إذا نظروا إلى عبارة مجملة تحتمل وجوهاً من المعاني، ورجّحوا منها معنى على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المعنى أنسب بالحكم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عليك أنّ هذا من باب الترجيح بالتناسب بين الحكم والموضوع، وإن لم يصرّحوا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حقيقة مناسبة الحكم والموضوع ينبغي علينا أوّلاً أن نوضّح المقصود الدلالي من الكلمات المأخوذة في عنوان المسألة في اللغة، ومن ثمّ نحاول الوصول إلى مقصود العلماء من هذه العناوين في الاصطلاح</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3380562_2870459653"/>
      <w:bookmarkStart w:id="459" w:name="_Toc180"/>
      <w:bookmarkEnd w:id="458"/>
      <w:r>
        <w:rPr>
          <w:rtl w:val="true"/>
        </w:rPr>
        <w:t>المعنى اللغوي</w:t>
      </w:r>
      <w:bookmarkEnd w:id="45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القرابة والمشاكلة</w:t>
      </w:r>
      <w:r>
        <w:rPr>
          <w:rStyle w:val="FootnoteAnchor"/>
          <w:rtl w:val="true"/>
        </w:rPr>
        <w:footnoteReference w:id="55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يناسب فلاناً فهو نَسِيبُه،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نَسيبي، وهم أنسبائي، وقد </w:t>
      </w:r>
    </w:p>
    <w:p>
      <w:pPr>
        <w:pStyle w:val="BookText"/>
        <w:rPr/>
      </w:pPr>
      <w:r>
        <w:rPr>
          <w:rFonts w:ascii="Amiri" w:hAnsi="Amiri" w:eastAsia="Amiri" w:cs="Amiri"/>
          <w:color w:val="111111"/>
          <w:sz w:val="28"/>
          <w:sz w:val="28"/>
          <w:szCs w:val="28"/>
          <w:rtl w:val="true"/>
          <w:lang w:bidi="ar-SA"/>
        </w:rPr>
        <w:t>ناسبوني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بينهما مناسبة،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مشاكلة</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الشيئين مُناسبةٌ وتَناسُبٌ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نِسْبَةَ بينَهمَا، وبينهما نِسْبَةٌ قَريبة</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الشاعر بالمرأة، إذا شَبَّبَ بها، سمّي نسيباً؛ لأنّه قريب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الاستعمالات فيها ضرب من ضروب التنزيل والتوسعة، والذي يعنينا أنّها بأجمعها تدخل في الاستعمالات اللغوية، ولا يعنينا التصنيف المصطلح عند علماء البلاغة، وهل هي حقيقة أو مجاز؟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ابن فارس إلى أنّ جميع هذه الكلمات ترجع إلى معنى واحد، وهو الاتّصال والقرابة، قال في معجم مقاييس اللغة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والسين والباء كلمةٌ واحدة قياسُها اتّصال شيءٍ بشيء، منه النسَب، سمِّي لاتّصاله وللاتّصال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نَسِيبُ فلانٍ، ومنه النسيبُ في الشعر إلى المرأة، كأنّه ذِكْرٌ يتَّصِل بها، ولا يكون إلَّا في النساءِ، والنسيبُ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لاتّصال بعضِه من بعض</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كلّه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معنى المناسبة بحسب العرف، واستعمالات أبناء العربية في زماننا يساعد على ما ذكره ابن فارس؛ لأنّهم يقصدون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الملاءمة، والمواءمة، والانسجام، وإن لم يتضمّن مشابهة، بل يرون مناسبة بين الضدّين، كما في الألوان، فإنّ المختّصين بتناسق الألوان في الجدران أو الثياب أو الأثاث، يجمعون بعض الألوان مع بعض، ولا يرضون بوضع بعض آخر،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مناسب لهذا، وذاك غير 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الذوق يستحسن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في يتيمته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مثل الصبح مُبيَضُّ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مثل الليلِ مُسوَدُّ</w:t>
      </w:r>
    </w:p>
    <w:p>
      <w:pPr>
        <w:pStyle w:val="BookText"/>
        <w:rPr/>
      </w:pPr>
      <w:r>
        <w:rPr>
          <w:rFonts w:ascii="Amiri" w:hAnsi="Amiri" w:eastAsia="Amiri" w:cs="Amiri"/>
          <w:color w:val="111111"/>
          <w:sz w:val="28"/>
          <w:sz w:val="28"/>
          <w:szCs w:val="28"/>
          <w:rtl w:val="true"/>
          <w:lang w:bidi="ar-SA"/>
        </w:rPr>
        <w:t xml:space="preserve">ضدّانِ لمّا استَجْمَعا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والضدُّ يُظهِرُ حُسنَهُ الضدُّ</w:t>
      </w:r>
    </w:p>
    <w:p>
      <w:pPr>
        <w:pStyle w:val="BookText"/>
        <w:rPr/>
      </w:pPr>
      <w:r>
        <w:rPr>
          <w:rFonts w:ascii="Amiri" w:hAnsi="Amiri" w:eastAsia="Amiri" w:cs="Amiri"/>
          <w:color w:val="111111"/>
          <w:sz w:val="28"/>
          <w:sz w:val="28"/>
          <w:szCs w:val="28"/>
          <w:rtl w:val="true"/>
          <w:lang w:bidi="ar-SA"/>
        </w:rPr>
        <w:t>وعلماء البلاغة والمختّصون بعلوم القرآن يعدّون الأذُن مناسبة للموعظة مع أنّه لا مشابهة بينهما؛ فإنّ الموعظة كلام مسموع، وهو عَرَض، والأذُن آلة، وهي جوهر،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مناسبة للأذُن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جعلنا كلام أهل البلاغة وعلوم القرآن شاهداً على المعنى العرفي فالمناسبة عند العرف هي الصلة والارتباط، وهو ما قاله ابن فارس</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تعني ما يسمّيه علماء النحو بالمسند والمسند إليه</w:t>
      </w:r>
      <w:r>
        <w:rPr>
          <w:rFonts w:eastAsia="Amiri" w:cs="Amiri" w:ascii="Amiri" w:hAnsi="Amiri"/>
          <w:color w:val="111111"/>
          <w:sz w:val="28"/>
          <w:szCs w:val="28"/>
          <w:rtl w:val="true"/>
          <w:lang w:bidi="ar-SA"/>
        </w:rPr>
        <w:t xml:space="preserve">. </w:t>
      </w:r>
      <w:bookmarkStart w:id="460" w:name="pg9153_76451"/>
    </w:p>
    <w:p>
      <w:pPr>
        <w:pStyle w:val="Heading4"/>
        <w:numPr>
          <w:ilvl w:val="3"/>
          <w:numId w:val="1"/>
        </w:numPr>
        <w:rPr/>
      </w:pPr>
      <w:bookmarkStart w:id="461" w:name="__RefHeading___Toc3380564_2870459653"/>
      <w:bookmarkStart w:id="462" w:name="_Toc181"/>
      <w:bookmarkEnd w:id="460"/>
      <w:bookmarkEnd w:id="461"/>
      <w:r>
        <w:rPr>
          <w:rtl w:val="true"/>
        </w:rPr>
        <w:t>المعنى الاصطلاحي</w:t>
      </w:r>
      <w:bookmarkEnd w:id="462"/>
    </w:p>
    <w:p>
      <w:pPr>
        <w:pStyle w:val="Heading5"/>
        <w:numPr>
          <w:ilvl w:val="4"/>
          <w:numId w:val="1"/>
        </w:numPr>
        <w:rPr/>
      </w:pPr>
      <w:bookmarkStart w:id="463" w:name="__RefHeading___Toc3380566_2870459653"/>
      <w:bookmarkStart w:id="464" w:name="_Toc182"/>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وأمّا المعنى المصطلح عند علمائنا عندما يعبّرون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يهمّنا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380568_2870459653"/>
      <w:bookmarkStart w:id="466" w:name="_Toc183"/>
      <w:bookmarkEnd w:id="465"/>
      <w:r>
        <w:rPr>
          <w:rtl w:val="true"/>
        </w:rPr>
        <w:t>الاحتمال الأوّل</w:t>
      </w:r>
      <w:r>
        <w:rPr>
          <w:rtl w:val="true"/>
        </w:rPr>
        <w:t xml:space="preserve">: </w:t>
      </w:r>
      <w:r>
        <w:rPr>
          <w:rtl w:val="true"/>
        </w:rPr>
        <w:t>أن يكون مرادهم المشابهة والمشاكلة</w:t>
      </w:r>
      <w:bookmarkEnd w:id="466"/>
    </w:p>
    <w:p>
      <w:pPr>
        <w:pStyle w:val="BookText"/>
        <w:rPr/>
      </w:pPr>
      <w:r>
        <w:rPr>
          <w:rFonts w:ascii="Amiri" w:hAnsi="Amiri" w:eastAsia="Amiri" w:cs="Amiri"/>
          <w:color w:val="111111"/>
          <w:sz w:val="28"/>
          <w:sz w:val="28"/>
          <w:szCs w:val="28"/>
          <w:rtl w:val="true"/>
          <w:lang w:bidi="ar-SA"/>
        </w:rPr>
        <w:t>وهذا الاحتمال مدفوع؛ لأنّ الأحكام في الغالب من الاعتباريات، وموضوعاتها موجودات عينية خارجية، ولا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الموجود العيني مشابه لذلك الأمر الاعتباري، ومثال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النجاسة حكم اعتباري تشريعي والدم موجود عيني، فأين التشابه بينهما؟ ولذا لا يمكننا تفسير مقصودهم من التناسب بين الحكم والموضوع بالتشابه بينهما</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380570_2870459653"/>
      <w:bookmarkStart w:id="468" w:name="_Toc184"/>
      <w:bookmarkEnd w:id="467"/>
      <w:r>
        <w:rPr>
          <w:rtl w:val="true"/>
        </w:rPr>
        <w:t>الاحتمال الثاني</w:t>
      </w:r>
      <w:r>
        <w:rPr>
          <w:rtl w:val="true"/>
        </w:rPr>
        <w:t xml:space="preserve">: </w:t>
      </w:r>
      <w:r>
        <w:rPr>
          <w:rtl w:val="true"/>
        </w:rPr>
        <w:t>أن يكون مرادهم بها الأليقية</w:t>
      </w:r>
      <w:bookmarkEnd w:id="4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 أنّ لازمه أن يتحكّم العرف في حدود موضوع الحكم الشرعي، وأنّه الذي يفرض على الشارع أنّ هذا الموضوع أقرب من ذاك إلى حكمك، وأليق به، وأحقّ من ذلك الموضوع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فيتصرّف العرف 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تعني بالمؤمن هنا خصوص المؤمن التقي، لكونه أليق بالإكرام من غيره من المؤمنين؟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باشتراط التناسب هو الجزم بعدم ثبوت الحكم للأفراد الذين لا يناسبهم الحكم، فالتناسب هو اللياقة، ولكن ليس التناسب شرطاً، بل عدم التناسب مانع، والمراد بعدم التناسب هو التنافر، 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لأنّ المتهتّك غير لائق بوجوب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الإطلاق غير مقبول عند العرف</w:t>
      </w:r>
      <w:r>
        <w:rPr>
          <w:rFonts w:eastAsia="Amiri" w:cs="Amiri" w:ascii="Amiri" w:hAnsi="Amiri"/>
          <w:color w:val="111111"/>
          <w:sz w:val="28"/>
          <w:szCs w:val="28"/>
          <w:rtl w:val="true"/>
          <w:lang w:bidi="ar-SA"/>
        </w:rPr>
        <w:t xml:space="preserve">. </w:t>
      </w:r>
      <w:bookmarkStart w:id="469" w:name="pg9153_76453"/>
    </w:p>
    <w:p>
      <w:pPr>
        <w:pStyle w:val="BookText"/>
        <w:rPr/>
      </w:pPr>
      <w:bookmarkEnd w:id="469"/>
      <w:r>
        <w:rPr>
          <w:rFonts w:ascii="Amiri" w:hAnsi="Amiri" w:eastAsia="Amiri" w:cs="Amiri"/>
          <w:color w:val="111111"/>
          <w:sz w:val="28"/>
          <w:sz w:val="28"/>
          <w:szCs w:val="28"/>
          <w:rtl w:val="true"/>
          <w:lang w:bidi="ar-SA"/>
        </w:rPr>
        <w:t xml:space="preserve">لكنّه يقلب القرينة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منافرة الحكم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تفسير لكلامهم بمعنى بعيد</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3380572_2870459653"/>
      <w:bookmarkStart w:id="471" w:name="_Toc185"/>
      <w:bookmarkEnd w:id="470"/>
      <w:r>
        <w:rPr>
          <w:rtl w:val="true"/>
        </w:rPr>
        <w:t>الاحتمال الثالث</w:t>
      </w:r>
      <w:r>
        <w:rPr>
          <w:rtl w:val="true"/>
        </w:rPr>
        <w:t xml:space="preserve">: </w:t>
      </w:r>
      <w:r>
        <w:rPr>
          <w:rtl w:val="true"/>
        </w:rPr>
        <w:t>أن يكون مرادهم ضرباً من القرب المعنوي</w:t>
      </w:r>
      <w:bookmarkEnd w:id="471"/>
    </w:p>
    <w:p>
      <w:pPr>
        <w:pStyle w:val="BookText"/>
        <w:rPr/>
      </w:pPr>
      <w:r>
        <w:rPr>
          <w:rFonts w:ascii="Amiri" w:hAnsi="Amiri" w:eastAsia="Amiri" w:cs="Amiri"/>
          <w:color w:val="111111"/>
          <w:sz w:val="28"/>
          <w:sz w:val="28"/>
          <w:szCs w:val="28"/>
          <w:rtl w:val="true"/>
          <w:lang w:bidi="ar-SA"/>
        </w:rPr>
        <w:t>لأنّنا لا نحتمل أنّهم يريدون القرب المكاني أو الزماني؛ لأنّ الحكم قد لا يكون أمراً مكانياً ولا زمانياً، مثل الأحكام الاعتبارية فإنّ الوجوب والتحريم والطهارة والنجاسة أمور تشريعية اعتبارية، وليست موجودات زمانية ولا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المحتمل أن يراد ضرب من القرب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القرب المعنوي بين الحكم والموضوع هو قوّة احتمال إرادة الحكم الخاصّ عند إثباته لموضوع معيّن، فهذا هو الراجح في معنى التناسب بين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بالحكم المثبت لهذا الموضوع هو هذا الحكم على الأرجح، والمقصود بالموضوع الذي أثبت له الحكم هو هذا الموضوع على الأرجح، إمّا توسعةً أو تضييقاً أو غير ذلك من التغييرات التي يحدثها هذا الترجيح، وسيأتي التعرّض لها مفصّلاً في الأبحاث اللاحقة، وعلى هذا فمآل مناسبة الحكم والموضوع هو الظنّ، وأنّ المظنون إرادة هذا المعنى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المعنى لا يتناسب مع ما نعرفه من علمائنا الأبرار من رسوخهم وتمكّنهم في العلم، وثبات قدمهم فيه، مع وضوح أنّ الظنّ لا يغني من الحقّ شيئاً، فلا بدّ أن لا يكون هذا محلّ كلامهم، ولا هو المقصود من مناسبة الحكم والموضوع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فمقصودهم من هذه المناسبات هو حصول اليقين أو الاطمئنان عندهم بإرادة حصّة خاصّة في موارد تقييد موضوع الحكم مثلاً، أو إرادة عدم خصوصية العنوان المذكور في مواضع التعميم، وأمثال ذلك بنحوٍ يعود ما يريدونه من مناسبة الحكم والموضوع إلى ما هو حجّة عندهم، لا إلى الظنّ الذي ليس بحجّة، ولا تقوم به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لمرادهم من المناسبة بين الحكم والموضوع يرجع إلى أمرٍ شخصيّ، ويخرجه عن القرائن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مع ذلك يعبّرون عن هذه المناسبات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العبارات تعطي أنّ مناسبة الحكم والموضوع معنى يقوم بالآخرين، لا بأنفسهم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مقصودهم بالتعبير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الجزم الذي استندوا إليه في تحديد موضوع الحكم ليس أمراً ذاتياً، بل هو أمر موضوعيّ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بين العلماء في الاطمئنان الذي هو حجّة، أهو الاطمئنان النوعي أم الاطمئنان الشخصي؟ فكيف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الاطمئنان بحدود الموضوع المقصود بالعنوان المذكور في لسان الدليل إلى الاطمئنان النوعي، والحال أنّ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الخوئي ممّن يتمسّك بهذه المناسبة</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الاطمئنان النوعي حجّة، فإنّه قد تمسّك بمناسبة الحكم والموضوع كثيراً، مع أنّه لا يرى الاطمئنان النوعي حجّة، بل لا يرى القطع النوعي </w:t>
      </w:r>
      <w:bookmarkStart w:id="472" w:name="pg9153_76457"/>
    </w:p>
    <w:p>
      <w:pPr>
        <w:pStyle w:val="BookText"/>
        <w:rPr/>
      </w:pPr>
      <w:bookmarkEnd w:id="472"/>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لاعتقاد أنّ مناسبة الحكم والموضوع شيء آخر غير الاطمئنان بالمراد، أو يكون المقصود سدّ باب الطعن عليهم، كمن يرى الحجّة هو الظهور الواصل إلى درجة الاطمئنان بإرادته، فإنّك تجده أحياناً في البحث الفقهي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يفهم من هذا التعبير هذا المعنى، فيسند هذا الفهم إلى العرف، لا لأجل بيان جهة الحجّية والاعتبار عنده، فإنّ جهة الحجّية هي اطمئنانه الشخصي، بل قصده من دعوى الظهور العرفي سدّ باب الطعن عليه؛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الاطمئنان ناشئ من أسس موضوعية، وليس اطمئناناً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من جهة أنّ الحجّة عنده هو الاطمئنان الشخصي الموضوعي، فلهذا العمل مخارج متعدّدة</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3380574_2870459653"/>
      <w:bookmarkStart w:id="474" w:name="_Toc186"/>
      <w:bookmarkEnd w:id="473"/>
      <w:r>
        <w:rPr>
          <w:rtl w:val="true"/>
        </w:rPr>
        <w:t xml:space="preserve">الاحتمال الرابع </w:t>
      </w:r>
      <w:r>
        <w:rPr>
          <w:rtl w:val="true"/>
        </w:rPr>
        <w:t xml:space="preserve">- </w:t>
      </w:r>
      <w:r>
        <w:rPr>
          <w:rtl w:val="true"/>
        </w:rPr>
        <w:t xml:space="preserve">وهو الأقرب لتطبيقاتهم </w:t>
      </w:r>
      <w:r>
        <w:rPr>
          <w:rtl w:val="true"/>
        </w:rPr>
        <w:t xml:space="preserve">-: </w:t>
      </w:r>
      <w:r>
        <w:rPr>
          <w:rtl w:val="true"/>
        </w:rPr>
        <w:t>أن يراد بها علم المخاطب بشمول الحكم أو عدم شموله لبعض أفراد الطبيعي</w:t>
      </w:r>
      <w:bookmarkEnd w:id="474"/>
    </w:p>
    <w:p>
      <w:pPr>
        <w:pStyle w:val="BookText"/>
        <w:rPr/>
      </w:pPr>
      <w:r>
        <w:rPr>
          <w:rFonts w:ascii="Amiri" w:hAnsi="Amiri" w:eastAsia="Amiri" w:cs="Amiri"/>
          <w:color w:val="111111"/>
          <w:sz w:val="28"/>
          <w:sz w:val="28"/>
          <w:szCs w:val="28"/>
          <w:rtl w:val="true"/>
          <w:lang w:bidi="ar-SA"/>
        </w:rPr>
        <w:t xml:space="preserve">إذا نظرنا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موارد تطبيقها، وما يستظهرونه في كلّ مورد بالاعتماد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تحليلها يقودنا إلى أنّ مرادهم بها هو علم السامع بعدم ثبوت الحكم للطبيعي على سعته وإن لم يُذكر قيد لفظي في الكلام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منشأ علم السامع بذلك فيختلف من مورد لآخر، فقد يكون علمه بذلك ناشئاً من استحالة ثبوت الحكم للطبيعي استحالة ذاتية، وقد يكون ناشئاً من استحالة ثبوته للطبيعي من جهة امتناع ذلك على الحاكم، ويظهر الفرق بين العلم الناشئ من هذا السبب عن سابقه فيما لو جاء مثل هذا الحكم عن غير هذا الحاكم في </w:t>
      </w:r>
    </w:p>
    <w:p>
      <w:pPr>
        <w:pStyle w:val="BookText"/>
        <w:rPr/>
      </w:pPr>
      <w:r>
        <w:rPr>
          <w:rFonts w:ascii="Amiri" w:hAnsi="Amiri" w:eastAsia="Amiri" w:cs="Amiri"/>
          <w:color w:val="111111"/>
          <w:sz w:val="28"/>
          <w:sz w:val="28"/>
          <w:szCs w:val="28"/>
          <w:rtl w:val="true"/>
          <w:lang w:bidi="ar-SA"/>
        </w:rPr>
        <w:t>صفته الموجبة لامتناع الإطلاق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ناشئاً من بيان المتكلّم حكم حصّة من ذلك الطبيعي، وأنّها بخلاف الحكم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يدخل في التخصيص بالمنفصل، سواء أكان المخصّص متأخّراً أم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ناشئاً من معرفته بغرض المتكلّم من جعل الحكم، وعلمه بخلوّ بعض حصص الطبيعة من ذلك الغرض، والعلم بالغرض إن حصل من طريق العقل فهو راجع إلى السبب الأوّل أو الثاني، وإن حصل من طريق الارتكاز العرفي أو المتشرعي كان في قبالهما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ومناسبة الحكم والموضوع بهذا التفسير ترجع في بعض مواردها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السبب الأوّل والثاني، بل والثالث من وجه، وترجع في بعضها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العلم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لاحظناه في أكثر موارد اعتماد الفقهاء على مناسبة الحكم والموضوع أنّهم يريدون بهذا المركّب المؤلّف من الكلمات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واستكشاف حكمة التشريع، أو استنباط علّة الحكم بدرجة يطمئنون بكونها علّةً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ينسجم مع المعنى الذي يقصدونه بهذا المركّب، وهو تنقيح المناط، فما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يتوافق مع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لعلّ ذلك المعنى هو علاقة بين الحكم والموضوع، وارتباط بينهما، وأنّ العرف يدرك هذا الارتباط بينهما، لأنّه يرى الغرض من هذا الحكم قائماً بهذه الحصّة خاصّة والغرض من ذلك الحكم قائماً بتلك الحصّة خاصّة، وهكذا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في توجيه تسمية هذه القرينة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المناسبة بمعنى الصلة </w:t>
      </w:r>
    </w:p>
    <w:p>
      <w:pPr>
        <w:pStyle w:val="BookText"/>
        <w:rPr/>
      </w:pPr>
      <w:r>
        <w:rPr>
          <w:rFonts w:ascii="Amiri" w:hAnsi="Amiri" w:eastAsia="Amiri" w:cs="Amiri"/>
          <w:color w:val="111111"/>
          <w:sz w:val="28"/>
          <w:sz w:val="28"/>
          <w:szCs w:val="28"/>
          <w:rtl w:val="true"/>
          <w:lang w:bidi="ar-SA"/>
        </w:rPr>
        <w:t>والارتباط، وحيث إنّ الحكم تشريع اعتباري، والموضوع ربّما كان أمراً واقعياً، وليست بينهما صلة، فكيف عدّوا الصلة بينهما قرينة؟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الاعتباري له ملاك يصحّحه، والملاك قائم بالموضوع، وهذا الملاك هو الصلة بين الحكم وموضوعه، والحكم يتبع الملاك في أصل وجوده، وفي حدوده وقيوده، فإذا كان الملاك في الطبيعة على سعتها، فيشرع الحكم للطبيعة كذلك، وإذا كان الملاك في حصّة خاصّة من الطبيعة، فيجب تخصيص الحكم بتلك الحصّة، ولا مصحّح لتشريع حكم يتعلّق بما وراء الحصّة التي فيها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إنّما يتمّ في الأحكام التكليفيّة، فإنّها تابعة لملاك قائم بمتعلّقاتها، وأمّا الأحكام الوضعية فليس له مجال فيها؛ لأنّ ملاكاتها فيها نفسها، لا في متعلّقاتها، فهو توجيه ناقص، بل إنّ أكثر موارد استناد الفقهاء إلى مناسبة الحكم والموضوع هو الأحكام الوضعية، بل قسم خاصّ من الأحكام الوضعية، وهي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المعاملات لا تخلو من ملاكات في موضوعاتها، فالحكم بلزوم البيع مثلاً ناشئ من ملاك في البيع، لا في اللزوم، ولو كان البيع مثل الربا لاستوى لزوم البيع ولزوم الربا، فيصير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المناسبة هي الصلة، ومناسبة الحكم للموضوع هي كون الحكم معلولاً للموضوع، وكون الموضوع علّة للحكم، والمراد بكونه علّة كونه مصحّحاً لتشريعه، وذلك باشتمال الموضوع على الملاك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لمست كلباً فطهّر يدك،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مناسبة الحكم والموضوع تقيّد </w:t>
      </w:r>
      <w:bookmarkStart w:id="475" w:name="pg9153_76462"/>
    </w:p>
    <w:p>
      <w:pPr>
        <w:pStyle w:val="BookText"/>
        <w:rPr/>
      </w:pPr>
      <w:bookmarkEnd w:id="475"/>
      <w:r>
        <w:rPr>
          <w:rFonts w:ascii="Amiri" w:hAnsi="Amiri" w:eastAsia="Amiri" w:cs="Amiri"/>
          <w:color w:val="111111"/>
          <w:sz w:val="28"/>
          <w:sz w:val="28"/>
          <w:szCs w:val="28"/>
          <w:rtl w:val="true"/>
          <w:lang w:bidi="ar-SA"/>
        </w:rPr>
        <w:t>ذلك بكونه برطوبة مسرية، فالمقصود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يمكنهم معرفة الملاك الموجب لتطهير اليد، وهو سراية القذارة من الكلب الممسوس إلى اليد الماسة، وهذه السراية خاصّة بما إذا كان المسّ برطوبة، فالحكم بالانفعال خاصّ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من أجل التوفيق بين ما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يستفاد من استدلالات الفقهاء، لكن الأمر في هذا سهل؛ لأنّ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نصّ شرعيّ، وإنّما هي من إنشاء العلماء، فإذا علمنا أو حصلت لنا الثقة بأنّهم يريدون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فلا غضاضة إن لم تكن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منسجمة مع مقصودهم، فإنّ غاية ذلك أن يكونوا قد تسامحوا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380576_2870459653"/>
      <w:bookmarkStart w:id="477" w:name="_Toc187"/>
      <w:bookmarkEnd w:id="476"/>
      <w:r>
        <w:rPr>
          <w:rtl w:val="true"/>
        </w:rPr>
        <w:t>التشخيص التفريقي</w:t>
      </w:r>
      <w:bookmarkEnd w:id="477"/>
    </w:p>
    <w:p>
      <w:pPr>
        <w:pStyle w:val="BookText"/>
        <w:rPr/>
      </w:pPr>
      <w:r>
        <w:rPr>
          <w:rFonts w:ascii="Amiri" w:hAnsi="Amiri" w:eastAsia="Amiri" w:cs="Amiri"/>
          <w:color w:val="111111"/>
          <w:sz w:val="28"/>
          <w:sz w:val="28"/>
          <w:szCs w:val="28"/>
          <w:rtl w:val="true"/>
          <w:lang w:bidi="ar-SA"/>
        </w:rPr>
        <w:t>إنّ بيان التشخيص التفريقي بين مناسبة الحكم والموضوع وبين كلّ واحدة واحدة من القرائن المعنوية العامّة يطول، ولكنّنا نكتفي بذكر طريقة التمييز بينها وبين ما هو قريب لها من القرائن المعنوية، وبه تعرف المائز بينها وبين سائر القرائن المعنوية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الانصراف فقد ذكر العلماء له مناشئ،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الوجود،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المناشئ أمور مطّردة في مختلف الأحكام التي تحمل على تلك الطبيعة، وعليه فيسهل التشخيص التفريقي للانصراف، وذلك بتغيير الحكم في القضية، فإذا غيّرنا الحكم ووجدنا الدلالة على الخاصّ باقية على حالها علمنا أنّ القرينة الدالّة على إرادة الخاصّ هي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مجاراة للعلماء، وإلّا فالأنسب أن ندرس كلّ واحد من المناشئ التي ذكروها باعتباره قرينة معنوية مستقلّة، وننظر في نتيجة دراستنا لها، أيّها قرينة معنوية حقّاً؟ وأيّها قرينة وهمية؟ ثمّ ندرس شروط قرينية ما ثبت منها أنّه قرينة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الغرض فيمكن تبديل الحكم بحكم لا نعرف غرضه، وننظر إن بقيت الدلالة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بيان طريق معرفة الغرض، فإنّ الغرض أمر غيبي، ولا يعرف إلّا ببيان صاحبه، أو بمشاهدة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مناسبة الحكم والموضوع فإذا أخذنا بما يقتضيه لفظها فهي قرينة مستفادة من خصوصية الحكم في القضية، وهذا يعني أنّا إذا غيّرنا الحكم فسوف تذهب الدلالة بتغيير الحكم، فإذا شككنا أنّ القرينة في موردٍ ما هي مناسبة الحكم والموضوع نغيّر الحكم وننظر، فإن استفدنا العموم بعد تغيير الحكم فنستكشف أنّ الحكم هو الذي دلّنا على القيد، وإن بقي الكلام مفيداً لإرادة الخاصّ فنعلم أنّ القرينة على التقييد شيء آخر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احتملنا أنّ الحكم البديل يشارك الحكم الأصلي في مناسبته للخصوصية، فنجرّب حكماً ثالثاً، ورابعاً، حتّى تحصل الثقة بأنّ الخصوصية لم تأتِ من ناحية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الجواب ببيان أمثلة للقرائن المعنوية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فالأب قد يطلب من ولده الماء،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 لي بعض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خالياً من أيّ قرينة لفظية، والماء المطلق يصدق على البارد والمغلي، لكن حال الأب يدلّ على غرضه من طلب الماء، فإن كان الأب عطشاناً فهو يريد الماء ليشربه، وهذا الغرض يقوم بالماء البارد، وإن كان الأب يشرب الشاي واشتكى </w:t>
      </w:r>
    </w:p>
    <w:p>
      <w:pPr>
        <w:pStyle w:val="BookText"/>
        <w:rPr/>
      </w:pPr>
      <w:r>
        <w:rPr>
          <w:rFonts w:ascii="Amiri" w:hAnsi="Amiri" w:eastAsia="Amiri" w:cs="Amiri"/>
          <w:color w:val="111111"/>
          <w:sz w:val="28"/>
          <w:sz w:val="28"/>
          <w:szCs w:val="28"/>
          <w:rtl w:val="true"/>
          <w:lang w:bidi="ar-SA"/>
        </w:rPr>
        <w:t>من شدّة تركيز الشاي وغلظته، فهو يريد الماء ليخفّف به غلظة الشاي، وهذا الغرض يقوم بالماء المغلي، وإن كان قد وقع شيء على ثوبه، فهو يريد الماء لينظّف به ثوبه، وهذا الغرض يقوم بالماء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قد يقيّد المطلق بهذه الحصّة، وقد يقيّده بتلك، وقد يبقيه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علمنا بالغرض؟</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الغائب ليس له طريق لمعرفة غرض الأب من الماء، وإنّما يعرف غرضه من كان عنده، فإن رآه قادماً من الطريق، ووجده يلهث من العطش، عرف أنّ غرضه شرب الماء، وإن رآه جالساً وأمامه كوب الشاي عرف أنّ غرضه إضافة الماء للشاي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هذه القرينة ذات وجهين؛ لأنّها تعتمد على مقدّمتين، إحداهما حسّية، وهي الرؤية، والأخرى عقلية، فالعقل يحكم بأنّه إنّما طلب الماء لهذا الغرض، فمن نظر للجانب الحسّي فيها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نظر للمقدّمة العقلية فيها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بانفعال الكرّ بوقوع النجاسة، فإنّه يشترط فيه تغيّر أحد أوصافه بالملاقاة، فلا ينفعل إذا تغيّرت حرارته أو برودته بالنجس، ولا إذا تغيّرت رائحته بالمجاورة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والاستمناء، هو طلب الإمناء، والمراد به حصول الإمناء به، لا مطلق طلبه وإن كان الطلب محرّماً، لكنّه لا يوجب الكفّارة بدون حصوله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هو الدليل على ذلك؟</w:t>
      </w:r>
    </w:p>
    <w:p>
      <w:pPr>
        <w:pStyle w:val="BookText"/>
        <w:rPr/>
      </w:pPr>
      <w:r>
        <w:rPr>
          <w:rFonts w:ascii="Amiri" w:hAnsi="Amiri" w:eastAsia="Amiri" w:cs="Amiri"/>
          <w:color w:val="111111"/>
          <w:sz w:val="28"/>
          <w:sz w:val="28"/>
          <w:szCs w:val="28"/>
          <w:rtl w:val="true"/>
          <w:lang w:bidi="ar-SA"/>
        </w:rPr>
        <w:t>وهذا هو الأقرب لما نفهمه من تطبيقاتهم، وموارد اعتمادهم على مناسبة الحكم والموضوع وإن لم يصرّحوا بإرادة استظهار الغرض وحكمة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أصرح عبارة في ذلك، ما قاله الشيخ 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الرسائل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الأحكام الشرعية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الأحكام العبادية المتعلّقة بما بين العبد وبين الله تعالى، والوظائف التي يتقرّب بها كلّ فرد إلى الله تعالى، ويستكمل بها الكمالات الإنسانية، ويحضر بها مشاهد القرب، ويتشبّه بها بالملائكة الروحانية، ويرتفع بها إلى الحضور في عالم القدس والأنس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الأحكام وإن كانت أساس السعادات الدنيوية والأخروية، والجسمية والروحية، وروح جميع الأنظمة الشرعية، إلّا أنّ الغرض الأوّل والأسنى من تشريعها إيصال العباد إلى المقامات المعنوية، والتوجّه إلى خالقهم الحقيقي، والمنعم عليهم، وجلوسهم على بساط الشكر وحصول حال التعبّد والتسليم والانقياد للحقّ في نفوسهم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أحكام تعبّدية صرفة لا يطّلع على ما فيها من الحكم بالتفصيل إلّا الأوحدي من الناس ممّن أكرمه الله تعالى بالاطّلاع على ذلك، ولا يتحقّق الغرض الأصلي منها إلّا بامتثالها بقصد الإطاعة والتعبّد الخالص، فلو اطّلع العبد على بعض ما فيه من الفائدة والحكمة غير ما يتحقّق بالعبادة والإتيان به تعبّداً، فأتى به لتحصيل هذه الفائدة والحكمة لم يكن ممتثلاً لها، ولا يستحقّ بها ما يستحقّ عباد الله المخلصون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المشروعة لنظم أمور الدنيا، وسياسة المدن، وإدارة المجتمع، وروابط الأفراد بعضها مع بعض في الأموال وغيرها، ففي مثل هذه الأحكام بملاحظة الأحكام وموضوعاتها والمناسبة بينهما، يفهم العرف في الجملة غرض الشارع، وما يحقّقه وما يرتبط به، ويكون لهذا الفهم دخل في استظهار مراده من كلامه من العموم والخصوص وغيرهما، وتكون هذه المناسبات التي يفهمها العرف من القرائن الحالية أو المقالية الدالّة على ما أراده المتكلّم من كلامه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عباراتهم؛ لأنّه تظهر من بعض العبارات معانٍ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فسّر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الأفكار مناسبة الحكم والموضوع بأنّها ارتكاز الترابط بين الحكم والموضوع في أذهان العرف،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للعرف 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من أهل المحاورة، ومن أهل فهم الكلام، وبهذا النظر يحدّد الموضوع الدليلي في فهم المرادات، ولو بواسطة القرائن الحافة بالكلام، فيفرّق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ينجس،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ينجس، من حيث فهمه الموضوع في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متغيّر، وفى الثاني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التغيّر جهة تعليلية لثبوت النجاسة للماء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المرتكز في ذهنه من المناسبة بين الحكم وموضوعه ولو على خلاف ما هو المتفاهم من الكلام، فيرى أنّ موضوع النجاسة حتّى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الماء وأنّ التغيّر واسطة في ثبوت النجاسة ومن الجهات </w:t>
      </w:r>
    </w:p>
    <w:p>
      <w:pPr>
        <w:pStyle w:val="BookText"/>
        <w:rPr/>
      </w:pPr>
      <w:r>
        <w:rPr>
          <w:rFonts w:ascii="Amiri" w:hAnsi="Amiri" w:eastAsia="Amiri" w:cs="Amiri"/>
          <w:color w:val="111111"/>
          <w:sz w:val="28"/>
          <w:sz w:val="28"/>
          <w:szCs w:val="28"/>
          <w:rtl w:val="true"/>
          <w:lang w:bidi="ar-SA"/>
        </w:rPr>
        <w:t>التعليلية؛ لما هو المرتكز في ذهنه من أنّ النجاسة من عوارض الماء، لا من عوارض الماء والتغيّر وإن كان بحسب نظره الدليلي خلاف ذلك، فيفهم أنّ موضوع النجاسة في المثال هو الماء بوصف تغيّره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ولكنّك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الماء؟ فتقصد بها مفهوم الماء،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الماء، فتقصد بها مصداقه، كما عدّ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لكنّك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الكتاب بشرط أن تخيط ثوبي، فمرادك به السبب،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الكتاب، فلك أن تقرأه أو تبيعه، فمرادك به المسبّب،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فيفهم التمليك الإنشائي في الأوّل، والتمليك الحقيقيّ في الثاني بمناسبة المقام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مرجع مناسبة الحكم والموضوع إلى القرينة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حقائق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الظاهر ممّا دلّ على حجّية خبر الثقة من تلك النصوص اعتبار كونه ثقةً في خصوص ذلك الخبر، ولا يعتبر كونه ثقةً في نفسه، وكأنّ الوجه في ذلك مناسبة الحكم لموضوعه، وإلّا فإطلاق الثقة يقتضي كونه ثقة مطلقاً، فقرينة المناسبة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الارتكاز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كون الظاهر ما ذكرنا، ولأجل ذلك استقرّ بناء الأصحاب على العمل بأخبار الضعفة مع اقترانها بما يوجب الوثوق بصدورها ولو كان ذلك مثل عمل المشهور أو الأساطين بها، كما لا يبعد أن يكون المراد من الوثوق الوثوق </w:t>
      </w:r>
    </w:p>
    <w:p>
      <w:pPr>
        <w:pStyle w:val="BookText"/>
        <w:rPr/>
      </w:pPr>
      <w:r>
        <w:rPr>
          <w:rFonts w:ascii="Amiri" w:hAnsi="Amiri" w:eastAsia="Amiri" w:cs="Amiri"/>
          <w:color w:val="111111"/>
          <w:sz w:val="28"/>
          <w:sz w:val="28"/>
          <w:szCs w:val="28"/>
          <w:rtl w:val="true"/>
          <w:lang w:bidi="ar-SA"/>
        </w:rPr>
        <w:t>النوعي، جرياً على مقتضي الارتكاز العقلائي</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أنّه ربّما فهم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يستند إلى فهم شخصيٍ للناظر إلى الحكم، فكأنّه يعبّر عن اجتهادٍ شخصي، واستنباط فردي، وأمّا مناسبة الحكم والموضوع فيقصدون بها أنّ استنباط علّة الحكم ليس مستنداً إلى أمرٍ شخصي، بل إلى ارتكازٍ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حداهم على هذا التعبير هو الخروج عن سُبّة القياس المنهي عنه شرعاً، كيف وقد بلغت الروايات المانعة عن العمل بالقياس إلى خمسمائة رواية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لاحظنا تاريخ القرائن، واعتماد العلماء على غير اللفظية منها بالخصوص، ونظرنا في موارد سمّاها علماء البلاغة والتفسير وأصول الفقه القدماء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لوجدنا أنّ جملةً منها هي التي تسمّى في اصطلاح المتأخّرين بمناسبة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عرفنا السبب الذي دعا علماءنا المتأخّرين للنأي عن التعبير بتنقيح المناط، فهذا يجرّنا إلى البحث عن السبب الذي دعاهم للعدول أيضاً عن التعبير بالقرائن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عدولهم عن هذه التسمية القديمة الموروثة مع شيوعها، هو أنّ القرينة العقلية تشعر بأنّ حمل الكلام على خلاف ما تعطيه القرينة غير معقول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الجلوس عنوان مشير، لا موضوعية له، والقرينة على ذلك عدم معقولية دخل الجلوس في حجّية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المتأخّرين حيث تقرّر عندهم أنّ الأحكام الشرعية أمور جعلية اعتبارية، والاعتبار وإن كان لا ينافي العقل؛ لأنّه خفيف المؤونة، إلّا أنّه يشترط فيه وجود المصحّح، وهو تحقّق الملاك، وقد تقرّر في محلّه أنّ ملاكات الأحكام مخفية عنّا، فلا يسعنا الحكم بكون الجلوس دخيلاً في موضوع الحكم، ولا بكونه غير دخيل ما لم نطّلع على الملاك، فليس لنا أن نأتي من طريق العقل، ولذلك التمسوا طريقاً آخر غير القرينة العقلية، وهو أنّ العرف لا يرى للجلوس دخلاً في حجّية القول، وبه خرجوا عن هذه القلاقل، ودفعوا اعتراض المعترض عليهم بأنّ العقل لا شأن له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يتّضح لك سبب كون أكثر موارد الاعتماد على مناسبة الحكم والموضوع قرينةً كانت أم دليلاً في أبواب المعاملات والطهارة خاصّة، والسبب في ذلك يعود إلى أنّ هذه الأحكام ليست تعبّداً صرفاً، فلحديث التناسب بين الحكم والموضوع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التعرّض له في هذه الحلقة، وسيأتي في الحلقة اللاحقة التعرّض للجهات الأخر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bookmarkStart w:id="478" w:name="pg9153_76480"/>
    </w:p>
    <w:p>
      <w:pPr>
        <w:pStyle w:val="Heading2"/>
        <w:numPr>
          <w:ilvl w:val="1"/>
          <w:numId w:val="1"/>
        </w:numPr>
        <w:rPr/>
      </w:pPr>
      <w:bookmarkStart w:id="479" w:name="__RefHeading___Toc3380578_2870459653"/>
      <w:bookmarkStart w:id="480" w:name="_Toc188"/>
      <w:bookmarkEnd w:id="478"/>
      <w:bookmarkEnd w:id="479"/>
      <w:r>
        <w:rPr>
          <w:rtl w:val="true"/>
        </w:rPr>
        <w:t xml:space="preserve">السّيرة العقلائيّة </w:t>
      </w:r>
      <w:r>
        <w:rPr>
          <w:rtl w:val="true"/>
        </w:rPr>
        <w:t>(</w:t>
      </w:r>
      <w:r>
        <w:rPr>
          <w:rtl w:val="true"/>
        </w:rPr>
        <w:t>الحلقظ الثانیة</w:t>
      </w:r>
      <w:r>
        <w:rPr>
          <w:rtl w:val="true"/>
        </w:rPr>
        <w:t xml:space="preserve">) - </w:t>
      </w:r>
      <w:r>
        <w:rPr>
          <w:rtl w:val="true"/>
        </w:rPr>
        <w:t xml:space="preserve">الشّيخ نجم التّرابيّ </w:t>
      </w:r>
      <w:r>
        <w:rPr>
          <w:rtl w:val="true"/>
        </w:rPr>
        <w:t>(</w:t>
      </w:r>
      <w:r>
        <w:rPr>
          <w:rtl w:val="true"/>
        </w:rPr>
        <w:t>دام عزه</w:t>
      </w:r>
      <w:r>
        <w:rPr>
          <w:rtl w:val="true"/>
        </w:rPr>
        <w:t>)</w:t>
      </w:r>
      <w:bookmarkEnd w:id="480"/>
    </w:p>
    <w:p>
      <w:pPr>
        <w:pStyle w:val="Heading3"/>
        <w:numPr>
          <w:ilvl w:val="2"/>
          <w:numId w:val="1"/>
        </w:numPr>
        <w:rPr/>
      </w:pPr>
      <w:bookmarkStart w:id="481" w:name="__RefHeading___Toc3380580_2870459653"/>
      <w:bookmarkStart w:id="482" w:name="_Toc189"/>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لا غنىً عن البحث في السيرة العقلائية في الفقه والأُصول؛ كونها تعدّ جذراً استدلالياً لمباحث وقواعد مهمّة كمباحث الطهارة والمعاملات، وحجّية الأمارات، إلى غير ذلك من الموارد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الضوء على طرق إثبات السيرة، والاستدلال بها وشروطه، ومدلولها وحدوده</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9153_76483"/>
      <w:bookmarkStart w:id="484" w:name="pg9153_76483"/>
      <w:bookmarkEnd w:id="484"/>
    </w:p>
    <w:p>
      <w:pPr>
        <w:pStyle w:val="BookText"/>
        <w:rPr/>
      </w:pPr>
      <w:bookmarkStart w:id="485" w:name="pg9153_76483"/>
      <w:bookmarkEnd w:id="48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تناول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الفصل الأوّل منها في تقسيمات السيرة بعد مقدّمة في تحديد المراد من هذا الاصطلاح، وتعقّبه الفصل الثاني في طريقة الاستدلال بها وشروطه، وهي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في ثبوت موقف من الشارع المقدّس تجاه السيرة، وثاني الشروط الاطّلاع على هذا الموقف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تقدّم في الحلقة الأولى، وأمّا باقي الشروط ومحاور البحث فهو ما نتكفّل به في هذه الحلقة</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3380582_2870459653"/>
      <w:bookmarkStart w:id="487" w:name="_Toc190"/>
      <w:bookmarkEnd w:id="486"/>
      <w:r>
        <w:rPr>
          <w:rtl w:val="true"/>
        </w:rPr>
        <w:t>الشرط الثالث</w:t>
      </w:r>
      <w:r>
        <w:rPr>
          <w:rtl w:val="true"/>
        </w:rPr>
        <w:t xml:space="preserve">: </w:t>
      </w:r>
      <w:r>
        <w:rPr>
          <w:rtl w:val="true"/>
        </w:rPr>
        <w:t>معاصرة السيرة للشارع وطرق إثباتها</w:t>
      </w:r>
      <w:bookmarkEnd w:id="487"/>
    </w:p>
    <w:p>
      <w:pPr>
        <w:pStyle w:val="Heading4"/>
        <w:numPr>
          <w:ilvl w:val="3"/>
          <w:numId w:val="1"/>
        </w:numPr>
        <w:rPr/>
      </w:pPr>
      <w:bookmarkStart w:id="488" w:name="__RefHeading___Toc3380584_2870459653"/>
      <w:bookmarkStart w:id="489" w:name="_Toc191"/>
      <w:bookmarkEnd w:id="488"/>
      <w:r>
        <w:rPr>
          <w:rtl w:val="true"/>
        </w:rPr>
        <w:t>اشارة</w:t>
      </w:r>
      <w:bookmarkEnd w:id="48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صدور موقفٍ من المشرّع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هذا الموقف على سبيل المقتضي للحجّية أو على نحو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السيرة العقلائية يستدعي معاصرتها له، وإلّا كيف يصدر الموقف تجاه السيرة مع فاصل زمنيّ بينهما، وهذا يفضي إلى البحث عن الطرق التي نثبت بها معاصرة السيرة التي في زماننا لزمان وجود المعصوم المتمثّل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حاجة لهذا الشرط من أصلٍ،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المعاصرة حاصلة في جميع الأزمنة،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ملازمة بين اتّخاذ الموقف من المعصوم ومعاصرة السيرة لزمانه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Style w:val="FootnoteAnchor"/>
          <w:rtl w:val="true"/>
        </w:rPr>
        <w:footnoteReference w:id="566"/>
      </w:r>
      <w:r>
        <w:rPr>
          <w:rFonts w:ascii="Amiri" w:hAnsi="Amiri" w:eastAsia="Amiri" w:cs="Amiri"/>
          <w:color w:val="111111"/>
          <w:sz w:val="28"/>
          <w:sz w:val="28"/>
          <w:szCs w:val="28"/>
          <w:rtl w:val="true"/>
          <w:lang w:bidi="ar-SA"/>
        </w:rPr>
        <w:t>فمن جهة أنّ العقلاء في تقدّم ونضج وتزايد خبراتهم الفكرية والاجتماعية والقانونية؛ ولأجل ذلك ظهرت حقوق مستجدّة كثيرة للإنسان، والحيوان، والبيئة، ودراسات قانونية مختلفة، ممّا يعني فعلاً تطوّر الجانب العقلي والعقلائي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ما قيل</w:t>
      </w:r>
      <w:r>
        <w:rPr>
          <w:rStyle w:val="FootnoteAnchor"/>
          <w:rtl w:val="true"/>
        </w:rPr>
        <w:footnoteReference w:id="567"/>
      </w:r>
      <w:r>
        <w:rPr>
          <w:rFonts w:ascii="Amiri" w:hAnsi="Amiri" w:eastAsia="Amiri" w:cs="Amiri"/>
          <w:color w:val="111111"/>
          <w:sz w:val="28"/>
          <w:sz w:val="28"/>
          <w:szCs w:val="28"/>
          <w:rtl w:val="true"/>
          <w:lang w:bidi="ar-SA"/>
        </w:rPr>
        <w:t>فإنّ ما حكم العقل بلزوم اتّباعه إنّما هو حكم الله تعالى وليس حكم العقلاء، كما أنّه لم تثبت الملازمة بين حكم العقلاء وحكم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الأصل مطابقة عقلائية العقلاء لعقلائية الشارع ومولويته، وعلى أساسها قيل بالملازمة بين حكم العقلاء وحكم الشارع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الملازمة معلّقة على عدم صدور موقفٍ رادع من الشارع على سبيل السالبة بانتفاء المحمول، لا بنحو السالبة بانتفاء الموضوع، ولذا اشتُرط إمكان الردع عقلاً وعرفاً؛ لأنّه في حال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لم يكن ردع في البين </w:t>
      </w:r>
    </w:p>
    <w:p>
      <w:pPr>
        <w:pStyle w:val="BookText"/>
        <w:rPr/>
      </w:pPr>
      <w:r>
        <w:rPr>
          <w:rFonts w:ascii="Amiri" w:hAnsi="Amiri" w:eastAsia="Amiri" w:cs="Amiri"/>
          <w:color w:val="111111"/>
          <w:sz w:val="28"/>
          <w:sz w:val="28"/>
          <w:szCs w:val="28"/>
          <w:rtl w:val="true"/>
          <w:lang w:bidi="ar-SA"/>
        </w:rPr>
        <w:t>ولكن لا يصحّ استكشاف الإمضاء والرضا منه كما لا يخفى، ومع عدم المعاصرة لا يتحقّق الإمكان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المعاصرة حاصلة في كلّ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فلوجود صاحب العصر والزمان عجل الله فرجه، وعليه تكون كلّ سيرة عقلائية في أزمنتنا المتأخّرة هذه معاصرة لوجود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فيدلّ سكوته تجاهها على إمضائه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كان يستند عليه قدماء أصحابنا كالسيّد المرتضى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في حجّية الإجماع والسيرة؛ لأنّ السيرة تاريخياً كانت تُصنّف على أنّها أحد أنحاء الإجماع، ويعبّر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أنّ ما يدفع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لإبداء موقف تجاه السيرة لو لم تكن مرضيّة عنده هو أنّ ذلك من صغريات قاعدة اللّطف كما في العدّة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يمكن الاستدلال له بما ذكره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الرسائل الأُصولية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الأخبار المتواترة دلّت على أنّ الزمان لا يخلو من حجّة يردّ ما زاده المؤمنون، ويتمّ ما أنقصوه، ولولا ذلك لاختلطت على الناس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والإجابة على هذين الوجهين ذكرها الأعلام في بحث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الوجوه الخمسة</w:t>
      </w:r>
      <w:r>
        <w:rPr>
          <w:rStyle w:val="FootnoteAnchor"/>
          <w:rtl w:val="true"/>
        </w:rPr>
        <w:footnoteReference w:id="571"/>
      </w:r>
      <w:r>
        <w:rPr>
          <w:rFonts w:ascii="Amiri" w:hAnsi="Amiri" w:eastAsia="Amiri" w:cs="Amiri"/>
          <w:color w:val="111111"/>
          <w:sz w:val="28"/>
          <w:sz w:val="28"/>
          <w:szCs w:val="28"/>
          <w:rtl w:val="true"/>
          <w:lang w:bidi="ar-SA"/>
        </w:rPr>
        <w:t xml:space="preserve">لإثبات أنّ السكوت دالّ على </w:t>
      </w:r>
      <w:bookmarkStart w:id="490" w:name="pg9153_76489"/>
    </w:p>
    <w:p>
      <w:pPr>
        <w:pStyle w:val="BookText"/>
        <w:rPr/>
      </w:pPr>
      <w:bookmarkEnd w:id="490"/>
      <w:r>
        <w:rPr>
          <w:rFonts w:ascii="Amiri" w:hAnsi="Amiri" w:eastAsia="Amiri" w:cs="Amiri"/>
          <w:color w:val="111111"/>
          <w:sz w:val="28"/>
          <w:sz w:val="28"/>
          <w:szCs w:val="28"/>
          <w:rtl w:val="true"/>
          <w:lang w:bidi="ar-SA"/>
        </w:rPr>
        <w:t xml:space="preserve">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مكلّفاً بإظهار الحقّ وإزاحة الباطل، أو أنّه آمر بالمعروف وناهٍ عن المنكر، أو إمضاء أصل الاتّحاد في العقلائية بين الشارع والبشر، أو الحفاظ على الأغراض المولوية، أو تعليم الجاهل وتربية الإنسان تربية 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فيها الوضع الطبيعيّ، وهو حضور المعصوم والمشرّع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 الغيبة فلأنّه غير مكلّف بهذه الأمور، فلا يدلّ سكوته تجاه سيرةٍ على إمضائه أو ردعه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الملازمة بين اتّخاذ موقف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معاصرة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فلوجهين</w:t>
      </w:r>
      <w:r>
        <w:rPr>
          <w:rFonts w:eastAsia="IRNazanin" w:cs="IRNazanin"/>
          <w:color w:val="111111"/>
          <w:sz w:val="28"/>
          <w:szCs w:val="28"/>
          <w:rtl w:val="true"/>
          <w:lang w:bidi="fa-IR"/>
        </w:rPr>
        <w:t>:</w:t>
      </w:r>
    </w:p>
    <w:p>
      <w:pPr>
        <w:pStyle w:val="Heading4"/>
        <w:numPr>
          <w:ilvl w:val="3"/>
          <w:numId w:val="1"/>
        </w:numPr>
        <w:rPr/>
      </w:pPr>
      <w:bookmarkStart w:id="491" w:name="__RefHeading___Toc3380586_2870459653"/>
      <w:bookmarkStart w:id="492" w:name="_Toc192"/>
      <w:bookmarkEnd w:id="491"/>
      <w:r>
        <w:rPr>
          <w:rtl w:val="true"/>
        </w:rPr>
        <w:t>الوجه الأوّل</w:t>
      </w:r>
      <w:bookmarkEnd w:id="4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بعض الأكابر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الكلام عن جواز الرجوع إلى المجتهدين في أزمنتنا هذه مع الاختلاف الكبير عن اجتهاد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الأكرم والأئمّة من بعده عارفون بحال أمّته، وما يجري عليهم في مختلف الزمان ومرور الدهور من غيبة وليّ الدين وإمامه، وحرمان الأمّة عن الوصول إليه، وإنّ الأمّة بمقتضى ارتكازهم من لزوم رجوع الجاهل إلى العالم سوف يرجعون إلى علمائهم الذين لا محيص لهم من الرجوع إلى أخبارهم وآثارهم التي دوّنها أربابها، باذلين جهدهم مستفرغين بالهم في استنباط الحكم، فلو لم تكن هذه السيرة مرضيّة لكان عليهم الردع، ومنع الأمم الجائية عن التطرّق بهذا الطريق، وإرجاعهم إلى طريق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أخبروا عن كثير من الأمور التي لم يكن يوم ذاك عنها عين ولا أثر، كيف وقد أمروا أصحابهم بضبط الأحاديث والأصول معلّلين بأنّه سيأتي زمان هرج ومرج، ويحتاج إلى كتبهم، كلّ ذلك يرشدنا إلى كون السيرة </w:t>
      </w:r>
    </w:p>
    <w:p>
      <w:pPr>
        <w:pStyle w:val="BookText"/>
        <w:rPr/>
      </w:pPr>
      <w:r>
        <w:rPr>
          <w:rFonts w:ascii="Amiri" w:hAnsi="Amiri" w:eastAsia="Amiri" w:cs="Amiri"/>
          <w:color w:val="111111"/>
          <w:sz w:val="28"/>
          <w:sz w:val="28"/>
          <w:szCs w:val="28"/>
          <w:rtl w:val="true"/>
          <w:lang w:bidi="ar-SA"/>
        </w:rPr>
        <w:t>مطلقاً ممضيّة بلا إشكال</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كانوا عالمين بالغيب فهم يعلمون غيبة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لا تستطيع الأمّة الرجوع إليه كما كانت ترجع إلى غيره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أنّهم عليهم السلام يعلمون أنّ الأمّة سوف تتحرّك وفق ما تقتضيه قرائحهم ومرتكزاتهم العقلائية والتي منها رجوع الجاهل إلى العالم، فيرجعون إلى الفقهاء والمجتهدين من أهل زمانهم الذين يختلفون عن الفقهاء والمجتهدين من أصحاب الأئمّة بحدٍّ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لم يكن مثل هكذا رجوع مرضيّاً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لردعوا عنه ولوصل إلينا، ولمّا لم يصل إلينا هكذا ردع فهذا يعني أنّهم أمضوا هذه السيرة بجميع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إعمال للغيب، والمعصومون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يحافظون على الأحكام الشرعيّة بالطرق الاعتيادية، وليس بإعمال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أخبروا عن كثير من الأمور التي لم يكن في زمانهم منها عين ولا أثر، فكيف بما كان بعض مراتبها موجوداً في زمانهم، ومن جملة الأمور التي أخبروا عنها أنّه سيحصل في الأمّة هرج ومرج، واختلاط الحقّ بالباطل، ولذا أمروا أصحابهم بضبط الأحاديث والأصول التي ستكون هي المرجع لهم في تلك الحال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 البيان المذكور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الملاكات </w:t>
      </w:r>
    </w:p>
    <w:p>
      <w:pPr>
        <w:pStyle w:val="BookText"/>
        <w:rPr/>
      </w:pPr>
      <w:r>
        <w:rPr>
          <w:rFonts w:ascii="Amiri" w:hAnsi="Amiri" w:eastAsia="Amiri" w:cs="Amiri"/>
          <w:color w:val="111111"/>
          <w:sz w:val="28"/>
          <w:sz w:val="28"/>
          <w:szCs w:val="28"/>
          <w:rtl w:val="true"/>
          <w:lang w:bidi="ar-SA"/>
        </w:rPr>
        <w:t>المولويّة على درجات متفاوتة، وتختلف بحسب ذلك درجة ما تستدعيه من الاهتمام بتبليغها إلى المكلّفين، والأحكام المتعلّقة بالأمور المستحدثة في عصر الغيبة إذا لم يصل الردع عمّا استجدّ من بناء العقلاء من قبل الشارع المقدّس يجوز أن يكون الوجه فيه اعتماد الشارع في حكمه المخالف للبناء المستجدّ على ما تقتضيه العمومات والإطلاقات وما بحكمها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فإنّه تقدّم أنّ هناك فرقاً بين السيرة القائمة فعلاً، والسيرة التي لم تنعقد بعدُ؛ إذ إنّها في هذه الحال لم تكن راسخة وعامّة، فيمكن الردع عنها بالمطلقات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يكون من جهة عدم كون الملاك الكامن في الحكم بمرتبة من الأهمّية تقتضي التسبيب في إيصاله إلى المكلّفين بأيّ نحوٍ كان، وعلى هذا لا يمكن التأكّد من موافقة الشارع المقدّس لما هو مقتضى البناء العقلائي فيه المعاصر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 ما يمكن التعبير عنه بحدود اعتماد المشرّع الإسلامي في تشريعاته على الغيب، فإنّ اطّلاع المشرّع الإسلامي على الغيب هو ما يميّزه عن المشرّع البشري، وقد أعمله في تشريع الأحكام من حيث اطّلاعه على الملاكات الواقعية التي على أساسها كانت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استعمله كمنهج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سبيل الحالات الاستثنائية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الأحكام إلى الناس والحفاظ عليها في حال تعرّضها إلى الخطر أم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bookmarkStart w:id="493" w:name="pg9153_76495"/>
    </w:p>
    <w:p>
      <w:pPr>
        <w:pStyle w:val="BookText"/>
        <w:rPr/>
      </w:pPr>
      <w:bookmarkEnd w:id="493"/>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يناسب كلام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Style w:val="FootnoteAnchor"/>
          <w:rtl w:val="true"/>
        </w:rPr>
        <w:footnoteReference w:id="576"/>
      </w:r>
      <w:r>
        <w:rPr>
          <w:rFonts w:ascii="Amiri" w:hAnsi="Amiri" w:eastAsia="Amiri" w:cs="Amiri"/>
          <w:color w:val="111111"/>
          <w:sz w:val="28"/>
          <w:sz w:val="28"/>
          <w:szCs w:val="28"/>
          <w:rtl w:val="true"/>
          <w:lang w:bidi="ar-SA"/>
        </w:rPr>
        <w:t>، وكذلك السيّد</w:t>
      </w:r>
    </w:p>
    <w:p>
      <w:pPr>
        <w:pStyle w:val="BookText"/>
        <w:rPr/>
      </w:pPr>
      <w:r>
        <w:rPr>
          <w:rFonts w:ascii="IRNazanin" w:hAnsi="IRNazanin" w:eastAsia="IRNazanin"/>
          <w:color w:val="111111"/>
          <w:sz w:val="28"/>
          <w:sz w:val="28"/>
          <w:szCs w:val="28"/>
          <w:rtl w:val="true"/>
          <w:lang w:bidi="fa-IR"/>
        </w:rPr>
        <w:t xml:space="preserve">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السائد في هذه الأزمنة، 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للشارع في تبليغ أوامره طريق خاصّ، بل طريق تبليغها هو الطريق الجاري بين الموالي والعبيد العرفية من دون أن يكون له طريق مخترع</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وذكر في بحث حجّية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للشارع طريق خاصّ في بيان مراداته، بل يتكلّم على طبق تكلّم العقلاء</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عن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يتحفّظون على الأحكام بالطرق الاعتيادية لا بإعمال الغيب</w:t>
      </w:r>
      <w:r>
        <w:rPr>
          <w:rFonts w:eastAsia="IRNazanin" w:cs="IRNazanin"/>
          <w:color w:val="111111"/>
          <w:sz w:val="28"/>
          <w:szCs w:val="28"/>
          <w:rtl w:val="true"/>
          <w:lang w:bidi="fa-IR"/>
        </w:rPr>
        <w:t>.</w:t>
      </w:r>
    </w:p>
    <w:p>
      <w:pPr>
        <w:pStyle w:val="Heading4"/>
        <w:numPr>
          <w:ilvl w:val="3"/>
          <w:numId w:val="1"/>
        </w:numPr>
        <w:rPr/>
      </w:pPr>
      <w:bookmarkStart w:id="494" w:name="__RefHeading___Toc3380588_2870459653"/>
      <w:bookmarkStart w:id="495" w:name="_Toc193"/>
      <w:bookmarkEnd w:id="494"/>
      <w:r>
        <w:rPr>
          <w:rtl w:val="true"/>
        </w:rPr>
        <w:t>الوجه الثاني</w:t>
      </w:r>
      <w:bookmarkEnd w:id="495"/>
    </w:p>
    <w:p>
      <w:pPr>
        <w:pStyle w:val="Heading5"/>
        <w:numPr>
          <w:ilvl w:val="4"/>
          <w:numId w:val="1"/>
        </w:numPr>
        <w:rPr/>
      </w:pPr>
      <w:bookmarkStart w:id="496" w:name="__RefHeading___Toc3380590_2870459653"/>
      <w:bookmarkStart w:id="497" w:name="_Toc194"/>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أن يقال</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تصدّي الشارع لبيان أحكامٍ وتأسيس تشريعات في أبواب متعدّدة من الحياة ممّا للعقلاء شأن فيه يُفهم منه أنّه قد تركها إليهم، وأحال على ارتكازاتهم، فيكون هذا إمضاءً إجمالياً لما ينعقد عليه بناؤهم إلّا ما ثبت في بعض الموارد من عدم متابعة الشارع لهم فيه وردعهم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عدم التصدّي المذكور يستلزم الإمضاء بصورة كلّية للسيَر العقلائية بما فيها </w:t>
      </w:r>
    </w:p>
    <w:p>
      <w:pPr>
        <w:pStyle w:val="BookText"/>
        <w:rPr/>
      </w:pPr>
      <w:r>
        <w:rPr>
          <w:rFonts w:ascii="Amiri" w:hAnsi="Amiri" w:eastAsia="Amiri" w:cs="Amiri"/>
          <w:color w:val="111111"/>
          <w:sz w:val="28"/>
          <w:sz w:val="28"/>
          <w:szCs w:val="28"/>
          <w:rtl w:val="true"/>
          <w:lang w:bidi="ar-SA"/>
        </w:rPr>
        <w:t>السيَر المستحدثة، فلا ملازمة بين لزوم موقفٍ شرعي تجاه السيرة وبين معاصرة السيرة لذاك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تارة في الملزوم، وأُخرى في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الملزوم فلأنّه لم يثبت عدم تصدّي الشارع بدرجة معتدّ بها لبيان أحكام السيَر العقلائية التي كانت بمرأى ومسمع منه، بل بيّن أحكامها، وصدر منه ما يحتمل كونه في مقام بيانها ولو بنحو العموم أو الإطلاق وكقاعدة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كثرة ذلك يمكن أن يكون ناتجاً عن عدم كثرة الاستثناءات لتلك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البيانات مذكورة في باب الاجتهاد والتقليد وخبر الواحد، وعدد غير قليل من القواعد الفقهية ذات الجذور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سكوت الشارع إنّما يدلّ على إمضاء السيرة بنحو القضيّة الخارجية، أي للسيَر العقلائية المنعقدة بالفعل في عصره، وليس فيه تقرير لأكثر من ذلك، فلا يمكن استكشاف إمضاء عامّ من السكوت لمطلق السيَر العقلائية بنحو القضيّة الحقيقية، فليس حال السكوت حال دلالة الكلام في العمومات والمطلقات الظاهرة في إرادة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القائل لم يرد استفادة هذه الدلالة من مجرّد السكوت، بل بإضافة قرينة إليه، وهو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فالقدر المتيقّن من الملزوم هو إمضاء السيَر العقلائية القائمة بالفعل في زمانه، لا مطلق السيَر العقلائية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تقدّم أنّه لا بدّ في اعتبار السيرة العقلائية من إثبات معاصرتها لزمان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طرق إثبات معاصرة السيرة لزمان حضور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طرقاً خمسة لإثبات المعاصرة، ويمكن ضبطها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السيرة العقلائية مؤلّفة من ارتكازٍ عقلائي، وسلوك عامّ، ومورد لذاك السلوك، فإثبات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خصوصية الارتكاز،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خصوصيّة السلوك العامّ،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خصوصية مجرى السلوك،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أمور خارجة عن مكوّنات السيرة ككونها حادثة تاريخية، وذلك من جهة إرادة إثبات أنّ السيرة المتحقّقة في زماننا معاصرة لزمانِ ما قبل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سنة استشهاد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يبعد عنها على أفضل التقادير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هكذا سيرة تمثّل حادثة تاريخية بالنسبة لنا، فإذا أردنا إثبات وجودها في ذاك الزمان فينبغي أن نذهب إلى ما ينقل لنا الحوادثَ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جهة الارتكاز فلأجل كونه قريحة عقلائية مودعة في فطرة الإنسان، وهي موجودة عند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إنسان الفترة المعاصرة لحضور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هذا الارتكاز علّة لهذا السلوك فهذا يعني أنّ السلوك موجود مع هذه القريحة أينما وجدت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خصوصيّة نفس السلوك العامّ فلأجل أنّ تبدّل السلوك العامّ إلى آخر إن لم يكن ممتنعاً فهو صعب، وبعيد الحصول</w:t>
      </w:r>
      <w:r>
        <w:rPr>
          <w:rFonts w:eastAsia="Amiri" w:cs="Amiri" w:ascii="Amiri" w:hAnsi="Amiri"/>
          <w:color w:val="111111"/>
          <w:sz w:val="28"/>
          <w:szCs w:val="28"/>
          <w:rtl w:val="true"/>
          <w:lang w:bidi="ar-SA"/>
        </w:rPr>
        <w:t xml:space="preserve">. </w:t>
      </w:r>
      <w:bookmarkStart w:id="498" w:name="pg9153_76500"/>
    </w:p>
    <w:p>
      <w:pPr>
        <w:pStyle w:val="BookText"/>
        <w:rPr/>
      </w:pPr>
      <w:bookmarkEnd w:id="498"/>
      <w:r>
        <w:rPr>
          <w:rFonts w:ascii="Amiri" w:hAnsi="Amiri" w:eastAsia="Amiri" w:cs="Amiri"/>
          <w:color w:val="111111"/>
          <w:sz w:val="28"/>
          <w:sz w:val="28"/>
          <w:szCs w:val="28"/>
          <w:rtl w:val="true"/>
          <w:lang w:bidi="ar-SA"/>
        </w:rPr>
        <w:t>وأمّا من جهة خصوصية مورد السلوك فكما لو لم تكن السيرة منعقدة على هذا المورد لكان له بديل يشكّل ظاهرة مهمّة وخطرة لا تقتضي العادة أن تمرّ بدون تسجيل، وكما لو كان ما يقابل مورد السلوك ليس من الواضحات عند المتشرّعة، فلو لم تكن السيرة منعقدة على مورد السلوك هذا، بل على مقابله مع كونه مسألة ابتلائية لكثر السؤال والجواب، ووصل إلينا بعضها، ولمّا لم يكن كذلك فالسيرة منعقدة على مورد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هذه الطرق الخمسة وإليك تفصيلها</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3380592_2870459653"/>
      <w:bookmarkStart w:id="500" w:name="_Toc195"/>
      <w:bookmarkEnd w:id="499"/>
      <w:r>
        <w:rPr>
          <w:rtl w:val="true"/>
        </w:rPr>
        <w:t>الطريق الأوّل</w:t>
      </w:r>
      <w:bookmarkEnd w:id="500"/>
    </w:p>
    <w:p>
      <w:pPr>
        <w:pStyle w:val="BookText"/>
        <w:rPr/>
      </w:pPr>
      <w:r>
        <w:rPr>
          <w:rFonts w:ascii="IRNazanin" w:hAnsi="IRNazanin" w:eastAsia="IRNazanin"/>
          <w:color w:val="111111"/>
          <w:sz w:val="28"/>
          <w:sz w:val="28"/>
          <w:szCs w:val="28"/>
          <w:rtl w:val="true"/>
          <w:lang w:bidi="fa-IR"/>
        </w:rPr>
        <w:t xml:space="preserve">إنّ السيرة المعاصرة لزمان حضور المعصوم تمثّل حادثة تاريخية، فيمكن الاطّلاع عليها من خلال ما ينقل لنا الحوادث التاريخية، وهي إمّا كتب التاريخ العامّ، أو المختصّة بنقل التاريخ السياسي، أو الاجتماعي، أو الاقتصادي، أو الثقافي للمسلمين، أو المختصّة بنقل 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ويندرج تحت هذا الطريق ملاحظة الروايات الفقهية؛ فإنّها تعكس جوانب من الحياة الاجتماعية لعصر الرواة، فتكشف إثباتاً ونفياً عن الارتكاز والسيرة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يندرج تحت هذا الطريق ملاحظة فتاوى العامّة خصوصاً في نطاق المعاملات باعتبارها منتزعة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الوضع العامّ المرتكز عقلائياً آنذاك، فتكشف عن نوع التعامل الخارجي في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الأخيرة وإن كانت موارد جزئية لا ضابط لها إلّا أنّها تدخل في نواقل الحوادث التاريخية مطابقة، أو بالضمن، أو الالتزام</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3380594_2870459653"/>
      <w:bookmarkStart w:id="502" w:name="_Toc196"/>
      <w:bookmarkEnd w:id="501"/>
      <w:r>
        <w:rPr>
          <w:rtl w:val="true"/>
        </w:rPr>
        <w:t>الطريق الثاني</w:t>
      </w:r>
      <w:bookmarkEnd w:id="502"/>
    </w:p>
    <w:p>
      <w:pPr>
        <w:pStyle w:val="Heading6"/>
        <w:numPr>
          <w:ilvl w:val="5"/>
          <w:numId w:val="1"/>
        </w:numPr>
        <w:rPr/>
      </w:pPr>
      <w:bookmarkStart w:id="503" w:name="__RefHeading___Toc3380596_2870459653"/>
      <w:bookmarkStart w:id="504" w:name="_Toc197"/>
      <w:bookmarkEnd w:id="503"/>
      <w:r>
        <w:rPr>
          <w:rtl w:val="true"/>
        </w:rPr>
        <w:t>اشارة</w:t>
      </w:r>
      <w:bookmarkEnd w:id="5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يمكن أن يستفاد ممّا تقدّم في ضبط هذه الطرق من أنّ السيرة </w:t>
      </w:r>
      <w:bookmarkStart w:id="505" w:name="pg9153_76502"/>
    </w:p>
    <w:p>
      <w:pPr>
        <w:pStyle w:val="BookText"/>
        <w:rPr/>
      </w:pPr>
      <w:bookmarkEnd w:id="505"/>
      <w:r>
        <w:rPr>
          <w:rFonts w:ascii="IRNazanin" w:hAnsi="IRNazanin" w:eastAsia="IRNazanin"/>
          <w:color w:val="111111"/>
          <w:sz w:val="28"/>
          <w:sz w:val="28"/>
          <w:szCs w:val="28"/>
          <w:rtl w:val="true"/>
          <w:lang w:bidi="fa-IR"/>
        </w:rPr>
        <w:t xml:space="preserve">العقلائية معلولة لقرائحهم الارتكازية،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القريحة الارتكازية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وموجودة عند الكلّ ومنهم عقلاء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فإذا أحرزنا أنّ السيرة الموجودة في زماننا نابعة من قريحة العقلاء فلا بدّ أن تكون هذه السيرة موجودة في جميع الأزمنة، ومنها زمن النصّ تبعاً لعلّتها الموجودة عند كافّة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سبيلان لإحراز كون السيرة نابعة وناشئة من قريحة العقلاء</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380598_2870459653"/>
      <w:bookmarkStart w:id="507" w:name="_Toc198"/>
      <w:bookmarkEnd w:id="506"/>
      <w:r>
        <w:rPr>
          <w:rtl w:val="true"/>
        </w:rPr>
        <w:t>السبيل الأوّل</w:t>
      </w:r>
      <w:bookmarkEnd w:id="507"/>
    </w:p>
    <w:p>
      <w:pPr>
        <w:pStyle w:val="BookText"/>
        <w:rPr/>
      </w:pPr>
      <w:r>
        <w:rPr>
          <w:rFonts w:ascii="Amiri" w:hAnsi="Amiri" w:eastAsia="Amiri" w:cs="Amiri"/>
          <w:color w:val="111111"/>
          <w:sz w:val="28"/>
          <w:sz w:val="28"/>
          <w:szCs w:val="28"/>
          <w:rtl w:val="true"/>
          <w:lang w:bidi="ar-SA"/>
        </w:rPr>
        <w:t>استقراء حالة العقلاء في مجتمعات مختلفة الظروف والأزمنة، فإذا تطابقت في السلوك الخارجيّ مع اختلاف تمام الظروف فلا بدّ أن يكون هذا السلوك معلولاً للقريحة العقلائية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380600_2870459653"/>
      <w:bookmarkStart w:id="509" w:name="_Toc199"/>
      <w:bookmarkEnd w:id="508"/>
      <w:r>
        <w:rPr>
          <w:rtl w:val="true"/>
        </w:rPr>
        <w:t>السبيل الثاني</w:t>
      </w:r>
      <w:bookmarkEnd w:id="509"/>
    </w:p>
    <w:p>
      <w:pPr>
        <w:pStyle w:val="BookText"/>
        <w:rPr/>
      </w:pPr>
      <w:r>
        <w:rPr>
          <w:rFonts w:ascii="Amiri" w:hAnsi="Amiri" w:eastAsia="Amiri" w:cs="Amiri"/>
          <w:color w:val="111111"/>
          <w:sz w:val="28"/>
          <w:sz w:val="28"/>
          <w:szCs w:val="28"/>
          <w:rtl w:val="true"/>
          <w:lang w:bidi="ar-SA"/>
        </w:rPr>
        <w:t>المراجعة التحليلية الوجدانية، بمعنى عرض المسألة على وجدان الشخص ومرتكزاته العقلائية، فإذا توفّرت الشروط الآتية قد نطمئن بأنّ ما وصلنا إليه نابع من قريحة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يرى الملاحظ أنّ وجدانه منساق إلى اتّخاذ موقف موافق للسيرة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يجد أنّ هذا الموقف واضح في وجدانه، لا أنّه مجرّد ميول أو إرهاص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يتأكّد أنّ هذا الموقف غير مرتبط بالظروف المتغيّرة من حال إلى حال ومن عاقل إلى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البيان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قريحة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مقتضياً للسلوك الخارجي، وليست علّة تامّة، ومن ثَمّ تمثّل هذه الظروف المتغيّرة شرائط لها الدخالة في حصول السلوك </w:t>
      </w:r>
      <w:bookmarkStart w:id="510" w:name="pg9153_76504"/>
    </w:p>
    <w:p>
      <w:pPr>
        <w:pStyle w:val="BookText"/>
        <w:rPr/>
      </w:pPr>
      <w:bookmarkEnd w:id="510"/>
      <w:r>
        <w:rPr>
          <w:rFonts w:ascii="Amiri" w:hAnsi="Amiri" w:eastAsia="Amiri" w:cs="Amiri"/>
          <w:color w:val="111111"/>
          <w:sz w:val="28"/>
          <w:sz w:val="28"/>
          <w:szCs w:val="28"/>
          <w:rtl w:val="true"/>
          <w:lang w:bidi="ar-SA"/>
        </w:rPr>
        <w:t>الخارجي، فلا يكفي مجرّد الاشتراك في القريحة العقلائية للبناء على الاشتراك في السلوك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مثالاً لدخالة الظروف المتغيّرة في تحقّق السلوك الخارجي، وهو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التأليف، فإنّه إلى ما قبل اختراع المطبعة لم يكن للعمل الفكري قيمة مالية في نظر العقلاء والمقنّنين، وإنّما القيمة المالية كانت للعمل المادّي، ولكن بعد ظهور المطابع ونحوها كان لها الدخالة في حصول سلوك خارجي وبناء عقلائي على قيمة العمل الفكريّ؛ لأنّه صار بحيث يترقّب منه الربح المادّي من خلال تكثيره وبيعه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السبيل الأوّل يمثّل برهاناً إنيّاً يكشف لنا عن أصل وجود العلّة دون خصوصيتها من أنّها القريحة المشتركة أو ظرف مشترك أو ظروف مختلفة تكون بمثابة العلل المتعدّدة للسلوك الخارجي، كما في حال وجود الحرارة حيث يُحتمل أنّها معلولة للنار، ويُحتمل أنّها معلولة للشمس، ويُحتمل أنّها معلولة لتفاعل كيميائي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الثاني على الرغم من أنّه حالة وجدانية شخصية لا تصلح للتعليم المدرسي، فإنّه مبتلىً بمجموعة من الصعوبات يذكرها البعض في مباحث علم النفس</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3380602_2870459653"/>
      <w:bookmarkStart w:id="512" w:name="_Toc200"/>
      <w:bookmarkEnd w:id="511"/>
      <w:r>
        <w:rPr>
          <w:rtl w:val="true"/>
        </w:rPr>
        <w:t>الطريق الثالث</w:t>
      </w:r>
      <w:bookmarkEnd w:id="51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الأوسط أنّ السيرة المنعقدة على شيء وإن لم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تحوّلها إلى سلوك آخر ولكنّه صعب وبعيد جدّاً؛ وذلك لأنّ السيرة تمثّل سلوكاً </w:t>
      </w:r>
      <w:bookmarkStart w:id="513" w:name="pg9153_76506"/>
    </w:p>
    <w:p>
      <w:pPr>
        <w:pStyle w:val="BookText"/>
        <w:rPr/>
      </w:pPr>
      <w:bookmarkEnd w:id="513"/>
      <w:r>
        <w:rPr>
          <w:rFonts w:ascii="Amiri" w:hAnsi="Amiri" w:eastAsia="Amiri" w:cs="Amiri"/>
          <w:color w:val="111111"/>
          <w:sz w:val="28"/>
          <w:sz w:val="28"/>
          <w:szCs w:val="28"/>
          <w:rtl w:val="true"/>
          <w:lang w:bidi="ar-SA"/>
        </w:rPr>
        <w:t>اجتماعياً لنوع العقلاء، فليس حالها حال السلوك الشخصي الّذي يسهل فيه تحوّل الشخص من سلوك 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فإذا كانت السيرة العقلائية في زماننا منعقدة على شيء فإنّه على الأساس المتقدّم ينبغي لنا أن نبني على أنّها متحقّقة في 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ووصلت إلينا يداً بيد، وإلّا لكان من انقلاب السيرة الممتنع عادة، ولو فُرض أنّه حصل تغيير لنقل إلينا؛ لأنّه يعدّ من الأمور الغريبة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التحوّل الفجائي للسيرة هو الممتنع عادة، وأمّا التحوّل التدريجي فلا مانع من حصوله، والتأمّل في المجتمعات قديماً وحديثاً شاهدٌ على مثل هكذا تحوّلات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الطريق لا يُحدّد مبدأ حصول السيرة، ولمّا كان حصولها تدريجياً ونتيجةً لتوفّر عواملها فلعلّه حصلت بعد زمان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قلْ في زمان الغيبة، فلا يمكن إحراز معاصرتها لزمان المعصوم</w:t>
      </w:r>
      <w:r>
        <w:rPr>
          <w:rFonts w:eastAsia="IRNazanin" w:cs="IRNazanin"/>
          <w:color w:val="111111"/>
          <w:sz w:val="28"/>
          <w:szCs w:val="28"/>
          <w:rtl w:val="true"/>
          <w:lang w:bidi="fa-IR"/>
        </w:rPr>
        <w:t>.</w:t>
      </w:r>
    </w:p>
    <w:p>
      <w:pPr>
        <w:pStyle w:val="Heading5"/>
        <w:numPr>
          <w:ilvl w:val="4"/>
          <w:numId w:val="1"/>
        </w:numPr>
        <w:rPr/>
      </w:pPr>
      <w:bookmarkStart w:id="514" w:name="__RefHeading___Toc3380604_2870459653"/>
      <w:bookmarkStart w:id="515" w:name="_Toc201"/>
      <w:bookmarkEnd w:id="514"/>
      <w:r>
        <w:rPr>
          <w:rtl w:val="true"/>
        </w:rPr>
        <w:t>الطريق الرابع</w:t>
      </w:r>
      <w:bookmarkEnd w:id="51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يكون هناك سلوكٌ بديل للسلوك الذي يراد إثبات كونه عامّاً للمعاصرين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لا بدّ من كون السلوك والسيرة قائمة إمّا على ما نريد إثباته أو على البديل، ويعتبر في هذا البديل أن يكون ظاهرة اجتماعية فريدة ومهمّة عند الناس، فلو كان الثابت في زمان النصّ هذا البديل لسُجِّل وانعكس في الروايات، ووصل إلينا قسمٌ منها، فإذا بحثنا ولم نجد مثل ذلك فلا بدّ أن تكون السيرة منعقدة على ما نريد إثباته؛ لأنّ الأمر منحصر بينه وبين هذا البديل</w:t>
      </w:r>
      <w:r>
        <w:rPr>
          <w:rFonts w:eastAsia="IRNazanin" w:cs="IRNazanin"/>
          <w:color w:val="111111"/>
          <w:sz w:val="28"/>
          <w:szCs w:val="28"/>
          <w:rtl w:val="true"/>
          <w:lang w:bidi="fa-IR"/>
        </w:rPr>
        <w:t xml:space="preserve">. </w:t>
      </w:r>
      <w:bookmarkStart w:id="516" w:name="pg9153_76508"/>
    </w:p>
    <w:p>
      <w:pPr>
        <w:pStyle w:val="BookText"/>
        <w:rPr/>
      </w:pPr>
      <w:bookmarkEnd w:id="516"/>
      <w:r>
        <w:rPr>
          <w:rFonts w:ascii="Amiri" w:hAnsi="Amiri" w:eastAsia="Amiri" w:cs="Amiri"/>
          <w:color w:val="111111"/>
          <w:sz w:val="28"/>
          <w:sz w:val="28"/>
          <w:szCs w:val="28"/>
          <w:rtl w:val="true"/>
          <w:lang w:bidi="ar-SA"/>
        </w:rPr>
        <w:t xml:space="preserve">ومثاله من الأبحاث الأصولية دعوى انعقاد السيرة على الأخذ بظهور الكلام، فإنّه لو لم يكن هذا هو الطريق لِفهم كلام الشارع لكان هناك طريق بديل،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الطريق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ظاهرة اجتماعية فريدة، فلا بدّ أن تسجّل وتنقل إلينا ولو بعضها، ولمّا لم نجد مثل ذلك فنعلم أنّ السيرة منعقدة على فهم مراد الشارع من خلال ظهور كلامه</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380606_2870459653"/>
      <w:bookmarkStart w:id="518" w:name="_Toc202"/>
      <w:bookmarkEnd w:id="517"/>
      <w:r>
        <w:rPr>
          <w:rtl w:val="true"/>
        </w:rPr>
        <w:t>الطريق الخامس</w:t>
      </w:r>
      <w:bookmarkEnd w:id="518"/>
    </w:p>
    <w:p>
      <w:pPr>
        <w:pStyle w:val="BookText"/>
        <w:rPr/>
      </w:pPr>
      <w:r>
        <w:rPr>
          <w:rFonts w:ascii="Amiri" w:hAnsi="Amiri" w:eastAsia="Amiri" w:cs="Amiri"/>
          <w:color w:val="111111"/>
          <w:sz w:val="28"/>
          <w:sz w:val="28"/>
          <w:szCs w:val="28"/>
          <w:rtl w:val="true"/>
          <w:lang w:bidi="ar-SA"/>
        </w:rPr>
        <w:t>وهو من سنخ الطريق الرابع حيث يكون على أساس النظر إلى خصوصية مورد السيرة، وهنا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دائر بين السلوك الذي نريد إثباته وسلوك آخر، وهذا السلوك الآخر ينبغي أن يكون بنحو لو كانت السيرة منعقدة عليه لكثر السؤال والجواب، ووصل إلينا ولو بعضها، وهذا إنّما يحصل فيما لو كانت المسألة عامّة البلوى، وكان السلوك الآخر غير واضح عند المتشرّعة، وكان ممّا لا يقتضيه الطبع ونحوه من الدواعي المشجِّعة للسلوك، وعليه فلو كان السلوك الآخر هو القائم بين المتشرعة آنذاك لكثر بخصوصه السؤال والجواب، ولمّا كانت دواعي النقل موجودة، ومبرِّرات الإخفاء مفقودة، فلا مناص من وصول بعضها إلينا، وحيث لم يصل إلينا من ذلك شيء فهذا يعني أنّ السيرة غير منعقدة على هذا السلوك الآخر، بل على السلوك الذي نريد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تنتهي الطرق الخمسة التي أفادها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أنّا اشترطنا في سيرة العقلاء جري المتشرّعة على وفق النكتة العقلائية في دائرة الأحكام الشرعية وبدرجة واسعة، والمفروض أنّ السيرة المتشرّعية هذه قد وصلت إلينا، فعلى تقدير أنّها معاصرة لزمان الحضور فإنّه يعني عدم الردع </w:t>
      </w:r>
    </w:p>
    <w:p>
      <w:pPr>
        <w:pStyle w:val="BookText"/>
        <w:rPr/>
      </w:pPr>
      <w:r>
        <w:rPr>
          <w:rFonts w:ascii="Amiri" w:hAnsi="Amiri" w:eastAsia="Amiri" w:cs="Amiri"/>
          <w:color w:val="111111"/>
          <w:sz w:val="28"/>
          <w:sz w:val="28"/>
          <w:szCs w:val="28"/>
          <w:rtl w:val="true"/>
          <w:lang w:bidi="ar-SA"/>
        </w:rPr>
        <w:t>عنها، فلا يبقى إلّا إحراز أنّها معاصرة للنصّ، وأنّها لم تحصل بعد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المتشرّعة يجرون عليها في دائرة الأحكام الشرعية في زماننا فإنّه ينبغي الفحص عمّا يمكن أن يكون سبباً لحصولها بعد زمان الحضور، وهو أحد ثلاثة احتمالات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الانسياق وراء النكتة العقلائية، بأن لم تكن الظروف مؤاتية في زمان الحضور للظهور على شكل سلوك عامّ، وحصلت تلك الظروف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الفقهاء المتأخّرين عن 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وفقهاؤها، فإنّ الإمكانيات الموجودة عندها تساهم في تكوين، بل تخلق ارتكازات وسيرة متشرّعية، وجوّاً عامّاً تجاه موقف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وموقع الطرق الخمسة المتقدّمة هي هذه الاحتمالات الثلاثة، والأخير يضعف إذا قصرنا النظر على متشرّعة الإمامية الملتزمين بأخذ أحكامهم في زمان الحضور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زمان الغيبة عن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الأوّل فإذا فتّشنا ولم نجد ما يمكن أن يكون ظرفاً مؤثّراً في حدوث السيرة وحصولها مؤخّراً فإنّ هذا الاحتمال يتضاءل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اختراع المطابع الذي أدّى إلى حدوث بناء عقلائي على قيمة العمل الفكري مادّياً، ولذا كانت مثل هذه السيرة مستحدثة وليست معاصرة لزمان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وأيّاً ما كان فالمهمّ أنّ الفحص والتفتيش إذا أدّى إلى تضاءل هذه الاحتمالات الثلاثة فإنّه قد يحصل الوثوق بالمعاصرة والحجّية للسيرة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ننهي الكلام في الشرط الثالث</w:t>
      </w:r>
      <w:r>
        <w:rPr>
          <w:rFonts w:eastAsia="Amiri" w:cs="Amiri" w:ascii="Amiri" w:hAnsi="Amiri"/>
          <w:color w:val="111111"/>
          <w:sz w:val="28"/>
          <w:szCs w:val="28"/>
          <w:rtl w:val="true"/>
          <w:lang w:bidi="ar-SA"/>
        </w:rPr>
        <w:t xml:space="preserve">. </w:t>
      </w:r>
      <w:bookmarkStart w:id="519" w:name="pg9153_76511"/>
    </w:p>
    <w:p>
      <w:pPr>
        <w:pStyle w:val="Heading3"/>
        <w:numPr>
          <w:ilvl w:val="2"/>
          <w:numId w:val="1"/>
        </w:numPr>
        <w:rPr/>
      </w:pPr>
      <w:bookmarkStart w:id="520" w:name="__RefHeading___Toc3380608_2870459653"/>
      <w:bookmarkStart w:id="521" w:name="_Toc203"/>
      <w:bookmarkEnd w:id="519"/>
      <w:bookmarkEnd w:id="520"/>
      <w:r>
        <w:rPr>
          <w:rtl w:val="true"/>
        </w:rPr>
        <w:t>الشرط الرابع</w:t>
      </w:r>
      <w:r>
        <w:rPr>
          <w:rtl w:val="true"/>
        </w:rPr>
        <w:t xml:space="preserve">: </w:t>
      </w:r>
      <w:r>
        <w:rPr>
          <w:rtl w:val="true"/>
        </w:rPr>
        <w:t>في لزوم امتداد السلوك العقلائي إلى دائرة الأحكام الشرعية أم كفاية كونه في معرض الامتداد</w:t>
      </w:r>
      <w:bookmarkEnd w:id="521"/>
    </w:p>
    <w:p>
      <w:pPr>
        <w:pStyle w:val="Heading4"/>
        <w:numPr>
          <w:ilvl w:val="3"/>
          <w:numId w:val="1"/>
        </w:numPr>
        <w:rPr/>
      </w:pPr>
      <w:bookmarkStart w:id="522" w:name="__RefHeading___Toc3380610_2870459653"/>
      <w:bookmarkStart w:id="523" w:name="_Toc204"/>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إنّ معظم ما يرتبط بهذا الشرط اتّضح فيما تقدّم من أبحاث الشرطين الأوّلين، ولعلّه ينبغي الإشارة إليها وترتيبها، وهنا آراء ثلاثة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3380612_2870459653"/>
      <w:bookmarkStart w:id="525" w:name="_Toc205"/>
      <w:bookmarkEnd w:id="524"/>
      <w:r>
        <w:rPr>
          <w:rtl w:val="true"/>
        </w:rPr>
        <w:t>الرأي الأوّل</w:t>
      </w:r>
      <w:bookmarkEnd w:id="525"/>
    </w:p>
    <w:p>
      <w:pPr>
        <w:pStyle w:val="BookText"/>
        <w:rPr/>
      </w:pPr>
      <w:r>
        <w:rPr>
          <w:rFonts w:ascii="Amiri" w:hAnsi="Amiri" w:eastAsia="Amiri" w:cs="Amiri"/>
          <w:color w:val="111111"/>
          <w:sz w:val="28"/>
          <w:sz w:val="28"/>
          <w:szCs w:val="28"/>
          <w:rtl w:val="true"/>
          <w:lang w:bidi="ar-SA"/>
        </w:rPr>
        <w:t xml:space="preserve">ما جرى عليه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ونذكره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السيرة العقلائية بالمعنى الأعمّ بلحاظ الامتداد وعدمه إلى السيرة العقلائية بالمعنى الأخصّ، وهي ما لم يحصل فيها الامتداد بالفعل، ولكنّها في معرض 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السيرة المتشرّعية بالمعنى الأعمّ، وهي ما حصل فيها الامتداد بالفعل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يكون المقسم هو السيرة العقلائية بلحاظ الأحكام الظاهرية؛ لأنّ السيرة العقلائية بلحاظ الأحكام الواقعية دائماً هي ممتدّة على دائرة الأحكام الشرعية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اختلاف الموقف بحسب الامتداد إلى دائرة الأحكام الشرعية وعدمه إنّما يكون بلحاظ السيَر العقلائية الجارية في مرحلة الظاهر دونما إذا كانت في مرحلة الواقع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عدم امتداد السيرة العقلائية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دائرة </w:t>
      </w:r>
      <w:bookmarkStart w:id="526" w:name="pg9153_76514"/>
    </w:p>
    <w:p>
      <w:pPr>
        <w:pStyle w:val="BookText"/>
        <w:rPr/>
      </w:pPr>
      <w:bookmarkEnd w:id="526"/>
      <w:r>
        <w:rPr>
          <w:rFonts w:ascii="Amiri" w:hAnsi="Amiri" w:eastAsia="Amiri" w:cs="Amiri"/>
          <w:color w:val="111111"/>
          <w:sz w:val="28"/>
          <w:sz w:val="28"/>
          <w:szCs w:val="28"/>
          <w:rtl w:val="true"/>
          <w:lang w:bidi="ar-SA"/>
        </w:rPr>
        <w:t>الأحكام الشرعية وإنّما هي في معرض الامتداد فإنّنا نحتاج إلى الشرطية الأولى والثانية،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يرضَ لردع، ولو ردع 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اصطلح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المتشرّعة بالمعنى الأعمّ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تقدّم الكلام في الحلقة الأولى من البحث أنّها عنده على نحوين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المتشرّعة إنّما جروا على وفق السيرة العقلائية في دائرة الأحكام الشرعية بعد استئذانهم من الشارع المقدّس، وهنا لا حاجة للشرطية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يرضَ 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نحتاج في استكشاف الإمضاء والرضا من خلال عدم الردع؛ إذ نفس السلوك يكشف عن الإذن والرضا كشفاً إنيّاً، وموقف الشارع صريح في إجراء ما تقتضيه النكتة العقلائية في دائرة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أيضاً أنّه في هذا النحو لا نحتاج إلى الشرطية الثانية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ردع 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المتشرّعة جروا على السيرة العقلائية في دائرة الأحكام الشرعية بلا استئذان من الشارع المقدّس، فهنا نحتاج إلى الشرطية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يرضَ 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نحتاج إلى الشرطية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ردع لوصل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3380614_2870459653"/>
      <w:bookmarkStart w:id="528" w:name="_Toc206"/>
      <w:bookmarkEnd w:id="527"/>
      <w:r>
        <w:rPr>
          <w:rtl w:val="true"/>
        </w:rPr>
        <w:t>الرأي الثاني</w:t>
      </w:r>
      <w:bookmarkEnd w:id="52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الامتداد الواسع لسيرة العقلاء إلى دائرة الأحكام الشرعية </w:t>
      </w:r>
      <w:bookmarkStart w:id="529" w:name="pg9153_76516"/>
    </w:p>
    <w:p>
      <w:pPr>
        <w:pStyle w:val="BookText"/>
        <w:rPr/>
      </w:pPr>
      <w:bookmarkEnd w:id="529"/>
      <w:r>
        <w:rPr>
          <w:rFonts w:ascii="Amiri" w:hAnsi="Amiri" w:eastAsia="Amiri" w:cs="Amiri"/>
          <w:color w:val="111111"/>
          <w:sz w:val="28"/>
          <w:sz w:val="28"/>
          <w:szCs w:val="28"/>
          <w:rtl w:val="true"/>
          <w:lang w:bidi="ar-SA"/>
        </w:rPr>
        <w:t>دخيل في تحقّق الملازمة في الشرطيتين</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يرضَ لردع، ولو ردع لوصل </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3380616_2870459653"/>
      <w:bookmarkStart w:id="531" w:name="_Toc207"/>
      <w:bookmarkEnd w:id="530"/>
      <w:r>
        <w:rPr>
          <w:rtl w:val="true"/>
        </w:rPr>
        <w:t>الرأي الثالث</w:t>
      </w:r>
      <w:bookmarkEnd w:id="531"/>
    </w:p>
    <w:p>
      <w:pPr>
        <w:pStyle w:val="BookText"/>
        <w:rPr/>
      </w:pPr>
      <w:r>
        <w:rPr>
          <w:rFonts w:ascii="Amiri" w:hAnsi="Amiri" w:eastAsia="Amiri" w:cs="Amiri"/>
          <w:color w:val="111111"/>
          <w:sz w:val="28"/>
          <w:sz w:val="28"/>
          <w:szCs w:val="28"/>
          <w:rtl w:val="true"/>
          <w:lang w:bidi="ar-SA"/>
        </w:rPr>
        <w:t>ما هو المختار، وتوضيحه من خلال 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الامتداد الواسع لسيرة العقلاء إلى دائرة الأحكام الشرعية، ولا يكفي كونها في معرض الامتداد، وهذا ممّا يستدعيه تحقّق الملازمة في الشرطية الأولى،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يرضَ 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الحلقة الأولى</w:t>
      </w:r>
      <w:r>
        <w:rPr>
          <w:rStyle w:val="FootnoteAnchor"/>
          <w:rtl w:val="true"/>
        </w:rPr>
        <w:footnoteReference w:id="589"/>
      </w:r>
      <w:r>
        <w:rPr>
          <w:rFonts w:ascii="Amiri" w:hAnsi="Amiri" w:eastAsia="Amiri" w:cs="Amiri"/>
          <w:color w:val="111111"/>
          <w:sz w:val="28"/>
          <w:sz w:val="28"/>
          <w:szCs w:val="28"/>
          <w:rtl w:val="true"/>
          <w:lang w:bidi="ar-SA"/>
        </w:rPr>
        <w:t xml:space="preserve">، وكذلك لا بدّ من الامتداد الواسع كي تتحقّق الملازمة في الشرطية الثانية،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ردع 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رجّحنا أنّ الأصل اتّفاق عقلائية العقلاء مع عقلائية الشارع، وأنّ الأصل اتّفاق عقلائية الشارع مع مولويته، وبهذا يكون الأصل الملازمة بين عقلائية العقلاء ومولوية الشارع، ولكن لكلّ من الأصلين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شرط الأصل الأوّل فهو أن نحرز أنّ السلوك أو الحكم العقلائي ناشئ من قريحة العقلاء وفطرتهم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شرط الأصل الثاني فهو أن نحرز امتداد السلوك بصورة واسعة إلى دائرة الأحكام الشرعية؛ لأنّه في هذه الحال نطمئنّ أنّه لو تعرّضت أغراض المولى للخطر لأعمل مولويته للحفاظ عليها كما مرّ في الحلقة الأولى</w:t>
      </w:r>
      <w:r>
        <w:rPr>
          <w:rStyle w:val="FootnoteAnchor"/>
          <w:rtl w:val="true"/>
        </w:rPr>
        <w:footnoteReference w:id="590"/>
      </w:r>
      <w:r>
        <w:rPr>
          <w:rFonts w:ascii="Amiri" w:hAnsi="Amiri" w:eastAsia="Amiri" w:cs="Amiri"/>
          <w:color w:val="111111"/>
          <w:sz w:val="28"/>
          <w:sz w:val="28"/>
          <w:szCs w:val="28"/>
          <w:rtl w:val="true"/>
          <w:lang w:bidi="ar-SA"/>
        </w:rPr>
        <w:t>، وفي هذه الحالة يكفي عدم إحراز الردع، ولا نحتاج إلى إحراز عدم الردع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يتّضح عدم تمامية ما أوردناه هناك</w:t>
      </w:r>
      <w:r>
        <w:rPr>
          <w:rStyle w:val="FootnoteAnchor"/>
          <w:rtl w:val="true"/>
        </w:rPr>
        <w:footnoteReference w:id="591"/>
      </w:r>
      <w:r>
        <w:rPr>
          <w:rFonts w:ascii="Amiri" w:hAnsi="Amiri" w:eastAsia="Amiri" w:cs="Amiri"/>
          <w:color w:val="111111"/>
          <w:sz w:val="28"/>
          <w:sz w:val="28"/>
          <w:szCs w:val="28"/>
          <w:rtl w:val="true"/>
          <w:lang w:bidi="ar-SA"/>
        </w:rPr>
        <w:t>فإنّ الردع وعدمه من شؤون مولوية المولى، ولا محرز لإعمالها إلّا مع الامتداد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ننهي الكلام في الشرط الرابع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الشرط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إمكان الردع عقلاً وعرفاً، واحتمال الارتداع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فإنّه مع امتناع الردع عقلاً أو عرفاً لا يكون كاشفاً عن إرادة الرضا والإمضاء، وهو يشابه في كثير من حيثياته مع ما ذكرناه في المقدّمة الثالثة من بحث الدلالة الإطلاقية</w:t>
      </w:r>
      <w:r>
        <w:rPr>
          <w:rFonts w:eastAsia="Amiri" w:cs="Amiri" w:ascii="Amiri" w:hAnsi="Amiri"/>
          <w:color w:val="111111"/>
          <w:sz w:val="28"/>
          <w:szCs w:val="28"/>
          <w:rtl w:val="true"/>
          <w:lang w:bidi="ar-SA"/>
        </w:rPr>
        <w:t xml:space="preserve">. </w:t>
      </w:r>
      <w:bookmarkStart w:id="532" w:name="pg9153_76520"/>
    </w:p>
    <w:p>
      <w:pPr>
        <w:pStyle w:val="Heading3"/>
        <w:numPr>
          <w:ilvl w:val="2"/>
          <w:numId w:val="1"/>
        </w:numPr>
        <w:rPr/>
      </w:pPr>
      <w:bookmarkStart w:id="533" w:name="__RefHeading___Toc3380618_2870459653"/>
      <w:bookmarkStart w:id="534" w:name="_Toc208"/>
      <w:bookmarkEnd w:id="532"/>
      <w:bookmarkEnd w:id="533"/>
      <w:r>
        <w:rPr>
          <w:rtl w:val="true"/>
        </w:rPr>
        <w:t>الفصل الثالث</w:t>
      </w:r>
      <w:r>
        <w:rPr>
          <w:rtl w:val="true"/>
        </w:rPr>
        <w:t xml:space="preserve">: </w:t>
      </w:r>
      <w:r>
        <w:rPr>
          <w:rtl w:val="true"/>
        </w:rPr>
        <w:t>في مدلول السيرة العقلائية</w:t>
      </w:r>
      <w:bookmarkEnd w:id="534"/>
    </w:p>
    <w:p>
      <w:pPr>
        <w:pStyle w:val="Heading4"/>
        <w:numPr>
          <w:ilvl w:val="3"/>
          <w:numId w:val="1"/>
        </w:numPr>
        <w:rPr/>
      </w:pPr>
      <w:bookmarkStart w:id="535" w:name="__RefHeading___Toc3380620_2870459653"/>
      <w:bookmarkStart w:id="536" w:name="_Toc209"/>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ذكرنا في الحلقة الأولى أنّ لهذا الفصل جانبين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3380622_2870459653"/>
      <w:bookmarkStart w:id="538" w:name="_Toc210"/>
      <w:bookmarkEnd w:id="537"/>
      <w:r>
        <w:rPr>
          <w:rtl w:val="true"/>
        </w:rPr>
        <w:t>الجانب الأوّل</w:t>
      </w:r>
      <w:r>
        <w:rPr>
          <w:rtl w:val="true"/>
        </w:rPr>
        <w:t xml:space="preserve">: </w:t>
      </w:r>
      <w:r>
        <w:rPr>
          <w:rtl w:val="true"/>
        </w:rPr>
        <w:t>في حدود المقدار الممضى من السيرة العقلائية</w:t>
      </w:r>
      <w:bookmarkEnd w:id="538"/>
    </w:p>
    <w:p>
      <w:pPr>
        <w:pStyle w:val="BookText"/>
        <w:rPr/>
      </w:pPr>
      <w:r>
        <w:rPr>
          <w:rFonts w:ascii="Amiri" w:hAnsi="Amiri" w:eastAsia="Amiri" w:cs="Amiri"/>
          <w:color w:val="111111"/>
          <w:sz w:val="28"/>
          <w:sz w:val="28"/>
          <w:szCs w:val="28"/>
          <w:rtl w:val="true"/>
          <w:lang w:bidi="ar-SA"/>
        </w:rPr>
        <w:t>وهنا مراتب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بحدود السلوك الخارجي، وهو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بحدود النكتة الارتكازية المتأطّرة ببعض حيثيات السلوك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بحدود النكتة الارتكازية بحدّها وتمامها، لا بحصّة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ولنبيّن الفارق بين المرتبتين الثانية والثالثة من خلال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يُبحث في كتاب البيع عن المناشئ الأوّلية للملكية الاعتبارية،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الحيازة والعمل، وأنّ كلّ ما عداهما يتفرّع عليهما، وهذا ليس على أساس أنّه تأسيس من قبل الشارع، وإنّما هي أمور عقلائية أمضاها الشارع، فالعمل بحسب المرتكزات العقلائية يمثّل سبباً لملكية العامل لنتيجة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الحيازة أيضاً، فالعقلاء بقريحتهم يرون أنّ مَن حاز شيئاً يكون مالكاً له وأولى به من غيره، فكون الحيازة سبباً للملكية أيضاً نكتة ارتكازية وفطرة عقلائية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لأصل النكتة الارتكازية، وقد ذكرنا آنفاً أنّ المقدار الممضى قد يكون بحدودها، وهي المرتبة الثالثة، وقد يكون بحدود أوسع من السلوك الخارجي </w:t>
      </w:r>
    </w:p>
    <w:p>
      <w:pPr>
        <w:pStyle w:val="BookText"/>
        <w:rPr/>
      </w:pPr>
      <w:r>
        <w:rPr>
          <w:rFonts w:ascii="IRNazanin" w:hAnsi="IRNazanin" w:eastAsia="IRNazanin"/>
          <w:color w:val="111111"/>
          <w:sz w:val="28"/>
          <w:sz w:val="28"/>
          <w:szCs w:val="28"/>
          <w:rtl w:val="true"/>
          <w:lang w:bidi="fa-IR"/>
        </w:rPr>
        <w:t xml:space="preserve">المعاصر لحضور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وأضيق من حدود النكتة الارتكازية وذلك فيما إذا تأطّرت ببعض حيثيات السلوك الخارجي، وهي المرتبة الثانية، فمثلاً في عصر حضور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العمل يمثّل معالجة للأمور المادّية، وفي الأزمنة المتأخّرة وجدِت أعمال تمثّل معالجة فكرية لا 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العلاجات المعنوية الفكرية لم يكن في زمان المعصوم ارتكاز امتلاكها من قبل مؤلّفيها أو مبدعيها، وكان السبب في عدم الارتكاز هو عدم الشعور بحاجة إلى اعتبار ملكية من هذا القبيل؛ إذ لم يكن مجال لاستغلال ذاك الأمر التجريدي المصنوع، إذ لا طباعة وقتئذٍ، وبسبب حصول الطباعة ونحوها حصل للعقلاء ارتكاز الملكية للأمر التجريدي المعنوي بصنعه وعلاجه، وفيما سبق لم يكن الارتكاز إلّا على مملّكية العلاج في الأمور المادّية</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يقال مثل ذلك في الحيازة بأنّها كانت في 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بالآلات اليدوية، وأمّا في هذه الأزمنة فالحيازة بالآلات الصناعية الحديثة، وسندات الملكية ونحوها، فتأطير العمل بوصف المادّية، والحيازة بعنوان الآلات اليدوية، يمثّل المرتبة الثانية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دعوى أنّ الراجح هو المرتبة الثالثة؛ وذلك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من الوجوه الخمسة المتقدّمة في الفصل الثاني</w:t>
      </w:r>
      <w:r>
        <w:rPr>
          <w:rStyle w:val="FootnoteAnchor"/>
          <w:rtl w:val="true"/>
        </w:rPr>
        <w:footnoteReference w:id="594"/>
      </w:r>
      <w:r>
        <w:rPr>
          <w:rFonts w:ascii="IRNazanin" w:hAnsi="IRNazanin" w:eastAsia="IRNazanin"/>
          <w:color w:val="111111"/>
          <w:sz w:val="28"/>
          <w:sz w:val="28"/>
          <w:szCs w:val="28"/>
          <w:rtl w:val="true"/>
          <w:lang w:bidi="fa-IR"/>
        </w:rPr>
        <w:t xml:space="preserve">هو الوجه الثالث، وهو مع الوجه الخامس يقتضيان المرتبة الثالثة، وأمّا باقي الوجوه فتناسب المرتبة الأولى؛ لأنّه بالعمل الخارجي ينقض الغرض، وهو الذي قد يكون منكراً وباطلاً، لا مجرّد الارتكاز المعاصر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العنصر الأهمّ في السلوك الخارجي هو المقتضي له والعلّة والذي يتمثّل بالارتكاز؛ لأنّ الظروف الخارجية ليست إلّا متمّمة لتأثير المقتضي لأثره، فإذا أُمضي السلوك فهو في الحقيقة إمضاء لنكتته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المقارنة بين أنحاء الدليل اللفظي والسيرة العقلائية تفضي إلى ذلك،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اللفظي الذي هو طرف المقارنة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وارداً في قضيّة جزئية، أي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وارداً في حال السؤال عن أمر يُستكشف من ورائه وجود ارتكاز عند السائل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النحو الأوّل يدلّ السكوت وترك الاستفصال على ثبوت الإطلاق، إمّا مطلقاً أو بلحاظ الحالات الشائعة آنذاك، مع أنّ هذه الحالات ليست من شؤون الحصّة المذكورة، ولكن يحتمل بدرجة معتدّ بها الوقوع فيها، فعدم التصدّي لبيان </w:t>
      </w:r>
    </w:p>
    <w:p>
      <w:pPr>
        <w:pStyle w:val="BookText"/>
        <w:rPr/>
      </w:pPr>
      <w:r>
        <w:rPr>
          <w:rFonts w:ascii="Amiri" w:hAnsi="Amiri" w:eastAsia="Amiri" w:cs="Amiri"/>
          <w:color w:val="111111"/>
          <w:sz w:val="28"/>
          <w:sz w:val="28"/>
          <w:szCs w:val="28"/>
          <w:rtl w:val="true"/>
          <w:lang w:bidi="ar-SA"/>
        </w:rPr>
        <w:t>حكمها يكون إغراءً بالجهل</w:t>
      </w:r>
      <w:r>
        <w:rPr>
          <w:rStyle w:val="FootnoteAnchor"/>
          <w:rtl w:val="true"/>
        </w:rPr>
        <w:footnoteReference w:id="595"/>
      </w:r>
      <w:r>
        <w:rPr>
          <w:rFonts w:ascii="Amiri" w:hAnsi="Amiri" w:eastAsia="Amiri" w:cs="Amiri"/>
          <w:color w:val="111111"/>
          <w:sz w:val="28"/>
          <w:sz w:val="28"/>
          <w:szCs w:val="28"/>
          <w:rtl w:val="true"/>
          <w:lang w:bidi="ar-SA"/>
        </w:rPr>
        <w:t>، ولذا يثبت الإطلاق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الثاني فالسكوت والاقتصار على إجابة ما ورد في السؤال يدلّ على إمضاء ذاك الارتكاز الذي يجري عليه الأعلام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الدليل اللفظي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السيرة الناشئة من قريحة العقلاء وارتكازاتهم والتي تكون بمسمع ومرأى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ففيها عناصر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الذي يمثّل العلّة لذلك السلوك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ردعه في 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نأتي للمقارنة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فالسلوك الخارجي بمثابة السؤال، فدوره دور السؤال؛ إذ يمثّل طلباً ومحفّزاً لاتّخاذ الموقف تجاهه على تقدير تعريضه أغراض المولى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الارتكاز الذي وراء السلوك فهو بمثابة الارتكاز في حال سؤال السائل، فالسؤال يكشف عن ذلك الارتكاز، وكذلك السلوك الخارجي يكشف عنه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والأنحاء الأخرى من حصص الارتكاز والسلوك غير المعاصرة للمعصوم بمثابة الحالات الأخرى فيما لو كان الدليل قضيّة في واقعة؛ فإنّ الارتكاز الأوسع من السلوك الخارجي لمّا كان مقتضياً لأنحاءٍ أُخر من السلوك فيما إذا توفّرت الشرائط، فإنّه يحتمل الوقوع فيها، فينبغي بيان حكمها لئلّا يكون إغراءً بالجهل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هذا ينبغي أن يكون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على ارتضائه لذاك السلوك والارتكاز الذي وراءه بنفس ملاك دلالة السكوت في نحوي الدليل اللفظي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كوجه فارق بين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استفادة الإمضاء من السكوت في السيرة إنّما هو لمكان دلالة الاقتضاء والخروج عن اللغوية، فاستفادة أكثر من ذلك يكون بلا مسوّغ، ومثل هذا الكلام لا مجال له في الأدلّة اللفظية لوجود البيان الدالّ على أصل الحكم الذي هو بمثابة الإمضاء، فيكون للسكوت دلالة أخرى، وهي الإطلاق للحالات الأخرى، وإمضاء الارتكاز الذي وراء السؤال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قد يحتمل أنّ الفارق هو وجود أصل البيان، وكون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كلا الفرقين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قد يصحّ ما ذُكر لو لم يكن هناك دوالّ أخرى بالإضافة إلى دلالة الاقتضاء، بل هي تغني عنها، وهي الوجوه الخمسة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فكون المتكلّم في مقام البيان أصل عقلائي عامّ، فلا مانع من ثبوته في مورد السيَر، وأمّا أصل وجود الكلام في الأدلّة اللفظية مع عدم وجوده في السيرة العقلائية فإنّه لا يؤثّر؛ إذ المهمّ هو الدالّ، ويتكفّل به السكوت وعدم الردع في هذه الحال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القدر المتيقّن هو المرتبة الأولى، ولكن قد يحصل الوثوق في أنّ المقدار </w:t>
      </w:r>
      <w:bookmarkStart w:id="539" w:name="pg9153_76530"/>
    </w:p>
    <w:p>
      <w:pPr>
        <w:pStyle w:val="BookText"/>
        <w:rPr/>
      </w:pPr>
      <w:bookmarkEnd w:id="539"/>
      <w:r>
        <w:rPr>
          <w:rFonts w:ascii="Amiri" w:hAnsi="Amiri" w:eastAsia="Amiri" w:cs="Amiri"/>
          <w:color w:val="111111"/>
          <w:sz w:val="28"/>
          <w:sz w:val="28"/>
          <w:szCs w:val="28"/>
          <w:rtl w:val="true"/>
          <w:lang w:bidi="ar-SA"/>
        </w:rPr>
        <w:t>الممضى من السيرة هو المرتبة الثالثة، والله العالم</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380624_2870459653"/>
      <w:bookmarkStart w:id="541" w:name="_Toc211"/>
      <w:bookmarkEnd w:id="540"/>
      <w:r>
        <w:rPr>
          <w:rtl w:val="true"/>
        </w:rPr>
        <w:t>الجانب الثاني</w:t>
      </w:r>
      <w:r>
        <w:rPr>
          <w:rtl w:val="true"/>
        </w:rPr>
        <w:t xml:space="preserve">: </w:t>
      </w:r>
      <w:r>
        <w:rPr>
          <w:rtl w:val="true"/>
        </w:rPr>
        <w:t>مدلول السيرة من حيث التكليف أو الوضع</w:t>
      </w:r>
      <w:bookmarkEnd w:id="541"/>
    </w:p>
    <w:p>
      <w:pPr>
        <w:pStyle w:val="Heading5"/>
        <w:numPr>
          <w:ilvl w:val="4"/>
          <w:numId w:val="1"/>
        </w:numPr>
        <w:rPr/>
      </w:pPr>
      <w:bookmarkStart w:id="542" w:name="__RefHeading___Toc3380626_2870459653"/>
      <w:bookmarkStart w:id="543" w:name="_Toc212"/>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إنّ مدلول السيرة يتحدّد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إلى السلوك الخارجي للمتشرّعة،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إلى ما وراء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 صور ثلاث</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380628_2870459653"/>
      <w:bookmarkStart w:id="545" w:name="_Toc213"/>
      <w:bookmarkEnd w:id="544"/>
      <w:r>
        <w:rPr>
          <w:rtl w:val="true"/>
        </w:rPr>
        <w:t>الصورة الأولى</w:t>
      </w:r>
      <w:bookmarkEnd w:id="545"/>
    </w:p>
    <w:p>
      <w:pPr>
        <w:pStyle w:val="BookText"/>
        <w:rPr/>
      </w:pPr>
      <w:r>
        <w:rPr>
          <w:rFonts w:ascii="Amiri" w:hAnsi="Amiri" w:eastAsia="Amiri" w:cs="Amiri"/>
          <w:color w:val="111111"/>
          <w:sz w:val="28"/>
          <w:sz w:val="28"/>
          <w:szCs w:val="28"/>
          <w:rtl w:val="true"/>
          <w:lang w:bidi="ar-SA"/>
        </w:rPr>
        <w:t>أن يكون السلوك الخارجي خالٍ من أيّ داعٍ من الدواعي كالطبع، والأعراف، والعادات، ونحوها، وفي هذا الحال تدلّ السيرة المنعقدة على فعلٍ على جواز ذاك الفعل، وعدم حرمة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يبعد التزام الكلّ أو الأغلب بأمرٍ من دون داع ٍ للالتزام به فإنّ السيرة تدلّ على مطلوبية الفعل، ولكن هل تقف المطلوبية عند الاستحباب أم تصل إلى الوجوب؟</w:t>
      </w:r>
    </w:p>
    <w:p>
      <w:pPr>
        <w:pStyle w:val="BookText"/>
        <w:rPr/>
      </w:pPr>
      <w:r>
        <w:rPr>
          <w:rFonts w:ascii="Amiri" w:hAnsi="Amiri" w:eastAsia="Amiri" w:cs="Amiri"/>
          <w:color w:val="111111"/>
          <w:sz w:val="28"/>
          <w:sz w:val="28"/>
          <w:szCs w:val="28"/>
          <w:rtl w:val="true"/>
          <w:lang w:bidi="ar-SA"/>
        </w:rPr>
        <w:t>إذا تأمّلنا حال المتشرّعة في دائرة المستحبّات المحضة الخالية من الدواعي غير أمر الشرع ولم نجد التزام الأكثر ببعضها صحّ لنا القول بدلالة السيرة على الوجوب، ولكن الأمر ليس كذلك، إذ أقصى ما تدلّ عليه في تلك الحال هو الاستحباب في جانب الفعل، والكراهة في جانب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للحكم التكليفي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الفعل ممّا يترقّب منه أن يكون شرطاً أو جزءاً أو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فالسيرة المنعقدة على فعل شيءٍ تدلّ على عدم كونه مانعاً، وهل تدلّ على جزئيته أو شرطيته من جهة التزام الكلّ أو الأكثر بالفعل من دون داع للالتزام به؟ </w:t>
      </w:r>
      <w:bookmarkStart w:id="546" w:name="pg9153_76532"/>
    </w:p>
    <w:p>
      <w:pPr>
        <w:pStyle w:val="BookText"/>
        <w:rPr/>
      </w:pPr>
      <w:bookmarkEnd w:id="546"/>
      <w:r>
        <w:rPr>
          <w:rFonts w:ascii="Amiri" w:hAnsi="Amiri" w:eastAsia="Amiri" w:cs="Amiri"/>
          <w:color w:val="111111"/>
          <w:sz w:val="28"/>
          <w:sz w:val="28"/>
          <w:szCs w:val="28"/>
          <w:rtl w:val="true"/>
          <w:lang w:bidi="ar-SA"/>
        </w:rPr>
        <w:t>الكلام فيه عين الكلام السابق</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3380630_2870459653"/>
      <w:bookmarkStart w:id="548" w:name="_Toc214"/>
      <w:bookmarkEnd w:id="547"/>
      <w:r>
        <w:rPr>
          <w:rtl w:val="true"/>
        </w:rPr>
        <w:t>الصورة الثانية</w:t>
      </w:r>
      <w:bookmarkEnd w:id="548"/>
    </w:p>
    <w:p>
      <w:pPr>
        <w:pStyle w:val="BookText"/>
        <w:rPr/>
      </w:pPr>
      <w:r>
        <w:rPr>
          <w:rFonts w:ascii="Amiri" w:hAnsi="Amiri" w:eastAsia="Amiri" w:cs="Amiri"/>
          <w:color w:val="111111"/>
          <w:sz w:val="28"/>
          <w:sz w:val="28"/>
          <w:szCs w:val="28"/>
          <w:rtl w:val="true"/>
          <w:lang w:bidi="ar-SA"/>
        </w:rPr>
        <w:t>أن يكون السلوك مكتنفاً بدواعٍ مشجّعة على السلوك، والحديث في هذه الصورة عين الحديث المتقدّم في الصورة الأولى إلّا من جهة استفادة المطلوبية؛ فإنّ وجود الدواعي المشجّعة على الفعل تضعف دلالة السيرة على المطلوبية شرعاً</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380632_2870459653"/>
      <w:bookmarkStart w:id="550" w:name="_Toc215"/>
      <w:bookmarkEnd w:id="549"/>
      <w:r>
        <w:rPr>
          <w:rtl w:val="true"/>
        </w:rPr>
        <w:t>الصورة الثالثة</w:t>
      </w:r>
      <w:bookmarkEnd w:id="550"/>
    </w:p>
    <w:p>
      <w:pPr>
        <w:pStyle w:val="BookText"/>
        <w:rPr/>
      </w:pPr>
      <w:r>
        <w:rPr>
          <w:rFonts w:ascii="Amiri" w:hAnsi="Amiri" w:eastAsia="Amiri" w:cs="Amiri"/>
          <w:color w:val="111111"/>
          <w:sz w:val="28"/>
          <w:sz w:val="28"/>
          <w:szCs w:val="28"/>
          <w:rtl w:val="true"/>
          <w:lang w:bidi="ar-SA"/>
        </w:rPr>
        <w:t>أنّ يكون السلوك مكتنفاً بدواعٍ منافية للسلوك، وأيضاً الكلام عين الكلام المتقدّم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الدلالة على المطلوبية أقوى من الصورة الأولى، واستفادة الوجوب لا تكون مجازفة، ومثله في جانب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حال النظر إلى السلوك الخارجي وما يحفّ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ما وراء السلوك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الموارد نستفيد من السيرة أكثر من الجواز المتقدّم في الصورة الثانية، فالسيرة المنعقدة على العمل بخبر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العمل بمفاد الخبر، في حين أنّ العمل بمفاد الخبر واجب، وأنّه منجّز ومعذّر، فكيف استفدنا الوجوب من السيرة؟</w:t>
      </w:r>
    </w:p>
    <w:p>
      <w:pPr>
        <w:pStyle w:val="BookText"/>
        <w:rPr/>
      </w:pPr>
      <w:r>
        <w:rPr>
          <w:rFonts w:ascii="Amiri" w:hAnsi="Amiri" w:eastAsia="Amiri" w:cs="Amiri"/>
          <w:color w:val="111111"/>
          <w:sz w:val="28"/>
          <w:sz w:val="28"/>
          <w:szCs w:val="28"/>
          <w:rtl w:val="true"/>
          <w:lang w:bidi="ar-SA"/>
        </w:rPr>
        <w:t>ومثله الكلام في الظهور، فالسيرة قائمة على كاشفية الظهور لمراد المتكلّم، ومن ثَمّ جواز العمل بهذه الكاشفية، والحال أنّه يجب الأخذ بهذه الكاشفية، وتكون منجّزة ومعذّرة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السيرة الثابتة في مورد الحيازة، فهي إنّما تفيد جواز تصرّف الحائز بما يحوزه، فكيف استفدنا الملكية؟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تخريجين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والغرض أنّ السيرة بما هي سيرة لا يستكشف منها وجوب الفعل ولا استحبابه في سيرة الفعل، ولا يستكشف منها حرمة الفعل ولا كراهته في سيرة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بعض الأمور يكون لازم مشروعيتها وجوبها وإلّا لم تكن مشروعة؛ وذلك مثل الأمارة كخبر الواحد والظاهر، فإنّ السيرة على العمل بالأمارة لمّا دلّت على مشروعية العمل بها، فإنّ لازمها أن يكون واجباً؛ لأنّه لا يشرع العمل بها ولا يصلح إلّا إذا كانت حجّة منصوبة من قبل الشارع لتبليغ الأحكام واستكشافها، وإذا كانت حجّة وجب العمل بها قطعاً؛ لوجوب تحصيل الأحكام وتعلّمها، فينتج من ذلك أنّه لا يمكن فرض مشروعية العمل بالأمارة مع فرض عدم وجوبه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الأخذ بالظهور أو بخبر الثقة يستلزم وجوب الأخذ بهما؛ وذلك لأنّ معنى جواز الأخذ أنّها حجّة منصوبة من قبل الشارع، وإذا كانت حجّة فيجب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وضوح الملازمة بين جواز الأخذ بظاهر الكلام وبين كونه حجّة عند الشارع بحيث يجب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الكلام بصورة عامّة حتّى عند الموالي العرفية، وليس مختصّاً بالشارع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من أنّ الممضى ليس هو العمل الخارجي </w:t>
      </w:r>
    </w:p>
    <w:p>
      <w:pPr>
        <w:pStyle w:val="BookText"/>
        <w:rPr/>
      </w:pPr>
      <w:r>
        <w:rPr>
          <w:rFonts w:ascii="Amiri" w:hAnsi="Amiri" w:eastAsia="Amiri" w:cs="Amiri"/>
          <w:color w:val="111111"/>
          <w:sz w:val="28"/>
          <w:sz w:val="28"/>
          <w:szCs w:val="28"/>
          <w:rtl w:val="true"/>
          <w:lang w:bidi="ar-SA"/>
        </w:rPr>
        <w:t>الصامت، وإنّما هي النكتة الارتكازية، ونعني بها المفهوم العقلائي المرتكز عن العمل، وبهذا المفهوم قد يثبت حكم تكليفي أو حكم وضعي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فالنكتة الارتكازية العقلائية كما تفيد التوسعة في الجانب الأوّل كذلك تفيد خصوصيات مورد السيرة</w:t>
      </w:r>
      <w:r>
        <w:rPr>
          <w:rFonts w:eastAsia="Amiri" w:cs="Amiri" w:ascii="Amiri" w:hAnsi="Amiri"/>
          <w:color w:val="111111"/>
          <w:sz w:val="28"/>
          <w:szCs w:val="28"/>
          <w:rtl w:val="true"/>
          <w:lang w:bidi="ar-SA"/>
        </w:rPr>
        <w:t xml:space="preserve">. </w:t>
      </w:r>
      <w:bookmarkStart w:id="551" w:name="pg9153_76537"/>
    </w:p>
    <w:p>
      <w:pPr>
        <w:pStyle w:val="Heading3"/>
        <w:numPr>
          <w:ilvl w:val="2"/>
          <w:numId w:val="1"/>
        </w:numPr>
        <w:rPr/>
      </w:pPr>
      <w:bookmarkStart w:id="552" w:name="__RefHeading___Toc3380634_2870459653"/>
      <w:bookmarkStart w:id="553" w:name="_Toc216"/>
      <w:bookmarkEnd w:id="551"/>
      <w:bookmarkEnd w:id="552"/>
      <w:r>
        <w:rPr>
          <w:rtl w:val="true"/>
        </w:rPr>
        <w:t>الفصل الرابع</w:t>
      </w:r>
      <w:r>
        <w:rPr>
          <w:rtl w:val="true"/>
        </w:rPr>
        <w:t xml:space="preserve">: </w:t>
      </w:r>
      <w:r>
        <w:rPr>
          <w:rtl w:val="true"/>
        </w:rPr>
        <w:t>حجّية السيرة العقلائية</w:t>
      </w:r>
      <w:bookmarkEnd w:id="553"/>
    </w:p>
    <w:p>
      <w:pPr>
        <w:pStyle w:val="BookText"/>
        <w:rPr/>
      </w:pPr>
      <w:r>
        <w:rPr>
          <w:rFonts w:ascii="Amiri" w:hAnsi="Amiri" w:eastAsia="Amiri" w:cs="Amiri"/>
          <w:color w:val="111111"/>
          <w:sz w:val="28"/>
          <w:sz w:val="28"/>
          <w:szCs w:val="28"/>
          <w:rtl w:val="true"/>
          <w:lang w:bidi="ar-SA"/>
        </w:rPr>
        <w:t>وهي تحصل فيما لو ثبتت الأمور الستة المتقدّمة في الفصل الثاني بطريق معتبر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للأمرين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صدور موقف من الشارع، واطّلاعنا عليه من خلال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ردع لظهر وبَان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مناهج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في مظانّه من الأخبار عمّا يمكن أن يكون رادعاً عن السيرة، فإذا حصل عندنا الاطمئنان أو القطع بعدم وجود رادع ٍ فهذا يعني أنّ الموقف الشرعي هو عدم الردع، ومن ثَمّ إمضاء السيرة؛ لما تقدّم في الشرطية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المنهج مبتنٍ على أنّ الإمضاء مقتضٍ للحجّية، ويندرج فيه رأي المحقّق العراقي،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فارق بينهم، وهو أنّ الأوّلين يشترطان عدم الامتداد إلى مجال الأحكام الشرعية، والأخير يشترط الامتداد بصورة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الفحص عدم حصول القطع أو الاطمئنان بوجود دليل رادع، وهذا بالنسبة لمن يرى أنّ الإمضاء وعدمه في رتبة المانع لا مقتضٍ للحجّية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جري المتشرّعة في زماننا خصوصاً إذا كان بصورة واسعة على وفق السيرة العقلائية في دائرة الأحكام الشرعية، فإنّ هذا لا يجتمع مع الردع، ومن ثَمّ لا حاجة للفحص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للتأكيد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الالتفات إلى أنّ المراد بالمتشرّعة في السيرة العقلائية هو المتشرّعة بعينهم في سيرة المتشرّعة البحتة، وهم الملتزمون بأحكام الشريعة، لا مجرّد المتسمّين بالمسلمين أو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معاصرة السيرة للشارع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إحرازها بالقطع أو الاطمئنان بلا أيّ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إثبات المعاصرة بالنقل التاريخي وقلنا إنّ حجّية خبر الثقة ليس من باب إفادته الاطمئنان، فإنّه يكفي في حجّية النقل أن يكون الناقل ثقة وإن لم يحصل الاطمئنان من نقله، ولا يخفى أنّه ينبغي إثبات حجّية الاطمئنان وخبر الثقة بغير السيرة حتّى لا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كلام في خصوص النقل التاريخي للمعاصرة بخبر الثقة، وهو أنّه مندرج تحت حجّية خبر الثقة في الموضوعات الخارجية أو لا؟</w:t>
      </w:r>
    </w:p>
    <w:p>
      <w:pPr>
        <w:pStyle w:val="BookText"/>
        <w:rPr/>
      </w:pPr>
      <w:r>
        <w:rPr>
          <w:rFonts w:ascii="Amiri" w:hAnsi="Amiri" w:eastAsia="Amiri" w:cs="Amiri"/>
          <w:color w:val="111111"/>
          <w:sz w:val="28"/>
          <w:sz w:val="28"/>
          <w:szCs w:val="28"/>
          <w:rtl w:val="true"/>
          <w:lang w:bidi="ar-SA"/>
        </w:rPr>
        <w:t>ولمّا كنّا نرى أنّ حجّية خبر الثقة في الأحكام والموضوعات الخارجية من باب إفادته الاطمئنان فلا حاجة للخوض في 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السيرة إلى دائرة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بشرطيته في حجّية السيرة يكون إحرازه واضحاً من خلال إحراز جري المتشرّعة في زماننا على ذلك، وإحراز معاصرة السيرة لزمان حضور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بعض حيثيات الامتداد في الفصل الأوّل والثاني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الردع 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قطعاً إزاء السيرة العامّة؛ فإنّه لا يحتمل أن تكون ظروف التقيّة موجودة باستمرار ولا ترتفع في أحيان كثيرة</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الارتداع عند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قطعاً؛ لأنّ الامتداد المفروض إنّما هو عند المتشرّعة الملتزمين بأحكام الشريعة</w:t>
      </w:r>
      <w:r>
        <w:rPr>
          <w:rFonts w:eastAsia="Amiri" w:cs="Amiri" w:ascii="Amiri" w:hAnsi="Amiri"/>
          <w:color w:val="111111"/>
          <w:sz w:val="28"/>
          <w:szCs w:val="28"/>
          <w:rtl w:val="true"/>
          <w:lang w:bidi="ar-SA"/>
        </w:rPr>
        <w:t xml:space="preserve">. </w:t>
      </w:r>
      <w:bookmarkStart w:id="554" w:name="pg9153_76543"/>
    </w:p>
    <w:p>
      <w:pPr>
        <w:pStyle w:val="Heading3"/>
        <w:numPr>
          <w:ilvl w:val="2"/>
          <w:numId w:val="1"/>
        </w:numPr>
        <w:rPr/>
      </w:pPr>
      <w:bookmarkStart w:id="555" w:name="__RefHeading___Toc3380636_2870459653"/>
      <w:bookmarkStart w:id="556" w:name="_Toc217"/>
      <w:bookmarkEnd w:id="554"/>
      <w:bookmarkEnd w:id="555"/>
      <w:r>
        <w:rPr>
          <w:rtl w:val="true"/>
        </w:rPr>
        <w:t>الفصل الخامس</w:t>
      </w:r>
      <w:r>
        <w:rPr>
          <w:rtl w:val="true"/>
        </w:rPr>
        <w:t xml:space="preserve">: </w:t>
      </w:r>
      <w:r>
        <w:rPr>
          <w:rtl w:val="true"/>
        </w:rPr>
        <w:t>بيان الموقف والحدود فيما إذا وردت أدلّة متوافقة مع السيرة العقلائية</w:t>
      </w:r>
      <w:bookmarkEnd w:id="556"/>
    </w:p>
    <w:p>
      <w:pPr>
        <w:pStyle w:val="Heading4"/>
        <w:numPr>
          <w:ilvl w:val="3"/>
          <w:numId w:val="1"/>
        </w:numPr>
        <w:rPr/>
      </w:pPr>
      <w:bookmarkStart w:id="557" w:name="__RefHeading___Toc3380638_2870459653"/>
      <w:bookmarkStart w:id="558" w:name="_Toc218"/>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الأدلّة المتوافقة مع 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سيرة المتشرّعة،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سيرة المتشرّعة فينبغي أن يراد بها المتشرّعة الذين يجرون وفق النكتة العقلائية في دائرة الأحكام الشرعية، وليس سيرة المتشرّعة البحتة؛ لأنّها إنّما تكون في المسائل الشرعية البحتة، فلا يعقل اجتماعها مع السيرة العقلائية المستدعية لوجود نكتة 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قولان</w:t>
      </w:r>
      <w:r>
        <w:rPr>
          <w:rFonts w:eastAsia="IRNazanin" w:cs="IRNazanin"/>
          <w:color w:val="111111"/>
          <w:sz w:val="28"/>
          <w:szCs w:val="28"/>
          <w:rtl w:val="true"/>
          <w:lang w:bidi="fa-IR"/>
        </w:rPr>
        <w:t>:</w:t>
      </w:r>
    </w:p>
    <w:p>
      <w:pPr>
        <w:pStyle w:val="Heading4"/>
        <w:numPr>
          <w:ilvl w:val="3"/>
          <w:numId w:val="1"/>
        </w:numPr>
        <w:rPr/>
      </w:pPr>
      <w:bookmarkStart w:id="559" w:name="__RefHeading___Toc3380640_2870459653"/>
      <w:bookmarkStart w:id="560" w:name="_Toc219"/>
      <w:bookmarkEnd w:id="559"/>
      <w:r>
        <w:rPr>
          <w:rtl w:val="true"/>
        </w:rPr>
        <w:t>القول الأوّل</w:t>
      </w:r>
      <w:bookmarkEnd w:id="560"/>
    </w:p>
    <w:p>
      <w:pPr>
        <w:pStyle w:val="BookText"/>
        <w:rPr/>
      </w:pPr>
      <w:r>
        <w:rPr>
          <w:rFonts w:ascii="Amiri" w:hAnsi="Amiri" w:eastAsia="Amiri" w:cs="Amiri"/>
          <w:color w:val="111111"/>
          <w:sz w:val="28"/>
          <w:sz w:val="28"/>
          <w:szCs w:val="28"/>
          <w:rtl w:val="true"/>
          <w:lang w:bidi="ar-SA"/>
        </w:rPr>
        <w:t xml:space="preserve">ما ذهب إليه المحقّق العراقي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حجّية الظهور وحجّية خبر الواحد</w:t>
      </w:r>
      <w:r>
        <w:rPr>
          <w:rStyle w:val="FootnoteAnchor"/>
          <w:rtl w:val="true"/>
        </w:rPr>
        <w:footnoteReference w:id="599"/>
      </w:r>
      <w:r>
        <w:rPr>
          <w:rFonts w:ascii="Amiri" w:hAnsi="Amiri" w:eastAsia="Amiri" w:cs="Amiri"/>
          <w:color w:val="111111"/>
          <w:sz w:val="28"/>
          <w:sz w:val="28"/>
          <w:szCs w:val="28"/>
          <w:rtl w:val="true"/>
          <w:lang w:bidi="ar-SA"/>
        </w:rPr>
        <w:t>من أنّه عندنا دليلان وسيرتان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على هذا القول أنّ السيرة العقلائية مأخوذة بشرط لا عن الامتداد بالفعل إلى دائرة الأحكام الشرعية، وإنّما تكون في معرض الامتداد، وأمّا إذا امتدت بالفعل فهي تختلف عن سيرة العقلاء في ملاك الحجّية، حيث تكون بمثابة سيرة المتشرّعة البحتة، فلا تكون بحاجة إلى الإمضاء، بل تكشف عن الموقف </w:t>
      </w:r>
      <w:bookmarkStart w:id="561" w:name="pg9153_76545"/>
    </w:p>
    <w:p>
      <w:pPr>
        <w:pStyle w:val="BookText"/>
        <w:rPr/>
      </w:pPr>
      <w:bookmarkEnd w:id="561"/>
      <w:r>
        <w:rPr>
          <w:rFonts w:ascii="Amiri" w:hAnsi="Amiri" w:eastAsia="Amiri" w:cs="Amiri"/>
          <w:color w:val="111111"/>
          <w:sz w:val="28"/>
          <w:sz w:val="28"/>
          <w:szCs w:val="28"/>
          <w:rtl w:val="true"/>
          <w:lang w:bidi="ar-SA"/>
        </w:rPr>
        <w:t>الشرعي كشف المعلول عن علّته، فلا يعقل فيها احتمال الردع، فمع أنّ السيرة عادةً وثبوتاً أمر وحداني ولكن لمكان أنّها في مرحلة حدوثها عقلائية وفي مرحلة امتدادها متشرّعية فإنّه يترتّب على ذلك إثباتاً أنّهما سيرتان ودليلان للاختلاف في ملاك الحجّية بين هذين المقطعين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مستوى الحدود فبحدود السيرة العقلائية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380642_2870459653"/>
      <w:bookmarkStart w:id="563" w:name="_Toc220"/>
      <w:bookmarkEnd w:id="562"/>
      <w:r>
        <w:rPr>
          <w:rtl w:val="true"/>
        </w:rPr>
        <w:t>القول الثاني</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في ما نحن فيه إلّا دليل واحد، وهو سيرة العقلاء، وأمّا جري المتشرّعة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كاشف ابتداءً عن عدم وصول الردع، بل وصول عدم الردع؛ لأنّه لو كان ردعٌ لما وصلت إلينا السيرة المتشرّعية، وبذلك يكشف عن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كاشف عن الإمضاء ابتداءً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للروايات الخاصّة المتوافقة مع السيرة العقلائية فهناك ثلاثة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غير واحد، منهم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الشرعي متى ما ورد في مورد الحكم العقلي أو العقلائي فإنّه لا ينعقد له إطلاق بأوسع من دائرة ذلك الحكم وإن لم يكن في الخطاب ما يقتضي التضييق بحسب المدلول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في موارد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اللّفظية لجواز التقليد ورجوع الجاهل إلى العالم مطلقة لمِا إذا كان الفقيه مجتهداً في جميع المقدّمات التي يبتني عليها اجتهاده واستنباطه، ولما إذا كان </w:t>
      </w:r>
    </w:p>
    <w:p>
      <w:pPr>
        <w:pStyle w:val="BookText"/>
        <w:rPr/>
      </w:pPr>
      <w:r>
        <w:rPr>
          <w:rFonts w:ascii="Amiri" w:hAnsi="Amiri" w:eastAsia="Amiri" w:cs="Amiri"/>
          <w:color w:val="111111"/>
          <w:sz w:val="28"/>
          <w:sz w:val="28"/>
          <w:szCs w:val="28"/>
          <w:rtl w:val="true"/>
          <w:lang w:bidi="ar-SA"/>
        </w:rPr>
        <w:t>يصدق عليه أنّه فقيهٌ وإن لم يكن مجتهداً في المقدّمات البعيدة؛ إذ من الواضح عدم توقّف صدق عنوان الفقيه على كونه مجتهداً في المقدّمات البعيدة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لمّا كانت سيرة العقلاء في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منعقدة على رجوع الجاهل إلى العالم المعتمد على نفسه في جميع المقدّمات لم يصحّ الأخذ بإطلاق الأدلّة اللفظية، بل لا بدّ من تنزيل حدودها على حدود السيرة العقلائية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من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مطلقاً لمِا إذا كان التكليف غير المعلوم محرز الأهمّية، أو كان احتمال ثبوته قوّياً وإن لم يبلغ الاطمئنان إلّا أنّه لا يمكن الأخذ بهذا الإطلاق؛ لوجود حكم عقلي يرى الاحتياط في هذين الموردين وقبح العقاب في غيرهما من موارد احتمال التكليف، فيكون رفع ما لا يعلمون تأكيداً لحكم العقل هذا وبحدوده، فلا ينعقد له الإطلاق بأوسع من حدود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استظهاره من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من التفصيل بين الدليل اللفظي الظاهر في إمضاء السيرة العقلائية والدليل اللفظي الذي ليس له مثل هذا الظهور، فالأوّل يكون بحدود السيرة العقلائية دون الثاني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اللفظي الظاهر في إمضاء 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مدلوله أضيق من السيرة،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أوسع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أضيق من السيرة العقلائية ومراداً للشارع لكان من اللازم الردع عن حدود السيرة التي هي أوسع من الدليل اللفظي، وإلّا سيكون عدم الردع تغريراً بالجهل؛ لأنّ المكلّف بحسب طبعه يجري وفق ارتكازاته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اللفظي أوسع من السيرة فلعلّ الوجه في كونه لا بدّ أن يكون بحدود السيرة هو أنّ هذا مقتضى الإمضاء، وإلّا سيكون الدليل المطلق مع أنّه دليل واحد يدلّ على الإمضاء وعلى التشريع التأسيسي فيما وراء الإمضاء،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اللفظي شارح لحدود السيرة العقلائية المشكوكة لا أنّه ينزّل على القدر المتيقّن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الوجه الأوّل؛ لأنّ السيرة العقلائية بما هي عقلائية مؤلّفة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النكتة العقلائية الارتكازية، والسلوك الخارجي المعلول 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النكتة العقلائية تكون بمثابة القرينة المتّصلة، وتصنّف على مناسبات الحكم والموضوع، ومن ثَمّ لا ينعقد للدليل اللفظي مدلول أوسع أو أضيق من هذا الارتكاز، ولا يشترط في ذلك أن يكون الدليل اللفظي وارداً مورد الإمضاء للسيرة؛ لأنّ الارتكاز والطبع العقلائي الراسخ ملابسة حاضرة في النفس، مؤثّرة في مقام فهم الأدلّة قهراً، فلو لم يكن ذلك مراداً للشارع لردع عن هذا الارتكاز، فإذا لم يردع لا يبعد أن يكون نفس هذا الدليل كاشفاً عن الإمضاء</w:t>
      </w:r>
      <w:r>
        <w:rPr>
          <w:rFonts w:eastAsia="Amiri" w:cs="Amiri" w:ascii="Amiri" w:hAnsi="Amiri"/>
          <w:color w:val="111111"/>
          <w:sz w:val="28"/>
          <w:szCs w:val="28"/>
          <w:rtl w:val="true"/>
          <w:lang w:bidi="ar-SA"/>
        </w:rPr>
        <w:t xml:space="preserve">. </w:t>
      </w:r>
      <w:bookmarkStart w:id="564" w:name="pg9153_76551"/>
    </w:p>
    <w:p>
      <w:pPr>
        <w:pStyle w:val="Heading3"/>
        <w:numPr>
          <w:ilvl w:val="2"/>
          <w:numId w:val="1"/>
        </w:numPr>
        <w:rPr/>
      </w:pPr>
      <w:bookmarkStart w:id="565" w:name="__RefHeading___Toc3380644_2870459653"/>
      <w:bookmarkStart w:id="566" w:name="_Toc221"/>
      <w:bookmarkEnd w:id="564"/>
      <w:bookmarkEnd w:id="565"/>
      <w:r>
        <w:rPr>
          <w:rtl w:val="true"/>
        </w:rPr>
        <w:t>الفصل السادس</w:t>
      </w:r>
      <w:r>
        <w:rPr>
          <w:rtl w:val="true"/>
        </w:rPr>
        <w:t xml:space="preserve">: </w:t>
      </w:r>
      <w:r>
        <w:rPr>
          <w:rtl w:val="true"/>
        </w:rPr>
        <w:t>في المقارنة بين سيرة المتشرعة البحتة وسيرة العقلاء</w:t>
      </w:r>
      <w:bookmarkEnd w:id="566"/>
    </w:p>
    <w:p>
      <w:pPr>
        <w:pStyle w:val="Heading4"/>
        <w:numPr>
          <w:ilvl w:val="3"/>
          <w:numId w:val="1"/>
        </w:numPr>
        <w:rPr/>
      </w:pPr>
      <w:bookmarkStart w:id="567" w:name="__RefHeading___Toc3380646_2870459653"/>
      <w:bookmarkStart w:id="568" w:name="_Toc222"/>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ونذكر أوّلاً ما يشتركان فيه، ثُمّ نذكر ما يختلفان فيه</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3380648_2870459653"/>
      <w:bookmarkStart w:id="570" w:name="_Toc223"/>
      <w:bookmarkEnd w:id="569"/>
      <w:r>
        <w:rPr>
          <w:rtl w:val="true"/>
        </w:rPr>
        <w:t>أمّا ما يشتركان فيه فهي ثلاثة أمور</w:t>
      </w:r>
      <w:bookmarkEnd w:id="570"/>
    </w:p>
    <w:p>
      <w:pPr>
        <w:pStyle w:val="Heading5"/>
        <w:numPr>
          <w:ilvl w:val="4"/>
          <w:numId w:val="1"/>
        </w:numPr>
        <w:rPr/>
      </w:pPr>
      <w:bookmarkStart w:id="571" w:name="__RefHeading___Toc3380650_2870459653"/>
      <w:bookmarkStart w:id="572" w:name="_Toc224"/>
      <w:bookmarkEnd w:id="571"/>
      <w:r>
        <w:rPr>
          <w:rtl w:val="true"/>
        </w:rPr>
        <w:t>الأوّل</w:t>
      </w:r>
      <w:bookmarkEnd w:id="572"/>
    </w:p>
    <w:p>
      <w:pPr>
        <w:pStyle w:val="BookText"/>
        <w:rPr/>
      </w:pPr>
      <w:r>
        <w:rPr>
          <w:rFonts w:ascii="Amiri" w:hAnsi="Amiri" w:eastAsia="Amiri" w:cs="Amiri"/>
          <w:color w:val="111111"/>
          <w:sz w:val="28"/>
          <w:sz w:val="28"/>
          <w:szCs w:val="28"/>
          <w:rtl w:val="true"/>
          <w:lang w:bidi="ar-SA"/>
        </w:rPr>
        <w:t>أنّهما من الكواشف عن السنّة</w:t>
      </w:r>
      <w:r>
        <w:rPr>
          <w:rStyle w:val="FootnoteAnchor"/>
          <w:rtl w:val="true"/>
        </w:rPr>
        <w:footnoteReference w:id="603"/>
      </w:r>
      <w:r>
        <w:rPr>
          <w:rFonts w:ascii="Amiri" w:hAnsi="Amiri" w:eastAsia="Amiri" w:cs="Amiri"/>
          <w:color w:val="111111"/>
          <w:sz w:val="28"/>
          <w:sz w:val="28"/>
          <w:szCs w:val="28"/>
          <w:rtl w:val="true"/>
          <w:lang w:bidi="ar-SA"/>
        </w:rPr>
        <w:t xml:space="preserve">، وأنّ حجّيتهما من جهة انطباق الحجج العامّة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القطع أو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هما من الأمارات التي قام الدليل على حجّيتها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يكفي نقل خبر الثقة وإن لم يفد الاطمئنان فيما لو كانت بالنقل التاريخي كما تقدّم في إحدى طرق إثبات المعاصرة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380652_2870459653"/>
      <w:bookmarkStart w:id="574" w:name="_Toc225"/>
      <w:bookmarkEnd w:id="573"/>
      <w:r>
        <w:rPr>
          <w:rtl w:val="true"/>
        </w:rPr>
        <w:t>الثاني</w:t>
      </w:r>
      <w:bookmarkEnd w:id="574"/>
    </w:p>
    <w:p>
      <w:pPr>
        <w:pStyle w:val="BookText"/>
        <w:rPr/>
      </w:pPr>
      <w:r>
        <w:rPr>
          <w:rFonts w:ascii="Amiri" w:hAnsi="Amiri" w:eastAsia="Amiri" w:cs="Amiri"/>
          <w:color w:val="111111"/>
          <w:sz w:val="28"/>
          <w:sz w:val="28"/>
          <w:szCs w:val="28"/>
          <w:rtl w:val="true"/>
          <w:lang w:bidi="ar-SA"/>
        </w:rPr>
        <w:t xml:space="preserve">يشتركان في اشتراط المعاصرة فيهما، وطرق المعاصرة المتقدّمة كلّها يمكن أن تجري في سيرة المتشرّعة البحتة ما عدا الطريق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الحاجة إلى المعاصرة في السيرة العقلائية لأجل أنّ اعتبارها منوط بموقف من الشارع، وهو يستدعي المعاصرة، ومثله سيرة المتشرّعة، فهي معلولة للتلقّي من الشارع مباشرة؛ لأنّها في عرض الكواشف عن موقف الشارع لا في طولها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380654_2870459653"/>
      <w:bookmarkStart w:id="576" w:name="_Toc226"/>
      <w:bookmarkEnd w:id="575"/>
      <w:r>
        <w:rPr>
          <w:rtl w:val="true"/>
        </w:rPr>
        <w:t>الثالث</w:t>
      </w:r>
      <w:bookmarkEnd w:id="57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يشتركان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جري المتشرّعة في دائرة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رأي المحقّق العراقي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السيرة </w:t>
      </w:r>
      <w:bookmarkStart w:id="577" w:name="pg9153_76553"/>
    </w:p>
    <w:p>
      <w:pPr>
        <w:pStyle w:val="BookText"/>
        <w:rPr/>
      </w:pPr>
      <w:bookmarkEnd w:id="577"/>
      <w:r>
        <w:rPr>
          <w:rFonts w:ascii="Amiri" w:hAnsi="Amiri" w:eastAsia="Amiri" w:cs="Amiri"/>
          <w:color w:val="111111"/>
          <w:sz w:val="28"/>
          <w:sz w:val="28"/>
          <w:szCs w:val="28"/>
          <w:rtl w:val="true"/>
          <w:lang w:bidi="ar-SA"/>
        </w:rPr>
        <w:t xml:space="preserve">العقلائية بشرط لا عن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تكون في معرض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الجانب من موارد الاختلاف</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380656_2870459653"/>
      <w:bookmarkStart w:id="579" w:name="_Toc227"/>
      <w:bookmarkEnd w:id="578"/>
      <w:r>
        <w:rPr>
          <w:rtl w:val="true"/>
        </w:rPr>
        <w:t>وأمّا ما يختلفان فيه فأمور ثلاثة أيضاً</w:t>
      </w:r>
      <w:bookmarkEnd w:id="579"/>
    </w:p>
    <w:p>
      <w:pPr>
        <w:pStyle w:val="Heading5"/>
        <w:numPr>
          <w:ilvl w:val="4"/>
          <w:numId w:val="1"/>
        </w:numPr>
        <w:rPr/>
      </w:pPr>
      <w:bookmarkStart w:id="580" w:name="__RefHeading___Toc3380658_2870459653"/>
      <w:bookmarkStart w:id="581" w:name="_Toc228"/>
      <w:bookmarkEnd w:id="580"/>
      <w:r>
        <w:rPr>
          <w:rtl w:val="true"/>
        </w:rPr>
        <w:t>الأوّل</w:t>
      </w:r>
      <w:bookmarkEnd w:id="581"/>
    </w:p>
    <w:p>
      <w:pPr>
        <w:pStyle w:val="BookText"/>
        <w:rPr/>
      </w:pPr>
      <w:r>
        <w:rPr>
          <w:rFonts w:ascii="Amiri" w:hAnsi="Amiri" w:eastAsia="Amiri" w:cs="Amiri"/>
          <w:color w:val="111111"/>
          <w:sz w:val="28"/>
          <w:sz w:val="28"/>
          <w:szCs w:val="28"/>
          <w:rtl w:val="true"/>
          <w:lang w:bidi="ar-SA"/>
        </w:rPr>
        <w:t>في طريقة الكشف عن موقف الشارع، فقد تقدّم أنّه لا بدّ من أمور ست في سيرة العقلاء، وأمّا كشف سيرة المتشرّعة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أنّ سيرة المتشرّعة وليدة لموقف الشارع ومعلولة له؛ لأنّ ما يمكن أن يكون سبباً لنشوء السيرة المتشرّعية البحتة، والسلوك العامّ من قبل المتشرّعة الملتزمين بأحكام الشريعة عدّة محتملات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نكتة عقلائية قد تكون هي وراء ذاك السلوك العامّ، وهذا المحتمل منتفٍ لفرض الكلام في مسألة شرعية بحتة ليس لها جذور 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السلوك حصل غفلة</w:t>
      </w:r>
      <w:r>
        <w:rPr>
          <w:rStyle w:val="FootnoteAnchor"/>
          <w:rtl w:val="true"/>
        </w:rPr>
        <w:footnoteReference w:id="604"/>
      </w:r>
      <w:r>
        <w:rPr>
          <w:rFonts w:ascii="Amiri" w:hAnsi="Amiri" w:eastAsia="Amiri" w:cs="Amiri"/>
          <w:color w:val="111111"/>
          <w:sz w:val="28"/>
          <w:sz w:val="28"/>
          <w:szCs w:val="28"/>
          <w:rtl w:val="true"/>
          <w:lang w:bidi="ar-SA"/>
        </w:rPr>
        <w:t>من قبل المتشرّعة من دون أن يتلقّوا ذلك من الشارع، وهذا المحتمل بعيد جدّاً بحساب الاحتمالات؛ لأنّه يستدعي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أصل الفحص والسؤال في أنّ هذا السلوك العامّ ناشئ من الشارع أو مرضيّ عنده، وهذه الغفلة وإن كانت معقولة من كلّ شخص شخص في حدّ نفسه، ولكن غفلة الجميع في قضيّة حسّية غير معقولة ومنتفية بحساب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الغفلات على نتيجة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منتفٍ بحساب الاحتمالات أيضاً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السلوك العامّ حصل من فتاوى فقهاء الشيعة آنذاك، فلم يكن كاشفاً </w:t>
      </w:r>
      <w:bookmarkStart w:id="582" w:name="pg9153_76555"/>
    </w:p>
    <w:p>
      <w:pPr>
        <w:pStyle w:val="BookText"/>
        <w:rPr/>
      </w:pPr>
      <w:bookmarkEnd w:id="582"/>
      <w:r>
        <w:rPr>
          <w:rFonts w:ascii="Amiri" w:hAnsi="Amiri" w:eastAsia="Amiri" w:cs="Amiri"/>
          <w:color w:val="111111"/>
          <w:sz w:val="28"/>
          <w:sz w:val="28"/>
          <w:szCs w:val="28"/>
          <w:rtl w:val="true"/>
          <w:lang w:bidi="ar-SA"/>
        </w:rPr>
        <w:t>عن موقف الشارع في عرض فتاويهم، فإنّ الإجماع والسيرة في عرض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المحتمل ضعيف؛ لأنّه وإن أمكن حصول ارتكاز وسيرة متشرّعية من فتاوى فقهاء الإمامية إلّا أنّه لا يكون مع 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يكون تأثيرهم بمعزل عن تأثير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السلوك المتشرّعي العامّ بتأثيرٍ من العامّة سلطةً وفقهاءً، فالإمكانيات الموجودة عندهم تخلق ارتكازات، وسير متشرّعية، وجوّاً عامّاً تجاه موقفٍ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المحتمل مندفع من جهة أنّ المراد بالمتشرّعة هم الإمامية الملتزمون بأخذ أحكامهم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هذا من البعيد جدّاً أن لا يسألوا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السلوك العامّ من أنّه مرضيّ عندهم أو مردوع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إلّا أن يكون هذا السلوك متلقىً من الشارع، أو كان أصله من العامّة ولكنّه ممضى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لما وصلنا السلوك العامّ هذا</w:t>
      </w:r>
      <w:r>
        <w:rPr>
          <w:rFonts w:eastAsia="IRNazanin" w:cs="IRNazanin"/>
          <w:color w:val="111111"/>
          <w:sz w:val="28"/>
          <w:szCs w:val="28"/>
          <w:rtl w:val="true"/>
          <w:lang w:bidi="fa-IR"/>
        </w:rPr>
        <w:t>.</w:t>
      </w:r>
    </w:p>
    <w:p>
      <w:pPr>
        <w:pStyle w:val="Heading5"/>
        <w:numPr>
          <w:ilvl w:val="4"/>
          <w:numId w:val="1"/>
        </w:numPr>
        <w:rPr/>
      </w:pPr>
      <w:bookmarkStart w:id="583" w:name="__RefHeading___Toc3380660_2870459653"/>
      <w:bookmarkStart w:id="584" w:name="_Toc229"/>
      <w:bookmarkEnd w:id="583"/>
      <w:r>
        <w:rPr>
          <w:rtl w:val="true"/>
        </w:rPr>
        <w:t>الثاني</w:t>
      </w:r>
      <w:bookmarkEnd w:id="584"/>
    </w:p>
    <w:p>
      <w:pPr>
        <w:pStyle w:val="BookText"/>
        <w:rPr/>
      </w:pPr>
      <w:r>
        <w:rPr>
          <w:rFonts w:ascii="Amiri" w:hAnsi="Amiri" w:eastAsia="Amiri" w:cs="Amiri"/>
          <w:color w:val="111111"/>
          <w:sz w:val="28"/>
          <w:sz w:val="28"/>
          <w:szCs w:val="28"/>
          <w:rtl w:val="true"/>
          <w:lang w:bidi="ar-SA"/>
        </w:rPr>
        <w:t>تختلف سيرة العقلاء عن سيرة المتشرّعة البحتة في أنّ الحكم الثابت بسيرة العقلاء من الأحكام الإمضائية لما عند العقلاء، وأمّا الحكم الثابت بسير ة المتشرّعة فهو من الأحكام التأسيسية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متلقىً من الشارع مباشرة، أو أنّه إمضاء لسيرة المتشرّعة العامّة</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380662_2870459653"/>
      <w:bookmarkStart w:id="586" w:name="_Toc230"/>
      <w:bookmarkEnd w:id="585"/>
      <w:r>
        <w:rPr>
          <w:rtl w:val="true"/>
        </w:rPr>
        <w:t>الثالث</w:t>
      </w:r>
      <w:bookmarkEnd w:id="5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الكاشف في سيرة العقلاء هو جري العقلاء في أمورهم غير الشرعية لكن في معرض الامتداد إلى مجال الأحكام الشرعية، فتختلف عن سيرة المتشرّعة من أنّه جري للمتشرّعة وفي دائرة الأمور الشرعية</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إنّ سيرة العقلاء لا بدّ فيها من الامتداد فيكون الجري للعقلاء بما هم عقلاء في دائرة الأحكام الشرعية، وللمتشرّعة بما هم متشرّعة في دائرة الأحكام الشرعية، فالاختلاف في منشأ السلوك في مجال الأحكام الشرعية</w:t>
      </w:r>
      <w:r>
        <w:rPr>
          <w:rFonts w:eastAsia="Amiri" w:cs="Amiri" w:ascii="Amiri" w:hAnsi="Amiri"/>
          <w:color w:val="111111"/>
          <w:sz w:val="28"/>
          <w:szCs w:val="28"/>
          <w:rtl w:val="true"/>
          <w:lang w:bidi="ar-SA"/>
        </w:rPr>
        <w:t xml:space="preserve">. </w:t>
      </w:r>
      <w:bookmarkStart w:id="587" w:name="pg9153_76559"/>
    </w:p>
    <w:p>
      <w:pPr>
        <w:pStyle w:val="Heading3"/>
        <w:numPr>
          <w:ilvl w:val="2"/>
          <w:numId w:val="1"/>
        </w:numPr>
        <w:rPr/>
      </w:pPr>
      <w:bookmarkStart w:id="588" w:name="__RefHeading___Toc3380664_2870459653"/>
      <w:bookmarkStart w:id="589" w:name="_Toc231"/>
      <w:bookmarkEnd w:id="587"/>
      <w:bookmarkEnd w:id="588"/>
      <w:r>
        <w:rPr>
          <w:rtl w:val="true"/>
        </w:rPr>
        <w:t>خاتمة</w:t>
      </w:r>
      <w:r>
        <w:rPr>
          <w:rtl w:val="true"/>
        </w:rPr>
        <w:t xml:space="preserve">: </w:t>
      </w:r>
      <w:r>
        <w:rPr>
          <w:rtl w:val="true"/>
        </w:rPr>
        <w:t>في السيرة العقلائية المتعرّضة لموضوع الحكم أو متعلّقه ونحوهما</w:t>
      </w:r>
      <w:bookmarkEnd w:id="589"/>
    </w:p>
    <w:p>
      <w:pPr>
        <w:pStyle w:val="Heading4"/>
        <w:numPr>
          <w:ilvl w:val="3"/>
          <w:numId w:val="1"/>
        </w:numPr>
        <w:rPr/>
      </w:pPr>
      <w:bookmarkStart w:id="590" w:name="__RefHeading___Toc3380666_2870459653"/>
      <w:bookmarkStart w:id="591" w:name="_Toc232"/>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إنّ هذه السيرة لا تثبت حكماً شرعياً ولا تنفيه مباشرة كما كانت السيرة التي هي موضوع الفصول المتقدّمة، وإنّما تتعرّض لأجزاء المادّة القانونية الأخرى من موضوع الحكم ومتعلّقه ذاتاً ووصفاً، وقد تتعرّض لغيرهما كملاك الحكم، ويتبع ذلك طبعاً ثبوت الحكم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وتنفع هذه السيرة في المسائل المستحدثة، وتمثّل إحدى أشكال التغيّر فيما يعرف بالمتغيّر والثابت في أحكام الشريعة، وكذلك إحدى أشكال تأثير الزمان والمكان والأعراف ونحوها في الأحكام الشرعية كما سيتّضح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ونوقع الكلام في جهتين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380668_2870459653"/>
      <w:bookmarkStart w:id="593" w:name="_Toc233"/>
      <w:bookmarkEnd w:id="592"/>
      <w:r>
        <w:rPr>
          <w:rtl w:val="true"/>
        </w:rPr>
        <w:t>الجهة الأولى</w:t>
      </w:r>
      <w:r>
        <w:rPr>
          <w:rtl w:val="true"/>
        </w:rPr>
        <w:t xml:space="preserve">: </w:t>
      </w:r>
      <w:r>
        <w:rPr>
          <w:rtl w:val="true"/>
        </w:rPr>
        <w:t>في بعض تقسيمات هذه السيرة</w:t>
      </w:r>
      <w:bookmarkEnd w:id="593"/>
    </w:p>
    <w:p>
      <w:pPr>
        <w:pStyle w:val="Heading5"/>
        <w:numPr>
          <w:ilvl w:val="4"/>
          <w:numId w:val="1"/>
        </w:numPr>
        <w:rPr/>
      </w:pPr>
      <w:bookmarkStart w:id="594" w:name="__RefHeading___Toc3380670_2870459653"/>
      <w:bookmarkStart w:id="595" w:name="_Toc234"/>
      <w:bookmarkEnd w:id="594"/>
      <w:r>
        <w:rPr>
          <w:rtl w:val="true"/>
        </w:rPr>
        <w:t>التقسيم الأول</w:t>
      </w:r>
      <w:bookmarkEnd w:id="595"/>
    </w:p>
    <w:p>
      <w:pPr>
        <w:pStyle w:val="BookText"/>
        <w:rPr/>
      </w:pPr>
      <w:r>
        <w:rPr>
          <w:rFonts w:ascii="Amiri" w:hAnsi="Amiri" w:eastAsia="Amiri" w:cs="Amiri"/>
          <w:color w:val="111111"/>
          <w:sz w:val="28"/>
          <w:sz w:val="28"/>
          <w:szCs w:val="28"/>
          <w:rtl w:val="true"/>
          <w:lang w:bidi="ar-SA"/>
        </w:rPr>
        <w:t xml:space="preserve">ما أفاده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من انقسام السيرة هذه إلى ما تكون بلحاظ مرحلة الثبوت، وإلى ما تكون بلحاظ مرحلة الكشف والإثبات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فتكون السيرة العقلائية فيه منشئة ومكوّنة لفرد حقيقي لموضوع الحكم أو متعلّقه، كما لو ورد من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وخلقَ السلوكُ الاجتماعي العقلائي أشكالاً من التعظيم لم تكن موجودة في زمان صدور النصّ، أو </w:t>
      </w:r>
    </w:p>
    <w:p>
      <w:pPr>
        <w:pStyle w:val="BookText"/>
        <w:rPr/>
      </w:pPr>
      <w:r>
        <w:rPr>
          <w:rFonts w:ascii="Amiri" w:hAnsi="Amiri" w:eastAsia="Amiri" w:cs="Amiri"/>
          <w:color w:val="111111"/>
          <w:sz w:val="28"/>
          <w:sz w:val="28"/>
          <w:szCs w:val="28"/>
          <w:rtl w:val="true"/>
          <w:lang w:bidi="ar-SA"/>
        </w:rPr>
        <w:t>أنواعاً من العلم والعالم، فإنّ إطلاق هذا الخطاب يشمل هذه الأنحاء من التعظيم وتلك الأفراد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هذا القسم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w:t>
      </w:r>
      <w:r>
        <w:rPr>
          <w:rStyle w:val="FootnoteAnchor"/>
          <w:rtl w:val="true"/>
        </w:rPr>
        <w:footnoteReference w:id="60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وَعَاشِرُوهُنَّ بِالْمَعْرُوفِ</w:t>
      </w:r>
      <w:r>
        <w:rPr>
          <w:rStyle w:val="FootnoteAnchor"/>
          <w:rtl w:val="true"/>
        </w:rPr>
        <w:footnoteReference w:id="607"/>
      </w:r>
      <w:r>
        <w:rPr>
          <w:rFonts w:ascii="Amiri" w:hAnsi="Amiri" w:eastAsia="Amiri" w:cs="Amiri"/>
          <w:color w:val="111111"/>
          <w:sz w:val="28"/>
          <w:sz w:val="28"/>
          <w:szCs w:val="28"/>
          <w:rtl w:val="true"/>
          <w:lang w:bidi="ar-SA"/>
        </w:rPr>
        <w:t xml:space="preserve">، فالمعروف يراد به ما هو الشائع والمستساغ عند العرف، فإذا اقتضت السيرة والتعارف بحسب الأوضاع الفكرية والاقتصادية والاجتماعية أن يكون المعروف مختلفاً عمّا كان عليه في زمان النصّ بأن أصبحت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جديدة كالسفر للسياحة والترفيه أو نحو خاصّ من السكن والملبس والطعام، فإنّه يكون واجباً ومشمولاً لإطلاق الآيتين الكريمتين، ولا تكفي المراتب التي كانت كافية في زمان صدورهما،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من السيرة في تكوين موضوع الحكم ثبوتاً توسعةً أو 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موضع تأثير الزمان والمكان وما فيهما من الأعراف والعادات، ومن ثَمّ التغيّر في الأحكام، فإنّ التأثير والتغيّر إنّما هو أصلاً في دائرة موضوع الحكم أو متعلّقه، وبتبعه يتغيّر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فتكون السيرة فيه منقّحة للموضوع والمتعلّق إثباتاً بأن تكشف عن وجوده، لا أنّها مكوّنة له ثبوتاً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القسم البناء على ثبوت الشروط الضمنية والارتكازية وإن لم يُصرّح بها، كثبوت خيار الغبن في بعض الموارد،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يبحث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خيار تخلّف الشرط، وبعض الشروط صريحة وبعضها ضمنية وارتكازية، والأخيرة هذه قد يكون الكاشف عن وجودها سيرة العقلاء، ولمّا كان ظاهر حال كلّ إنسان أنّه يتحرّك ويتّبع العقلاء ومقاصدهم، فهذا يعني أنّه يشترط تلك الشروط، وبحسب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تخلّف أيّ منها يكون له حقّ فسخ المعاوضة، وعدم تنفيذها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يُخرّج على هذا القسم قضيّة حقوق الطبع، فإنّه في هذه الأزمنة يدّعى انعقاد مثل هكذا سيرة، فالمؤلّفون والناشرون بحسب ظاهر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تصريحهم من خلال العبارة التي تكتب على ظهر مطبوعاتهم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 والناشر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يشترطون ذلك فبحسب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لهم خيار الفسخ، وتفصيله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ويفترق هذان القسمان في أنّه في الثاني إذا خالف الشخص هذه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رضي بمثل هكذا معاوضة مع تخلّف الشرط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يرتفع ما ترتّب على السيرة؛ لأنّ دور السيرة كان مجرّد الكشف عن قصده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وشرطه، وقد تنازل عنه، فلا يثبت ما ترتب على السيرة، وهذا بخلاف القسم الأوّل فإنّه حتّى لو خالف يبقى الحكم ثابتاً في حقّه؛ لأنّ انعقاد سيرة العقلاء من دونه قد أوجد فرداً حقيقياً من الموضوع، ومخالفته لا تمنع من كونه من أفراد الموضوع، وهذا الفرق يؤثّر في كيفية استنباط الحكم الشرعي؛ إذ في القسم الأوّل لا بدّ من البناء على ثبوت الحكم على ذاك الفرد الجديد، وأمّا في القسم الثاني فيثبت الحكم عند عدم التنازل، ويرتفع عند التنازل عن الشرط</w:t>
      </w:r>
      <w:r>
        <w:rPr>
          <w:rFonts w:eastAsia="Amiri" w:cs="Amiri" w:ascii="Amiri" w:hAnsi="Amiri"/>
          <w:color w:val="111111"/>
          <w:sz w:val="28"/>
          <w:szCs w:val="28"/>
          <w:rtl w:val="true"/>
          <w:lang w:bidi="ar-SA"/>
        </w:rPr>
        <w:t xml:space="preserve">. </w:t>
      </w:r>
      <w:bookmarkStart w:id="596" w:name="pg9153_76565"/>
    </w:p>
    <w:p>
      <w:pPr>
        <w:pStyle w:val="Heading5"/>
        <w:numPr>
          <w:ilvl w:val="4"/>
          <w:numId w:val="1"/>
        </w:numPr>
        <w:rPr/>
      </w:pPr>
      <w:bookmarkStart w:id="597" w:name="__RefHeading___Toc3380672_2870459653"/>
      <w:bookmarkStart w:id="598" w:name="_Toc235"/>
      <w:bookmarkEnd w:id="596"/>
      <w:bookmarkEnd w:id="597"/>
      <w:r>
        <w:rPr>
          <w:rtl w:val="true"/>
        </w:rPr>
        <w:t>التقسيم الثاني</w:t>
      </w:r>
      <w:bookmarkEnd w:id="598"/>
    </w:p>
    <w:p>
      <w:pPr>
        <w:pStyle w:val="BookText"/>
        <w:rPr/>
      </w:pPr>
      <w:r>
        <w:rPr>
          <w:rFonts w:ascii="IRNazanin" w:hAnsi="IRNazanin" w:eastAsia="IRNazanin"/>
          <w:color w:val="111111"/>
          <w:sz w:val="28"/>
          <w:sz w:val="28"/>
          <w:szCs w:val="28"/>
          <w:rtl w:val="true"/>
          <w:lang w:bidi="fa-IR"/>
        </w:rPr>
        <w:t xml:space="preserve">انقسام السيرة إلى ما تكون محدثة لفردٍ جديد، وإلى ما تكون محدثة أو نافية لوصفٍ جديد، والأوّل كبعض أمثلة قسمي التقسيم الأوّل، والثاني كوصف الانتفاع العقلائي المحلّل بالنسبة للدم، ففي زمان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الانتفاع منه في مثل الأكل والشرب، والدم نجساً كان أو طاهراً لا يجوز شربه أو أكله، فليس فيه منفعة عقلائية محلّلة، فلا يجوز بيعه أو شراؤه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هذه الأزمنة فحيث يستفاد منه في غير الأكل والشرب، وأنشئت بنوك لذلك، فأصبحت له منفعة محلّلة، فجاز بيعه وشراؤه، فمع أنّه وجود واحد ولكن اختلف وصفه وعنوانه، فاختلف حكمه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يزول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بتتبع زوال الوصف المنوط به الحكم الثابت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محلّه حكم آخر لا بدّ أن تكون موضوعية الموضوع مأخوذة حدوثاً وبقاءً، وإلّا لو كانت حدوثاً فقط لم يحصل التبدّل في الحكم</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3380674_2870459653"/>
      <w:bookmarkStart w:id="600" w:name="_Toc236"/>
      <w:bookmarkEnd w:id="599"/>
      <w:r>
        <w:rPr>
          <w:rtl w:val="true"/>
        </w:rPr>
        <w:t>الجهة الثانية</w:t>
      </w:r>
      <w:r>
        <w:rPr>
          <w:rtl w:val="true"/>
        </w:rPr>
        <w:t xml:space="preserve">: </w:t>
      </w:r>
      <w:r>
        <w:rPr>
          <w:rtl w:val="true"/>
        </w:rPr>
        <w:t>في حجّية هذه السيرة</w:t>
      </w:r>
      <w:bookmarkEnd w:id="600"/>
    </w:p>
    <w:p>
      <w:pPr>
        <w:pStyle w:val="BookText"/>
        <w:rPr/>
      </w:pPr>
      <w:r>
        <w:rPr>
          <w:rFonts w:ascii="Amiri" w:hAnsi="Amiri" w:eastAsia="Amiri" w:cs="Amiri"/>
          <w:color w:val="111111"/>
          <w:sz w:val="28"/>
          <w:sz w:val="28"/>
          <w:szCs w:val="28"/>
          <w:rtl w:val="true"/>
          <w:lang w:bidi="ar-SA"/>
        </w:rPr>
        <w:t xml:space="preserve">إنّ حجّية هذه السيرة غير متوقّفة على الأمور الستة المتقدّمة في الفصل الثاني، والمعتبرة في حجّية السيرة العقلائية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الأحكام الشرعية مجعولة على سبيل القضايا الحقيقية التي يُؤخذ فيها الموضوع مقدّر الوجود، فيعمّ الأفراد الحاصلة بالفعل في زمان صدور القضيّة التشريعية، والأفراد التي ستحصل في المستقبل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القضيّة التشريعية على سبيل القضيّة الحقيقية ممّا يستدعيه التشريع، فهي </w:t>
      </w:r>
    </w:p>
    <w:p>
      <w:pPr>
        <w:pStyle w:val="BookText"/>
        <w:rPr/>
      </w:pPr>
      <w:r>
        <w:rPr>
          <w:rFonts w:ascii="Amiri" w:hAnsi="Amiri" w:eastAsia="Amiri" w:cs="Amiri"/>
          <w:color w:val="111111"/>
          <w:sz w:val="28"/>
          <w:sz w:val="28"/>
          <w:szCs w:val="28"/>
          <w:rtl w:val="true"/>
          <w:lang w:bidi="ar-SA"/>
        </w:rPr>
        <w:t>من القضايا التي قياساتها معها؛ لأنّ القضيّة الخارجية لا تصلح لتشريع القوانين الكلّية؛ لمكان كونها قضيّة شخصية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والقضيّة الحقيقية موضوعها المفهوم الكلّي والوصف العنواني، وله علاقتان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المحمول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بأفراده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علاقة الموضوع بالحكم فإنّ الحكم يترتّب على الموضوع ترتّب المعلول على علّته، وهذا في مرحلة الفعلية لا الإنشاء، وقد تقدّم أنّه يكفي في هذا الترتّب أحياناً حدوث الموضوع، وأحياناً أخرى لا بدّ منه حدوثا ً وبقاءً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علاقة موضوع الحكم بأفراده فهي علاقة تكوينية، ويكون انطباق الموضوع على فرده الخارجي قهرياً، وبتبعه يثبت الحكم لذاك الفرد أو ينتفي بانتفائه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أنّه لا حاجة لأيّ من الأمور الستة لإثبات حجّية هذا النوع 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هذه الحجّية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نحو أخذ العنوان في موضوع الحكم هل أنّه أُخذ حدوثاً وبقاءً، أم حدوثاً فقط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الموضوع والمتعلّق من الأمور التوقيفية، وإنّما من الأمور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الإطلاق والعموم ونحوهما يشمل الأفراد المستحدثة، ولا يكون مقصوراً على الأفراد الموجودة في زمان النصّ، وهذا يكفي فيه كون القضيّة التشريعية على سبيل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تُذكر بعض الوجوه لإثبات المحدودية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الخطاب بمن قصد إفهامه كما يُذكر في بحث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الأفراد المتعارفة في زمان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الأفراد هي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والعموم يتوقّف على تصوّر القيود، سواء قلنا إنّهما جمع القيود أو رفضها، والقيود التي لا عين لها ولا أثر في زمان النصّ لا يمكن تصوّرها في الوضع الطبيعي، وقد يرجع هذا الأمر إلى واحدة من مقدّمات الدلالة الإطلاقية، وهي إمكان الإطلاق والتقييد عقلاً وعرفاً، فيشكّك في حصوله في مثل هذه الموارد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وجميعها غير تامّة كما هو موضّح في محلّه</w:t>
      </w:r>
      <w:r>
        <w:rPr>
          <w:rFonts w:eastAsia="Amiri" w:cs="Amiri" w:ascii="Amiri" w:hAnsi="Amiri"/>
          <w:color w:val="111111"/>
          <w:sz w:val="28"/>
          <w:szCs w:val="28"/>
          <w:rtl w:val="true"/>
          <w:lang w:bidi="ar-SA"/>
        </w:rPr>
        <w:t xml:space="preserve">. </w:t>
      </w:r>
      <w:bookmarkStart w:id="601" w:name="pg9153_76571"/>
    </w:p>
    <w:p>
      <w:pPr>
        <w:pStyle w:val="Heading3"/>
        <w:numPr>
          <w:ilvl w:val="2"/>
          <w:numId w:val="1"/>
        </w:numPr>
        <w:rPr/>
      </w:pPr>
      <w:bookmarkStart w:id="602" w:name="__RefHeading___Toc3380676_2870459653"/>
      <w:bookmarkStart w:id="603" w:name="_Toc237"/>
      <w:bookmarkEnd w:id="601"/>
      <w:bookmarkEnd w:id="602"/>
      <w:r>
        <w:rPr>
          <w:rtl w:val="true"/>
        </w:rPr>
        <w:t>أبرز النتائج التي انتهينا إليها في هذا البحث</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السيرة العقلائية التي يراد من خلالها إثبات حكم شرعي أو نفيه أن نحرز للشارع موقفاً تجاه السيرة ولو من جهة الأصلين،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عقلائية العقلاء مع عقلائية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 عقلائية الشارع مع مولويته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أن نحرز الامتداد الواسع إلى دائرة الأحكام الشرعية في زمان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يكفي أن تكون في معرض الامتداد، ومن هنا لا يصحّ ما صنعه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تعدّد السيرة إلى عقلائية ومتشرّعية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بالمعنى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استدلّ بهما على حجّية الظهور وحجّية خبر الثقة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الأصلين المتقدّمين يفضيان إلى ثبوت الملازمة بين حكم العقل والعقلاء وبين حكم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الملازمة اقتضائية تعليقية، وليست تنجيزية، والأصل الأوّل مشروط بأن يكون حكم العقل والعقلاء نابعاً من قريحتهم وفطرتهم الخالصة، والأصل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إعمال المولى لمولويته، وإلّا فالتطابق بين عقلائية المولى ومولويته غير مشروطة بشرط بل هي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بأن يجري المتشرّعة في زمان الحضور بصورة واسعة على ما تقتضيه القريحة العقلائية في دائرة الأحكام الشرعية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وبهذين الأصلين يمكن دعوى إحراز عدم الردع على الرغم من كفاية عدم إحراز الردع، فليتدبّر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المنهج الذي يتّبعه المشرّع الإسلامي في مقام تشريعاته يتوافق مع عقلائية البشر الخالصة النابعة من قرائحهم التي أودعها الله فيهم، ولكن هذا لا يعني التطابق التامّ، بل للشارع أغراضه الخاصّة التي لا تدركها عقول البشر لقصورها، أو لاكتنافها بما يشوبها من الأفكار والعواطف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الممضى هو النكتة الارتكازية بتمامها، وهو يناسب كون الأصل هو الاتّفاق في العقلائية، وكذلك يناسب أنّ المنهج الذي يسلكه الشارع المقدّس في مقام جعله للأحكام يتوافق مع عقلائية البشر الخالصة النابعة من قرائحهم وفطرتهم، فهذه حلقات ثلاث لمنظومة واحدة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كلّ الحمد لله ربّ العالمين، وصلّى الله على رسوله المصطفى وآله الطيّبين الطاهرين، وأكمل بلطفه عقولنا، وعصمها ممّا يشوبها</w:t>
      </w:r>
      <w:r>
        <w:rPr>
          <w:rFonts w:eastAsia="Amiri" w:cs="Amiri" w:ascii="Amiri" w:hAnsi="Amiri"/>
          <w:color w:val="111111"/>
          <w:sz w:val="28"/>
          <w:szCs w:val="28"/>
          <w:rtl w:val="true"/>
          <w:lang w:bidi="ar-SA"/>
        </w:rPr>
        <w:t>.</w:t>
      </w:r>
      <w:bookmarkStart w:id="604" w:name="pg9153_76575"/>
    </w:p>
    <w:p>
      <w:pPr>
        <w:pStyle w:val="Heading3"/>
        <w:numPr>
          <w:ilvl w:val="2"/>
          <w:numId w:val="1"/>
        </w:numPr>
        <w:rPr/>
      </w:pPr>
      <w:bookmarkStart w:id="605" w:name="__RefHeading___Toc3380678_2870459653"/>
      <w:bookmarkStart w:id="606" w:name="_Toc238"/>
      <w:bookmarkEnd w:id="604"/>
      <w:bookmarkEnd w:id="605"/>
      <w:r>
        <w:rPr>
          <w:rtl w:val="true"/>
        </w:rPr>
        <w:t>المصادر</w:t>
      </w:r>
      <w:bookmarkEnd w:id="60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الاجتهاد والتقليد،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الحكمة للثقافة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العامّة للفقه المقارن، السيّد محمّد تقيّ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للمجمع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العلّامة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علي الزارعي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بستان كتاب، 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اقتصادنا،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التخصّصية للشهيد الصدر،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فقهية،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شرح العروة الوثقى،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شرح مناسك الحجّ،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أمجد رياض والشيخ نزار يوسف، نسخة أوّلية محدودة التداول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علم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محمود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 المطبعة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فروردين،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في شرح العروق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عليّ الغروي، مؤسّسة إحياء آثار الإمام الخوئي،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شركة التوحيد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الأصول،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التخصّصية للشهيد الصدر،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مطبعة 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أصول الشريعة، السيّد أبو القاسم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القاسم كرجي،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الرافد في علم الأصول، محاضرات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منير السيّد عدنان الخبّاز،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السيّد السيستاني،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الأصوليّة، الشيخ محمّد باقر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العلّامة المجدّد الوحيد البهبهاني، المطبعة أمير،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في أصول الفقه،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الأنصاري القمّي،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الإجمالي حقيقته ومنجّزيته عقلاً، السيّد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أوّلية محدودة التداول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جميل صليبا،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الشيعة،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محمّد مهدي الموسوي الخلخالي،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العقود، السيّد كاظم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الميرزا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محمّد عليّ الكاظمي مع تعليقات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قبسات من علم الرجال، 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جمعها ونظمها السيّد محمّد البكاء،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التداول،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في أصول الفقه،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 والنشر،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كفاية الأصول، الشيخ محمّد كاظم الخراساني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السيّد كاظم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الأصول، السيّد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أمجد رياض والشيخ نزار يوسف،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نسخة أوّلية محدودة التداول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دراسات علميّة العدد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مجلّة نصف سنويّة 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دراسات علميّة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مجلّة نصف سنويّة 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في أصول الفقه،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الأصول، الشيخ 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منذر الحكيم،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الأصول،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الأفكار، الشيخ 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الشيخ محمّد تقيّ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الدراية، تأليف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نشر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bookmarkStart w:id="607" w:name="pg9153_76584"/>
    </w:p>
    <w:p>
      <w:pPr>
        <w:pStyle w:val="Heading2"/>
        <w:numPr>
          <w:ilvl w:val="1"/>
          <w:numId w:val="1"/>
        </w:numPr>
        <w:rPr/>
      </w:pPr>
      <w:bookmarkStart w:id="608" w:name="__RefHeading___Toc3380680_2870459653"/>
      <w:bookmarkStart w:id="609" w:name="_Toc239"/>
      <w:bookmarkEnd w:id="607"/>
      <w:bookmarkEnd w:id="608"/>
      <w:r>
        <w:rPr>
          <w:rtl w:val="true"/>
        </w:rPr>
        <w:t xml:space="preserve">رجال الجواهر </w:t>
      </w:r>
      <w:r>
        <w:rPr>
          <w:rtl w:val="true"/>
        </w:rPr>
        <w:t>(</w:t>
      </w:r>
      <w:r>
        <w:rPr>
          <w:rtl w:val="true"/>
        </w:rPr>
        <w:t>الحلقظ الثالثة</w:t>
      </w:r>
      <w:r>
        <w:rPr>
          <w:rtl w:val="true"/>
        </w:rPr>
        <w:t xml:space="preserve">) - </w:t>
      </w:r>
      <w:r>
        <w:rPr>
          <w:rtl w:val="true"/>
        </w:rPr>
        <w:t xml:space="preserve">الشّيخ عليّ الغزّيّ </w:t>
      </w:r>
      <w:r>
        <w:rPr>
          <w:rtl w:val="true"/>
        </w:rPr>
        <w:t>(</w:t>
      </w:r>
      <w:r>
        <w:rPr>
          <w:rtl w:val="true"/>
        </w:rPr>
        <w:t>دام عزه</w:t>
      </w:r>
      <w:r>
        <w:rPr>
          <w:rtl w:val="true"/>
        </w:rPr>
        <w:t>)</w:t>
      </w:r>
      <w:bookmarkEnd w:id="609"/>
    </w:p>
    <w:p>
      <w:pPr>
        <w:pStyle w:val="Heading3"/>
        <w:numPr>
          <w:ilvl w:val="2"/>
          <w:numId w:val="1"/>
        </w:numPr>
        <w:rPr/>
      </w:pPr>
      <w:bookmarkStart w:id="610" w:name="__RefHeading___Toc3380682_2870459653"/>
      <w:bookmarkStart w:id="611" w:name="_Toc240"/>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إنَّ من القيم المعرفيّة المهمّة هو إحياء آثار العلماء الماضين من خلال تسليط الضوء على جواهر علومهم المنبثّة في ثنايا كلماتهم وسطورهم، والتعرّف على مسالكهم ومبانيهم في ما استندوا إليه في استنباط الأحكام الشرعيّة في موسوعاتهم الفقهيّة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الضوء يأتي البحث الماثل بين يديكم في ثلاث حلقات هادفاً لبيان المباني الرجاليّة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وتطبيقاتها على الرواة في مقام إعماله للجرح والتعديل، والّتي استند إليها في موسوعته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9153_76588"/>
      <w:bookmarkStart w:id="613" w:name="pg9153_76588"/>
      <w:bookmarkEnd w:id="613"/>
    </w:p>
    <w:p>
      <w:pPr>
        <w:pStyle w:val="Heading3"/>
        <w:numPr>
          <w:ilvl w:val="2"/>
          <w:numId w:val="1"/>
        </w:numPr>
        <w:rPr/>
      </w:pPr>
      <w:bookmarkStart w:id="614" w:name="pg9153_76588"/>
      <w:bookmarkStart w:id="615" w:name="__RefHeading___Toc3380684_2870459653"/>
      <w:bookmarkStart w:id="616" w:name="_Toc241"/>
      <w:bookmarkEnd w:id="614"/>
      <w:bookmarkEnd w:id="615"/>
      <w:r>
        <w:rPr>
          <w:rtl w:val="true"/>
        </w:rPr>
        <w:t>مقدّمة</w:t>
      </w:r>
      <w:bookmarkEnd w:id="6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القسم الثالث من رجال الجواهر معقود لذكر من تعرّض لهم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فيهم كلاماً من حيث الجرح أو التعديل أو سلامة العقيدة أو التمييز، وهم نيّف وسبعون راوياً، وأمّا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فيه شيئاً من ذلك فلا نقف عنده، إمّا لكونه منصوصاً على وثاقته مع عدم المعارض لها كالحسن بن زياد العطّار</w:t>
      </w:r>
      <w:r>
        <w:rPr>
          <w:rStyle w:val="FootnoteAnchor"/>
          <w:rtl w:val="true"/>
        </w:rPr>
        <w:footnoteReference w:id="609"/>
      </w:r>
      <w:r>
        <w:rPr>
          <w:rFonts w:ascii="Amiri" w:hAnsi="Amiri" w:eastAsia="Amiri" w:cs="Amiri"/>
          <w:color w:val="111111"/>
          <w:sz w:val="28"/>
          <w:sz w:val="28"/>
          <w:szCs w:val="28"/>
          <w:rtl w:val="true"/>
          <w:lang w:bidi="ar-SA"/>
        </w:rPr>
        <w:t>، أو منصوصاً على ضعفه كأحمد بن محمّد السيّاري</w:t>
      </w:r>
      <w:r>
        <w:rPr>
          <w:rStyle w:val="FootnoteAnchor"/>
          <w:rtl w:val="true"/>
        </w:rPr>
        <w:footnoteReference w:id="610"/>
      </w:r>
      <w:r>
        <w:rPr>
          <w:rFonts w:ascii="Amiri" w:hAnsi="Amiri" w:eastAsia="Amiri" w:cs="Amiri"/>
          <w:color w:val="111111"/>
          <w:sz w:val="28"/>
          <w:sz w:val="28"/>
          <w:szCs w:val="28"/>
          <w:rtl w:val="true"/>
          <w:lang w:bidi="ar-SA"/>
        </w:rPr>
        <w:t>، أو مجهولاً كإبراهيم الكرخي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 البحث في الرواة المذكورين يزيد على المقدار الممكن عرضه في المجلّة بكثير، وقع الاختيار على عشرة منهم ليتمّ عرضهم في هذا العدد على أن يأتي </w:t>
      </w:r>
      <w:bookmarkStart w:id="617" w:name="pg9153_76590"/>
    </w:p>
    <w:p>
      <w:pPr>
        <w:pStyle w:val="BookText"/>
        <w:rPr/>
      </w:pPr>
      <w:bookmarkEnd w:id="617"/>
      <w:r>
        <w:rPr>
          <w:rFonts w:ascii="Amiri" w:hAnsi="Amiri" w:eastAsia="Amiri" w:cs="Amiri"/>
          <w:color w:val="111111"/>
          <w:sz w:val="28"/>
          <w:sz w:val="28"/>
          <w:szCs w:val="28"/>
          <w:rtl w:val="true"/>
          <w:lang w:bidi="ar-SA"/>
        </w:rPr>
        <w:t xml:space="preserve">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يطبع كتاباً من رجال الجواهر، وفي ما يلي أسماؤهم بحسب الترتيب الألفبائي</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3380686_2870459653"/>
      <w:bookmarkStart w:id="619" w:name="_Toc242"/>
      <w:bookmarkEnd w:id="618"/>
      <w:r>
        <w:rPr/>
        <w:t>1</w:t>
      </w:r>
      <w:r>
        <w:rPr>
          <w:rtl w:val="true"/>
        </w:rPr>
        <w:t xml:space="preserve">. </w:t>
      </w:r>
      <w:r>
        <w:rPr>
          <w:rtl w:val="true"/>
        </w:rPr>
        <w:t>أبان بن عثمان</w:t>
      </w:r>
      <w:bookmarkEnd w:id="619"/>
    </w:p>
    <w:p>
      <w:pPr>
        <w:pStyle w:val="Heading4"/>
        <w:numPr>
          <w:ilvl w:val="3"/>
          <w:numId w:val="1"/>
        </w:numPr>
        <w:rPr/>
      </w:pPr>
      <w:bookmarkStart w:id="620" w:name="__RefHeading___Toc3380688_2870459653"/>
      <w:bookmarkStart w:id="621" w:name="_Toc243"/>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أبان بن عثمان الأحمر، البجلي مولاهم، أبو عبد الله، أصله كوفي، كان يسكنها تارةً، والبصرة أخرى، وقد أخذ عنه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معمّر بن المثنى، وأبو عبد الله محمّد بن سلام، وأكثروا الحكاية عنه في أخبار الشعراء والنسب والأيّام، روى عن أبي عبد الله وأبي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حسن كبير يجمع المبتدأ والمغازي والوفاة والردّة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الكشّي في فقهاء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أجمعت العصابة على تصحيح ما يصحّ عنهم،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على تصحيح ما يصحّ عن هؤلاء وتصديقهم لما يقولون وأقرّوا لهم بالفقه، من دون أولئك الستّة الّذِين عددناهم وسمّيناهم،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وعبد الله بن مسكان، وعبد الله بن بكير، وحمّاد بن عيسى، وحمّاد بن عثمان، وأبان بن عثمان</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وحمدويه،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الحسن بن عليّ بن يقطين، عن إبراهيم بن أبي البلاد، </w:t>
      </w:r>
      <w:bookmarkStart w:id="622" w:name="pg9153_76592"/>
    </w:p>
    <w:p>
      <w:pPr>
        <w:pStyle w:val="BookText"/>
        <w:rPr/>
      </w:pPr>
      <w:bookmarkEnd w:id="6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أقود أبي وقد كان كفّ بصره، حتّى صرنا إلى حلقة فيها أبان الأحمر،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منكم الكذّابين، ومن غيركم المكذِّبين</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 وكان مولى بجيلة، وكان يسكن الكوفة، وكان من الناووسية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اخْتُلف فيه على ثلاثة أقوال</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380690_2870459653"/>
      <w:bookmarkStart w:id="624" w:name="_Toc244"/>
      <w:bookmarkEnd w:id="623"/>
      <w:r>
        <w:rPr>
          <w:rtl w:val="true"/>
        </w:rPr>
        <w:t>الأوّل</w:t>
      </w:r>
      <w:bookmarkEnd w:id="624"/>
    </w:p>
    <w:p>
      <w:pPr>
        <w:pStyle w:val="BookText"/>
        <w:rPr/>
      </w:pPr>
      <w:r>
        <w:rPr>
          <w:rFonts w:ascii="Amiri" w:hAnsi="Amiri" w:eastAsia="Amiri" w:cs="Amiri"/>
          <w:color w:val="111111"/>
          <w:sz w:val="28"/>
          <w:sz w:val="28"/>
          <w:szCs w:val="28"/>
          <w:rtl w:val="true"/>
          <w:lang w:bidi="ar-SA"/>
        </w:rPr>
        <w:t>أنّه ضعيف، واختاره المحقّق</w:t>
      </w:r>
      <w:r>
        <w:rPr>
          <w:rStyle w:val="FootnoteAnchor"/>
          <w:rtl w:val="true"/>
        </w:rPr>
        <w:footnoteReference w:id="616"/>
      </w:r>
      <w:r>
        <w:rPr>
          <w:rFonts w:ascii="IRNazanin" w:hAnsi="IRNazanin" w:eastAsia="IRNazanin"/>
          <w:color w:val="111111"/>
          <w:sz w:val="28"/>
          <w:sz w:val="28"/>
          <w:szCs w:val="28"/>
          <w:rtl w:val="true"/>
          <w:lang w:bidi="fa-IR"/>
        </w:rPr>
        <w:t>، وابن فهد</w:t>
      </w:r>
      <w:r>
        <w:rPr>
          <w:rStyle w:val="FootnoteAnchor"/>
          <w:rtl w:val="true"/>
        </w:rPr>
        <w:footnoteReference w:id="617"/>
      </w:r>
      <w:r>
        <w:rPr>
          <w:rFonts w:ascii="IRNazanin" w:hAnsi="IRNazanin" w:eastAsia="IRNazanin"/>
          <w:color w:val="111111"/>
          <w:sz w:val="28"/>
          <w:sz w:val="28"/>
          <w:szCs w:val="28"/>
          <w:rtl w:val="true"/>
          <w:lang w:bidi="fa-IR"/>
        </w:rPr>
        <w:t xml:space="preserve">، والظاهر أنّ الوجه فيه هو عدم النصّ الصريح على وثاقته مع فساد عقيدته المنصوص عليها في كلام ابن فضّال المتقدّم؛ فإنّ الناووسية فرقة لم تسلّم بموت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المهدي، ولم يمتْ، وسمّوا بذلك إمّا نسبة إلى رجل كانوا يتبعونه اسمه ناووس، أو إلى قرية ناووسا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3380692_2870459653"/>
      <w:bookmarkStart w:id="626" w:name="_Toc245"/>
      <w:bookmarkEnd w:id="625"/>
      <w:r>
        <w:rPr>
          <w:rtl w:val="true"/>
        </w:rPr>
        <w:t>الثاني</w:t>
      </w:r>
      <w:bookmarkEnd w:id="6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ثقة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جملة من الأعلام كالعلّامة</w:t>
      </w:r>
      <w:r>
        <w:rPr>
          <w:rStyle w:val="FootnoteAnchor"/>
          <w:rtl w:val="true"/>
        </w:rPr>
        <w:footnoteReference w:id="619"/>
      </w:r>
      <w:r>
        <w:rPr>
          <w:rFonts w:ascii="Amiri" w:hAnsi="Amiri" w:eastAsia="Amiri" w:cs="Amiri"/>
          <w:color w:val="111111"/>
          <w:sz w:val="28"/>
          <w:sz w:val="28"/>
          <w:szCs w:val="28"/>
          <w:rtl w:val="true"/>
          <w:lang w:bidi="ar-SA"/>
        </w:rPr>
        <w:t xml:space="preserve">، والشهيد </w:t>
      </w:r>
      <w:bookmarkStart w:id="627" w:name="pg9153_76594"/>
    </w:p>
    <w:p>
      <w:pPr>
        <w:pStyle w:val="BookText"/>
        <w:rPr/>
      </w:pPr>
      <w:bookmarkEnd w:id="627"/>
      <w:r>
        <w:rPr>
          <w:rFonts w:ascii="Amiri" w:hAnsi="Amiri" w:eastAsia="Amiri" w:cs="Amiri"/>
          <w:color w:val="111111"/>
          <w:sz w:val="28"/>
          <w:sz w:val="28"/>
          <w:szCs w:val="28"/>
          <w:rtl w:val="true"/>
          <w:lang w:bidi="ar-SA"/>
        </w:rPr>
        <w:t>الأوّل</w:t>
      </w:r>
      <w:r>
        <w:rPr>
          <w:rStyle w:val="FootnoteAnchor"/>
          <w:rtl w:val="true"/>
        </w:rPr>
        <w:footnoteReference w:id="620"/>
      </w:r>
      <w:r>
        <w:rPr>
          <w:rFonts w:ascii="Amiri" w:hAnsi="Amiri" w:eastAsia="Amiri" w:cs="Amiri"/>
          <w:color w:val="111111"/>
          <w:sz w:val="28"/>
          <w:sz w:val="28"/>
          <w:szCs w:val="28"/>
          <w:rtl w:val="true"/>
          <w:lang w:bidi="ar-SA"/>
        </w:rPr>
        <w:t>، والثاني</w:t>
      </w:r>
      <w:r>
        <w:rPr>
          <w:rStyle w:val="FootnoteAnchor"/>
          <w:rtl w:val="true"/>
        </w:rPr>
        <w:footnoteReference w:id="621"/>
      </w:r>
      <w:r>
        <w:rPr>
          <w:rFonts w:ascii="Amiri" w:hAnsi="Amiri" w:eastAsia="Amiri" w:cs="Amiri"/>
          <w:color w:val="111111"/>
          <w:sz w:val="28"/>
          <w:sz w:val="28"/>
          <w:szCs w:val="28"/>
          <w:rtl w:val="true"/>
          <w:lang w:bidi="ar-SA"/>
        </w:rPr>
        <w:t>، والوجه فيه هو البناء على وثاقته؛ لإجماع العصابة على تصديقه والإقرار له بالفقه، وفساد مذهبه المنصوص عليه في كلام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أبان وإن كان ناووسياً إلّا أنّه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اجتمعت العصابة على تصحيح ما يصحّ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حجّة قاطعة، ونقله بخبر الواحد حجّة</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عثمان فقد اتّفقت العصابة على تصحيح ما يصحّ عنه، فلا يقدح الطعن في مذهبه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3380694_2870459653"/>
      <w:bookmarkStart w:id="629" w:name="_Toc246"/>
      <w:bookmarkEnd w:id="628"/>
      <w:r>
        <w:rPr>
          <w:rtl w:val="true"/>
        </w:rPr>
        <w:t>الثالث</w:t>
      </w:r>
      <w:bookmarkEnd w:id="629"/>
    </w:p>
    <w:p>
      <w:pPr>
        <w:pStyle w:val="Heading5"/>
        <w:numPr>
          <w:ilvl w:val="4"/>
          <w:numId w:val="1"/>
        </w:numPr>
        <w:rPr/>
      </w:pPr>
      <w:bookmarkStart w:id="630" w:name="__RefHeading___Toc3380696_2870459653"/>
      <w:bookmarkStart w:id="631" w:name="_Toc247"/>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أنّه ثقة إمامي، واختاره جمع من الأعلام أيضاً كالمحقّق الأردبيلي</w:t>
      </w:r>
      <w:r>
        <w:rPr>
          <w:rStyle w:val="FootnoteAnchor"/>
          <w:rtl w:val="true"/>
        </w:rPr>
        <w:footnoteReference w:id="624"/>
      </w:r>
      <w:r>
        <w:rPr>
          <w:rFonts w:ascii="Amiri" w:hAnsi="Amiri" w:eastAsia="Amiri" w:cs="Amiri"/>
          <w:color w:val="111111"/>
          <w:sz w:val="28"/>
          <w:sz w:val="28"/>
          <w:szCs w:val="28"/>
          <w:rtl w:val="true"/>
          <w:lang w:bidi="ar-SA"/>
        </w:rPr>
        <w:t>، والسيّد صاحب المدارك</w:t>
      </w:r>
      <w:r>
        <w:rPr>
          <w:rStyle w:val="FootnoteAnchor"/>
          <w:rtl w:val="true"/>
        </w:rPr>
        <w:footnoteReference w:id="625"/>
      </w:r>
      <w:r>
        <w:rPr>
          <w:rFonts w:ascii="Amiri" w:hAnsi="Amiri" w:eastAsia="Amiri" w:cs="Amiri"/>
          <w:color w:val="111111"/>
          <w:sz w:val="28"/>
          <w:sz w:val="28"/>
          <w:szCs w:val="28"/>
          <w:rtl w:val="true"/>
          <w:lang w:bidi="ar-SA"/>
        </w:rPr>
        <w:t>، وعليه مشهور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وثاقته فلِما تقدّم في سابقه؛ وأمّا إماميته فللخدش في ما ذكره ابن فضّال من جهتين</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380698_2870459653"/>
      <w:bookmarkStart w:id="633" w:name="_Toc248"/>
      <w:bookmarkEnd w:id="632"/>
      <w:r>
        <w:rPr>
          <w:rtl w:val="true"/>
        </w:rPr>
        <w:t>الأولى</w:t>
      </w:r>
      <w:bookmarkEnd w:id="63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فضّال فاسد العقيدة أيضاً؛ لأنّه فطحي، فلا يثبت بقوله فساد عقيدة غيره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634" w:name="pg9153_76596"/>
    </w:p>
    <w:p>
      <w:pPr>
        <w:pStyle w:val="Heading5"/>
        <w:numPr>
          <w:ilvl w:val="4"/>
          <w:numId w:val="1"/>
        </w:numPr>
        <w:rPr/>
      </w:pPr>
      <w:bookmarkStart w:id="635" w:name="__RefHeading___Toc3380700_2870459653"/>
      <w:bookmarkStart w:id="636" w:name="_Toc249"/>
      <w:bookmarkEnd w:id="634"/>
      <w:bookmarkEnd w:id="635"/>
      <w:r>
        <w:rPr>
          <w:rtl w:val="true"/>
        </w:rPr>
        <w:t>الأخرى</w:t>
      </w:r>
      <w:bookmarkEnd w:id="636"/>
    </w:p>
    <w:p>
      <w:pPr>
        <w:pStyle w:val="Heading6"/>
        <w:numPr>
          <w:ilvl w:val="5"/>
          <w:numId w:val="1"/>
        </w:numPr>
        <w:rPr/>
      </w:pPr>
      <w:bookmarkStart w:id="637" w:name="__RefHeading___Toc3380702_2870459653"/>
      <w:bookmarkStart w:id="638" w:name="_Toc250"/>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لم يثبت قول ابن فضّال المذكور؛ إذ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قادسياً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ناووسياً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الكشّي الّذي عندي قيل كان قادسياً أي من القادسية فكأنّه تصحيف</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صراحة كلام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فساد عقيدته بعد احتمال أن يراد به أنّه من قوم ناووسية، لا أنّه ناووسي العقيدة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وثاقة أبان بن عثمان، والظاهر أنّ الوجه فيه هو كونه من أصحاب الإجماع؛ إذ بنى على استفادة قبول رواياتهم من إجماع العصابة على تصحيح ما يصحّ عنهم،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فيهم من هو من أصحاب الإجماع وممّن أقرّ له بالفقه، ولكنّ ذلك ونحوه لقبول روايتهم لا آرائهم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إجماع العصابة لم يعتبرها الشيخ في كتبه أصلاً، ولا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أضبط الكلّ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الغضائري، بل الكشّي أيضاً لم يحكم بها، بل نقله عن بعض مشايخه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مدفوعة عند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لحجّية الإجماع المنقول وإنْ لم نعلم به إلّا من جهة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عدالة حاكيه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إماميته فمنشأ الإشكال فيها هو نسبته إلى الناووسية في كلام ابن فضّال </w:t>
      </w:r>
      <w:bookmarkStart w:id="639" w:name="pg9153_76598"/>
    </w:p>
    <w:p>
      <w:pPr>
        <w:pStyle w:val="BookText"/>
        <w:rPr/>
      </w:pPr>
      <w:bookmarkEnd w:id="639"/>
      <w:r>
        <w:rPr>
          <w:rFonts w:ascii="Amiri" w:hAnsi="Amiri" w:eastAsia="Amiri" w:cs="Amiri"/>
          <w:color w:val="111111"/>
          <w:sz w:val="28"/>
          <w:sz w:val="28"/>
          <w:szCs w:val="28"/>
          <w:rtl w:val="true"/>
          <w:lang w:bidi="ar-SA"/>
        </w:rPr>
        <w:t xml:space="preserve">المتقدّم، لكن قال فيه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تحقّق ناووسية أبان، بل عن بعض الأفاضل أنّه أطنب في بيان حسن حاله، بل عن الأردبيلي أنّ الموجود في نسخة الكشّي الّتي عنده كان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معلومة لا 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المطعونة، على أنّ ناووسيته قد أخبر بها ابن فضّال الّذي هو مثله في فساد العقيدة، فإن قبل خبره فيه مع فساد عقيدته قبلنا خبره هنا مع فساد عقيدته، على أنّه معارض بما عن الكشّي من أنّ العصابة قد أجمعت على تصحيح ما يصحّ عنه والإقرار له بالفقه بناءً على ظهور ذلك في كونه إمامياً، وإلّا فالجمع بينهما يقتضي كونه موثّقاً، وهو حجّة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3380704_2870459653"/>
      <w:bookmarkStart w:id="641" w:name="_Toc251"/>
      <w:bookmarkEnd w:id="640"/>
      <w:r>
        <w:rPr>
          <w:rtl w:val="true"/>
        </w:rPr>
        <w:t>أوّلاً</w:t>
      </w:r>
      <w:bookmarkEnd w:id="64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بعض الأفاضل أنّه أطنب في بيان 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صاحب الرياض،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ثبوته إلّا بإخبار من يضاهيه في فساد العقيدة، فإن ثبت بإخباره قُبل روايته؛ إذ كما لا يمنع فساد العقيدة في المخبر كذا لا يمنع في المخبر عن حاله، مع عدم صراحة خبره في فساد عقيدته بعد احتمال أن يراد به أنّه من قوم ناووسية، لا أنّه ناووسي العقيدة، ولو سلّم جميع ذلك فقول عليّ بن الحسن معارض بقول الكشّي إنّ العصابة قد اجتمعت على تصحيح ما يصحّ عنه والإقرار له بالفقه، وهو أعدل من الجارح، فليقدّم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الجمع بينهما أفاد كونه موثّقاً كما هو المشهور، أو قويّاً على الأقوى، بناءً على عدم ظهور دعوى الإجماع في التوثيق وإنْ جعلوها صريحةً فيه، أو </w:t>
      </w:r>
      <w:bookmarkStart w:id="642" w:name="pg9153_76600"/>
    </w:p>
    <w:p>
      <w:pPr>
        <w:pStyle w:val="BookText"/>
        <w:rPr/>
      </w:pPr>
      <w:bookmarkEnd w:id="642"/>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3380706_2870459653"/>
      <w:bookmarkStart w:id="644" w:name="_Toc252"/>
      <w:bookmarkEnd w:id="643"/>
      <w:r>
        <w:rPr>
          <w:rtl w:val="true"/>
        </w:rPr>
        <w:t>ثانياً</w:t>
      </w:r>
      <w:bookmarkEnd w:id="644"/>
    </w:p>
    <w:p>
      <w:pPr>
        <w:pStyle w:val="Heading6"/>
        <w:numPr>
          <w:ilvl w:val="5"/>
          <w:numId w:val="1"/>
        </w:numPr>
        <w:rPr/>
      </w:pPr>
      <w:bookmarkStart w:id="645" w:name="__RefHeading___Toc3380708_2870459653"/>
      <w:bookmarkStart w:id="646" w:name="_Toc253"/>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المناقشة في ما دلّ على فساد عقيدة أبان بن عثمان من ثلاث جهات</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380710_2870459653"/>
      <w:bookmarkStart w:id="648" w:name="_Toc254"/>
      <w:bookmarkEnd w:id="647"/>
      <w:r>
        <w:rPr>
          <w:rtl w:val="true"/>
        </w:rPr>
        <w:t>الجهة الأولى</w:t>
      </w:r>
      <w:bookmarkEnd w:id="648"/>
    </w:p>
    <w:p>
      <w:pPr>
        <w:pStyle w:val="BookText"/>
        <w:rPr/>
      </w:pPr>
      <w:r>
        <w:rPr>
          <w:rFonts w:ascii="Amiri" w:hAnsi="Amiri" w:eastAsia="Amiri" w:cs="Amiri"/>
          <w:color w:val="111111"/>
          <w:sz w:val="28"/>
          <w:sz w:val="28"/>
          <w:szCs w:val="28"/>
          <w:rtl w:val="true"/>
          <w:lang w:bidi="ar-SA"/>
        </w:rPr>
        <w:t xml:space="preserve">عدم ثبوت قول ابن فضّال في كون أبان ناووسياً؛ إذ الموجود في نسخة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معروفة</w:t>
      </w:r>
      <w:r>
        <w:rPr>
          <w:rStyle w:val="FootnoteAnchor"/>
          <w:rtl w:val="true"/>
        </w:rPr>
        <w:footnoteReference w:id="634"/>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المطعونة</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3380712_2870459653"/>
      <w:bookmarkStart w:id="650" w:name="_Toc255"/>
      <w:bookmarkEnd w:id="649"/>
      <w:r>
        <w:rPr>
          <w:rtl w:val="true"/>
        </w:rPr>
        <w:t>الجهة الثانية</w:t>
      </w:r>
      <w:bookmarkEnd w:id="650"/>
    </w:p>
    <w:p>
      <w:pPr>
        <w:pStyle w:val="BookText"/>
        <w:rPr/>
      </w:pPr>
      <w:r>
        <w:rPr>
          <w:rFonts w:ascii="Amiri" w:hAnsi="Amiri" w:eastAsia="Amiri" w:cs="Amiri"/>
          <w:color w:val="111111"/>
          <w:sz w:val="28"/>
          <w:sz w:val="28"/>
          <w:szCs w:val="28"/>
          <w:rtl w:val="true"/>
          <w:lang w:bidi="ar-SA"/>
        </w:rPr>
        <w:t>أنّ كون أبان ناووسياً خبر وصلنا عن ابن فضّال، وهو فطحيّ</w:t>
      </w:r>
      <w:r>
        <w:rPr>
          <w:rStyle w:val="FootnoteAnchor"/>
          <w:rtl w:val="true"/>
        </w:rPr>
        <w:footnoteReference w:id="635"/>
      </w:r>
      <w:r>
        <w:rPr>
          <w:rFonts w:ascii="Amiri" w:hAnsi="Amiri" w:eastAsia="Amiri" w:cs="Amiri"/>
          <w:color w:val="111111"/>
          <w:sz w:val="28"/>
          <w:sz w:val="28"/>
          <w:szCs w:val="28"/>
          <w:rtl w:val="true"/>
          <w:lang w:bidi="ar-SA"/>
        </w:rPr>
        <w:t>، فلو كان فساد العقيدة مانعاً من قبول الخبر، إذن فلا يقبل خبر ابن فضّال في كون أبان ناووسياً، وإنْ كان فساد العقيدة لا يمنع من قبول الخبر، إذن فلتكن أخبار أبان حجّةً مقبولةً حتّى مع فساد عقيدته</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3380714_2870459653"/>
      <w:bookmarkStart w:id="652" w:name="_Toc256"/>
      <w:bookmarkEnd w:id="651"/>
      <w:r>
        <w:rPr>
          <w:rtl w:val="true"/>
        </w:rPr>
        <w:t>الجهة الثالثة</w:t>
      </w:r>
      <w:bookmarkEnd w:id="65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إخبار ابن فضّال بناووسية أبان معارض بما نقله الكشّي من إجماع العصابة على أنّ أبان من ضمن الجماعة الّذين أقرّوا لهم بالفقه والتصديق بما </w:t>
      </w:r>
      <w:bookmarkStart w:id="653" w:name="pg9153_76602"/>
    </w:p>
    <w:p>
      <w:pPr>
        <w:pStyle w:val="BookText"/>
        <w:rPr/>
      </w:pPr>
      <w:bookmarkEnd w:id="653"/>
      <w:r>
        <w:rPr>
          <w:rFonts w:ascii="Amiri" w:hAnsi="Amiri" w:eastAsia="Amiri" w:cs="Amiri"/>
          <w:color w:val="111111"/>
          <w:sz w:val="28"/>
          <w:sz w:val="28"/>
          <w:szCs w:val="28"/>
          <w:rtl w:val="true"/>
          <w:lang w:bidi="ar-SA"/>
        </w:rPr>
        <w:t>يقولون، فيدلّ على كونه ثقةً، والثقة في مصطلح الرجال كون الراوي ضابطاً إمامياً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المنقول في كلام الكشّي لم يلحظ سلامة العقيدة بشهادة عَدّه من جملتهم مَن هو معروف بفساد العقيدة كعبد الله بن بكير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لا يضرّ؛ إذ ضمّ وثاقته الحاصلة من الإجماع إلى فساد عقيدته المستفاد من كلام ابن فضّال ينتج أنّ أبان موثّقٌ، وأنّ رواياته من قسم الموثّق، وهو حجّة</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380716_2870459653"/>
      <w:bookmarkStart w:id="655" w:name="_Toc257"/>
      <w:bookmarkEnd w:id="654"/>
      <w:r>
        <w:rPr>
          <w:rtl w:val="true"/>
        </w:rPr>
        <w:t>ثالثاً</w:t>
      </w:r>
      <w:bookmarkEnd w:id="655"/>
    </w:p>
    <w:p>
      <w:pPr>
        <w:pStyle w:val="Heading6"/>
        <w:numPr>
          <w:ilvl w:val="5"/>
          <w:numId w:val="1"/>
        </w:numPr>
        <w:rPr/>
      </w:pPr>
      <w:bookmarkStart w:id="656" w:name="__RefHeading___Toc3380718_2870459653"/>
      <w:bookmarkStart w:id="657" w:name="_Toc258"/>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 xml:space="preserve">يظهر من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يبنِ على إمامية أبان بن عثمان بشهادة تعليقها على أمر غير متحقّق، وهو دلالة الإجماع على إمامية المذكورين فيه، ونسب وصف روايته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وموثّقة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صحيحته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الفأرة تقع في البئر لا يعلم بها إلّا بعد أن يتوضّأ منها، أيعاد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الوجه فيه هو البناء على كون أبان ناووسياً أخذاً بما ذكره ابن فضّال، وذلك لوجهين</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380720_2870459653"/>
      <w:bookmarkStart w:id="659" w:name="_Toc259"/>
      <w:bookmarkEnd w:id="658"/>
      <w:r>
        <w:rPr>
          <w:rtl w:val="true"/>
        </w:rPr>
        <w:t>الوجه الأوّل</w:t>
      </w:r>
      <w:bookmarkEnd w:id="65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خبر ابن فضّال من الموثّق، وهو حجّة عند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في عبارته المذكورة، ونوّه عليه في غير موضع من الكتاب،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الموثّق حجّة عندنا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660" w:name="pg9153_76604"/>
    </w:p>
    <w:p>
      <w:pPr>
        <w:pStyle w:val="Heading6"/>
        <w:numPr>
          <w:ilvl w:val="5"/>
          <w:numId w:val="1"/>
        </w:numPr>
        <w:rPr/>
      </w:pPr>
      <w:bookmarkStart w:id="661" w:name="__RefHeading___Toc3380722_2870459653"/>
      <w:bookmarkStart w:id="662" w:name="_Toc260"/>
      <w:bookmarkEnd w:id="660"/>
      <w:bookmarkEnd w:id="661"/>
      <w:r>
        <w:rPr>
          <w:rtl w:val="true"/>
        </w:rPr>
        <w:t>الوجه الآخر</w:t>
      </w:r>
      <w:bookmarkEnd w:id="662"/>
    </w:p>
    <w:p>
      <w:pPr>
        <w:pStyle w:val="BookText"/>
        <w:rPr/>
      </w:pPr>
      <w:r>
        <w:rPr>
          <w:rFonts w:ascii="Amiri" w:hAnsi="Amiri" w:eastAsia="Amiri" w:cs="Amiri"/>
          <w:color w:val="111111"/>
          <w:sz w:val="28"/>
          <w:sz w:val="28"/>
          <w:szCs w:val="28"/>
          <w:rtl w:val="true"/>
          <w:lang w:bidi="ar-SA"/>
        </w:rPr>
        <w:t xml:space="preserve">أنَّ مبنى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والتعديل على الظنون الاجتهادية كما صرّح بذلك غير مرّة،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التزكية من الظنون الاجتهادية</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 ابن فضّال بفساد عقيدة أبان بن عثمان إن لم يثبتها فهو يمنع من حصول الظنّ بسلامة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التصحيف فيها وارد، خصوصاً مع ندرة نسخته، وعدم العثور عليها عند غيره، وأنّ المشهور هو ما وصلنا من نسخة الكشّي المثبتة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ناووسياً</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380724_2870459653"/>
      <w:bookmarkStart w:id="664" w:name="_Toc261"/>
      <w:bookmarkEnd w:id="663"/>
      <w:r>
        <w:rPr>
          <w:rtl w:val="true"/>
        </w:rPr>
        <w:t>رابعاً</w:t>
      </w:r>
      <w:bookmarkEnd w:id="664"/>
    </w:p>
    <w:p>
      <w:pPr>
        <w:pStyle w:val="BookText"/>
        <w:rPr/>
      </w:pPr>
      <w:r>
        <w:rPr>
          <w:rFonts w:ascii="Amiri" w:hAnsi="Amiri" w:eastAsia="Amiri" w:cs="Amiri"/>
          <w:color w:val="111111"/>
          <w:sz w:val="28"/>
          <w:sz w:val="28"/>
          <w:szCs w:val="28"/>
          <w:rtl w:val="true"/>
          <w:lang w:bidi="ar-SA"/>
        </w:rPr>
        <w:t xml:space="preserve">لم أقف في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سبقه من الأعلام على ملاحظة رواية إبراهيم بن أبي البلاد المتقدّمة الّتي يظهر منها بدواً القدح في أبان بن عثمان، بل صريح المحقّق السبزواري حصر ما يمكن أن يكون قادحاً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الناووسية في كلام ابن فضّال،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طعن فيه إلّا ما نقل الكشّي عن محمّد بن مسعود عن ابن فضّال أنّه ناووسي، ولم يذكر ذلك غيره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الوجه في عدم اهتمامهم بها هو جهالة والد إبراهيم بن أبي البلاد، وهو يحيى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ذكره النجاشي في ترجمة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بما لا يقتضي وثاقته أو حسنه،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أبي البلاد، واسم أبي البلاد يحيى بن سليم، وقيل ابن سليمان مولى بني عبد الله بن غطفان … وكان أبو البلاد ضريراً، وكان راوية الشعر، وله يقول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لهف نفسي على عينيك من </w:t>
      </w:r>
      <w:bookmarkStart w:id="665" w:name="pg9153_76606"/>
    </w:p>
    <w:p>
      <w:pPr>
        <w:pStyle w:val="BookText"/>
        <w:rPr/>
      </w:pPr>
      <w:bookmarkEnd w:id="665"/>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3380726_2870459653"/>
      <w:bookmarkStart w:id="667" w:name="_Toc262"/>
      <w:bookmarkEnd w:id="666"/>
      <w:r>
        <w:rPr/>
        <w:t>2</w:t>
      </w:r>
      <w:r>
        <w:rPr>
          <w:rtl w:val="true"/>
        </w:rPr>
        <w:t xml:space="preserve">. </w:t>
      </w:r>
      <w:r>
        <w:rPr>
          <w:rtl w:val="true"/>
        </w:rPr>
        <w:t>إبراهيم بن هاشم القمّي</w:t>
      </w:r>
      <w:bookmarkEnd w:id="667"/>
    </w:p>
    <w:p>
      <w:pPr>
        <w:pStyle w:val="Heading4"/>
        <w:numPr>
          <w:ilvl w:val="3"/>
          <w:numId w:val="1"/>
        </w:numPr>
        <w:rPr/>
      </w:pPr>
      <w:bookmarkStart w:id="668" w:name="__RefHeading___Toc3380728_2870459653"/>
      <w:bookmarkStart w:id="669" w:name="_Toc263"/>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إبراهيم بن هاشم، أبو إسحاق، القمّي، أصله من الكوفة وانتقل إلى قم، وهو أوّل من نشر حديث الكوفيين بقم</w:t>
      </w:r>
      <w:r>
        <w:rPr>
          <w:rStyle w:val="FootnoteAnchor"/>
          <w:rtl w:val="true"/>
        </w:rPr>
        <w:footnoteReference w:id="643"/>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تلاميذ يونس بن عبد الرحمن</w:t>
      </w:r>
      <w:r>
        <w:rPr>
          <w:rStyle w:val="FootnoteAnchor"/>
          <w:rtl w:val="true"/>
        </w:rPr>
        <w:footnoteReference w:id="644"/>
      </w:r>
      <w:r>
        <w:rPr>
          <w:rFonts w:ascii="Amiri" w:hAnsi="Amiri" w:eastAsia="Amiri" w:cs="Amiri"/>
          <w:color w:val="111111"/>
          <w:sz w:val="28"/>
          <w:sz w:val="28"/>
          <w:szCs w:val="28"/>
          <w:rtl w:val="true"/>
          <w:lang w:bidi="ar-SA"/>
        </w:rPr>
        <w:t>، ونقله النجاشي عن الكشّي وتنظّر فيه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في حقّه توثيق صريح، ولذا كان ظاهر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البناء على جهالته</w:t>
      </w:r>
      <w:r>
        <w:rPr>
          <w:rStyle w:val="FootnoteAnchor"/>
          <w:rtl w:val="true"/>
        </w:rPr>
        <w:footnoteReference w:id="646"/>
      </w:r>
      <w:r>
        <w:rPr>
          <w:rFonts w:ascii="Amiri" w:hAnsi="Amiri" w:eastAsia="Amiri" w:cs="Amiri"/>
          <w:color w:val="111111"/>
          <w:sz w:val="28"/>
          <w:sz w:val="28"/>
          <w:szCs w:val="28"/>
          <w:rtl w:val="true"/>
          <w:lang w:bidi="ar-SA"/>
        </w:rPr>
        <w:t xml:space="preserve">، إلّا أنّ المشهور بنى على قبول روايته، واختاره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قرائن ذكرها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هاشم مع أنّه من مشايخ الإجازة فلا يحتاج إلى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نصّهم على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لجلالة قدره وعظم منزلته، كما لعلّه الظاهر، ويشعر به ما حكاه النجاشي عن أصحابنا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إبراهيم بن هاشم هو أوّل من نشر أحاديث الكوفيين بقم بعد انتقاله من الكوفة، فإنّه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كونه ثقةً معتمداً عند أئمّة الحديث من أصحابنا؛ إذ نشر الأحاديث لا يكون إلّا مع التلقّي والقبول، وكفى بذلك توثيقاً سيّما بعد ما علم من طريقة أهل قم من تضييق أمر العدالة، وتسرّعهم في جرح الرواة والطعن عليهم وإخراجهم من بلدة قم بأدنى ريبة وتهمة، حتّى أنّهم غمزوا في أحمد بن محمّد بن خالد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 عدالته وجلالته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بروايته عن الضعفاء، واعتماده المراسيل، وأخرجوه من قم، فلولا أنّ إبراهيم بن هاشم بمكان من الوثاقة والاعتماد عندهم لما سلم من طعنهم وغمزهم بمقتضى العادّة، ويؤيّده زيادة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أجلّاء الأصحاب وثقاتهم وإكثار الكليني من الرواية عنه، وعدم استثناء محمّد بن الحسن ابن الوليد إيّاه من رجال نوادر الحكمة في مَن استثنى كما قيل، وكونه كثير الرواية جدّاً، وقد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اعرفوا منازل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روايتهم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يزيد ذلك كلّه تصريح العلّامة في الخلاصة بأنّ الأرجح قبول روايته، وتصحيحه جملة من طرق الصدوق المشتملة عليه، كطريقه إلى كردويه وإلى ياسر الخادم، وقد عدّ بعض أصحاب الاصطلاح الجديد أخباره من الصحاح منهم العلّامة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ذكره في استفادة وثاقة إبراهيم بن هاشم القمّي أمران، دليل ومؤيّد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فهو كون إبراهيم من مشايخ الإجازة،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يبنِ على كفاية مشيخة الإجازة في إثبات وثاقة الراوي؛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القصور في السند </w:t>
      </w:r>
    </w:p>
    <w:p>
      <w:pPr>
        <w:pStyle w:val="BookText"/>
        <w:rPr/>
      </w:pPr>
      <w:r>
        <w:rPr>
          <w:rFonts w:ascii="Amiri" w:hAnsi="Amiri" w:eastAsia="Amiri" w:cs="Amiri"/>
          <w:color w:val="111111"/>
          <w:sz w:val="28"/>
          <w:sz w:val="28"/>
          <w:szCs w:val="28"/>
          <w:rtl w:val="true"/>
          <w:lang w:bidi="ar-SA"/>
        </w:rPr>
        <w:t>بعبد الواحد وعليّ اللذَيْنِ لم ينصّ على توثيقهما، وكونهما شيخي إجازة لا يستلزمها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إلّا في حال توفّر ما يدلّ على أنّهم لم ينصّوا عليه بتوثيق لظهور وثاقته كما في مورد الكلام، وذلك لنقل النجاشي والشيخ عن الأصحاب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بن هاشم هو أوّل من نشر حديث الكوفيين بقم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وهذا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ثقةً معتمداً عند أئمّة الحديث من أصحابنا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هذا الظهور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الأحاديث لا يكون إلّا مع التلقّي والقبول</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وقبول الأصحاب لأحاديث إبراهيم لا يكون إلّا لوثاقته عندهم، خصوصاً وأنّ مَن قَبِلَ أحاديثه هم القمّيون المعروفون بتشدّدهم في أمر الأخبار، وإخراجهم من قم مَن يتّهمونه بالغلوّ والكذب</w:t>
      </w:r>
      <w:r>
        <w:rPr>
          <w:rStyle w:val="FootnoteAnchor"/>
          <w:rtl w:val="true"/>
        </w:rPr>
        <w:footnoteReference w:id="652"/>
      </w:r>
      <w:r>
        <w:rPr>
          <w:rFonts w:ascii="Amiri" w:hAnsi="Amiri" w:eastAsia="Amiri" w:cs="Amiri"/>
          <w:color w:val="111111"/>
          <w:sz w:val="28"/>
          <w:sz w:val="28"/>
          <w:szCs w:val="28"/>
          <w:rtl w:val="true"/>
          <w:lang w:bidi="ar-SA"/>
        </w:rPr>
        <w:t>، وقد أخرج أحمد بن محمّد بن عيسى سهل بن زياد وأبا سمينة من قم؛ لاتّهامهما بذلك</w:t>
      </w:r>
      <w:r>
        <w:rPr>
          <w:rStyle w:val="FootnoteAnchor"/>
          <w:rtl w:val="true"/>
        </w:rPr>
        <w:footnoteReference w:id="653"/>
      </w:r>
      <w:r>
        <w:rPr>
          <w:rFonts w:ascii="Amiri" w:hAnsi="Amiri" w:eastAsia="Amiri" w:cs="Amiri"/>
          <w:color w:val="111111"/>
          <w:sz w:val="28"/>
          <w:sz w:val="28"/>
          <w:szCs w:val="28"/>
          <w:rtl w:val="true"/>
          <w:lang w:bidi="ar-SA"/>
        </w:rPr>
        <w:t>، وأخرج البرقي مع وثاقته؛ لأنّه لا يبالي عمّن يأخذ الأحاديث</w:t>
      </w:r>
      <w:r>
        <w:rPr>
          <w:rStyle w:val="FootnoteAnchor"/>
          <w:rtl w:val="true"/>
        </w:rPr>
        <w:footnoteReference w:id="654"/>
      </w:r>
      <w:r>
        <w:rPr>
          <w:rFonts w:ascii="Amiri" w:hAnsi="Amiri" w:eastAsia="Amiri" w:cs="Amiri"/>
          <w:color w:val="111111"/>
          <w:sz w:val="28"/>
          <w:sz w:val="28"/>
          <w:szCs w:val="28"/>
          <w:rtl w:val="true"/>
          <w:lang w:bidi="ar-SA"/>
        </w:rPr>
        <w:t xml:space="preserve">، ومع ذلك كلّه قبلوا أحاديث إبراهيم الّتي نقلها لهم عن الكوفيين، ممّا </w:t>
      </w:r>
      <w:bookmarkStart w:id="670" w:name="pg9153_76612"/>
    </w:p>
    <w:p>
      <w:pPr>
        <w:pStyle w:val="BookText"/>
        <w:rPr/>
      </w:pPr>
      <w:bookmarkEnd w:id="670"/>
      <w:r>
        <w:rPr>
          <w:rFonts w:ascii="Amiri" w:hAnsi="Amiri" w:eastAsia="Amiri" w:cs="Amiri"/>
          <w:color w:val="111111"/>
          <w:sz w:val="28"/>
          <w:sz w:val="28"/>
          <w:szCs w:val="28"/>
          <w:rtl w:val="true"/>
          <w:lang w:bidi="ar-SA"/>
        </w:rPr>
        <w:t>يدلّ على وثاقته عندهم، وأنّه لم يتوفّر فيه ما يقتضي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المؤيّد فهو عدّة أمور</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380730_2870459653"/>
      <w:bookmarkStart w:id="672" w:name="_Toc264"/>
      <w:bookmarkEnd w:id="671"/>
      <w:r>
        <w:rPr>
          <w:rtl w:val="true"/>
        </w:rPr>
        <w:t>الأمر الأوّل</w:t>
      </w:r>
      <w:bookmarkEnd w:id="67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أجلّاء الأصحاب وثقاتهم وروايتهم عنه، فقد أكثر عنه ابنه عليّ</w:t>
      </w:r>
      <w:r>
        <w:rPr>
          <w:rStyle w:val="FootnoteAnchor"/>
          <w:rtl w:val="true"/>
        </w:rPr>
        <w:footnoteReference w:id="655"/>
      </w:r>
      <w:r>
        <w:rPr>
          <w:rFonts w:ascii="Amiri" w:hAnsi="Amiri" w:eastAsia="Amiri" w:cs="Amiri"/>
          <w:color w:val="111111"/>
          <w:sz w:val="28"/>
          <w:sz w:val="28"/>
          <w:szCs w:val="28"/>
          <w:rtl w:val="true"/>
          <w:lang w:bidi="ar-SA"/>
        </w:rPr>
        <w:t>، وسعد بن عبد الله الأشعري</w:t>
      </w:r>
      <w:r>
        <w:rPr>
          <w:rStyle w:val="FootnoteAnchor"/>
          <w:rtl w:val="true"/>
        </w:rPr>
        <w:footnoteReference w:id="656"/>
      </w:r>
      <w:r>
        <w:rPr>
          <w:rFonts w:ascii="IRNazanin" w:hAnsi="IRNazanin" w:eastAsia="IRNazanin"/>
          <w:color w:val="111111"/>
          <w:sz w:val="28"/>
          <w:sz w:val="28"/>
          <w:szCs w:val="28"/>
          <w:rtl w:val="true"/>
          <w:lang w:bidi="fa-IR"/>
        </w:rPr>
        <w:t>، ومحمّد بن الحسن الصفّار</w:t>
      </w:r>
      <w:r>
        <w:rPr>
          <w:rStyle w:val="FootnoteAnchor"/>
          <w:rtl w:val="true"/>
        </w:rPr>
        <w:footnoteReference w:id="657"/>
      </w:r>
      <w:r>
        <w:rPr>
          <w:rFonts w:ascii="Amiri" w:hAnsi="Amiri" w:eastAsia="Amiri" w:cs="Amiri"/>
          <w:color w:val="111111"/>
          <w:sz w:val="28"/>
          <w:sz w:val="28"/>
          <w:szCs w:val="28"/>
          <w:rtl w:val="true"/>
          <w:lang w:bidi="ar-SA"/>
        </w:rPr>
        <w:t>، وأحمد بن إدريس</w:t>
      </w:r>
      <w:r>
        <w:rPr>
          <w:rStyle w:val="FootnoteAnchor"/>
          <w:rtl w:val="true"/>
        </w:rPr>
        <w:footnoteReference w:id="658"/>
      </w:r>
      <w:r>
        <w:rPr>
          <w:rFonts w:ascii="Amiri" w:hAnsi="Amiri" w:eastAsia="Amiri" w:cs="Amiri"/>
          <w:color w:val="111111"/>
          <w:sz w:val="28"/>
          <w:sz w:val="28"/>
          <w:szCs w:val="28"/>
          <w:rtl w:val="true"/>
          <w:lang w:bidi="ar-SA"/>
        </w:rPr>
        <w:t>، وعبد الله بن جعفر الحميري</w:t>
      </w:r>
      <w:r>
        <w:rPr>
          <w:rStyle w:val="FootnoteAnchor"/>
          <w:rtl w:val="true"/>
        </w:rPr>
        <w:footnoteReference w:id="659"/>
      </w:r>
      <w:r>
        <w:rPr>
          <w:rFonts w:ascii="Amiri" w:hAnsi="Amiri" w:eastAsia="Amiri" w:cs="Amiri"/>
          <w:color w:val="111111"/>
          <w:sz w:val="28"/>
          <w:sz w:val="28"/>
          <w:szCs w:val="28"/>
          <w:rtl w:val="true"/>
          <w:lang w:bidi="ar-SA"/>
        </w:rPr>
        <w:t>، ومحمّد بن أحمد بن يحيى بن عمران الأشعري</w:t>
      </w:r>
      <w:r>
        <w:rPr>
          <w:rStyle w:val="FootnoteAnchor"/>
          <w:rtl w:val="true"/>
        </w:rPr>
        <w:footnoteReference w:id="660"/>
      </w:r>
      <w:r>
        <w:rPr>
          <w:rFonts w:ascii="Amiri" w:hAnsi="Amiri" w:eastAsia="Amiri" w:cs="Amiri"/>
          <w:color w:val="111111"/>
          <w:sz w:val="28"/>
          <w:sz w:val="28"/>
          <w:szCs w:val="28"/>
          <w:rtl w:val="true"/>
          <w:lang w:bidi="ar-SA"/>
        </w:rPr>
        <w:t>، وعليّ بن الحسن ابن فضّال</w:t>
      </w:r>
      <w:r>
        <w:rPr>
          <w:rStyle w:val="FootnoteAnchor"/>
          <w:rtl w:val="true"/>
        </w:rPr>
        <w:footnoteReference w:id="661"/>
      </w:r>
      <w:r>
        <w:rPr>
          <w:rFonts w:ascii="Amiri" w:hAnsi="Amiri" w:eastAsia="Amiri" w:cs="Amiri"/>
          <w:color w:val="111111"/>
          <w:sz w:val="28"/>
          <w:sz w:val="28"/>
          <w:szCs w:val="28"/>
          <w:rtl w:val="true"/>
          <w:lang w:bidi="ar-SA"/>
        </w:rPr>
        <w:t>، ومحمّد بن عليّ بن محبوب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673" w:name="pg9153_76614"/>
    </w:p>
    <w:p>
      <w:pPr>
        <w:pStyle w:val="BookText"/>
        <w:rPr/>
      </w:pPr>
      <w:bookmarkEnd w:id="673"/>
      <w:r>
        <w:rPr>
          <w:rFonts w:ascii="Amiri" w:hAnsi="Amiri" w:eastAsia="Amiri" w:cs="Amiri"/>
          <w:color w:val="111111"/>
          <w:sz w:val="28"/>
          <w:sz w:val="28"/>
          <w:szCs w:val="28"/>
          <w:rtl w:val="true"/>
          <w:lang w:bidi="ar-SA"/>
        </w:rPr>
        <w:t>والوجه في كونه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رواية الأجلّاء لا تقتضي وثاقة الراوي عند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 روايتهم عنه كانت استناداً إلى قرائن اقتضت الوثوق بإخباره</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380732_2870459653"/>
      <w:bookmarkStart w:id="675" w:name="_Toc265"/>
      <w:bookmarkEnd w:id="674"/>
      <w:r>
        <w:rPr>
          <w:rtl w:val="true"/>
        </w:rPr>
        <w:t>الأمر الثاني</w:t>
      </w:r>
      <w:bookmarkEnd w:id="675"/>
    </w:p>
    <w:p>
      <w:pPr>
        <w:pStyle w:val="BookText"/>
        <w:rPr/>
      </w:pPr>
      <w:r>
        <w:rPr>
          <w:rFonts w:ascii="Amiri" w:hAnsi="Amiri" w:eastAsia="Amiri" w:cs="Amiri"/>
          <w:color w:val="111111"/>
          <w:sz w:val="28"/>
          <w:sz w:val="28"/>
          <w:szCs w:val="28"/>
          <w:rtl w:val="true"/>
          <w:lang w:bidi="ar-SA"/>
        </w:rPr>
        <w:t>أنّ الشيخ الكليني أكثرَ من الرواية عن إبراهيم بن هاشم</w:t>
      </w:r>
      <w:r>
        <w:rPr>
          <w:rStyle w:val="FootnoteAnchor"/>
          <w:rtl w:val="true"/>
        </w:rPr>
        <w:footnoteReference w:id="663"/>
      </w:r>
      <w:r>
        <w:rPr>
          <w:rFonts w:ascii="IRNazanin" w:hAnsi="IRNazanin" w:eastAsia="IRNazanin"/>
          <w:color w:val="111111"/>
          <w:sz w:val="28"/>
          <w:sz w:val="28"/>
          <w:szCs w:val="28"/>
          <w:rtl w:val="true"/>
          <w:lang w:bidi="fa-IR"/>
        </w:rPr>
        <w:t>في كتابه الكافي الّذي صرّح في مقدّمته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جميع ما فيه من الروايات الصادرة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664"/>
      </w:r>
      <w:r>
        <w:rPr>
          <w:rFonts w:ascii="IRNazanin" w:hAnsi="IRNazanin" w:eastAsia="IRNazanin"/>
          <w:color w:val="111111"/>
          <w:sz w:val="28"/>
          <w:sz w:val="28"/>
          <w:szCs w:val="28"/>
          <w:rtl w:val="true"/>
          <w:lang w:bidi="fa-IR"/>
        </w:rPr>
        <w:t>، حيث قال في بيان الطلب الّذي وجّه إليه في تأليفه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تحبّ أن يكون عندك كتاب كافٍ يجمع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فنون علم الدين، ما يكتفي به المتعلّم، ويرجع إليه المسترشد، ويأخذ منه من يريد علم الدين والعمل به بالآثار الصحيحة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والسنن القائمة الّتي عليها العمل، وبها يؤدّى فرض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ما سألت</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 ممّا يدلّ على أنّ روايات إبراهيم بن هاشم الكثيرة في الكافي هي من الآثار الصحيحة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مدح معتدّ به يدلّ على حسن حاله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 إكثار الكليني عنه لكونه شيخ إجازة وحسب، أو لوثوقه بأخباره بقطع النظر عن حاله؛ لصحّتها بقيام القرائن عليها كشهرة الكتاب المنقول عنه الخبر</w:t>
      </w:r>
      <w:r>
        <w:rPr>
          <w:rStyle w:val="FootnoteAnchor"/>
          <w:rtl w:val="true"/>
        </w:rPr>
        <w:footnoteReference w:id="667"/>
      </w:r>
      <w:bookmarkStart w:id="676" w:name="pg9153_76616"/>
    </w:p>
    <w:p>
      <w:pPr>
        <w:pStyle w:val="BookText"/>
        <w:rPr/>
      </w:pPr>
      <w:bookmarkEnd w:id="676"/>
      <w:r>
        <w:rPr>
          <w:rFonts w:ascii="Amiri" w:hAnsi="Amiri" w:eastAsia="Amiri" w:cs="Amiri"/>
          <w:color w:val="111111"/>
          <w:sz w:val="28"/>
          <w:sz w:val="28"/>
          <w:szCs w:val="28"/>
          <w:rtl w:val="true"/>
          <w:lang w:bidi="ar-SA"/>
        </w:rPr>
        <w:t>فإنّ الصحّة عند القدماء تجتمع مع ضعف السند</w:t>
      </w:r>
      <w:r>
        <w:rPr>
          <w:rStyle w:val="FootnoteAnchor"/>
          <w:rtl w:val="true"/>
        </w:rPr>
        <w:footnoteReference w:id="668"/>
      </w:r>
      <w:r>
        <w:rPr>
          <w:rFonts w:ascii="Amiri" w:hAnsi="Amiri" w:eastAsia="Amiri" w:cs="Amiri"/>
          <w:color w:val="111111"/>
          <w:sz w:val="28"/>
          <w:sz w:val="28"/>
          <w:szCs w:val="28"/>
          <w:rtl w:val="true"/>
          <w:lang w:bidi="ar-SA"/>
        </w:rPr>
        <w:t>، ولذا كان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اعتماده على إكثار الكليني ولو بنحو التأييد إلّا في هذا المورد</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3380734_2870459653"/>
      <w:bookmarkStart w:id="678" w:name="_Toc266"/>
      <w:bookmarkEnd w:id="677"/>
      <w:r>
        <w:rPr>
          <w:rtl w:val="true"/>
        </w:rPr>
        <w:t>الأمر الثالث</w:t>
      </w:r>
      <w:bookmarkEnd w:id="678"/>
    </w:p>
    <w:p>
      <w:pPr>
        <w:pStyle w:val="BookText"/>
        <w:rPr/>
      </w:pPr>
      <w:r>
        <w:rPr>
          <w:rFonts w:ascii="Amiri" w:hAnsi="Amiri" w:eastAsia="Amiri" w:cs="Amiri"/>
          <w:color w:val="111111"/>
          <w:sz w:val="28"/>
          <w:sz w:val="28"/>
          <w:szCs w:val="28"/>
          <w:rtl w:val="true"/>
          <w:lang w:bidi="ar-SA"/>
        </w:rPr>
        <w:t>أنّ إبراهيم بن هاشم ممّن روى عنه محمّد بن أحمد بن يحيى الأشعري في كتابه نوادر الحكمة</w:t>
      </w:r>
      <w:r>
        <w:rPr>
          <w:rStyle w:val="FootnoteAnchor"/>
          <w:rtl w:val="true"/>
        </w:rPr>
        <w:footnoteReference w:id="669"/>
      </w:r>
      <w:r>
        <w:rPr>
          <w:rFonts w:ascii="Amiri" w:hAnsi="Amiri" w:eastAsia="Amiri" w:cs="Amiri"/>
          <w:color w:val="111111"/>
          <w:sz w:val="28"/>
          <w:sz w:val="28"/>
          <w:szCs w:val="28"/>
          <w:rtl w:val="true"/>
          <w:lang w:bidi="ar-SA"/>
        </w:rPr>
        <w:t>، ولم يستثنه محمّد بن الحسن بن الوليد بعد أن قيّم رواته وأخرج ما كان فيه من غلوّ أو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على كفاية عدم الاستثناء في إفادة وثاقة أو حُسن الراوي؛ للنصّ على ضعف بعض مَن لم يُستثنَ كمحمّد بن سنان، ولذا جعله مؤيّداً</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380736_2870459653"/>
      <w:bookmarkStart w:id="680" w:name="_Toc267"/>
      <w:bookmarkEnd w:id="679"/>
      <w:r>
        <w:rPr>
          <w:rtl w:val="true"/>
        </w:rPr>
        <w:t>الأمر الرابع</w:t>
      </w:r>
      <w:bookmarkEnd w:id="680"/>
    </w:p>
    <w:p>
      <w:pPr>
        <w:pStyle w:val="BookText"/>
        <w:rPr/>
      </w:pPr>
      <w:r>
        <w:rPr>
          <w:rFonts w:ascii="Amiri" w:hAnsi="Amiri" w:eastAsia="Amiri" w:cs="Amiri"/>
          <w:color w:val="111111"/>
          <w:sz w:val="28"/>
          <w:sz w:val="28"/>
          <w:szCs w:val="28"/>
          <w:rtl w:val="true"/>
          <w:lang w:bidi="ar-SA"/>
        </w:rPr>
        <w:t xml:space="preserve">أنّ إبراهيم بن هاشم كثير الرواية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أنّه لا يوجد في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يدانيه في ذلك</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 ممّا أوجب أن يكون ذلك له حُسناً، لما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على قدر روايتهم عنّا</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 الدالّ على مدح الراوي بكونه ذا منزلة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روايته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لضعف الخبر سنداً، وإكثار بعض مَن ثبت ضعفهم جعله مؤيّداً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3380738_2870459653"/>
      <w:bookmarkStart w:id="682" w:name="_Toc268"/>
      <w:bookmarkEnd w:id="681"/>
      <w:r>
        <w:rPr>
          <w:rtl w:val="true"/>
        </w:rPr>
        <w:t>الأمر الخامس</w:t>
      </w:r>
      <w:bookmarkEnd w:id="682"/>
    </w:p>
    <w:p>
      <w:pPr>
        <w:pStyle w:val="Heading5"/>
        <w:numPr>
          <w:ilvl w:val="4"/>
          <w:numId w:val="1"/>
        </w:numPr>
        <w:rPr/>
      </w:pPr>
      <w:bookmarkStart w:id="683" w:name="__RefHeading___Toc3380740_2870459653"/>
      <w:bookmarkStart w:id="684" w:name="_Toc269"/>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موقف العلّامة من إبراهيم بن هاشم متمثّلاً في 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تصريح العلّامة في الخلاصّة في ترجمة إبراهيم بن هاشم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الأرجح قبول</w:t>
      </w:r>
      <w:bookmarkStart w:id="685" w:name="pg9153_76618"/>
    </w:p>
    <w:p>
      <w:pPr>
        <w:pStyle w:val="BookText"/>
        <w:rPr/>
      </w:pPr>
      <w:bookmarkEnd w:id="68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 ولذا عدّه في القسم الأوّل منها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العلّامة في آخر الخلاصة خاتمة ذكر فيها عشر فوائد رجالية، وكانت الثامنة منها في بيان حال طرق الصدوق والشيخ في مشيختيهما، وقد وقع إبراهيم بن هاشم في جملة من طرق الصدوق صحّح العلّامة طريقين منها، وهما</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380742_2870459653"/>
      <w:bookmarkStart w:id="687" w:name="_Toc270"/>
      <w:bookmarkEnd w:id="686"/>
      <w:r>
        <w:rPr>
          <w:rtl w:val="true"/>
        </w:rPr>
        <w:t>الطريق الأوّل</w:t>
      </w:r>
      <w:bookmarkEnd w:id="687"/>
    </w:p>
    <w:p>
      <w:pPr>
        <w:pStyle w:val="BookText"/>
        <w:rPr/>
      </w:pPr>
      <w:r>
        <w:rPr>
          <w:rFonts w:ascii="IRNazanin" w:hAnsi="IRNazanin" w:eastAsia="IRNazanin"/>
          <w:color w:val="111111"/>
          <w:sz w:val="28"/>
          <w:sz w:val="28"/>
          <w:szCs w:val="28"/>
          <w:rtl w:val="true"/>
          <w:lang w:bidi="fa-IR"/>
        </w:rPr>
        <w:t>طريق الصدوق إلى كردويه الّذي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كردويه الهمداني فقد رويته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كردويه الهمداني</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 وقد صحّحه العلّامة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كردويه الهمداني صحيح</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3380744_2870459653"/>
      <w:bookmarkStart w:id="689" w:name="_Toc271"/>
      <w:bookmarkEnd w:id="688"/>
      <w:r>
        <w:rPr>
          <w:rtl w:val="true"/>
        </w:rPr>
        <w:t>الطريق الآخر</w:t>
      </w:r>
      <w:bookmarkEnd w:id="68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الصدوق إلى ياسر الخادم الّذي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ياسر الخادم فقد رويته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ياسر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76"/>
      </w:r>
      <w:r>
        <w:rPr>
          <w:rFonts w:ascii="Amiri" w:hAnsi="Amiri" w:eastAsia="Amiri" w:cs="Amiri"/>
          <w:color w:val="111111"/>
          <w:sz w:val="28"/>
          <w:sz w:val="28"/>
          <w:szCs w:val="28"/>
          <w:rtl w:val="true"/>
          <w:lang w:bidi="ar-SA"/>
        </w:rPr>
        <w:t>، وقد صحّحه العلّامة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رفاعة بن موسى النخّاس صحيح، وكذا عن زياد بن سوقة، وكذا عن حمّاد بن عثمان، وكذا عن ياسر الخادم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العلّامة قد وصف بعض الروايات الّتي ورد في أسانيدها إبراهيم بن هاشم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 في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رواه عيص في 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وهو 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غسلة واحدة بماء، ثمّ يغسل بعد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وقد رواها الشيخ في التهذيب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هاشم، عن الحسين بن سعيد، عن صفوان، عن عيص،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الأمر على العلّامة بل جملة من الأعلام الّذِين بنوا على التقسيم الرباعي للخبر وصفوا أيضاً بعض روايات إبراهيم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 صاحب الحدائق</w:t>
      </w:r>
      <w:r>
        <w:rPr>
          <w:rStyle w:val="FootnoteAnchor"/>
          <w:rtl w:val="true"/>
        </w:rPr>
        <w:footnoteReference w:id="678"/>
      </w:r>
      <w:r>
        <w:rPr>
          <w:rFonts w:ascii="Amiri" w:hAnsi="Amiri" w:eastAsia="Amiri" w:cs="Amiri"/>
          <w:color w:val="111111"/>
          <w:sz w:val="28"/>
          <w:sz w:val="28"/>
          <w:szCs w:val="28"/>
          <w:rtl w:val="true"/>
          <w:lang w:bidi="ar-SA"/>
        </w:rPr>
        <w:t>، والرياض</w:t>
      </w:r>
      <w:r>
        <w:rPr>
          <w:rStyle w:val="FootnoteAnchor"/>
          <w:rtl w:val="true"/>
        </w:rPr>
        <w:footnoteReference w:id="679"/>
      </w:r>
      <w:r>
        <w:rPr>
          <w:rFonts w:ascii="IRNazanin" w:hAnsi="IRNazanin" w:eastAsia="IRNazanin"/>
          <w:color w:val="111111"/>
          <w:sz w:val="28"/>
          <w:sz w:val="28"/>
          <w:szCs w:val="28"/>
          <w:rtl w:val="true"/>
          <w:lang w:bidi="fa-IR"/>
        </w:rPr>
        <w:t>، والمستند</w:t>
      </w:r>
      <w:r>
        <w:rPr>
          <w:rStyle w:val="FootnoteAnchor"/>
          <w:rtl w:val="true"/>
        </w:rPr>
        <w:footnoteReference w:id="6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افتتحت الصلاة فارفع كفّيك ثمّ ابسطهما بسطاً ثمّ كبِّر ثلاث تكبيرات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رواها الكليني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بن هاشم، عن أبيه، عن ابن أبي عمير، عن حمّاد ابن عثمان،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أنّ الوجه في وصف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العلّامة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يزيد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يزيد في قيمة ما تقدّم من الدليل والمؤيّد هو أنّ موقف العلّامة </w:t>
      </w:r>
    </w:p>
    <w:p>
      <w:pPr>
        <w:pStyle w:val="BookText"/>
        <w:rPr/>
      </w:pPr>
      <w:r>
        <w:rPr>
          <w:rFonts w:ascii="Amiri" w:hAnsi="Amiri" w:eastAsia="Amiri" w:cs="Amiri"/>
          <w:color w:val="111111"/>
          <w:sz w:val="28"/>
          <w:sz w:val="28"/>
          <w:szCs w:val="28"/>
          <w:rtl w:val="true"/>
          <w:lang w:bidi="ar-SA"/>
        </w:rPr>
        <w:t xml:space="preserve">وجملة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اعترافاً عملياً بكفاية ما تقدّم في إحراز وثاقة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خلاصة العلّامة في معرفة أحوال الرواة، وقد تقدّمت الإشارة إلى ذلك في مطلع البحث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بناء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إبراهيم</w:t>
      </w:r>
      <w:r>
        <w:rPr>
          <w:rStyle w:val="FootnoteAnchor"/>
          <w:rtl w:val="true"/>
        </w:rPr>
        <w:footnoteReference w:id="682"/>
      </w:r>
      <w:r>
        <w:rPr>
          <w:rFonts w:ascii="Amiri" w:hAnsi="Amiri" w:eastAsia="Amiri" w:cs="Amiri"/>
          <w:color w:val="111111"/>
          <w:sz w:val="28"/>
          <w:sz w:val="28"/>
          <w:szCs w:val="28"/>
          <w:rtl w:val="true"/>
          <w:lang w:bidi="ar-SA"/>
        </w:rPr>
        <w:t xml:space="preserve">، إنّما هو بمعنى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وهو بمرتبة من العدالة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تقتضي حسن الخبر من جهته؛ لعدم نصّهم الصريح على وثاقته، ولذا وصف جملة من رواياته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 حسنة أو 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سعيد الأعرج بإبراهيم بن هاشم</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الكليني والشيخ أيضاً في الحسن بإبراهيم بن هاشم عن زرارة</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زرارة بإبراهيم ابن هاشم</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زرارة وأخيه بكير بإبراهيم بن هاشم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زرارة بإبراهيم بن هاشم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حسن كالصحيح بإبراهيم بن هاشم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690" w:name="pg9153_76624"/>
    </w:p>
    <w:p>
      <w:pPr>
        <w:pStyle w:val="Heading3"/>
        <w:numPr>
          <w:ilvl w:val="2"/>
          <w:numId w:val="1"/>
        </w:numPr>
        <w:rPr/>
      </w:pPr>
      <w:bookmarkStart w:id="691" w:name="__RefHeading___Toc3380746_2870459653"/>
      <w:bookmarkStart w:id="692" w:name="_Toc272"/>
      <w:bookmarkEnd w:id="690"/>
      <w:bookmarkEnd w:id="691"/>
      <w:r>
        <w:rPr/>
        <w:t>3</w:t>
      </w:r>
      <w:r>
        <w:rPr>
          <w:rtl w:val="true"/>
        </w:rPr>
        <w:t xml:space="preserve">. </w:t>
      </w:r>
      <w:r>
        <w:rPr>
          <w:rtl w:val="true"/>
        </w:rPr>
        <w:t>داود بن كثير الرقّي</w:t>
      </w:r>
      <w:bookmarkEnd w:id="692"/>
    </w:p>
    <w:p>
      <w:pPr>
        <w:pStyle w:val="Heading4"/>
        <w:numPr>
          <w:ilvl w:val="3"/>
          <w:numId w:val="1"/>
        </w:numPr>
        <w:rPr/>
      </w:pPr>
      <w:bookmarkStart w:id="693" w:name="__RefHeading___Toc3380748_2870459653"/>
      <w:bookmarkStart w:id="694" w:name="_Toc273"/>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داود بن كثير بن أبي خلدة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 xml:space="preserve">، الرقّي، أبو سليمان، مولى بني تميم، له كتاب المزار والإهليلجة، روى عن الأئمّة 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بعد المائتين بعد وفاة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بقليل</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فيه الجرح والتعديل، فنصّ النجاشي على ضعفه،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والغلاة 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رأيت له حديثاً سديداً</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فاسد المذهب، ضعيف الرواية، لا يلتفت إليه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توثيقه أمور</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380750_2870459653"/>
      <w:bookmarkStart w:id="696" w:name="_Toc274"/>
      <w:bookmarkEnd w:id="695"/>
      <w:r>
        <w:rPr>
          <w:rtl w:val="true"/>
        </w:rPr>
        <w:t>الأمر الأوّل</w:t>
      </w:r>
      <w:bookmarkEnd w:id="696"/>
    </w:p>
    <w:p>
      <w:pPr>
        <w:pStyle w:val="BookText"/>
        <w:rPr/>
      </w:pPr>
      <w:r>
        <w:rPr>
          <w:rFonts w:ascii="Amiri" w:hAnsi="Amiri" w:eastAsia="Amiri" w:cs="Amiri"/>
          <w:color w:val="111111"/>
          <w:sz w:val="28"/>
          <w:sz w:val="28"/>
          <w:szCs w:val="28"/>
          <w:rtl w:val="true"/>
          <w:lang w:bidi="ar-SA"/>
        </w:rPr>
        <w:t>نصّ الشيخ على وثاقته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كثير الرقّي، مولى بني أسد، ثقة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3380752_2870459653"/>
      <w:bookmarkStart w:id="698" w:name="_Toc275"/>
      <w:bookmarkEnd w:id="697"/>
      <w:r>
        <w:rPr>
          <w:rtl w:val="true"/>
        </w:rPr>
        <w:t>الأمر الثاني</w:t>
      </w:r>
      <w:bookmarkEnd w:id="69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الغلاة أنّه من أركانهم، وقد يروى عنه المناكير من الغلوّ، وينسب إليه أقاويلهم، ولم أسمع أحداً من مشايخ العصابة يطعن فيه، ولا </w:t>
      </w:r>
      <w:bookmarkStart w:id="699" w:name="pg9153_76626"/>
    </w:p>
    <w:p>
      <w:pPr>
        <w:pStyle w:val="BookText"/>
        <w:rPr/>
      </w:pPr>
      <w:bookmarkEnd w:id="699"/>
      <w:r>
        <w:rPr>
          <w:rFonts w:ascii="Amiri" w:hAnsi="Amiri" w:eastAsia="Amiri" w:cs="Amiri"/>
          <w:color w:val="111111"/>
          <w:sz w:val="28"/>
          <w:sz w:val="28"/>
          <w:szCs w:val="28"/>
          <w:rtl w:val="true"/>
          <w:lang w:bidi="ar-SA"/>
        </w:rPr>
        <w:t>عثرت من الرواية على شيء غير ما أثبته في هذا الباب</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3380754_2870459653"/>
      <w:bookmarkStart w:id="701" w:name="_Toc276"/>
      <w:bookmarkEnd w:id="700"/>
      <w:r>
        <w:rPr>
          <w:rtl w:val="true"/>
        </w:rPr>
        <w:t>الأمر الثالث</w:t>
      </w:r>
      <w:bookmarkEnd w:id="701"/>
    </w:p>
    <w:p>
      <w:pPr>
        <w:pStyle w:val="BookText"/>
        <w:rPr/>
      </w:pPr>
      <w:r>
        <w:rPr>
          <w:rFonts w:ascii="IRNazanin" w:hAnsi="IRNazanin" w:eastAsia="IRNazanin"/>
          <w:color w:val="111111"/>
          <w:sz w:val="28"/>
          <w:sz w:val="28"/>
          <w:szCs w:val="28"/>
          <w:rtl w:val="true"/>
          <w:lang w:bidi="fa-IR"/>
        </w:rPr>
        <w:t xml:space="preserve">نقل الكشّي فيه عدّة أخبار تدلّ على جلالة قدره، واختصاصه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حمدويه وإبراهيم ومحمّد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نصير،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عن يونس بن عبد الرحمن،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أنزلوا داود الرقّي منّي بمنزلة المقداد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عن أبي عبد الله البرقي،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داود الرقّي، وقد 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رجل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أنزلوه فيكم بمنزلة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عيسى، عن عمر بن عبد العزيز، عن بعض أصحابنا، عن داود بن كثير الرقّي، قال، 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إذا حدّثت عنّا بالحديث فاشتهرت به فأنكره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الشجاعي، عن الحسين بن بشّار،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تقول الغلاة الطيّارة وما يذكرون </w:t>
      </w:r>
      <w:bookmarkStart w:id="702" w:name="pg9153_76628"/>
    </w:p>
    <w:p>
      <w:pPr>
        <w:pStyle w:val="BookText"/>
        <w:rPr/>
      </w:pPr>
      <w:bookmarkEnd w:id="702"/>
      <w:r>
        <w:rPr>
          <w:rFonts w:ascii="IRNazanin" w:hAnsi="IRNazanin" w:eastAsia="IRNazanin"/>
          <w:color w:val="111111"/>
          <w:sz w:val="28"/>
          <w:sz w:val="28"/>
          <w:szCs w:val="28"/>
          <w:rtl w:val="true"/>
          <w:lang w:bidi="fa-IR"/>
        </w:rPr>
        <w:t xml:space="preserve">عن شرطة الخميس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يحكي أصحابه عنه فذلك والله أراني أكبر منه، ولكن أمرني أن لا أذكره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كبرت ودقّ عظمي أحبّ أن يختم عمري بقتل فيكم،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هذا بُدّ إن لم يكن في العاجلة يكون في الآجلة</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3380756_2870459653"/>
      <w:bookmarkStart w:id="704" w:name="_Toc277"/>
      <w:bookmarkEnd w:id="703"/>
      <w:r>
        <w:rPr>
          <w:rtl w:val="true"/>
        </w:rPr>
        <w:t>الأمر الرابع</w:t>
      </w:r>
      <w:bookmarkEnd w:id="704"/>
    </w:p>
    <w:p>
      <w:pPr>
        <w:pStyle w:val="BookText"/>
        <w:rPr/>
      </w:pPr>
      <w:r>
        <w:rPr>
          <w:rFonts w:ascii="IRNazanin" w:hAnsi="IRNazanin" w:eastAsia="IRNazanin"/>
          <w:color w:val="111111"/>
          <w:sz w:val="28"/>
          <w:sz w:val="28"/>
          <w:szCs w:val="28"/>
          <w:rtl w:val="true"/>
          <w:lang w:bidi="fa-IR"/>
        </w:rPr>
        <w:t>قول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النصّ على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أبيه والإشارة إليه منه بذلك، من خاصّته وثقاته وأهل الورع والعلم والفقه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الرقّي</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3380758_2870459653"/>
      <w:bookmarkStart w:id="706" w:name="_Toc278"/>
      <w:bookmarkEnd w:id="705"/>
      <w:r>
        <w:rPr>
          <w:rtl w:val="true"/>
        </w:rPr>
        <w:t>الأمر الخامس</w:t>
      </w:r>
      <w:bookmarkEnd w:id="70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جملة من الأجلّاء والأعيان والثقات، كجعفر بن بشير</w:t>
      </w:r>
      <w:r>
        <w:rPr>
          <w:rStyle w:val="FootnoteAnchor"/>
          <w:rtl w:val="true"/>
        </w:rPr>
        <w:footnoteReference w:id="701"/>
      </w:r>
      <w:r>
        <w:rPr>
          <w:rFonts w:ascii="Amiri" w:hAnsi="Amiri" w:eastAsia="Amiri" w:cs="Amiri"/>
          <w:color w:val="111111"/>
          <w:sz w:val="28"/>
          <w:sz w:val="28"/>
          <w:szCs w:val="28"/>
          <w:rtl w:val="true"/>
          <w:lang w:bidi="ar-SA"/>
        </w:rPr>
        <w:t>، والحسن بن عليّ ابن فضّال</w:t>
      </w:r>
      <w:r>
        <w:rPr>
          <w:rStyle w:val="FootnoteAnchor"/>
          <w:rtl w:val="true"/>
        </w:rPr>
        <w:footnoteReference w:id="702"/>
      </w:r>
      <w:r>
        <w:rPr>
          <w:rFonts w:ascii="IRNazanin" w:hAnsi="IRNazanin" w:eastAsia="IRNazanin"/>
          <w:color w:val="111111"/>
          <w:sz w:val="28"/>
          <w:sz w:val="28"/>
          <w:szCs w:val="28"/>
          <w:rtl w:val="true"/>
          <w:lang w:bidi="fa-IR"/>
        </w:rPr>
        <w:t>، والحسن بن محبوب</w:t>
      </w:r>
      <w:r>
        <w:rPr>
          <w:rStyle w:val="FootnoteAnchor"/>
          <w:rtl w:val="true"/>
        </w:rPr>
        <w:footnoteReference w:id="703"/>
      </w:r>
      <w:r>
        <w:rPr>
          <w:rFonts w:ascii="Amiri" w:hAnsi="Amiri" w:eastAsia="Amiri" w:cs="Amiri"/>
          <w:color w:val="111111"/>
          <w:sz w:val="28"/>
          <w:sz w:val="28"/>
          <w:szCs w:val="28"/>
          <w:rtl w:val="true"/>
          <w:lang w:bidi="ar-SA"/>
        </w:rPr>
        <w:t>، وزكريا بن آدم</w:t>
      </w:r>
      <w:r>
        <w:rPr>
          <w:rStyle w:val="FootnoteAnchor"/>
          <w:rtl w:val="true"/>
        </w:rPr>
        <w:footnoteReference w:id="704"/>
      </w:r>
      <w:r>
        <w:rPr>
          <w:rFonts w:ascii="Amiri" w:hAnsi="Amiri" w:eastAsia="Amiri" w:cs="Amiri"/>
          <w:color w:val="111111"/>
          <w:sz w:val="28"/>
          <w:sz w:val="28"/>
          <w:szCs w:val="28"/>
          <w:rtl w:val="true"/>
          <w:lang w:bidi="ar-SA"/>
        </w:rPr>
        <w:t>، وعليّ بن أسباط</w:t>
      </w:r>
      <w:r>
        <w:rPr>
          <w:rStyle w:val="FootnoteAnchor"/>
          <w:rtl w:val="true"/>
        </w:rPr>
        <w:footnoteReference w:id="705"/>
      </w:r>
      <w:r>
        <w:rPr>
          <w:rFonts w:ascii="Amiri" w:hAnsi="Amiri" w:eastAsia="Amiri" w:cs="Amiri"/>
          <w:color w:val="111111"/>
          <w:sz w:val="28"/>
          <w:sz w:val="28"/>
          <w:szCs w:val="28"/>
          <w:rtl w:val="true"/>
          <w:lang w:bidi="ar-SA"/>
        </w:rPr>
        <w:t>، وعليّ بن الحكم</w:t>
      </w:r>
      <w:r>
        <w:rPr>
          <w:rStyle w:val="FootnoteAnchor"/>
          <w:rtl w:val="true"/>
        </w:rPr>
        <w:footnoteReference w:id="706"/>
      </w:r>
      <w:r>
        <w:rPr>
          <w:rFonts w:ascii="Amiri" w:hAnsi="Amiri" w:eastAsia="Amiri" w:cs="Amiri"/>
          <w:color w:val="111111"/>
          <w:sz w:val="28"/>
          <w:sz w:val="28"/>
          <w:szCs w:val="28"/>
          <w:rtl w:val="true"/>
          <w:lang w:bidi="ar-SA"/>
        </w:rPr>
        <w:t>ويونس بن عبد الرحمن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ضوء ذلك اختلفت كلمات الأعلام في شأنه، فبنى جماعة على وثاقته كالعلّامة في الخلاصة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قبول روايته لقول الشيخ الطوسي وقول الكشّي أيضاً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والشهيد الثاني</w:t>
      </w:r>
      <w:r>
        <w:rPr>
          <w:rStyle w:val="FootnoteAnchor"/>
          <w:rtl w:val="true"/>
        </w:rPr>
        <w:footnoteReference w:id="709"/>
      </w:r>
      <w:r>
        <w:rPr>
          <w:rFonts w:ascii="Amiri" w:hAnsi="Amiri" w:eastAsia="Amiri" w:cs="Amiri"/>
          <w:color w:val="111111"/>
          <w:sz w:val="28"/>
          <w:sz w:val="28"/>
          <w:szCs w:val="28"/>
          <w:rtl w:val="true"/>
          <w:lang w:bidi="ar-SA"/>
        </w:rPr>
        <w:t>، والمحقّق الأردبيلي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ظاهرها التوقّف في شأنه كالمحقّق السبزواري</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على ضعفه كالمحقّق في المعتبر</w:t>
      </w:r>
      <w:r>
        <w:rPr>
          <w:rStyle w:val="FootnoteAnchor"/>
          <w:rtl w:val="true"/>
        </w:rPr>
        <w:footnoteReference w:id="712"/>
      </w:r>
      <w:r>
        <w:rPr>
          <w:rFonts w:ascii="Amiri" w:hAnsi="Amiri" w:eastAsia="Amiri" w:cs="Amiri"/>
          <w:color w:val="111111"/>
          <w:sz w:val="28"/>
          <w:sz w:val="28"/>
          <w:szCs w:val="28"/>
          <w:rtl w:val="true"/>
          <w:lang w:bidi="ar-SA"/>
        </w:rPr>
        <w:t>، وصاحب المدارك</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بعد الطعن في سند الأولى بداود الرقّي بأنّه ضعيف جدّاً كما في رجال النجاشي، بل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رأيت له حديثاً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فاسد المذهب ضعيف الرواية لا يلتفت إليه، وعن الكشّي أنّه يذكر الغلاة أنّه من أركانهم</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مرسل الصدوق فهو مع عدم كونه حجّةً كخبر داود الرقيّ</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كما وصف روايته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707" w:name="pg9153_76632"/>
    </w:p>
    <w:p>
      <w:pPr>
        <w:pStyle w:val="BookText"/>
        <w:rPr/>
      </w:pPr>
      <w:bookmarkEnd w:id="707"/>
      <w:r>
        <w:rPr>
          <w:rFonts w:ascii="Amiri" w:hAnsi="Amiri" w:eastAsia="Amiri" w:cs="Amiri"/>
          <w:color w:val="111111"/>
          <w:sz w:val="28"/>
          <w:sz w:val="28"/>
          <w:szCs w:val="28"/>
          <w:rtl w:val="true"/>
          <w:lang w:bidi="ar-SA"/>
        </w:rPr>
        <w:t>والظاهر أنّ الوجه فيه هو تقدّيم الجرح على التعديل؛ لأنّ الجارح غالباً يطّلع على ما لم يطّلع عليه المعدِّل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عدم تمامية بعض الوجوه المذكورة في حدّ نفسها، فإنّ الروايات المتقدّمة كلّها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تقتضي اعتبار الراوي 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حدّاً من الكثرة كمّاً وكيفاً بحيث يمكن أن تشكِّل قرينة تسهم في الكشف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قول الكشّي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الغلاة أنّه من أركانهم، وقد يروي عنه المناكير من الغلوّ، وينسب إليه أقاويلهم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قرائن ضعفه معتمداً فيه على ما نقله من أنّ الغلاة تدّعيه من غير ملاحظة لعدم اعتقاد الكشّي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أسمع أحداً من مشايخ العصابة يطعن فيه ولا عثرت من الرواية على شيء غير ما أثبته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الوجه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يلاحظ كلام الكشّي بتمامه، واعتمد على ما نقل منه ويشهد له استعماله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3380760_2870459653"/>
      <w:bookmarkStart w:id="709" w:name="_Toc279"/>
      <w:bookmarkEnd w:id="708"/>
      <w:r>
        <w:rPr/>
        <w:t>4</w:t>
      </w:r>
      <w:r>
        <w:rPr>
          <w:rtl w:val="true"/>
        </w:rPr>
        <w:t xml:space="preserve">. </w:t>
      </w:r>
      <w:r>
        <w:rPr>
          <w:rtl w:val="true"/>
        </w:rPr>
        <w:t>سهل بن زياد الآدمي</w:t>
      </w:r>
      <w:bookmarkEnd w:id="709"/>
    </w:p>
    <w:p>
      <w:pPr>
        <w:pStyle w:val="Heading4"/>
        <w:numPr>
          <w:ilvl w:val="3"/>
          <w:numId w:val="1"/>
        </w:numPr>
        <w:rPr/>
      </w:pPr>
      <w:bookmarkStart w:id="710" w:name="__RefHeading___Toc3380762_2870459653"/>
      <w:bookmarkStart w:id="711" w:name="_Toc280"/>
      <w:bookmarkEnd w:id="710"/>
      <w:r>
        <w:rPr>
          <w:rtl w:val="true"/>
        </w:rPr>
        <w:t>اشارة</w:t>
      </w:r>
      <w:bookmarkEnd w:id="7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زياد، أبو سعيد، الآدمي، الرازي، من أصحاب الأئمّة الجواد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اختلف القدماء في ضعفه وتوثيقه، فقد انفرد الشيخ في رجاله بتوثيقه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xml:space="preserve">، ولكن ضعّفه الأكثر، فقد روى الكشّي عن القتيبي عن الفضل </w:t>
      </w:r>
    </w:p>
    <w:p>
      <w:pPr>
        <w:pStyle w:val="BookText"/>
        <w:rPr/>
      </w:pPr>
      <w:r>
        <w:rPr>
          <w:rFonts w:ascii="Amiri" w:hAnsi="Amiri" w:eastAsia="Amiri" w:cs="Amiri"/>
          <w:color w:val="111111"/>
          <w:sz w:val="28"/>
          <w:sz w:val="28"/>
          <w:szCs w:val="28"/>
          <w:rtl w:val="true"/>
          <w:lang w:bidi="ar-SA"/>
        </w:rPr>
        <w:t xml:space="preserve">ابن شاذان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يرتضي أبا سعيد الآدمي،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ونقل النجاشي والشيخ استثناء ابن الوليد القمّي له من رواة كتاب نوادر الحكمة</w:t>
      </w:r>
      <w:r>
        <w:rPr>
          <w:rStyle w:val="FootnoteAnchor"/>
          <w:rtl w:val="true"/>
        </w:rPr>
        <w:footnoteReference w:id="720"/>
      </w:r>
      <w:r>
        <w:rPr>
          <w:rFonts w:ascii="Amiri" w:hAnsi="Amiri" w:eastAsia="Amiri" w:cs="Amiri"/>
          <w:color w:val="111111"/>
          <w:sz w:val="28"/>
          <w:sz w:val="28"/>
          <w:szCs w:val="28"/>
          <w:rtl w:val="true"/>
          <w:lang w:bidi="ar-SA"/>
        </w:rPr>
        <w:t>، وضعّفه ابن الغضائري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جدّاً، فاسد الرواية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ابن محمّد بن عيسى الأشعري أخرجه من قم، وأظهر البراءة منه، ونهى الناس عن السماع منه، والرواية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المراسيل، ويعتمد المجاهيل</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 غير معتمدٍ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 يشهد عليه بالغلوّ والكذب، وأخرجه من قم إلى الري، وكان يسكنها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كما ضعّفه الشيخ نفسه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 جدّاً عند نقّاد الأخبار، وقد استثناه أبو جعفر ابن بابويه في رجال نوادر الحكمة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فيه المتأخّرون أيضاً فذهب جملة منهم إلى ضعفه كالفاضل الآبي</w:t>
      </w:r>
      <w:r>
        <w:rPr>
          <w:rStyle w:val="FootnoteAnchor"/>
          <w:rtl w:val="true"/>
        </w:rPr>
        <w:footnoteReference w:id="725"/>
      </w:r>
      <w:r>
        <w:rPr>
          <w:rFonts w:ascii="Amiri" w:hAnsi="Amiri" w:eastAsia="Amiri" w:cs="Amiri"/>
          <w:color w:val="111111"/>
          <w:sz w:val="28"/>
          <w:sz w:val="28"/>
          <w:szCs w:val="28"/>
          <w:rtl w:val="true"/>
          <w:lang w:bidi="ar-SA"/>
        </w:rPr>
        <w:t>، والعلّامة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712" w:name="pg9153_76636"/>
    </w:p>
    <w:p>
      <w:pPr>
        <w:pStyle w:val="BookText"/>
        <w:rPr/>
      </w:pPr>
      <w:bookmarkEnd w:id="712"/>
      <w:r>
        <w:rPr>
          <w:rFonts w:ascii="Amiri" w:hAnsi="Amiri" w:eastAsia="Amiri" w:cs="Amiri"/>
          <w:color w:val="111111"/>
          <w:sz w:val="28"/>
          <w:sz w:val="28"/>
          <w:szCs w:val="28"/>
          <w:rtl w:val="true"/>
          <w:lang w:bidi="ar-SA"/>
        </w:rPr>
        <w:t xml:space="preserve">وبنى آخرون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سهلٍ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كالوحيد</w:t>
      </w:r>
      <w:r>
        <w:rPr>
          <w:rStyle w:val="FootnoteAnchor"/>
          <w:rtl w:val="true"/>
        </w:rPr>
        <w:footnoteReference w:id="727"/>
      </w:r>
      <w:r>
        <w:rPr>
          <w:rFonts w:ascii="Amiri" w:hAnsi="Amiri" w:eastAsia="Amiri" w:cs="Amiri"/>
          <w:color w:val="111111"/>
          <w:sz w:val="28"/>
          <w:sz w:val="28"/>
          <w:szCs w:val="28"/>
          <w:rtl w:val="true"/>
          <w:lang w:bidi="ar-SA"/>
        </w:rPr>
        <w:t>، وصاحبي الرياض</w:t>
      </w:r>
      <w:r>
        <w:rPr>
          <w:rStyle w:val="FootnoteAnchor"/>
          <w:rtl w:val="true"/>
        </w:rPr>
        <w:footnoteReference w:id="728"/>
      </w:r>
      <w:r>
        <w:rPr>
          <w:rFonts w:ascii="IRNazanin" w:hAnsi="IRNazanin" w:eastAsia="IRNazanin"/>
          <w:color w:val="111111"/>
          <w:sz w:val="28"/>
          <w:sz w:val="28"/>
          <w:szCs w:val="28"/>
          <w:rtl w:val="true"/>
          <w:lang w:bidi="fa-IR"/>
        </w:rPr>
        <w:t>، والمستند</w:t>
      </w:r>
      <w:r>
        <w:rPr>
          <w:rStyle w:val="FootnoteAnchor"/>
          <w:rtl w:val="true"/>
        </w:rPr>
        <w:footnoteReference w:id="729"/>
      </w:r>
      <w:r>
        <w:rPr>
          <w:rFonts w:ascii="Amiri" w:hAnsi="Amiri" w:eastAsia="Amiri" w:cs="Amiri"/>
          <w:color w:val="111111"/>
          <w:sz w:val="28"/>
          <w:sz w:val="28"/>
          <w:szCs w:val="28"/>
          <w:rtl w:val="true"/>
          <w:lang w:bidi="ar-SA"/>
        </w:rPr>
        <w:t xml:space="preserve">، ووافقهم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سنده سهلاً، مدفوع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سهلٍ سهل</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اعتبار سنده؛ لسهولة الأمر في سهلٍ، بل ربّما قيل بوثاقته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المنجبر ضعفه بسهلٍ مع سهولته بالشهرة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الوجه فيه أمران</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3380764_2870459653"/>
      <w:bookmarkStart w:id="714" w:name="_Toc281"/>
      <w:bookmarkEnd w:id="713"/>
      <w:r>
        <w:rPr>
          <w:rtl w:val="true"/>
        </w:rPr>
        <w:t>الأمر الأوّل</w:t>
      </w:r>
      <w:bookmarkEnd w:id="71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الشيخ لسهل بن زياد في كتاب الرجال، وهو متأخّر عن الفهرست الّذي ضعّفه فيه، بشهادة إحالته على الفهرست في الرجال في غير موضعٍ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ذكرناها في الفهرست</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كثيرة، ذكرناها في كتاب الفهرست</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ذكرناها في الفهرست</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715" w:name="pg9153_76638"/>
    </w:p>
    <w:p>
      <w:pPr>
        <w:pStyle w:val="Heading4"/>
        <w:numPr>
          <w:ilvl w:val="3"/>
          <w:numId w:val="1"/>
        </w:numPr>
        <w:rPr/>
      </w:pPr>
      <w:bookmarkStart w:id="716" w:name="__RefHeading___Toc3380766_2870459653"/>
      <w:bookmarkStart w:id="717" w:name="_Toc282"/>
      <w:bookmarkEnd w:id="715"/>
      <w:bookmarkEnd w:id="716"/>
      <w:r>
        <w:rPr>
          <w:rtl w:val="true"/>
        </w:rPr>
        <w:t>الأمر الآخر</w:t>
      </w:r>
      <w:bookmarkEnd w:id="717"/>
    </w:p>
    <w:p>
      <w:pPr>
        <w:pStyle w:val="BookText"/>
        <w:rPr/>
      </w:pPr>
      <w:r>
        <w:rPr>
          <w:rFonts w:ascii="Amiri" w:hAnsi="Amiri" w:eastAsia="Amiri" w:cs="Amiri"/>
          <w:color w:val="111111"/>
          <w:sz w:val="28"/>
          <w:sz w:val="28"/>
          <w:szCs w:val="28"/>
          <w:rtl w:val="true"/>
          <w:lang w:bidi="ar-SA"/>
        </w:rPr>
        <w:t>حمل التضعيف الّذي ورد فيه على أنّه تضعيف لحديثه؛ لروايته المراسيل واعتماده على المجاهيل، أو لعقيدته لما وجده نقّاد الأحاديث من الغلوّ والتخليط في رواياته، وهما لا يقتضيان ضعفه في نفسه وأنّه كذّاب يضع الأحاديث، خصوصاً بعد تصريح جملة منها بقدحه من الجهتين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نظير ما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البرقي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طريقه محمّد بن خالد البرقي، وعن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ضعيفاً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 يروي عن الضعفاء كثيراً، ويعتمد المراسيل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حكي من توثيق الشيخ والعلّامة إيّاه؛ لأنّ الطعن المذكور إنّما هو في رواياته لا فيه نفسه، والفرق بينهما واضح</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فإنّ ضعف حديثه يدلّ على ضعفه في طريقته في نقل الأخبار، وعدم مداقّته في أسانيدها ومضامينها، فيروي عن الضعفاء، والمراسيل، وما كان من الأخبار فاسد المضمون في نظر نقّاد الأخبار كدلالتها على الغلوّ، ولعلّه من هنا وصفه ابن شاذان بالحمق من دون أن يكون سهل كاذباً في ما رواه، أو أنّه وضعه على غيره، ولو كان ضعيفاً من هذه الجهة لضعّف بها مع كثرة تعرّضهم لحاله؛ نظراً إلى كثرة رواياته، بل ولَما نصّ الشيخ على وثاقته كما تقدّم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نقله النجاشي عن أحمد بن محمّد بن عيسى من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عليه بالغلوّ والكذب وأخرجه من قم إلى الري، وكان يسكنها</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ما هو معروف </w:t>
      </w:r>
    </w:p>
    <w:p>
      <w:pPr>
        <w:pStyle w:val="BookText"/>
        <w:rPr/>
      </w:pPr>
      <w:r>
        <w:rPr>
          <w:rFonts w:ascii="IRNazanin" w:hAnsi="IRNazanin" w:eastAsia="IRNazanin"/>
          <w:color w:val="111111"/>
          <w:sz w:val="28"/>
          <w:sz w:val="28"/>
          <w:szCs w:val="28"/>
          <w:rtl w:val="true"/>
          <w:lang w:bidi="fa-IR"/>
        </w:rPr>
        <w:t xml:space="preserve">من تشدّد القمّيين في أمر الغلوّ حتّى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شيخنا محمّد بن الحسن ابن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في الغلوّ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738"/>
      </w:r>
      <w:r>
        <w:rPr>
          <w:rFonts w:ascii="IRNazanin" w:hAnsi="IRNazanin" w:eastAsia="IRNazanin"/>
          <w:color w:val="111111"/>
          <w:sz w:val="28"/>
          <w:sz w:val="28"/>
          <w:szCs w:val="28"/>
          <w:rtl w:val="true"/>
          <w:lang w:bidi="fa-IR"/>
        </w:rPr>
        <w:t xml:space="preserve">، وأنّه كان عازماً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تصنيف كتاب منفرد في إثبات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والردّ على منكريه</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من طريقة أهل قم من تضييق أمر العدالة، وتسرّعهم في جرح الرواة والطعن عليهم وإخراجهم من بلدة قم بأدنى ريبة وتهمة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جدّاً أن تكون نسبة الكذب لسهل لما وجده من الغلوّ الشديد في نظره في مضامين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وثاقة سهل بن زياد جملة أمورٍ أيّد بها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إبراهيم ابن هاشم</w:t>
      </w:r>
      <w:r>
        <w:rPr>
          <w:rStyle w:val="FootnoteAnchor"/>
          <w:rtl w:val="true"/>
        </w:rPr>
        <w:footnoteReference w:id="741"/>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والثقات عنه كمحمّد بن يحيى العطّار</w:t>
      </w:r>
      <w:r>
        <w:rPr>
          <w:rStyle w:val="FootnoteAnchor"/>
          <w:rtl w:val="true"/>
        </w:rPr>
        <w:footnoteReference w:id="742"/>
      </w:r>
      <w:r>
        <w:rPr>
          <w:rFonts w:ascii="Amiri" w:hAnsi="Amiri" w:eastAsia="Amiri" w:cs="Amiri"/>
          <w:color w:val="111111"/>
          <w:sz w:val="28"/>
          <w:sz w:val="28"/>
          <w:szCs w:val="28"/>
          <w:rtl w:val="true"/>
          <w:lang w:bidi="ar-SA"/>
        </w:rPr>
        <w:t xml:space="preserve">، ومحمّد بن </w:t>
      </w:r>
    </w:p>
    <w:p>
      <w:pPr>
        <w:pStyle w:val="BookText"/>
        <w:rPr/>
      </w:pPr>
      <w:r>
        <w:rPr>
          <w:rFonts w:ascii="IRNazanin" w:hAnsi="IRNazanin" w:eastAsia="IRNazanin"/>
          <w:color w:val="111111"/>
          <w:sz w:val="28"/>
          <w:sz w:val="28"/>
          <w:szCs w:val="28"/>
          <w:rtl w:val="true"/>
          <w:lang w:bidi="fa-IR"/>
        </w:rPr>
        <w:t>الحسن الصفّار</w:t>
      </w:r>
      <w:r>
        <w:rPr>
          <w:rStyle w:val="FootnoteAnchor"/>
          <w:rtl w:val="true"/>
        </w:rPr>
        <w:footnoteReference w:id="743"/>
      </w:r>
      <w:r>
        <w:rPr>
          <w:rFonts w:ascii="Amiri" w:hAnsi="Amiri" w:eastAsia="Amiri" w:cs="Amiri"/>
          <w:color w:val="111111"/>
          <w:sz w:val="28"/>
          <w:sz w:val="28"/>
          <w:szCs w:val="28"/>
          <w:rtl w:val="true"/>
          <w:lang w:bidi="ar-SA"/>
        </w:rPr>
        <w:t>، وعليّ بن إبراهيم</w:t>
      </w:r>
      <w:r>
        <w:rPr>
          <w:rStyle w:val="FootnoteAnchor"/>
          <w:rtl w:val="true"/>
        </w:rPr>
        <w:footnoteReference w:id="744"/>
      </w:r>
      <w:r>
        <w:rPr>
          <w:rFonts w:ascii="Amiri" w:hAnsi="Amiri" w:eastAsia="Amiri" w:cs="Amiri"/>
          <w:color w:val="111111"/>
          <w:sz w:val="28"/>
          <w:sz w:val="28"/>
          <w:szCs w:val="28"/>
          <w:rtl w:val="true"/>
          <w:lang w:bidi="ar-SA"/>
        </w:rPr>
        <w:t>، وأحمد بن إدريس</w:t>
      </w:r>
      <w:r>
        <w:rPr>
          <w:rStyle w:val="FootnoteAnchor"/>
          <w:rtl w:val="true"/>
        </w:rPr>
        <w:footnoteReference w:id="745"/>
      </w:r>
      <w:r>
        <w:rPr>
          <w:rFonts w:ascii="Amiri" w:hAnsi="Amiri" w:eastAsia="Amiri" w:cs="Amiri"/>
          <w:color w:val="111111"/>
          <w:sz w:val="28"/>
          <w:sz w:val="28"/>
          <w:szCs w:val="28"/>
          <w:rtl w:val="true"/>
          <w:lang w:bidi="ar-SA"/>
        </w:rPr>
        <w:t>، وسعد بن عبد الله الأشعري</w:t>
      </w:r>
      <w:r>
        <w:rPr>
          <w:rStyle w:val="FootnoteAnchor"/>
          <w:rtl w:val="true"/>
        </w:rPr>
        <w:footnoteReference w:id="746"/>
      </w:r>
      <w:r>
        <w:rPr>
          <w:rFonts w:ascii="Amiri" w:hAnsi="Amiri" w:eastAsia="Amiri" w:cs="Amiri"/>
          <w:color w:val="111111"/>
          <w:sz w:val="28"/>
          <w:sz w:val="28"/>
          <w:szCs w:val="28"/>
          <w:rtl w:val="true"/>
          <w:lang w:bidi="ar-SA"/>
        </w:rPr>
        <w:t>، والحسن بن متيل</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الكليني أكثرَ من الرواية عن سهل بن زياد في كتابه الكافي الّذي صرّح في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جميع ما فيه من الروايات الصادرة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748"/>
      </w:r>
      <w:r>
        <w:rPr>
          <w:rFonts w:ascii="IRNazanin" w:hAnsi="IRNazanin" w:eastAsia="IRNazanin"/>
          <w:color w:val="111111"/>
          <w:sz w:val="28"/>
          <w:sz w:val="28"/>
          <w:szCs w:val="28"/>
          <w:rtl w:val="true"/>
          <w:lang w:bidi="fa-IR"/>
        </w:rPr>
        <w:t xml:space="preserve">، وقد تقدّمت عبارته، ممّا يدلّ على أنّ روايات سهل بن زياد الكثيرة في الكافي هي من الآثار الصحيحة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مدح معتدّ به يدلّ على حسن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سهل بن زياد كثير الرواية جدّاً؛ إذ بلغت رواياته المئات في الكافي وحده، ممّا أوجب أن يكون ذلك له حسناً؛ لِما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على قدر روايتهم عنّا</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 الدالّ على مدح الراوي بكونه ذا منزلة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روايته عنهم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كان توثيق سهل بن زياد مقترناً بضعف حديثه اقتضى ذلك أنْ يعدّ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أحاديثه في الحسان،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للجنب أن يمشي في المساجد كلّها ولا يجلس فيها إلّا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750"/>
      </w:r>
      <w:r>
        <w:rPr>
          <w:rFonts w:ascii="IRNazanin" w:hAnsi="IRNazanin" w:eastAsia="IRNazanin"/>
          <w:color w:val="111111"/>
          <w:sz w:val="28"/>
          <w:sz w:val="28"/>
          <w:szCs w:val="28"/>
          <w:rtl w:val="true"/>
          <w:lang w:bidi="fa-IR"/>
        </w:rPr>
        <w:t xml:space="preserve">، فقد رواها الكليني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ومحمّد بن الحسن، عن سهل بن زياد، عن ابن أبي نصر، 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وصف بعض أسانيده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موثّق إسحاق بن عمّار المروي في الكافي والتهذيب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حتّى يضعها في قبرها</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 فقد رويت في الكافي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زياد، عن محمّد بن أورمة، عن عليّ ابن ميسرة،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3"/>
      </w:r>
      <w:r>
        <w:rPr>
          <w:rFonts w:ascii="Amiri" w:hAnsi="Amiri" w:eastAsia="Amiri" w:cs="Amiri"/>
          <w:color w:val="111111"/>
          <w:sz w:val="28"/>
          <w:sz w:val="28"/>
          <w:szCs w:val="28"/>
          <w:rtl w:val="true"/>
          <w:lang w:bidi="ar-SA"/>
        </w:rPr>
        <w:t>، وعنه في التهذيب</w:t>
      </w:r>
      <w:r>
        <w:rPr>
          <w:rStyle w:val="FootnoteAnchor"/>
          <w:rtl w:val="true"/>
        </w:rPr>
        <w:footnoteReference w:id="754"/>
      </w:r>
      <w:r>
        <w:rPr>
          <w:rFonts w:ascii="Amiri" w:hAnsi="Amiri" w:eastAsia="Amiri" w:cs="Amiri"/>
          <w:color w:val="111111"/>
          <w:sz w:val="28"/>
          <w:sz w:val="28"/>
          <w:szCs w:val="28"/>
          <w:rtl w:val="true"/>
          <w:lang w:bidi="ar-SA"/>
        </w:rPr>
        <w:t>، لكنّه لا يتمّ؛ لأنّ في سنده عليّ بن ميسرة، وهو مجهول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مقام شرح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وبناؤه على ضعف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المعتبر</w:t>
      </w:r>
      <w:r>
        <w:rPr>
          <w:rStyle w:val="FootnoteAnchor"/>
          <w:rtl w:val="true"/>
        </w:rPr>
        <w:footnoteReference w:id="755"/>
      </w:r>
      <w:r>
        <w:rPr>
          <w:rFonts w:ascii="IRNazanin" w:hAnsi="IRNazanin" w:eastAsia="IRNazanin"/>
          <w:color w:val="111111"/>
          <w:sz w:val="28"/>
          <w:sz w:val="28"/>
          <w:szCs w:val="28"/>
          <w:rtl w:val="true"/>
          <w:lang w:bidi="fa-IR"/>
        </w:rPr>
        <w:t>، والرسائل التسع</w:t>
      </w:r>
      <w:r>
        <w:rPr>
          <w:rStyle w:val="FootnoteAnchor"/>
          <w:rtl w:val="true"/>
        </w:rPr>
        <w:footnoteReference w:id="756"/>
      </w:r>
      <w:r>
        <w:rPr>
          <w:rFonts w:ascii="IRNazanin" w:hAnsi="IRNazanin" w:eastAsia="IRNazanin"/>
          <w:color w:val="111111"/>
          <w:sz w:val="28"/>
          <w:sz w:val="28"/>
          <w:szCs w:val="28"/>
          <w:rtl w:val="true"/>
          <w:lang w:bidi="fa-IR"/>
        </w:rPr>
        <w:t>، بل صرّح به في الشرائع نفسها،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الورثة ملاء اقتسموه، فإن جاء ردّوه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إسحاق قول، </w:t>
      </w:r>
      <w:bookmarkStart w:id="718" w:name="pg9153_76646"/>
    </w:p>
    <w:p>
      <w:pPr>
        <w:pStyle w:val="BookText"/>
        <w:rPr/>
      </w:pPr>
      <w:bookmarkEnd w:id="718"/>
      <w:r>
        <w:rPr>
          <w:rFonts w:ascii="Amiri" w:hAnsi="Amiri" w:eastAsia="Amiri" w:cs="Amiri"/>
          <w:color w:val="111111"/>
          <w:sz w:val="28"/>
          <w:sz w:val="28"/>
          <w:szCs w:val="28"/>
          <w:rtl w:val="true"/>
          <w:lang w:bidi="ar-SA"/>
        </w:rPr>
        <w:t>وفي طريقها سهل بن زياد، وهو ضعيف</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بضعف سهل في توضيحه لعبارة الشرائع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ومع ذلك كلّه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المستند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سهل بن زياد، وضعفه مشهور، ومحمّد بن الحسن بن شمّون، وهو غال ضعيف جدّاً، وعبد الله بن عبد الرحمن الأصمّ، وهو ضعيف وليس بشيء</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 ضعيفة الطريق إلى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بسهل بن زياد، ومحمّد ابن الحسن بن شمّون الغالي الملعون، وبعبد الله بن عبد الرحمن الأصمّ الضعيف الغالي أيضاً الّذي هو من كذّابة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إذن ساقطة</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ولم يحاول بيان سهولة الأمر في سهل لتماميّة ضعف السند بغيره، ولذا عالج الأوّل بوجود الجابر له</w:t>
      </w:r>
      <w:r>
        <w:rPr>
          <w:rStyle w:val="FootnoteAnchor"/>
          <w:rtl w:val="true"/>
        </w:rPr>
        <w:footnoteReference w:id="760"/>
      </w:r>
      <w:r>
        <w:rPr>
          <w:rFonts w:ascii="Amiri" w:hAnsi="Amiri" w:eastAsia="Amiri" w:cs="Amiri"/>
          <w:color w:val="111111"/>
          <w:sz w:val="28"/>
          <w:sz w:val="28"/>
          <w:szCs w:val="28"/>
          <w:rtl w:val="true"/>
          <w:lang w:bidi="ar-SA"/>
        </w:rPr>
        <w:t>، بل في الغالب لا يهتمّ لبيان حال سهل بن زياد فيما لو كانت الأحاديث ضعيفة من غير جهته أو مرسلة أو ورد إلى جنبه الأخبار الصحيحة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3380768_2870459653"/>
      <w:bookmarkStart w:id="720" w:name="_Toc283"/>
      <w:bookmarkEnd w:id="719"/>
      <w:r>
        <w:rPr/>
        <w:t>5</w:t>
      </w:r>
      <w:r>
        <w:rPr>
          <w:rtl w:val="true"/>
        </w:rPr>
        <w:t xml:space="preserve">. </w:t>
      </w:r>
      <w:r>
        <w:rPr>
          <w:rtl w:val="true"/>
        </w:rPr>
        <w:t>طلحة بن زيد</w:t>
      </w:r>
      <w:bookmarkEnd w:id="720"/>
    </w:p>
    <w:p>
      <w:pPr>
        <w:pStyle w:val="Heading4"/>
        <w:numPr>
          <w:ilvl w:val="3"/>
          <w:numId w:val="1"/>
        </w:numPr>
        <w:rPr/>
      </w:pPr>
      <w:bookmarkStart w:id="721" w:name="__RefHeading___Toc3380770_2870459653"/>
      <w:bookmarkStart w:id="722" w:name="_Toc284"/>
      <w:bookmarkEnd w:id="721"/>
      <w:r>
        <w:rPr>
          <w:rtl w:val="true"/>
        </w:rPr>
        <w:t>اشارة</w:t>
      </w:r>
      <w:bookmarkEnd w:id="72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طلحة بن زيد، أبو الخزرج، النهدي، الشامي، القرشي، ويقال الخزري</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عامّي، روى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ذكره أصحاب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يختلف برواياتهم</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وقال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وهو عامّي المذهب، إلّا أنّ كتابه معتمد</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 وفي الرجال في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بتري</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ولفساد مذهبه عدّه العلّامة في القسم الثاني من الخلاصة الّذي جعله لذكر الضعفاء ومَن يُرَدُّ قولهم أو يتوقّف فيهم</w:t>
      </w:r>
      <w:r>
        <w:rPr>
          <w:rStyle w:val="FootnoteAnchor"/>
          <w:rtl w:val="true"/>
        </w:rPr>
        <w:footnoteReference w:id="766"/>
      </w:r>
      <w:r>
        <w:rPr>
          <w:rFonts w:ascii="Amiri" w:hAnsi="Amiri" w:eastAsia="Amiri" w:cs="Amiri"/>
          <w:color w:val="111111"/>
          <w:sz w:val="28"/>
          <w:sz w:val="28"/>
          <w:szCs w:val="28"/>
          <w:rtl w:val="true"/>
          <w:lang w:bidi="ar-SA"/>
        </w:rPr>
        <w:t>، وقال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بن زيد عامّي فلا تعويل على روايته</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وطلحة بن زيد بتري، وحفص بن غياث عامّي فلا عمل على روايتهما</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الطريق ضعيف بطلحة بن زيد</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طلحة بن زيد بتري، والبترية فرقة من الزيدية، وقال الشيخ في الفهرست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ضعيفة بطلحة بن زيد البتري</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والسيّد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ضعيفة السند، فإنّ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طلحة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على ما نصّ عليه النجاشي وغيره</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والمحقّق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طريق هذا الخبر من يتوقّف في شأنه إلّا طلحة بن زيد وهو غير موثّق في كتبالرجال مع أنّه بتري عامّي إلّا أنّ الشيخ ذكر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معتمد</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وسيّد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 الراوي له طلحة بن زيد، العامّي بنصّ الشيخ والنجاشي</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وصف المحقّق القمّي رواية لطلحة بن زيد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قويّة طلحة ابن زيد</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723" w:name="pg9153_76652"/>
    </w:p>
    <w:p>
      <w:pPr>
        <w:pStyle w:val="BookText"/>
        <w:rPr/>
      </w:pPr>
      <w:bookmarkEnd w:id="723"/>
      <w:r>
        <w:rPr>
          <w:rFonts w:ascii="Amiri" w:hAnsi="Amiri" w:eastAsia="Amiri" w:cs="Amiri"/>
          <w:color w:val="111111"/>
          <w:sz w:val="28"/>
          <w:sz w:val="28"/>
          <w:szCs w:val="28"/>
          <w:rtl w:val="true"/>
          <w:lang w:bidi="ar-SA"/>
        </w:rPr>
        <w:t>وقال المجلسي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إلّا أنّه كالموثّق؛ لأنّهم ذكروا في طلحة أنّ كتابه معتمد</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وذكر له الوحيد البهبهاني وجهين آخرين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خالي بكونه كالموثّق، ولعلّه لقول الشيخ كتابه معتمد، ويروي عنه صفوان بن يحيى، وباقي الكلام مرّ في إسماعيل بن أبي زياد؛ إذ لا يخفى أنّه أيضاً من جملتهم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إلى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تعويلاً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عدّ حديث طلحة من القويّ أو الموثّق؛ لأنّ كتابه معتمد، وداخل تحت إجماع العدّة، وأنّ صفوان يروي عنه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ذكرت ثلاثة وجوه للبناء على اعتبار طلحة بن زيد</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3380772_2870459653"/>
      <w:bookmarkStart w:id="725" w:name="_Toc285"/>
      <w:bookmarkEnd w:id="724"/>
      <w:r>
        <w:rPr>
          <w:rtl w:val="true"/>
        </w:rPr>
        <w:t>الوجه الأوّل</w:t>
      </w:r>
      <w:bookmarkEnd w:id="725"/>
    </w:p>
    <w:p>
      <w:pPr>
        <w:pStyle w:val="BookText"/>
        <w:rPr/>
      </w:pPr>
      <w:r>
        <w:rPr>
          <w:rFonts w:ascii="Amiri" w:hAnsi="Amiri" w:eastAsia="Amiri" w:cs="Amiri"/>
          <w:color w:val="111111"/>
          <w:sz w:val="28"/>
          <w:sz w:val="28"/>
          <w:szCs w:val="28"/>
          <w:rtl w:val="true"/>
          <w:lang w:bidi="ar-SA"/>
        </w:rPr>
        <w:t>أنّ قول الشيخ المتقدّم في حقّ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كتابه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كالتوثيق له، إذ لا وجه للاعتماد على كتابه بعد فساد عقيدته إلّا وثاقته في نقل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الوحيد البهبهاني التأمّل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جعل ذلك مقام التوثيق كما سنشير إليه في حفص بن غياث مع التأمّل فيه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الاعتماد على الكتاب لا يزيد شأناً عن شهرة </w:t>
      </w:r>
      <w:bookmarkStart w:id="726" w:name="pg9153_76654"/>
    </w:p>
    <w:p>
      <w:pPr>
        <w:pStyle w:val="BookText"/>
        <w:rPr/>
      </w:pPr>
      <w:bookmarkEnd w:id="726"/>
      <w:r>
        <w:rPr>
          <w:rFonts w:ascii="Amiri" w:hAnsi="Amiri" w:eastAsia="Amiri" w:cs="Amiri"/>
          <w:color w:val="111111"/>
          <w:sz w:val="28"/>
          <w:sz w:val="28"/>
          <w:szCs w:val="28"/>
          <w:rtl w:val="true"/>
          <w:lang w:bidi="ar-SA"/>
        </w:rPr>
        <w:t>الرواية أو الحكم بصحّتها عند القدماء اللذَينِ يجتمعان مع ضعف الراوي</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3380774_2870459653"/>
      <w:bookmarkStart w:id="728" w:name="_Toc286"/>
      <w:bookmarkEnd w:id="727"/>
      <w:r>
        <w:rPr>
          <w:rtl w:val="true"/>
        </w:rPr>
        <w:t>الوجه الثاني</w:t>
      </w:r>
      <w:bookmarkEnd w:id="728"/>
    </w:p>
    <w:p>
      <w:pPr>
        <w:pStyle w:val="BookText"/>
        <w:rPr/>
      </w:pPr>
      <w:r>
        <w:rPr>
          <w:rFonts w:ascii="Amiri" w:hAnsi="Amiri" w:eastAsia="Amiri" w:cs="Amiri"/>
          <w:color w:val="111111"/>
          <w:sz w:val="28"/>
          <w:sz w:val="28"/>
          <w:szCs w:val="28"/>
          <w:rtl w:val="true"/>
          <w:lang w:bidi="ar-SA"/>
        </w:rPr>
        <w:t>رواية صفوان بن يحيى عن طلحة بن زيد</w:t>
      </w:r>
      <w:r>
        <w:rPr>
          <w:rStyle w:val="FootnoteAnchor"/>
          <w:rtl w:val="true"/>
        </w:rPr>
        <w:footnoteReference w:id="780"/>
      </w:r>
      <w:r>
        <w:rPr>
          <w:rFonts w:ascii="Amiri" w:hAnsi="Amiri" w:eastAsia="Amiri" w:cs="Amiri"/>
          <w:color w:val="111111"/>
          <w:sz w:val="28"/>
          <w:sz w:val="28"/>
          <w:szCs w:val="28"/>
          <w:rtl w:val="true"/>
          <w:lang w:bidi="ar-SA"/>
        </w:rPr>
        <w:t>، وقد قال الشيخ في حقّ صفوان بأنّه لا يروي ولا يرسل إلّا عن ثقة موثوق به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تقدّم عدم بناء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من روى عنهم المشايخ الثلاثة</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3380776_2870459653"/>
      <w:bookmarkStart w:id="730" w:name="_Toc287"/>
      <w:bookmarkEnd w:id="729"/>
      <w:r>
        <w:rPr>
          <w:rtl w:val="true"/>
        </w:rPr>
        <w:t>الوجه الثالث</w:t>
      </w:r>
      <w:bookmarkEnd w:id="730"/>
    </w:p>
    <w:p>
      <w:pPr>
        <w:pStyle w:val="Heading5"/>
        <w:numPr>
          <w:ilvl w:val="4"/>
          <w:numId w:val="1"/>
        </w:numPr>
        <w:rPr/>
      </w:pPr>
      <w:bookmarkStart w:id="731" w:name="__RefHeading___Toc3380778_2870459653"/>
      <w:bookmarkStart w:id="732" w:name="_Toc288"/>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أنّ الشيخ قال في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إذا كان مخالفاً في الاعتقاد لأصل المذهب وروى مع ذلك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فيما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الفرقة المحقّة خبر يوافق ذلك ولا يخالفه، ولا يعرف لهم قول فيه، وجب أيضاً العمل به، لِما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نزلت بكم حادثة لا تجدون حكمها في ما رووا عنّا فانظروا إلى ما رووه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ما قلناه عملت الطائفة بما رواه حفص بن غياث، وغياث بن كلوب، ونوح بن درّاج، والسكوني، وغيرهم من العامّة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بن زيد وإنْ لم يكن مذكوراً في ضمنهم صريحاً إلّا أنّه يشمله عموم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مخالفاً في الاعتقاد لأصل المذهب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بنى على استفادة التوثيق من عبارة الشيخ المذكورة كما تقدّم البحث فيها، إلّا أنّ ذلك في ما علم دخولهم تحتها من المصرّح بأسمائهم، وأمّا غيرهم فلا سبيل للبناء على وثاقتهم لمجرّد </w:t>
      </w:r>
      <w:bookmarkStart w:id="733" w:name="pg9153_76655"/>
    </w:p>
    <w:p>
      <w:pPr>
        <w:pStyle w:val="BookText"/>
        <w:rPr/>
      </w:pPr>
      <w:bookmarkEnd w:id="733"/>
      <w:r>
        <w:rPr>
          <w:rFonts w:ascii="IRNazanin" w:hAnsi="IRNazanin" w:eastAsia="IRNazanin"/>
          <w:color w:val="111111"/>
          <w:sz w:val="28"/>
          <w:sz w:val="28"/>
          <w:szCs w:val="28"/>
          <w:rtl w:val="true"/>
          <w:lang w:bidi="fa-IR"/>
        </w:rPr>
        <w:t>احتمال شمولها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ولضعف الوجوه الثلاثة نسبها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المتقدّمة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يبني على وثاقته، ولذا وصف حديثه في غير موضع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أمور ثلاثة</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380780_2870459653"/>
      <w:bookmarkStart w:id="735" w:name="_Toc289"/>
      <w:bookmarkEnd w:id="734"/>
      <w:r>
        <w:rPr>
          <w:rtl w:val="true"/>
        </w:rPr>
        <w:t>الأمر الأوّل</w:t>
      </w:r>
      <w:bookmarkEnd w:id="735"/>
    </w:p>
    <w:p>
      <w:pPr>
        <w:pStyle w:val="BookText"/>
        <w:rPr/>
      </w:pPr>
      <w:r>
        <w:rPr>
          <w:rFonts w:ascii="Amiri" w:hAnsi="Amiri" w:eastAsia="Amiri" w:cs="Amiri"/>
          <w:color w:val="111111"/>
          <w:sz w:val="28"/>
          <w:sz w:val="28"/>
          <w:szCs w:val="28"/>
          <w:rtl w:val="true"/>
          <w:lang w:bidi="ar-SA"/>
        </w:rPr>
        <w:t>أنّ وصف المحقّق القمّي لرواية طلحة بن زيد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وصف القويّ يستعمل بمعنيين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رواته إمامياً مسكوتاً عنه، بأن لم يذكر بجرح أو تعديل، مع وثاقة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وهو ما كان من رواته فاسد العقيدة، لكن نصّ الأصحاب على وثاقته، مع وثاقة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طلحة بن زيد فاسد العقيدة فيكون وصف حديثه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مندرجاً تحت المعنى الآخر</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380782_2870459653"/>
      <w:bookmarkStart w:id="737" w:name="_Toc290"/>
      <w:bookmarkEnd w:id="736"/>
      <w:r>
        <w:rPr>
          <w:rtl w:val="true"/>
        </w:rPr>
        <w:t>الأمر الثاني</w:t>
      </w:r>
      <w:bookmarkEnd w:id="7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قول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وباقي الكلام مرّ في إسماعيل بن أبي زياد، إذ لا يخفى أنّه أيضاً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ما تقدّم من عبارة الشيخ في العدّة، </w:t>
      </w:r>
      <w:bookmarkStart w:id="738" w:name="pg9153_76658"/>
    </w:p>
    <w:p>
      <w:pPr>
        <w:pStyle w:val="BookText"/>
        <w:rPr/>
      </w:pPr>
      <w:bookmarkEnd w:id="738"/>
      <w:r>
        <w:rPr>
          <w:rFonts w:ascii="Amiri" w:hAnsi="Amiri" w:eastAsia="Amiri" w:cs="Amiri"/>
          <w:color w:val="111111"/>
          <w:sz w:val="28"/>
          <w:sz w:val="28"/>
          <w:szCs w:val="28"/>
          <w:rtl w:val="true"/>
          <w:lang w:bidi="ar-SA"/>
        </w:rPr>
        <w:t>والّتي ذكر فيها إسماعيل بن أبي زياد السكوني صريحاً، وأنّ طلحة بن زيد من جملة العامّة المشمولين بها</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3380784_2870459653"/>
      <w:bookmarkStart w:id="740" w:name="_Toc291"/>
      <w:bookmarkEnd w:id="739"/>
      <w:r>
        <w:rPr>
          <w:rtl w:val="true"/>
        </w:rPr>
        <w:t>الأمر الثالث</w:t>
      </w:r>
      <w:bookmarkEnd w:id="740"/>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البترية هم أصحاب كثير النوا، والحسن بن صالح ابن حيّ، وسالم بن أبي حفصة، والحكم بن عيينة، وسلمة بن كهيل، وأبو المقدام ثابت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دعوا إلى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خلطوها بولاية أبي بكر وعمر، ويثبتون لهما إمامتهما، وينتقصون عثمان وطلحة والزبير، ويرون الخروج مع بطون ولد عليّ بن أبي طالب، يذهبون في ذلك إلى الأمر بالمعروف والنهي عن المنكر، ويثبتون لكلّ من خرج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الإمامة</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3380786_2870459653"/>
      <w:bookmarkStart w:id="742" w:name="_Toc292"/>
      <w:bookmarkEnd w:id="741"/>
      <w:r>
        <w:rPr/>
        <w:t>6</w:t>
      </w:r>
      <w:r>
        <w:rPr>
          <w:rtl w:val="true"/>
        </w:rPr>
        <w:t xml:space="preserve">. </w:t>
      </w:r>
      <w:r>
        <w:rPr>
          <w:rtl w:val="true"/>
        </w:rPr>
        <w:t>عبد الواحد بن محمّد بن عبدوس</w:t>
      </w:r>
      <w:bookmarkEnd w:id="742"/>
    </w:p>
    <w:p>
      <w:pPr>
        <w:pStyle w:val="Heading4"/>
        <w:numPr>
          <w:ilvl w:val="3"/>
          <w:numId w:val="1"/>
        </w:numPr>
        <w:rPr/>
      </w:pPr>
      <w:bookmarkStart w:id="743" w:name="__RefHeading___Toc3380788_2870459653"/>
      <w:bookmarkStart w:id="744" w:name="_Toc293"/>
      <w:bookmarkEnd w:id="743"/>
      <w:r>
        <w:rPr>
          <w:rtl w:val="true"/>
        </w:rPr>
        <w:t>اشارة</w:t>
      </w:r>
      <w:bookmarkEnd w:id="7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بن محمّد بن عبدوس</w:t>
      </w:r>
      <w:r>
        <w:rPr>
          <w:rStyle w:val="FootnoteAnchor"/>
          <w:rtl w:val="true"/>
        </w:rPr>
        <w:footnoteReference w:id="786"/>
      </w:r>
      <w:r>
        <w:rPr>
          <w:rFonts w:ascii="Amiri" w:hAnsi="Amiri" w:eastAsia="Amiri" w:cs="Amiri"/>
          <w:color w:val="111111"/>
          <w:sz w:val="28"/>
          <w:sz w:val="28"/>
          <w:szCs w:val="28"/>
          <w:rtl w:val="true"/>
          <w:lang w:bidi="ar-SA"/>
        </w:rPr>
        <w:t xml:space="preserve">، العطّار،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يذكر في الأصول الرجالية، وهو شيخ الصدوق، وقد أكثرَ من الرواية عنه مترحِّماً عليه تارة</w:t>
      </w:r>
      <w:r>
        <w:rPr>
          <w:rStyle w:val="FootnoteAnchor"/>
          <w:rtl w:val="true"/>
        </w:rPr>
        <w:footnoteReference w:id="787"/>
      </w:r>
      <w:r>
        <w:rPr>
          <w:rFonts w:ascii="Amiri" w:hAnsi="Amiri" w:eastAsia="Amiri" w:cs="Amiri"/>
          <w:color w:val="111111"/>
          <w:sz w:val="28"/>
          <w:sz w:val="28"/>
          <w:szCs w:val="28"/>
          <w:rtl w:val="true"/>
          <w:lang w:bidi="ar-SA"/>
        </w:rPr>
        <w:t>، ومترضّياً أخرى</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745" w:name="pg9153_76660"/>
    </w:p>
    <w:p>
      <w:pPr>
        <w:pStyle w:val="BookText"/>
        <w:rPr/>
      </w:pPr>
      <w:bookmarkEnd w:id="745"/>
      <w:r>
        <w:rPr>
          <w:rFonts w:ascii="Amiri" w:hAnsi="Amiri" w:eastAsia="Amiri" w:cs="Amiri"/>
          <w:color w:val="111111"/>
          <w:sz w:val="28"/>
          <w:sz w:val="28"/>
          <w:szCs w:val="28"/>
          <w:rtl w:val="true"/>
          <w:lang w:bidi="ar-SA"/>
        </w:rPr>
        <w:t>وقد اختلفت كلمات الأعلام فيه على أربعة أقوال</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380790_2870459653"/>
      <w:bookmarkStart w:id="747" w:name="_Toc294"/>
      <w:bookmarkEnd w:id="746"/>
      <w:r>
        <w:rPr>
          <w:rtl w:val="true"/>
        </w:rPr>
        <w:t>القول الأوّل</w:t>
      </w:r>
      <w:bookmarkEnd w:id="747"/>
    </w:p>
    <w:p>
      <w:pPr>
        <w:pStyle w:val="BookText"/>
        <w:rPr/>
      </w:pPr>
      <w:r>
        <w:rPr>
          <w:rFonts w:ascii="Amiri" w:hAnsi="Amiri" w:eastAsia="Amiri" w:cs="Amiri"/>
          <w:color w:val="111111"/>
          <w:sz w:val="28"/>
          <w:sz w:val="28"/>
          <w:szCs w:val="28"/>
          <w:rtl w:val="true"/>
          <w:lang w:bidi="ar-SA"/>
        </w:rPr>
        <w:t>أنّه مجهول؛ لعدم ذكره في الأصول الرجالية، مع عدم كفاية مشيخة الإجازة للبناء على وثاقته، واختاره صاحب المدارك في موضع منها</w:t>
      </w:r>
      <w:r>
        <w:rPr>
          <w:rStyle w:val="FootnoteAnchor"/>
          <w:rtl w:val="true"/>
        </w:rPr>
        <w:footnoteReference w:id="789"/>
      </w:r>
      <w:r>
        <w:rPr>
          <w:rFonts w:ascii="Amiri" w:hAnsi="Amiri" w:eastAsia="Amiri" w:cs="Amiri"/>
          <w:color w:val="111111"/>
          <w:sz w:val="28"/>
          <w:sz w:val="28"/>
          <w:szCs w:val="28"/>
          <w:rtl w:val="true"/>
          <w:lang w:bidi="ar-SA"/>
        </w:rPr>
        <w:t>، والمحقّق الأردبيلي،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وسندها غير واضح؛ لعدم العلم بحال عبد الواحد بن محمّد بن عبدوس، ومجرّد كونه شيخاً لأبي جعفر الصدوق وروايته عنه بلا واسطة، لا يدلّ على التوثيق</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3380792_2870459653"/>
      <w:bookmarkStart w:id="749" w:name="_Toc295"/>
      <w:bookmarkEnd w:id="748"/>
      <w:r>
        <w:rPr>
          <w:rtl w:val="true"/>
        </w:rPr>
        <w:t>القول الثاني</w:t>
      </w:r>
      <w:bookmarkEnd w:id="749"/>
    </w:p>
    <w:p>
      <w:pPr>
        <w:pStyle w:val="BookText"/>
        <w:rPr/>
      </w:pPr>
      <w:r>
        <w:rPr>
          <w:rFonts w:ascii="Amiri" w:hAnsi="Amiri" w:eastAsia="Amiri" w:cs="Amiri"/>
          <w:color w:val="111111"/>
          <w:sz w:val="28"/>
          <w:sz w:val="28"/>
          <w:szCs w:val="28"/>
          <w:rtl w:val="true"/>
          <w:lang w:bidi="ar-SA"/>
        </w:rPr>
        <w:t>أنّه على تقدير جهالته لا يضرّ وجوده في اعتبار السند؛ لأنّ وجوده فيه من أجل اتّصاله؛ إذ لم يكن من المصنّفين، وقد أشار إلى ذلك المحقّق السبزواري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أنّه من مشايخ الإجازة من</w:t>
      </w:r>
      <w:r>
        <w:rPr>
          <w:rStyle w:val="FootnoteAnchor"/>
          <w:rtl w:val="true"/>
        </w:rPr>
        <w:footnoteReference w:id="791"/>
      </w:r>
      <w:r>
        <w:rPr>
          <w:rFonts w:ascii="Amiri" w:hAnsi="Amiri" w:eastAsia="Amiri" w:cs="Amiri"/>
          <w:color w:val="111111"/>
          <w:sz w:val="28"/>
          <w:sz w:val="28"/>
          <w:szCs w:val="28"/>
          <w:rtl w:val="true"/>
          <w:lang w:bidi="ar-SA"/>
        </w:rPr>
        <w:t>المصنّفين والنقل من كتاب بعض الرواة المتقدّمة عليه فلا يتوقّف الاعتماد على الرواية على حسن حاله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3380794_2870459653"/>
      <w:bookmarkStart w:id="751" w:name="_Toc296"/>
      <w:bookmarkEnd w:id="750"/>
      <w:r>
        <w:rPr>
          <w:rtl w:val="true"/>
        </w:rPr>
        <w:t>القول الثالث</w:t>
      </w:r>
      <w:bookmarkEnd w:id="75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إماميّ غير ممدوح ولا مذموم؛ ولذا وصفوا حديثه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استُفيد ذلك من كونه شيخاً للصدوق، وقد أكثرَ الرواية </w:t>
      </w:r>
      <w:bookmarkStart w:id="752" w:name="pg9153_76661"/>
    </w:p>
    <w:p>
      <w:pPr>
        <w:pStyle w:val="BookText"/>
        <w:rPr/>
      </w:pPr>
      <w:bookmarkEnd w:id="752"/>
      <w:r>
        <w:rPr>
          <w:rFonts w:ascii="Amiri" w:hAnsi="Amiri" w:eastAsia="Amiri" w:cs="Amiri"/>
          <w:color w:val="111111"/>
          <w:sz w:val="28"/>
          <w:sz w:val="28"/>
          <w:szCs w:val="28"/>
          <w:rtl w:val="true"/>
          <w:lang w:bidi="ar-SA"/>
        </w:rPr>
        <w:t>عنه، 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ذكر شيخنا في المسالك وغيره أنّه شيخ الصدوق، وهو قد عمل بها، فهو في قوّة الشهادة له بالثقة، ومن البعيد أن يروي الصدوق عن غير الثقة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إفادة ذلك التوثيق بالمعنى المصطلح بين المتأخّرين مناقشة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غايته إفادة القوّة، فلا وجه للحكم بالصحّة</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3380796_2870459653"/>
      <w:bookmarkStart w:id="754" w:name="_Toc297"/>
      <w:bookmarkEnd w:id="753"/>
      <w:r>
        <w:rPr>
          <w:rtl w:val="true"/>
        </w:rPr>
        <w:t>القول الرابع</w:t>
      </w:r>
      <w:bookmarkEnd w:id="754"/>
    </w:p>
    <w:p>
      <w:pPr>
        <w:pStyle w:val="BookText"/>
        <w:rPr/>
      </w:pPr>
      <w:r>
        <w:rPr>
          <w:rFonts w:ascii="Amiri" w:hAnsi="Amiri" w:eastAsia="Amiri" w:cs="Amiri"/>
          <w:color w:val="111111"/>
          <w:sz w:val="28"/>
          <w:sz w:val="28"/>
          <w:szCs w:val="28"/>
          <w:rtl w:val="true"/>
          <w:lang w:bidi="ar-SA"/>
        </w:rPr>
        <w:t>أنّه ثقة؛ لكونه من مشايخ الصدوق، ومن البعيد أن يروي مثل الصدوق عن غير الثقة، خصوصاً وأنّه أكثرَ من الرواية عنه مترضّياً عليه تارةً، ومترحِّماً أخرى، ولأنّ العلّامة حكم بصحّة روايته في بعض كتبه،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ترك المصنّف العمل بها؛ لأنّ في سندها عبد الواحد بن عبدوس النيسابوري، وهو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شيخ ابن بابويه وهو قد عمل بها فهو في قوّة الشهادة له بالثقة، ومن البعيد أنْ يروي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الثقة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العلّامة في التحرير في باب الكفّارات شهد بصحّة الرواية، وهو صريح في التزكية لعبد الواحد</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والتأمّل في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المختلف أنّه لا يحضره الآن حاله، ولو كان ثقة لكانت الرواية صحيحة يتعيّن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مع ملاحظة كونه معتمد الصدوق وشيخه، وروى عنه بلا واسطة، وقال بعد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يحصل الظنّ بالتوثيق من عدل أزيد ممّا يحصل من ذلك</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الأوّل، وأنّه مجهول؛ لعدم ذكره بمدح أو ذمّ، وعدم كفاية مشيخة الإجازة في إثبات الوثاقة عنده،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نقف له في مجموع كلامه على موقفه من دلالة الترضّي والترحّم على وثاقة الراوي أو حسنه، لكنّ الظاهر منه في المقام أنّ شأنهما شأن شيخوخة الإجازة في عدم استلزامها شيئاً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القصور في السند بعبد الواحد وعليّ اللذَينِ لم ينصّ على توثيقهما، وكونهما شيخي إجازة لا يستلزمها</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المدارك من أنّ في طريق هذه الرواية عليّ بن محمّد بن قتيبة، وهو غير موثّق بل ولا ممدوح مدحاً يعتدّ به، وعبد السلام بن صالح الهروي، وفيه كلام، فيشكل التعويل عليها في إثبات حكم مخالف للأصل، وإن أمكن مناقشته بأنّ العلّامة في المحكي عن تحريره قد حكم بصحّتها، وفي المختلف أنّ عبد الواحد بن عبدوس النيشابوري لا يحضرني الآن حاله، فإن كان ثقةً فالرواية صحيحة يتعيّن العمل بها، وظاهره عدم التوقّف فيها إلّا من عبد الواحد الّذي هو من مشايخ الصدوق المعتبرين الّذِين أخذ عنه الحديث، وقد أكثر في الرواية عنه في كتبه، كما أنّ ابن قتيبة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مشايخ الكشّي، وقد أكثر النقل عنه في كتابه، فلا أقلّ من أن يكونا هما من مشايخ الإجازة المتّفق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احتياجهم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 الخبر </w:t>
      </w:r>
      <w:bookmarkStart w:id="755" w:name="pg9153_76666"/>
    </w:p>
    <w:p>
      <w:pPr>
        <w:pStyle w:val="BookText"/>
        <w:rPr/>
      </w:pPr>
      <w:bookmarkEnd w:id="755"/>
      <w:r>
        <w:rPr>
          <w:rFonts w:ascii="Amiri" w:hAnsi="Amiri" w:eastAsia="Amiri" w:cs="Amiri"/>
          <w:color w:val="111111"/>
          <w:sz w:val="28"/>
          <w:sz w:val="28"/>
          <w:szCs w:val="28"/>
          <w:rtl w:val="true"/>
          <w:lang w:bidi="ar-SA"/>
        </w:rPr>
        <w:t>المزبور بناءً على الظنون الاجتهادية، إلّا أنّه مع ذلك لا يخلو من دغدغة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3380798_2870459653"/>
      <w:bookmarkStart w:id="757" w:name="_Toc298"/>
      <w:bookmarkEnd w:id="756"/>
      <w:r>
        <w:rPr/>
        <w:t>7</w:t>
      </w:r>
      <w:r>
        <w:rPr>
          <w:rtl w:val="true"/>
        </w:rPr>
        <w:t xml:space="preserve">. </w:t>
      </w:r>
      <w:r>
        <w:rPr>
          <w:rtl w:val="true"/>
        </w:rPr>
        <w:t>عليّ بن أبي حمزة البطائني</w:t>
      </w:r>
      <w:bookmarkEnd w:id="757"/>
    </w:p>
    <w:p>
      <w:pPr>
        <w:pStyle w:val="BookText"/>
        <w:rPr/>
      </w:pPr>
      <w:r>
        <w:rPr>
          <w:rFonts w:ascii="IRNazanin" w:hAnsi="IRNazanin" w:eastAsia="IRNazanin"/>
          <w:color w:val="111111"/>
          <w:sz w:val="28"/>
          <w:sz w:val="28"/>
          <w:szCs w:val="28"/>
          <w:rtl w:val="true"/>
          <w:lang w:bidi="fa-IR"/>
        </w:rPr>
        <w:t xml:space="preserve">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حمزة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البطائني، أبو الحسن، مولى الأنصار، كوفي، وكان قائد أبي بصير يحيى بن القاسم، روى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وصنّف كتباً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وكتاب الزكاة، وكتاب التفسير وأكثره عن أبي بصير، وكتاب جامع في أبواب الفقه</w:t>
      </w:r>
      <w:r>
        <w:rPr>
          <w:rStyle w:val="FootnoteAnchor"/>
          <w:rtl w:val="true"/>
        </w:rPr>
        <w:footnoteReference w:id="799"/>
      </w:r>
      <w:r>
        <w:rPr>
          <w:rFonts w:ascii="Amiri" w:hAnsi="Amiri" w:eastAsia="Amiri" w:cs="Amiri"/>
          <w:color w:val="111111"/>
          <w:sz w:val="28"/>
          <w:sz w:val="28"/>
          <w:szCs w:val="28"/>
          <w:rtl w:val="true"/>
          <w:lang w:bidi="ar-SA"/>
        </w:rPr>
        <w:t>،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أبي حمزة البطائني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وأصحابك أشباه الحمير</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 وبعد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عليه، ولم يعتقد بإمامة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من عُمد الواقفة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سبب وقفه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قوّامه أحد إلّا وعنده المال الكثير، فكان ذلك سبب وقفهم وجحودهم لموته، وكان عند زياد القندي سبعون ألف دينار، وعند عليّ بن أبي حمزة ثلاثون ألف </w:t>
      </w:r>
    </w:p>
    <w:p>
      <w:pPr>
        <w:pStyle w:val="BookText"/>
        <w:rPr/>
      </w:pPr>
      <w:r>
        <w:rPr>
          <w:rFonts w:ascii="IRNazanin" w:hAnsi="IRNazanin" w:eastAsia="IRNazanin"/>
          <w:color w:val="111111"/>
          <w:sz w:val="28"/>
          <w:sz w:val="28"/>
          <w:szCs w:val="28"/>
          <w:rtl w:val="true"/>
          <w:lang w:bidi="fa-IR"/>
        </w:rPr>
        <w:t>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ذلك، وتبيّن الحقّ وعرفت من أمر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تكلّمت ودعوت الناس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فبعثا إليّ وقالا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يدعوك إلى هذا، إنْ كنت تريد المال فنحن نغنيك وضمنا لي عشرة آلاف دينار، وقالا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فأبَيتُ،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فعلى العالم أن يظهر علمه فإنْ لم يفعل سلب منه نور الإيمان، وما كنت لأدع الجهاد في أمر الله على كلّ حال، فناصباني وأضمرا لي العداوة</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حمزة كذّاب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عليّ بن أبي حمزة في قبره، فسُئل عن الأئمّة، فأخبر بأسمائهم حتّى انتهى إليّ فسُئل، فوقف، فضرب على رأسه ضربة امتلأ قبره ناراً</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يستحلّ ابن فضّال الرواية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حمزة كذّاب ملعون، قد رويت عنه أحاديث كثيرة، وكتبت تفسير القرآن كلّه من أوّله إلى آخره، إلّا أنّي لا أستحلّ أن أروي عنه حديثاً واحداً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 ذلك كلّه صرّح الشيخ في العدّة بأنّ الطائفة عملت بأخباره لكونه متحرّجاً في روايته موثوقاً في أمانته،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 رووه ليس هناك ما يخالفه ولا يعرف من الطائفة العمل بخلافه، وجب أيضاً العمل به إذا كان متحرّجاً في روايته موثوقاً في أمانته وإنْ كان مخطئاً في أصل الاعتقاد، ولأجل ما قلناه عملت الطائفة بأخبار الفطحية مثل عبد الله بن بكير وغيره، وأخبار الواقفة مثل سماعة بن مهران، وعليّ بن أبي حمزة، وعثمان بن عيسى</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بنى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ضعفه لِما تقدّم من الأخبار الذامّة، وتصريح ابن فضّال بكذبه،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في سند هذه الرواية من عليّ بن أبي حمزة وأنّه واقفي قد أكل أموال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وعدواناً منجبر بما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الشهرة </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 أبي بصير، مع أنّ في سنده عليّ بن أبي حمزة البطائني الكذّاب المتّهم الّذي هو وأصحابه أشباه الحمير، وأجلس في قبره فضرب بمرزبة من حديد امتلأ منها قبره ناراً</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 xml:space="preserve">، </w:t>
      </w:r>
      <w:bookmarkStart w:id="758" w:name="pg9153_76671"/>
    </w:p>
    <w:p>
      <w:pPr>
        <w:pStyle w:val="BookText"/>
        <w:rPr/>
      </w:pPr>
      <w:bookmarkEnd w:id="75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سندها عليّ بن أبي حمزة البطائني المعلوم حاله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الوجه في عدم اعتداده بما تقدّم عن الشيخ هو معارضته بنصّ ابن فضّال على كذبه واتّهامه مع تقدّيم قول الجارح، ومن ثَمَّ وصف حديثه في غير موضع من كتابه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في سندٍ 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البطائني وغيره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الطعن في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بعليّ بن سالم باشتراكه بين المجهول والضعيف</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بجملة من أخباره بعد اعتضادها بالشهرة لكفايتها في جبر الخبر الضعيف عنده، منها قوله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في سند هذه الرواية من عليّ بن أبي حمزة، وأنّه واقفيّ قد أكل أموال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وعدواناً منجبر بما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الشهرة </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3380800_2870459653"/>
      <w:bookmarkStart w:id="760" w:name="_Toc299"/>
      <w:bookmarkEnd w:id="759"/>
      <w:r>
        <w:rPr/>
        <w:t>8</w:t>
      </w:r>
      <w:r>
        <w:rPr>
          <w:rtl w:val="true"/>
        </w:rPr>
        <w:t xml:space="preserve">. </w:t>
      </w:r>
      <w:r>
        <w:rPr>
          <w:rtl w:val="true"/>
        </w:rPr>
        <w:t>محمّد بن إسماعيل</w:t>
      </w:r>
      <w:bookmarkEnd w:id="760"/>
    </w:p>
    <w:p>
      <w:pPr>
        <w:pStyle w:val="Heading4"/>
        <w:numPr>
          <w:ilvl w:val="3"/>
          <w:numId w:val="1"/>
        </w:numPr>
        <w:rPr/>
      </w:pPr>
      <w:bookmarkStart w:id="761" w:name="__RefHeading___Toc3380802_2870459653"/>
      <w:bookmarkStart w:id="762" w:name="_Toc300"/>
      <w:bookmarkEnd w:id="761"/>
      <w:r>
        <w:rPr>
          <w:rtl w:val="true"/>
        </w:rPr>
        <w:t>اشارة</w:t>
      </w:r>
      <w:bookmarkEnd w:id="76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شيخ الكليني، وقد أكثر من الرواية عنه في الكافي بما يقارب ستمائة مورد</w:t>
      </w:r>
      <w:r>
        <w:rPr>
          <w:rStyle w:val="FootnoteAnchor"/>
          <w:rtl w:val="true"/>
        </w:rPr>
        <w:footnoteReference w:id="812"/>
      </w:r>
      <w:r>
        <w:rPr>
          <w:rFonts w:ascii="Amiri" w:hAnsi="Amiri" w:eastAsia="Amiri" w:cs="Amiri"/>
          <w:color w:val="111111"/>
          <w:sz w:val="28"/>
          <w:sz w:val="28"/>
          <w:szCs w:val="28"/>
          <w:rtl w:val="true"/>
          <w:lang w:bidi="ar-SA"/>
        </w:rPr>
        <w:t xml:space="preserve">، منها زهاء أربعمائة مورد عنه عن الفضل بن شاذان، وقد وقع الكلام </w:t>
      </w:r>
      <w:bookmarkStart w:id="763" w:name="pg9153_76673"/>
    </w:p>
    <w:p>
      <w:pPr>
        <w:pStyle w:val="BookText"/>
        <w:rPr/>
      </w:pPr>
      <w:bookmarkEnd w:id="763"/>
      <w:r>
        <w:rPr>
          <w:rFonts w:ascii="Amiri" w:hAnsi="Amiri" w:eastAsia="Amiri" w:cs="Amiri"/>
          <w:color w:val="111111"/>
          <w:sz w:val="28"/>
          <w:sz w:val="28"/>
          <w:szCs w:val="28"/>
          <w:rtl w:val="true"/>
          <w:lang w:bidi="ar-SA"/>
        </w:rPr>
        <w:t>في تمييزه، ووثاقته، فهنا جهتان</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3380804_2870459653"/>
      <w:bookmarkStart w:id="765" w:name="_Toc301"/>
      <w:bookmarkEnd w:id="764"/>
      <w:r>
        <w:rPr>
          <w:rtl w:val="true"/>
        </w:rPr>
        <w:t>الجهة الأولى</w:t>
      </w:r>
      <w:r>
        <w:rPr>
          <w:rtl w:val="true"/>
        </w:rPr>
        <w:t xml:space="preserve">: </w:t>
      </w:r>
      <w:r>
        <w:rPr>
          <w:rtl w:val="true"/>
        </w:rPr>
        <w:t>تعيين المبحوث عنه</w:t>
      </w:r>
      <w:bookmarkEnd w:id="765"/>
    </w:p>
    <w:p>
      <w:pPr>
        <w:pStyle w:val="BookText"/>
        <w:rPr/>
      </w:pPr>
      <w:r>
        <w:rPr>
          <w:rFonts w:ascii="Amiri" w:hAnsi="Amiri" w:eastAsia="Amiri" w:cs="Amiri"/>
          <w:color w:val="111111"/>
          <w:sz w:val="28"/>
          <w:sz w:val="28"/>
          <w:szCs w:val="28"/>
          <w:rtl w:val="true"/>
          <w:lang w:bidi="ar-SA"/>
        </w:rPr>
        <w:t>إنّ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رواة ذُكر ثلاثة منهم في تعيين المبحوث عنه،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أبو جعفر، مولى المنصور، الكوفي،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صالحي هذه الطائفة وثقاتهم، كثير العمل</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صحيح</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xml:space="preserve">، وعدّه من أصحاب الأئمّة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الوحيد إلى من اختار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 بعض كونه ابن بزيع؛ لأنّ الإطلاق ينصرف إليه، وأنّه وجد في بعض الأسناد التصريح به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احتمال كون محمّد بن إسماعيل المبحوث عنه هو ابن بزيع ضعيف؛ لأمرين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يروي عن الفضل بن شاذان كثيراً كما مرّت الإشارة إليه، بينما يروي ابن شاذان عن ابن بزيع كما في العيون</w:t>
      </w:r>
      <w:r>
        <w:rPr>
          <w:rStyle w:val="FootnoteAnchor"/>
          <w:rtl w:val="true"/>
        </w:rPr>
        <w:footnoteReference w:id="817"/>
      </w:r>
      <w:r>
        <w:rPr>
          <w:rFonts w:ascii="Amiri" w:hAnsi="Amiri" w:eastAsia="Amiri" w:cs="Amiri"/>
          <w:color w:val="111111"/>
          <w:sz w:val="28"/>
          <w:sz w:val="28"/>
          <w:szCs w:val="28"/>
          <w:rtl w:val="true"/>
          <w:lang w:bidi="ar-SA"/>
        </w:rPr>
        <w:t>بل صرّح به الكشّي،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أبي عمير، وصفوان </w:t>
      </w:r>
    </w:p>
    <w:p>
      <w:pPr>
        <w:pStyle w:val="BookText"/>
        <w:rPr/>
      </w:pPr>
      <w:r>
        <w:rPr>
          <w:rFonts w:ascii="Amiri" w:hAnsi="Amiri" w:eastAsia="Amiri" w:cs="Amiri"/>
          <w:color w:val="111111"/>
          <w:sz w:val="28"/>
          <w:sz w:val="28"/>
          <w:szCs w:val="28"/>
          <w:rtl w:val="true"/>
          <w:lang w:bidi="ar-SA"/>
        </w:rPr>
        <w:t>ابن يحيى، والحسن بن محبوب، والحسن بن عليّ بن فضّال، ومحمّد بن إسماعيل بن بزيع</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يروي عن المبحوث عنه مباشرةً، وفي موارد عديدة تقدّمت الإشارة إليها، بينما لا يروي عن ابن بزيع كذلك، وإنّما يروي عنه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سهل بن زياد،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ابن خالد،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الأشعري، عن محمّد بن عبد الجبار،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أخيه إسحاق ابن إبراهيم،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w:t>
      </w:r>
    </w:p>
    <w:p>
      <w:pPr>
        <w:pStyle w:val="BookText"/>
        <w:rPr/>
      </w:pPr>
      <w:r>
        <w:rPr>
          <w:rFonts w:ascii="Amiri" w:hAnsi="Amiri" w:eastAsia="Amiri" w:cs="Amiri"/>
          <w:color w:val="111111"/>
          <w:sz w:val="28"/>
          <w:sz w:val="28"/>
          <w:szCs w:val="28"/>
          <w:rtl w:val="true"/>
          <w:lang w:bidi="ar-SA"/>
        </w:rPr>
        <w:t>ابن زياد،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إسماعيل بن بزيع</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بثلاث،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محمّد بن جمهور،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عن عليّ بن مهزيار، عن محمّد ابن إسماعيل بن بزيع</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عبد الله بن عامر، عن عليّ بن مهزيار، عن محمّد بن إسماعيل بن بزيع</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الكليني عن ابن بزيع بالوسائط المذكورة لا تتنافى مع روايته عنه مباشرةً، إذ تحمل على البناء المعروف من طريقته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في طريقته يكون بعد ذكر السند المبني عليه قبلاً، بل مع القرينة عادةً، وليس الحال كذلك في ما رواه عنه مباشرةً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الكليني روى عن المبحوث عنه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بالسماع منه مباشرةً، وأنّه شيخه، وذلك في ما رواه الصدوق،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 xml:space="preserve">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الفضل بن شاذان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في بعض الأسناد التصريح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 نظر إلى ما ذكره الكليني في الروضة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عليّ بن إبراهيم، عن أبيه، عن ابن فضّال، عن حفص المؤذن،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محمّد بن إسماعيل بن بزيع، عن محمّد بن سنان، عن إسماعيل 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33"/>
      </w:r>
      <w:r>
        <w:rPr>
          <w:rFonts w:ascii="Amiri" w:hAnsi="Amiri" w:eastAsia="Amiri" w:cs="Amiri"/>
          <w:color w:val="111111"/>
          <w:sz w:val="28"/>
          <w:sz w:val="28"/>
          <w:szCs w:val="28"/>
          <w:rtl w:val="true"/>
          <w:lang w:bidi="ar-SA"/>
        </w:rPr>
        <w:t>، بجعل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إبراهيم، ومحمّد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على إبراهيم بن هاشم بقرينة كثرة رواية الكليني عن ابن بزيع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مجال للتعويل على كون الإطلاق فيه ينصرف إلى ابن بزيع ما دامت القرينة قائمةً على خلافه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أحمد بن بشير، البرمكي، الرازي، المعروف بصاحب الصومعة، أبو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سكن قم، وليس أصله منها</w:t>
      </w:r>
      <w:r>
        <w:rPr>
          <w:rStyle w:val="FootnoteAnchor"/>
          <w:rtl w:val="true"/>
        </w:rPr>
        <w:footnoteReference w:id="8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وثّقه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مستقيماً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وضعّفه ابن الغضائري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وبنى الشيخ البهائي على كونه المبحوث عنه 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قرْبه من طبقة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الأعلام لِما رواه الكليني عنه بالصحّة الدالّة على أنّه ثقة، وليس إلّا البرمكيّ كذلك</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لم يروِ عن البرمكي إلّا بواسطة شيخه ابن أبي عبد الله محمّد بن جعفر الأسدي،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جعفر الأسدي، عن محمّد بن إسماعيل البرمكي الرازي</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عن محمّد بن إسماعيل البرمكي، عن عليّ بن عبّاس الخراذيني</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بينما أكثرَ من الرواية مباشرةً عن المبحوث عنه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التصحيح غير منحصرٍ بذلك كما سيأتي بيانه؛ مضافاً لِما عرفت من تضعيف ابن الغضائري للبرمكي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النيسابوري، البندقي، أبو الحسن</w:t>
      </w:r>
      <w:r>
        <w:rPr>
          <w:rStyle w:val="FootnoteAnchor"/>
          <w:rtl w:val="true"/>
        </w:rPr>
        <w:footnoteReference w:id="840"/>
      </w:r>
      <w:r>
        <w:rPr>
          <w:rFonts w:ascii="Amiri" w:hAnsi="Amiri" w:eastAsia="Amiri" w:cs="Amiri"/>
          <w:color w:val="111111"/>
          <w:sz w:val="28"/>
          <w:sz w:val="28"/>
          <w:szCs w:val="28"/>
          <w:rtl w:val="true"/>
          <w:lang w:bidi="ar-SA"/>
        </w:rPr>
        <w:t>، شيخ الكشّي، والواسطة بينه وبين الفضل بن شاذان في جملة ممّا رواه عنه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استقرّ رأي المشهور على أنّ النيسابوري المذكور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المبحوث عنه، قال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استقرّ عليه رأي الكلّ في أمثال زماننا أنّه الواسطة بينهما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روى عنه عن الفضل مصرّحاً باسمه،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الحسن محمّد بن إسماعيل البندقي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بن شاذان بن الخليل</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والكشّي والكليني في طبقة واحدة؛ لرواية ابن قولويه عنهما</w:t>
      </w:r>
      <w:r>
        <w:rPr>
          <w:rStyle w:val="FootnoteAnchor"/>
          <w:rtl w:val="true"/>
        </w:rPr>
        <w:footnoteReference w:id="845"/>
      </w:r>
      <w:r>
        <w:rPr>
          <w:rFonts w:ascii="Amiri" w:hAnsi="Amiri" w:eastAsia="Amiri" w:cs="Amiri"/>
          <w:color w:val="111111"/>
          <w:sz w:val="28"/>
          <w:sz w:val="28"/>
          <w:szCs w:val="28"/>
          <w:rtl w:val="true"/>
          <w:lang w:bidi="ar-SA"/>
        </w:rPr>
        <w:t>، وقد عدّهما السيّد البروجردي من الطبقة التاسعة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766" w:name="pg9153_76685"/>
    </w:p>
    <w:p>
      <w:pPr>
        <w:pStyle w:val="Heading4"/>
        <w:numPr>
          <w:ilvl w:val="3"/>
          <w:numId w:val="1"/>
        </w:numPr>
        <w:rPr/>
      </w:pPr>
      <w:bookmarkStart w:id="767" w:name="__RefHeading___Toc3380806_2870459653"/>
      <w:bookmarkStart w:id="768" w:name="_Toc302"/>
      <w:bookmarkEnd w:id="766"/>
      <w:bookmarkEnd w:id="767"/>
      <w:r>
        <w:rPr>
          <w:rtl w:val="true"/>
        </w:rPr>
        <w:t>الجهة الأخرى</w:t>
      </w:r>
      <w:r>
        <w:rPr>
          <w:rtl w:val="true"/>
        </w:rPr>
        <w:t xml:space="preserve">: </w:t>
      </w:r>
      <w:r>
        <w:rPr>
          <w:rtl w:val="true"/>
        </w:rPr>
        <w:t>وثاقته</w:t>
      </w:r>
      <w:bookmarkEnd w:id="768"/>
    </w:p>
    <w:p>
      <w:pPr>
        <w:pStyle w:val="BookText"/>
        <w:rPr/>
      </w:pPr>
      <w:r>
        <w:rPr>
          <w:rFonts w:ascii="Amiri" w:hAnsi="Amiri" w:eastAsia="Amiri" w:cs="Amiri"/>
          <w:color w:val="111111"/>
          <w:sz w:val="28"/>
          <w:sz w:val="28"/>
          <w:szCs w:val="28"/>
          <w:rtl w:val="true"/>
          <w:lang w:bidi="ar-SA"/>
        </w:rPr>
        <w:t>لم ينصّ على النيسابوري بشيء؛ إذ لم يتعرّض لوثاقته الكشّي، وإنّما روى عنه فقط في الموارد الّتي أشير إليها، وذكره الشيخ في من لم يروِ عنهم من غير مدح أو ذمّ،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يكنّى، أبا الحسن، نيسابوري، يدّعى بندقي</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ولذا بنى جملة من الأعلام على جهالته كالمحقّق الأردبيلي</w:t>
      </w:r>
      <w:r>
        <w:rPr>
          <w:rStyle w:val="FootnoteAnchor"/>
          <w:rtl w:val="true"/>
        </w:rPr>
        <w:footnoteReference w:id="848"/>
      </w:r>
      <w:r>
        <w:rPr>
          <w:rFonts w:ascii="Amiri" w:hAnsi="Amiri" w:eastAsia="Amiri" w:cs="Amiri"/>
          <w:color w:val="111111"/>
          <w:sz w:val="28"/>
          <w:sz w:val="28"/>
          <w:szCs w:val="28"/>
          <w:rtl w:val="true"/>
          <w:lang w:bidi="ar-SA"/>
        </w:rPr>
        <w:t>، وصاحب المدارك</w:t>
      </w:r>
      <w:r>
        <w:rPr>
          <w:rStyle w:val="FootnoteAnchor"/>
          <w:rtl w:val="true"/>
        </w:rPr>
        <w:footnoteReference w:id="849"/>
      </w:r>
      <w:r>
        <w:rPr>
          <w:rFonts w:ascii="Amiri" w:hAnsi="Amiri" w:eastAsia="Amiri" w:cs="Amiri"/>
          <w:color w:val="111111"/>
          <w:sz w:val="28"/>
          <w:sz w:val="28"/>
          <w:szCs w:val="28"/>
          <w:rtl w:val="true"/>
          <w:lang w:bidi="ar-SA"/>
        </w:rPr>
        <w:t>، والشيخ البهائي</w:t>
      </w:r>
      <w:r>
        <w:rPr>
          <w:rStyle w:val="FootnoteAnchor"/>
          <w:rtl w:val="true"/>
        </w:rPr>
        <w:footnoteReference w:id="850"/>
      </w:r>
      <w:r>
        <w:rPr>
          <w:rFonts w:ascii="Amiri" w:hAnsi="Amiri" w:eastAsia="Amiri" w:cs="Amiri"/>
          <w:color w:val="111111"/>
          <w:sz w:val="28"/>
          <w:sz w:val="28"/>
          <w:szCs w:val="28"/>
          <w:rtl w:val="true"/>
          <w:lang w:bidi="ar-SA"/>
        </w:rPr>
        <w:t>، والمحقّق السبزواري</w:t>
      </w:r>
      <w:r>
        <w:rPr>
          <w:rStyle w:val="FootnoteAnchor"/>
          <w:rtl w:val="true"/>
        </w:rPr>
        <w:footnoteReference w:id="851"/>
      </w:r>
      <w:r>
        <w:rPr>
          <w:rFonts w:ascii="Amiri" w:hAnsi="Amiri" w:eastAsia="Amiri" w:cs="Amiri"/>
          <w:color w:val="111111"/>
          <w:sz w:val="28"/>
          <w:sz w:val="28"/>
          <w:szCs w:val="28"/>
          <w:rtl w:val="true"/>
          <w:lang w:bidi="ar-SA"/>
        </w:rPr>
        <w:t>، وصاحب الرياض</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محاولتان للبناء على اعتبار حديثه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يقتضي حسنه، قال صاحب منتقى الجمان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حال هذا الرجل مجهول أيضاً؛ إذ لم يعلم له ذكر إلّا بما رأيت، فليس في هذا التعيين كثير فائدة، ولعلّ في إكثار الكليني من الرواية عنه شهادة بحسن حاله كما نبّهنا عليه في الفائدة الثامنة، مضافاً إلى نقاوة حديثه، وقد وصف جماعة من الأصحاب أوّلهم العلّامة أحاديث كثيرة هو في طرقها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تقي الدين ابن داود في كتابه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وردت رواية عن محمّد بن يعقوب، عن محمّد بن إسماعيل ففي </w:t>
      </w:r>
    </w:p>
    <w:p>
      <w:pPr>
        <w:pStyle w:val="BookText"/>
        <w:rPr/>
      </w:pPr>
      <w:r>
        <w:rPr>
          <w:rFonts w:ascii="Amiri" w:hAnsi="Amiri" w:eastAsia="Amiri" w:cs="Amiri"/>
          <w:color w:val="111111"/>
          <w:sz w:val="28"/>
          <w:sz w:val="28"/>
          <w:szCs w:val="28"/>
          <w:rtl w:val="true"/>
          <w:lang w:bidi="ar-SA"/>
        </w:rPr>
        <w:t>صحّتها قولان، فإنّ في لقائه له إشكالاً فتقف الرواية بجهالة الواسطة بينهما وإنْ كانا مرضيين معظّمين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في خاطري إدخال الحديث المشتمل عليه في قسم الحسن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عدم توقّف اعتبار الرواية على وثاقته؛ لأنّ دوره كان في السند شرفياً، قال السيّد صاحب 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الظاهر أنّ كتب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موجودة بعينها في زمن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محمّد بن إسماعيل هذا إنّما ذكر لمجرّد اتّصال السند فلا يبعد القول بصحّة رواياته كما قطع به العلّامة، وأكثر المتأخّرين</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من الواضح أنّ هذا الوجه غير متوقّفٍ على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الكليني، وأنّه أيّ واحد من الثلاثة أو غيرهم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رواها الكليني مقتصراً عليها في كيفيّة التسبيح، والشيخ صدّر بها الأخبار الّتي أوردها في كتابيه، بل وصفها جماعة من الأساطين منهم العلّامة والشهيد والمحقّق الثاني بالصحّة، بل عن مختلف أوّلهم أنّها هي وصحيحة الحلبي الآتية أصحّ ما بلغنا في هذا الباب، والظاهر أنّه كذلك؛ لأنّه ليس في طريقها مَن يتوقّف فيه إلّا محمّد بن إسماعيل، والأصحّ الأشهر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حديثه صحيحاً؛ إمّا لأنّه ثقة كما بُيّن في محلّه مفصّلاً على وجه يرفع الاشتراك بينه وبين غيره، أو لكونه من مشايخ الإجازة للحديث المنقول من كتب الفضل، فلا </w:t>
      </w:r>
    </w:p>
    <w:p>
      <w:pPr>
        <w:pStyle w:val="BookText"/>
        <w:rPr/>
      </w:pPr>
      <w:r>
        <w:rPr>
          <w:rFonts w:ascii="Amiri" w:hAnsi="Amiri" w:eastAsia="Amiri" w:cs="Amiri"/>
          <w:color w:val="111111"/>
          <w:sz w:val="28"/>
          <w:sz w:val="28"/>
          <w:szCs w:val="28"/>
          <w:rtl w:val="true"/>
          <w:lang w:bidi="ar-SA"/>
        </w:rPr>
        <w:t>يكون واسطة في النقل</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المحاولة الثانية نظراً إلى نسبته الأولى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إكثار الكليني لا يزيد على رواية مَن قيل في حقّه أنّه لا يروي إلّا عن ثقة، وهي لا تفيد إلّا كون الراوي ثقة عندهم لا عند غيرهم</w:t>
      </w:r>
      <w:r>
        <w:rPr>
          <w:rStyle w:val="FootnoteAnchor"/>
          <w:rtl w:val="true"/>
        </w:rPr>
        <w:footnoteReference w:id="856"/>
      </w:r>
      <w:r>
        <w:rPr>
          <w:rFonts w:ascii="Amiri" w:hAnsi="Amiri" w:eastAsia="Amiri" w:cs="Amiri"/>
          <w:color w:val="111111"/>
          <w:sz w:val="28"/>
          <w:sz w:val="28"/>
          <w:szCs w:val="28"/>
          <w:rtl w:val="true"/>
          <w:lang w:bidi="ar-SA"/>
        </w:rPr>
        <w:t xml:space="preserve">، وتصحيح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كفايته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أنّه اعتقد أنّه أحد الموثقين؛ وقول ابن داود على تقدير دلالته على التوثيق، فمن الممكن جدّاً اعتماده على تصحيح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سجّل على صاحب المدارك الملاحظة بضعف السند به لجهالته على المشهور، وقد وافقهم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في المدارك النادر، بل لا مستند له إلّا تقدّيم صحيح معاوية بن عمّار المشتمل على النبكة على خبر ابن حمّاد؛ لضعف سنده بناءً على طريقته من دوران الأمر مدار الأسانيد، ولقد أجاد في الحدائق هنا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صحّ السند غمض عينيه ونام عليه وأضرب عن متن الخبر سواء خالف الأصول أو وافقها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يناقش في صحّة الخبر في المقام بتضمّن سنده محمّد بن إسماعيل عن الفضل بن شاذان، والأوّل مجهول على المشهور وإنْ عدّوا السند الّذي فيه </w:t>
      </w:r>
      <w:bookmarkStart w:id="769" w:name="pg9153_76691"/>
    </w:p>
    <w:p>
      <w:pPr>
        <w:pStyle w:val="BookText"/>
        <w:rPr/>
      </w:pPr>
      <w:bookmarkEnd w:id="769"/>
      <w:r>
        <w:rPr>
          <w:rFonts w:ascii="Amiri" w:hAnsi="Amiri" w:eastAsia="Amiri" w:cs="Amiri"/>
          <w:color w:val="111111"/>
          <w:sz w:val="28"/>
          <w:sz w:val="28"/>
          <w:szCs w:val="28"/>
          <w:rtl w:val="true"/>
          <w:lang w:bidi="ar-SA"/>
        </w:rPr>
        <w:t>صحيحاً أو قريباً منه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3380808_2870459653"/>
      <w:bookmarkStart w:id="771" w:name="_Toc303"/>
      <w:bookmarkEnd w:id="770"/>
      <w:r>
        <w:rPr/>
        <w:t>9</w:t>
      </w:r>
      <w:r>
        <w:rPr>
          <w:rtl w:val="true"/>
        </w:rPr>
        <w:t xml:space="preserve">. </w:t>
      </w:r>
      <w:r>
        <w:rPr>
          <w:rtl w:val="true"/>
        </w:rPr>
        <w:t>محمّد ابن سنان</w:t>
      </w:r>
      <w:bookmarkEnd w:id="771"/>
    </w:p>
    <w:p>
      <w:pPr>
        <w:pStyle w:val="Heading4"/>
        <w:numPr>
          <w:ilvl w:val="3"/>
          <w:numId w:val="1"/>
        </w:numPr>
        <w:rPr/>
      </w:pPr>
      <w:bookmarkStart w:id="772" w:name="__RefHeading___Toc3380810_2870459653"/>
      <w:bookmarkStart w:id="773" w:name="_Toc304"/>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 xml:space="preserve">وهو محمّد بن الحسن بن سنان، مولى زاهر، توفّي أبوه الحسن وهو طفل، وكفله جدّه سنان فنسب إليه، أبو جعفر، الكوفي، الهمداني، الزاهري، من ولد زاهر مولى عمرو بن الحمق الخزاعي، روى عن الأئمّة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كتب منها مسائل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ومات محمّد ابن سنان سنة عشرين ومائتين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يستحلّ أيّوب بن نوح</w:t>
      </w:r>
      <w:r>
        <w:rPr>
          <w:rStyle w:val="FootnoteAnchor"/>
          <w:rtl w:val="true"/>
        </w:rPr>
        <w:footnoteReference w:id="859"/>
      </w:r>
      <w:r>
        <w:rPr>
          <w:rFonts w:ascii="Amiri" w:hAnsi="Amiri" w:eastAsia="Amiri" w:cs="Amiri"/>
          <w:color w:val="111111"/>
          <w:sz w:val="28"/>
          <w:sz w:val="28"/>
          <w:szCs w:val="28"/>
          <w:rtl w:val="true"/>
          <w:lang w:bidi="ar-SA"/>
        </w:rPr>
        <w:t xml:space="preserve">أن يروي أحاديث محمّد ابن سنان؛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حدّثتكم به لم يكن ليّ سماع ولا رواية إنّما وجدته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وكذا الفضل بن شاذان</w:t>
      </w:r>
      <w:r>
        <w:rPr>
          <w:rStyle w:val="FootnoteAnchor"/>
          <w:rtl w:val="true"/>
        </w:rPr>
        <w:footnoteReference w:id="86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الكذّابين المشهورين ابن سنان وليس بعبد الله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r>
        <w:rPr>
          <w:rFonts w:ascii="Amiri" w:hAnsi="Amiri" w:eastAsia="Amiri" w:cs="Amiri"/>
          <w:color w:val="111111"/>
          <w:sz w:val="28"/>
          <w:sz w:val="28"/>
          <w:szCs w:val="28"/>
          <w:rtl w:val="true"/>
          <w:lang w:bidi="ar-SA"/>
        </w:rPr>
        <w:t>، وضعّفه كلٌّ من المفيد في بعض كتبه،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مطعون فيه، لا تختلف العصابة في تهمته وضعفه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وابن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غالٍ،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والنجاشي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ضعيف جدّاً، لا يعوّل عليه، ولا يلتفت إلى ما تفرّد به</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والشيخ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 عليه وضعّف</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وفي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وفي التهذيبين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مطعون عليه، ضعيف جدّاً، وما يستبد بروايته ولا يشركه فيه غيره لا يعمل عليه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774" w:name="pg9153_76695"/>
    </w:p>
    <w:p>
      <w:pPr>
        <w:pStyle w:val="BookText"/>
        <w:rPr/>
      </w:pPr>
      <w:bookmarkEnd w:id="774"/>
      <w:r>
        <w:rPr>
          <w:rFonts w:ascii="Amiri" w:hAnsi="Amiri" w:eastAsia="Amiri" w:cs="Amiri"/>
          <w:color w:val="111111"/>
          <w:sz w:val="28"/>
          <w:sz w:val="28"/>
          <w:szCs w:val="28"/>
          <w:rtl w:val="true"/>
          <w:lang w:bidi="ar-SA"/>
        </w:rPr>
        <w:t>وفي قبال ذلك ورد في حقّه ما يقتضي اعتباره</w:t>
      </w:r>
      <w:r>
        <w:rPr>
          <w:rStyle w:val="FootnoteAnchor"/>
          <w:rtl w:val="true"/>
        </w:rPr>
        <w:footnoteReference w:id="870"/>
      </w:r>
      <w:r>
        <w:rPr>
          <w:rFonts w:ascii="IRNazanin" w:hAnsi="IRNazanin" w:eastAsia="IRNazanin"/>
          <w:color w:val="111111"/>
          <w:sz w:val="28"/>
          <w:sz w:val="28"/>
          <w:szCs w:val="28"/>
          <w:rtl w:val="true"/>
          <w:lang w:bidi="fa-IR"/>
        </w:rPr>
        <w:t>، وهو أمور</w:t>
      </w:r>
      <w:r>
        <w:rPr>
          <w:rFonts w:eastAsia="IRNazanin" w:cs="IRNazanin"/>
          <w:color w:val="111111"/>
          <w:sz w:val="28"/>
          <w:szCs w:val="28"/>
          <w:rtl w:val="true"/>
          <w:lang w:bidi="fa-IR"/>
        </w:rPr>
        <w:t>:</w:t>
      </w:r>
    </w:p>
    <w:p>
      <w:pPr>
        <w:pStyle w:val="Heading4"/>
        <w:numPr>
          <w:ilvl w:val="3"/>
          <w:numId w:val="1"/>
        </w:numPr>
        <w:rPr/>
      </w:pPr>
      <w:bookmarkStart w:id="775" w:name="__RefHeading___Toc3380812_2870459653"/>
      <w:bookmarkStart w:id="776" w:name="_Toc305"/>
      <w:bookmarkEnd w:id="775"/>
      <w:r>
        <w:rPr>
          <w:rtl w:val="true"/>
        </w:rPr>
        <w:t>الأمر الأوّل</w:t>
      </w:r>
      <w:bookmarkEnd w:id="776"/>
    </w:p>
    <w:p>
      <w:pPr>
        <w:pStyle w:val="BookText"/>
        <w:rPr/>
      </w:pPr>
      <w:r>
        <w:rPr>
          <w:rFonts w:ascii="IRNazanin" w:hAnsi="IRNazanin" w:eastAsia="IRNazanin"/>
          <w:color w:val="111111"/>
          <w:sz w:val="28"/>
          <w:sz w:val="28"/>
          <w:szCs w:val="28"/>
          <w:rtl w:val="true"/>
          <w:lang w:bidi="fa-IR"/>
        </w:rPr>
        <w:t xml:space="preserve">ما رواه الكشّي بطريق معتبر من دعاء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ورضاه عنه، وهو ما ورد عن أبي طالب عبد الله بن الصلت القمّي</w:t>
      </w:r>
      <w:r>
        <w:rPr>
          <w:rStyle w:val="FootnoteAnchor"/>
          <w:rtl w:val="true"/>
        </w:rPr>
        <w:footnoteReference w:id="8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عمره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جزى الله صفوان بن يحيى، ومحمّد ابن سنان، وزكريا بن آدم عنّي خيراً فقد وفوا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فلقيت موفّقاً،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مولاي ذكر صفوان، ومحمّد ابن سنان، وزكريا بن آدم وجزّاهم خيراً، ولم يذكر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جزى الله صفوان بن يحيى، ومحمّد ابن سنان، وزكريا بن آدم، وسعد بن سعد عنّي خيراً فقد وفوا لي</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3380814_2870459653"/>
      <w:bookmarkStart w:id="778" w:name="_Toc306"/>
      <w:bookmarkEnd w:id="777"/>
      <w:r>
        <w:rPr>
          <w:rtl w:val="true"/>
        </w:rPr>
        <w:t>الأمر الثاني</w:t>
      </w:r>
      <w:bookmarkEnd w:id="77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المفيد في الإرشاد من خاصّة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 الّذِين نقلوا نصّه على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فممّن روى النصّ على الرضا عليّ بن </w:t>
      </w:r>
      <w:bookmarkStart w:id="779" w:name="pg9153_76697"/>
    </w:p>
    <w:p>
      <w:pPr>
        <w:pStyle w:val="BookText"/>
        <w:rPr/>
      </w:pPr>
      <w:bookmarkEnd w:id="779"/>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أبيه، والإشارة إليه منه بذلك، من خاصّته وثقاته وأهل الورع والعلم والفقه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سنان</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3380816_2870459653"/>
      <w:bookmarkStart w:id="781" w:name="_Toc307"/>
      <w:bookmarkEnd w:id="780"/>
      <w:r>
        <w:rPr>
          <w:rtl w:val="true"/>
        </w:rPr>
        <w:t>الأمر الثالث</w:t>
      </w:r>
      <w:bookmarkEnd w:id="781"/>
    </w:p>
    <w:p>
      <w:pPr>
        <w:pStyle w:val="BookText"/>
        <w:rPr/>
      </w:pPr>
      <w:r>
        <w:rPr>
          <w:rFonts w:ascii="Amiri" w:hAnsi="Amiri" w:eastAsia="Amiri" w:cs="Amiri"/>
          <w:color w:val="111111"/>
          <w:sz w:val="28"/>
          <w:sz w:val="28"/>
          <w:szCs w:val="28"/>
          <w:rtl w:val="true"/>
          <w:lang w:bidi="ar-SA"/>
        </w:rPr>
        <w:t>روى عنه محمّد بن أحمد الأشعري</w:t>
      </w:r>
      <w:r>
        <w:rPr>
          <w:rStyle w:val="FootnoteAnchor"/>
          <w:rtl w:val="true"/>
        </w:rPr>
        <w:footnoteReference w:id="874"/>
      </w:r>
      <w:r>
        <w:rPr>
          <w:rFonts w:ascii="Amiri" w:hAnsi="Amiri" w:eastAsia="Amiri" w:cs="Amiri"/>
          <w:color w:val="111111"/>
          <w:sz w:val="28"/>
          <w:sz w:val="28"/>
          <w:szCs w:val="28"/>
          <w:rtl w:val="true"/>
          <w:lang w:bidi="ar-SA"/>
        </w:rPr>
        <w:t>، ولم يستثنَ من كتابه نوادر الحكمة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3380818_2870459653"/>
      <w:bookmarkStart w:id="783" w:name="_Toc308"/>
      <w:bookmarkEnd w:id="782"/>
      <w:r>
        <w:rPr>
          <w:rtl w:val="true"/>
        </w:rPr>
        <w:t>الأمر الرابع</w:t>
      </w:r>
      <w:bookmarkEnd w:id="78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جملة من الأجلّاء وفيهم أحمد بن محمّد بن عيسى المتشدّد في أمر الرواية بما يزيد على مائة رواية في الكافي وحده</w:t>
      </w:r>
      <w:r>
        <w:rPr>
          <w:rStyle w:val="FootnoteAnchor"/>
          <w:rtl w:val="true"/>
        </w:rPr>
        <w:footnoteReference w:id="876"/>
      </w:r>
      <w:r>
        <w:rPr>
          <w:rFonts w:ascii="Amiri" w:hAnsi="Amiri" w:eastAsia="Amiri" w:cs="Amiri"/>
          <w:color w:val="111111"/>
          <w:sz w:val="28"/>
          <w:sz w:val="28"/>
          <w:szCs w:val="28"/>
          <w:rtl w:val="true"/>
          <w:lang w:bidi="ar-SA"/>
        </w:rPr>
        <w:t xml:space="preserve">، وأصحاب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كيونس بن عبد الرحمن</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المغيرة</w:t>
      </w:r>
      <w:r>
        <w:rPr>
          <w:rStyle w:val="FootnoteAnchor"/>
          <w:rtl w:val="true"/>
        </w:rPr>
        <w:footnoteReference w:id="878"/>
      </w:r>
      <w:r>
        <w:rPr>
          <w:rFonts w:ascii="Amiri" w:hAnsi="Amiri" w:eastAsia="Amiri" w:cs="Amiri"/>
          <w:color w:val="111111"/>
          <w:sz w:val="28"/>
          <w:sz w:val="28"/>
          <w:szCs w:val="28"/>
          <w:rtl w:val="true"/>
          <w:lang w:bidi="ar-SA"/>
        </w:rPr>
        <w:t>، والأعيان والثقات كالحسين بن سعيد</w:t>
      </w:r>
      <w:r>
        <w:rPr>
          <w:rStyle w:val="FootnoteAnchor"/>
          <w:rtl w:val="true"/>
        </w:rPr>
        <w:footnoteReference w:id="879"/>
      </w:r>
      <w:r>
        <w:rPr>
          <w:rFonts w:ascii="Amiri" w:hAnsi="Amiri" w:eastAsia="Amiri" w:cs="Amiri"/>
          <w:color w:val="111111"/>
          <w:sz w:val="28"/>
          <w:sz w:val="28"/>
          <w:szCs w:val="28"/>
          <w:rtl w:val="true"/>
          <w:lang w:bidi="ar-SA"/>
        </w:rPr>
        <w:t>، وابن أبي نجران</w:t>
      </w:r>
      <w:r>
        <w:rPr>
          <w:rStyle w:val="FootnoteAnchor"/>
          <w:rtl w:val="true"/>
        </w:rPr>
        <w:footnoteReference w:id="880"/>
      </w:r>
      <w:r>
        <w:rPr>
          <w:rFonts w:ascii="Amiri" w:hAnsi="Amiri" w:eastAsia="Amiri" w:cs="Amiri"/>
          <w:color w:val="111111"/>
          <w:sz w:val="28"/>
          <w:sz w:val="28"/>
          <w:szCs w:val="28"/>
          <w:rtl w:val="true"/>
          <w:lang w:bidi="ar-SA"/>
        </w:rPr>
        <w:t>، وعليّ بن النعمان</w:t>
      </w:r>
      <w:r>
        <w:rPr>
          <w:rStyle w:val="FootnoteAnchor"/>
          <w:rtl w:val="true"/>
        </w:rPr>
        <w:footnoteReference w:id="881"/>
      </w:r>
      <w:r>
        <w:rPr>
          <w:rFonts w:ascii="Amiri" w:hAnsi="Amiri" w:eastAsia="Amiri" w:cs="Amiri"/>
          <w:color w:val="111111"/>
          <w:sz w:val="28"/>
          <w:sz w:val="28"/>
          <w:szCs w:val="28"/>
          <w:rtl w:val="true"/>
          <w:lang w:bidi="ar-SA"/>
        </w:rPr>
        <w:t>، ويعقوب بن يزيد</w:t>
      </w:r>
      <w:r>
        <w:rPr>
          <w:rStyle w:val="FootnoteAnchor"/>
          <w:rtl w:val="true"/>
        </w:rPr>
        <w:footnoteReference w:id="882"/>
      </w:r>
      <w:r>
        <w:rPr>
          <w:rFonts w:ascii="Amiri" w:hAnsi="Amiri" w:eastAsia="Amiri" w:cs="Amiri"/>
          <w:color w:val="111111"/>
          <w:sz w:val="28"/>
          <w:sz w:val="28"/>
          <w:szCs w:val="28"/>
          <w:rtl w:val="true"/>
          <w:lang w:bidi="ar-SA"/>
        </w:rPr>
        <w:t xml:space="preserve">، ومحمّد بن </w:t>
      </w:r>
    </w:p>
    <w:p>
      <w:pPr>
        <w:pStyle w:val="BookText"/>
        <w:rPr/>
      </w:pPr>
      <w:r>
        <w:rPr>
          <w:rFonts w:ascii="Amiri" w:hAnsi="Amiri" w:eastAsia="Amiri" w:cs="Amiri"/>
          <w:color w:val="111111"/>
          <w:sz w:val="28"/>
          <w:sz w:val="28"/>
          <w:szCs w:val="28"/>
          <w:rtl w:val="true"/>
          <w:lang w:bidi="ar-SA"/>
        </w:rPr>
        <w:t>الحسين بن أبي الخطاب</w:t>
      </w:r>
      <w:r>
        <w:rPr>
          <w:rStyle w:val="FootnoteAnchor"/>
          <w:rtl w:val="true"/>
        </w:rPr>
        <w:footnoteReference w:id="883"/>
      </w:r>
      <w:r>
        <w:rPr>
          <w:rFonts w:ascii="IRNazanin" w:hAnsi="IRNazanin" w:eastAsia="IRNazanin"/>
          <w:color w:val="111111"/>
          <w:sz w:val="28"/>
          <w:sz w:val="28"/>
          <w:szCs w:val="28"/>
          <w:rtl w:val="true"/>
          <w:lang w:bidi="fa-IR"/>
        </w:rPr>
        <w:t>، ومحمّد بن عبد الجبار</w:t>
      </w:r>
      <w:r>
        <w:rPr>
          <w:rStyle w:val="FootnoteAnchor"/>
          <w:rtl w:val="true"/>
        </w:rPr>
        <w:footnoteReference w:id="88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 محمّد ابن سنان؛ لِما تقدّم من نصّ أئمّة الرجال على ضعفه،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طريقها محمّد ابن سنان الّذي ضعّفه الشيخ، والنجاشي، وابن الغضائري،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لا يلتفت إليه، بل روى الكشّي فيه قدحاً عظيماً، بل عن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الكذّابين المشهورين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ويطعن في الروايتين بأنّ إحداهما رواية محمّد ابن سنان، وهو مطعون فيه</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مقدّم على التعديل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موقفه ممّا يقتضي اعتباره فيمكن تحصيل الوجه فيه من متفرّقات كلماته بما حاصله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روي 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فإعراض أئمّة الرّجال عنه مع أنّه بمرأى منهم ومسمع يوجب سلب حجّيته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توثيق الشيخ المفيد فعلّق صاحب الجواهر على البناء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صرّح الأستاذ في حاشية المدارك بأنّ الظاهر أنّه محمّد، لكنّه ذكر أنّه حقّق في الرجال 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لحسن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عوّل على ما نقل عن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إرشاده أنّه من خاصّة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 وأهل الورع والعلم والفقه من شيعته، وممّن روى النصّ </w:t>
      </w:r>
      <w:bookmarkStart w:id="784" w:name="pg9153_76701"/>
    </w:p>
    <w:p>
      <w:pPr>
        <w:pStyle w:val="BookText"/>
        <w:rPr/>
      </w:pPr>
      <w:bookmarkEnd w:id="784"/>
      <w:r>
        <w:rPr>
          <w:rFonts w:ascii="IRNazanin" w:hAnsi="IRNazanin" w:eastAsia="IRNazanin"/>
          <w:color w:val="111111"/>
          <w:sz w:val="28"/>
          <w:sz w:val="28"/>
          <w:szCs w:val="28"/>
          <w:rtl w:val="true"/>
          <w:lang w:bidi="fa-IR"/>
        </w:rPr>
        <w:t xml:space="preserve">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فيه مقام آخر</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الوجه في عدم اعتداده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بتوثيق الشيخ المفيد ليس هو عدم بنائه على توثيقاته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استناده إليها في سليمان بن خالد،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سليمان بن خالد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سليمان كان من المشاهير، بل عن المفيد في إرشاده عدّه من شيوخ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 وبطانته وثقاته الفقهاء الصالحين الّذين رووا عنه النصّ بإمامة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 الوجه فيه هو تناقض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توثيقه هنا، وتضعيفه المتقدّم ممّا يوجب سلب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استثنائه من نوادر الحكمة ورواية الأجلّاء عنه فقد تقدّم عدم بنائه على إفادتهما وثاقة الراوي أو حسنه، كما أنّ الملاحظ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يستند إليه كمؤيّد للوثوق بالراوي في حال لم يرد فيه تضعيف</w:t>
      </w:r>
      <w:r>
        <w:rPr>
          <w:rStyle w:val="FootnoteAnchor"/>
          <w:rtl w:val="true"/>
        </w:rPr>
        <w:footnoteReference w:id="890"/>
      </w:r>
      <w:r>
        <w:rPr>
          <w:rFonts w:ascii="Amiri" w:hAnsi="Amiri" w:eastAsia="Amiri" w:cs="Amiri"/>
          <w:color w:val="111111"/>
          <w:sz w:val="28"/>
          <w:sz w:val="28"/>
          <w:szCs w:val="28"/>
          <w:rtl w:val="true"/>
          <w:lang w:bidi="ar-SA"/>
        </w:rPr>
        <w:t>، وفي المقام مع ورود التضعيف في محمّد ابن سنان فلا مجال له حتّى بنحو التأييد</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3380820_2870459653"/>
      <w:bookmarkStart w:id="786" w:name="_Toc309"/>
      <w:bookmarkEnd w:id="785"/>
      <w:r>
        <w:rPr/>
        <w:t>10</w:t>
      </w:r>
      <w:r>
        <w:rPr>
          <w:rtl w:val="true"/>
        </w:rPr>
        <w:t xml:space="preserve">. </w:t>
      </w:r>
      <w:r>
        <w:rPr>
          <w:rtl w:val="true"/>
        </w:rPr>
        <w:t>المعلّى بن خنيس</w:t>
      </w:r>
      <w:bookmarkEnd w:id="786"/>
    </w:p>
    <w:p>
      <w:pPr>
        <w:pStyle w:val="Heading4"/>
        <w:numPr>
          <w:ilvl w:val="3"/>
          <w:numId w:val="1"/>
        </w:numPr>
        <w:rPr/>
      </w:pPr>
      <w:bookmarkStart w:id="787" w:name="__RefHeading___Toc3380822_2870459653"/>
      <w:bookmarkStart w:id="788" w:name="_Toc310"/>
      <w:bookmarkEnd w:id="787"/>
      <w:r>
        <w:rPr>
          <w:rtl w:val="true"/>
        </w:rPr>
        <w:t>اشارة</w:t>
      </w:r>
      <w:bookmarkEnd w:id="78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خنيس، أبو عبد الله، المدني، مولى أبي عبد الله جعفر بن </w:t>
      </w:r>
      <w:bookmarkStart w:id="789" w:name="pg9153_76703"/>
    </w:p>
    <w:p>
      <w:pPr>
        <w:pStyle w:val="BookText"/>
        <w:rPr/>
      </w:pPr>
      <w:bookmarkEnd w:id="789"/>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قبْله كان مولى بني أسد، كوفي، بزّاز، له كتاب يرويه جماعة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تعارض فيه الجرح والتعديل</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3380824_2870459653"/>
      <w:bookmarkStart w:id="791" w:name="_Toc311"/>
      <w:bookmarkEnd w:id="790"/>
      <w:r>
        <w:rPr>
          <w:rtl w:val="true"/>
        </w:rPr>
        <w:t>أمّا الجرح فأمران</w:t>
      </w:r>
      <w:bookmarkEnd w:id="791"/>
    </w:p>
    <w:p>
      <w:pPr>
        <w:pStyle w:val="Heading5"/>
        <w:numPr>
          <w:ilvl w:val="4"/>
          <w:numId w:val="1"/>
        </w:numPr>
        <w:rPr/>
      </w:pPr>
      <w:bookmarkStart w:id="792" w:name="__RefHeading___Toc3380826_2870459653"/>
      <w:bookmarkStart w:id="793" w:name="_Toc312"/>
      <w:bookmarkEnd w:id="792"/>
      <w:r>
        <w:rPr>
          <w:rtl w:val="true"/>
        </w:rPr>
        <w:t>الأمر الأوّل</w:t>
      </w:r>
      <w:r>
        <w:rPr>
          <w:rtl w:val="true"/>
        </w:rPr>
        <w:t xml:space="preserve">: </w:t>
      </w:r>
      <w:r>
        <w:rPr>
          <w:rtl w:val="true"/>
        </w:rPr>
        <w:t>الأخبار الذامّة</w:t>
      </w:r>
      <w:bookmarkEnd w:id="793"/>
    </w:p>
    <w:p>
      <w:pPr>
        <w:pStyle w:val="BookText"/>
        <w:rPr/>
      </w:pPr>
      <w:r>
        <w:rPr>
          <w:rFonts w:ascii="Amiri" w:hAnsi="Amiri" w:eastAsia="Amiri" w:cs="Amiri"/>
          <w:color w:val="111111"/>
          <w:sz w:val="28"/>
          <w:sz w:val="28"/>
          <w:szCs w:val="28"/>
          <w:rtl w:val="true"/>
          <w:lang w:bidi="ar-SA"/>
        </w:rPr>
        <w:t>وهي عدّة أخبار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الكشّي عن إبراهيم بن محمّد بن العبّاس الختلي،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ابن إدريس القمّي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يحيى، عن محمّد بن الحسين، عن موسى بن سعدان، عن عبد الله بن القاسم، عن حفص الأبيض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صلب المعلّى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حفص، إنّي أمرتُ المعلّى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فخالفني فابتلي بالحديد، إنّي نظرت إليه يوماً وهو كئيب حزين،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 كأنّك ذكرت أهلك وعيالك،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منّي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في أهل بيتي وهو ذا زوجتي، وهذا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حتّى تملّأ منهم واستترت منهم، حتّى نال ما ينال الرجل من أهله،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منّي،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معك في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إنّ لنا حديثاً من حفظه علينا حفظ الله عليه دينه ودنياه، يا معلّى، لا تكونوا أسراء في أيدي الناس بحديثنا، إنْ شاءوا منّوا عليكم، وإنْ شاءوا قتلوكم، يا معلّى، إنّه من كتم الصعب من حديثنا جعله الله نوراً بين عينيه وزوّده القوّة في الناس، ومن أذاع الصعب من حديثنا لم يمت حتّى </w:t>
      </w:r>
    </w:p>
    <w:p>
      <w:pPr>
        <w:pStyle w:val="BookText"/>
        <w:rPr/>
      </w:pPr>
      <w:r>
        <w:rPr>
          <w:rFonts w:ascii="Amiri" w:hAnsi="Amiri" w:eastAsia="Amiri" w:cs="Amiri"/>
          <w:color w:val="111111"/>
          <w:sz w:val="28"/>
          <w:sz w:val="28"/>
          <w:szCs w:val="28"/>
          <w:rtl w:val="true"/>
          <w:lang w:bidi="ar-SA"/>
        </w:rPr>
        <w:t>يعضّه السلاح، أو يموت بخبل، يا معلّى، أنت مقتول فاستعد</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الكشّي أيضاً عن أبي عليّ أحمد بن عليّ السلولي المعروف بشقران،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عبيد الله القمّي، عن محمّد بن أورمة، عن يعقوب بن يزيد، عن سيف بن عميرة، 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صلب فيه المعلّى،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ألا ترى هذا الخطب الجليل الّذي نزل بالشيعة في هذا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المعلّى بن خنيس،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معلّى، قد كنت أتوقّع ذلك؛ لأنّه أذاع سرّنا، وليس الناصب لنا حرباً بأعظم مؤونة علينا من المذيع علينا سرّنا، فمن أذاع سرّنا إلى غير أهله لم يفارق الدنيا حتّى يعضّه السلاح، أو يموت بخبل</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الكشّي أيضاً عن محمّد بن الحسن البراثي وعثمان،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يزداد، عن محمّد بن الحسين، عن الحجّال، عن أبي مالك الحضرمي، عن أبي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ابن أبي يعفور، ومعلّى بن خنيس، فقال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 علماء، أبرار، أتقياء، وقال ابن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 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مجلسهما،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فبدأهما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أبرأ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أنبياء</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794" w:name="pg9153_76707"/>
    </w:p>
    <w:p>
      <w:pPr>
        <w:pStyle w:val="Heading5"/>
        <w:numPr>
          <w:ilvl w:val="4"/>
          <w:numId w:val="1"/>
        </w:numPr>
        <w:rPr/>
      </w:pPr>
      <w:bookmarkStart w:id="795" w:name="__RefHeading___Toc3380828_2870459653"/>
      <w:bookmarkStart w:id="796" w:name="_Toc313"/>
      <w:bookmarkEnd w:id="794"/>
      <w:bookmarkEnd w:id="795"/>
      <w:r>
        <w:rPr>
          <w:rtl w:val="true"/>
        </w:rPr>
        <w:t>الأمر الآخر</w:t>
      </w:r>
      <w:r>
        <w:rPr>
          <w:rtl w:val="true"/>
        </w:rPr>
        <w:t xml:space="preserve">: </w:t>
      </w:r>
      <w:r>
        <w:rPr>
          <w:rtl w:val="true"/>
        </w:rPr>
        <w:t>نصّ بعض أئمّة الرجال على ضعفه</w:t>
      </w:r>
      <w:bookmarkEnd w:id="796"/>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أمره مغيرياً، ثمّ دعا إلى محمّد بن عبد الله بن الحسن، وفي هذه الظنّة أخذه داود بن عليّ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والغلاة يضيفون إليه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الاعتماد على شيء من حديثه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يعوّل عليه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العلّامة في القسم الثاني المعدود لذكر الضعفاء ومَن توقّف في روايته</w:t>
      </w:r>
      <w:r>
        <w:rPr>
          <w:rStyle w:val="FootnoteAnchor"/>
          <w:rtl w:val="true"/>
        </w:rPr>
        <w:footnoteReference w:id="897"/>
      </w:r>
      <w:r>
        <w:rPr>
          <w:rFonts w:ascii="Amiri" w:hAnsi="Amiri" w:eastAsia="Amiri" w:cs="Amiri"/>
          <w:color w:val="111111"/>
          <w:sz w:val="28"/>
          <w:sz w:val="28"/>
          <w:szCs w:val="28"/>
          <w:rtl w:val="true"/>
          <w:lang w:bidi="ar-SA"/>
        </w:rPr>
        <w:t>، وقال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ثانياً فلأنّ معلّى بن خنيس ضعيف، وقد اختُلف في مدحه وذمّه فلا تعويل على ما ينفرد به</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3380830_2870459653"/>
      <w:bookmarkStart w:id="798" w:name="_Toc314"/>
      <w:bookmarkEnd w:id="797"/>
      <w:r>
        <w:rPr>
          <w:rtl w:val="true"/>
        </w:rPr>
        <w:t>وأمّا التعديل فأمران أيضاً</w:t>
      </w:r>
      <w:bookmarkEnd w:id="798"/>
    </w:p>
    <w:p>
      <w:pPr>
        <w:pStyle w:val="Heading5"/>
        <w:numPr>
          <w:ilvl w:val="4"/>
          <w:numId w:val="1"/>
        </w:numPr>
        <w:rPr/>
      </w:pPr>
      <w:bookmarkStart w:id="799" w:name="__RefHeading___Toc3380832_2870459653"/>
      <w:bookmarkStart w:id="800" w:name="_Toc315"/>
      <w:bookmarkEnd w:id="799"/>
      <w:r>
        <w:rPr>
          <w:rtl w:val="true"/>
        </w:rPr>
        <w:t>الأمر الأوّل</w:t>
      </w:r>
      <w:r>
        <w:rPr>
          <w:rtl w:val="true"/>
        </w:rPr>
        <w:t xml:space="preserve">: </w:t>
      </w:r>
      <w:r>
        <w:rPr>
          <w:rtl w:val="true"/>
        </w:rPr>
        <w:t>الأخبار المادحة، وهي عدّة أيضاً</w:t>
      </w:r>
      <w:r>
        <w:rPr>
          <w:rtl w:val="true"/>
        </w:rPr>
        <w:t>..</w:t>
      </w:r>
      <w:bookmarkEnd w:id="80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مجاوراً بمكّة،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إسماعيل، اخرج حتّى تأتي مرّاً وعسفان فتسأل هل حدث بالمدينة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أتيت مرّاً فلم ألقَ أحداً، ثُمَّ مضيت حتّى أتيت عسفان فلم يلقني أحد، فارتحلت من عسفان، فلمّا خرجت منها لقيني عير تحمل زيتاً من </w:t>
      </w:r>
      <w:bookmarkStart w:id="801" w:name="pg9153_76709"/>
    </w:p>
    <w:p>
      <w:pPr>
        <w:pStyle w:val="BookText"/>
        <w:rPr/>
      </w:pPr>
      <w:bookmarkEnd w:id="801"/>
      <w:r>
        <w:rPr>
          <w:rFonts w:ascii="IRNazanin" w:hAnsi="IRNazanin" w:eastAsia="IRNazanin"/>
          <w:color w:val="111111"/>
          <w:sz w:val="28"/>
          <w:sz w:val="28"/>
          <w:szCs w:val="28"/>
          <w:rtl w:val="true"/>
          <w:lang w:bidi="fa-IR"/>
        </w:rPr>
        <w:t>عسفان،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بالمدينة 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قتل هذا العراقي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رآني،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إسماعيل، قُتل 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دخل الجنّة</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يدّعي على المعلّى بن خنيس ديناً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بحقّي،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بحقّك الّذي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للوليد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إلى الرجل فاقضه من حقّه، فإنّي أريد أن أبرّد عليه جلده الّذي كان بارداً</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3380834_2870459653"/>
      <w:bookmarkStart w:id="803" w:name="_Toc316"/>
      <w:bookmarkEnd w:id="802"/>
      <w:r>
        <w:rPr>
          <w:rtl w:val="true"/>
        </w:rPr>
        <w:t>الأمر الآخر</w:t>
      </w:r>
      <w:r>
        <w:rPr>
          <w:rtl w:val="true"/>
        </w:rPr>
        <w:t xml:space="preserve">: </w:t>
      </w:r>
      <w:r>
        <w:rPr>
          <w:rtl w:val="true"/>
        </w:rPr>
        <w:t>ذِكْر الشيخ له في الوكلاء المحمودين</w:t>
      </w:r>
      <w:bookmarkEnd w:id="803"/>
    </w:p>
    <w:p>
      <w:pPr>
        <w:pStyle w:val="BookText"/>
        <w:rPr/>
      </w:pP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المعلّى ابن خنيس، وكان من قوّام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قتله داود بن عليّ بسببه، وكان محموداً عنده، ومضى على منهاجه، وأمره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المعلّى بن خنيس فصلبه، عظم ذلك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قتلت مولاي وقيِّمي في مالي وعلى عيالي؟ والله إنّه لأوجه عند الله منك،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دخل الجنّة</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واختلفت كلمات الأعلام قبل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المعلّى بن خنيس فضعّفه </w:t>
      </w:r>
    </w:p>
    <w:p>
      <w:pPr>
        <w:pStyle w:val="BookText"/>
        <w:rPr/>
      </w:pPr>
      <w:r>
        <w:rPr>
          <w:rFonts w:ascii="Amiri" w:hAnsi="Amiri" w:eastAsia="Amiri" w:cs="Amiri"/>
          <w:color w:val="111111"/>
          <w:sz w:val="28"/>
          <w:sz w:val="28"/>
          <w:szCs w:val="28"/>
          <w:rtl w:val="true"/>
          <w:lang w:bidi="ar-SA"/>
        </w:rPr>
        <w:t>بعضهم كالمحقّق الحلّي</w:t>
      </w:r>
      <w:r>
        <w:rPr>
          <w:rStyle w:val="FootnoteAnchor"/>
          <w:rtl w:val="true"/>
        </w:rPr>
        <w:footnoteReference w:id="902"/>
      </w:r>
      <w:r>
        <w:rPr>
          <w:rFonts w:ascii="Amiri" w:hAnsi="Amiri" w:eastAsia="Amiri" w:cs="Amiri"/>
          <w:color w:val="111111"/>
          <w:sz w:val="28"/>
          <w:sz w:val="28"/>
          <w:szCs w:val="28"/>
          <w:rtl w:val="true"/>
          <w:lang w:bidi="ar-SA"/>
        </w:rPr>
        <w:t>، والشهيد الثاني</w:t>
      </w:r>
      <w:r>
        <w:rPr>
          <w:rStyle w:val="FootnoteAnchor"/>
          <w:rtl w:val="true"/>
        </w:rPr>
        <w:footnoteReference w:id="903"/>
      </w:r>
      <w:r>
        <w:rPr>
          <w:rFonts w:ascii="Amiri" w:hAnsi="Amiri" w:eastAsia="Amiri" w:cs="Amiri"/>
          <w:color w:val="111111"/>
          <w:sz w:val="28"/>
          <w:sz w:val="28"/>
          <w:szCs w:val="28"/>
          <w:rtl w:val="true"/>
          <w:lang w:bidi="ar-SA"/>
        </w:rPr>
        <w:t>، والمحقّق السبزواري</w:t>
      </w:r>
      <w:r>
        <w:rPr>
          <w:rStyle w:val="FootnoteAnchor"/>
          <w:rtl w:val="true"/>
        </w:rPr>
        <w:footnoteReference w:id="904"/>
      </w:r>
      <w:r>
        <w:rPr>
          <w:rFonts w:ascii="Amiri" w:hAnsi="Amiri" w:eastAsia="Amiri" w:cs="Amiri"/>
          <w:color w:val="111111"/>
          <w:sz w:val="28"/>
          <w:sz w:val="28"/>
          <w:szCs w:val="28"/>
          <w:rtl w:val="true"/>
          <w:lang w:bidi="ar-SA"/>
        </w:rPr>
        <w:t>، واكتفى بعض آخر ببيان أنّ فيه كلاماً أو قولاً، كالشهيد الأوّل</w:t>
      </w:r>
      <w:r>
        <w:rPr>
          <w:rStyle w:val="FootnoteAnchor"/>
          <w:rtl w:val="true"/>
        </w:rPr>
        <w:footnoteReference w:id="905"/>
      </w:r>
      <w:r>
        <w:rPr>
          <w:rFonts w:ascii="Amiri" w:hAnsi="Amiri" w:eastAsia="Amiri" w:cs="Amiri"/>
          <w:color w:val="111111"/>
          <w:sz w:val="28"/>
          <w:sz w:val="28"/>
          <w:szCs w:val="28"/>
          <w:rtl w:val="true"/>
          <w:lang w:bidi="ar-SA"/>
        </w:rPr>
        <w:t>، والمحقّق الكركي</w:t>
      </w:r>
      <w:r>
        <w:rPr>
          <w:rStyle w:val="FootnoteAnchor"/>
          <w:rtl w:val="true"/>
        </w:rPr>
        <w:footnoteReference w:id="906"/>
      </w:r>
      <w:r>
        <w:rPr>
          <w:rFonts w:ascii="Amiri" w:hAnsi="Amiri" w:eastAsia="Amiri" w:cs="Amiri"/>
          <w:color w:val="111111"/>
          <w:sz w:val="28"/>
          <w:sz w:val="28"/>
          <w:szCs w:val="28"/>
          <w:rtl w:val="true"/>
          <w:lang w:bidi="ar-SA"/>
        </w:rPr>
        <w:t>، والسيّد العاملي في المفتاح</w:t>
      </w:r>
      <w:r>
        <w:rPr>
          <w:rStyle w:val="FootnoteAnchor"/>
          <w:rtl w:val="true"/>
        </w:rPr>
        <w:footnoteReference w:id="907"/>
      </w:r>
      <w:r>
        <w:rPr>
          <w:rFonts w:ascii="Amiri" w:hAnsi="Amiri" w:eastAsia="Amiri" w:cs="Amiri"/>
          <w:color w:val="111111"/>
          <w:sz w:val="28"/>
          <w:sz w:val="28"/>
          <w:szCs w:val="28"/>
          <w:rtl w:val="true"/>
          <w:lang w:bidi="ar-SA"/>
        </w:rPr>
        <w:t>، ومال ثالث إلى حسنه كالمحقّق الأردبيلي</w:t>
      </w:r>
      <w:r>
        <w:rPr>
          <w:rStyle w:val="FootnoteAnchor"/>
          <w:rtl w:val="true"/>
        </w:rPr>
        <w:footnoteReference w:id="908"/>
      </w:r>
      <w:r>
        <w:rPr>
          <w:rFonts w:ascii="Amiri" w:hAnsi="Amiri" w:eastAsia="Amiri" w:cs="Amiri"/>
          <w:color w:val="111111"/>
          <w:sz w:val="28"/>
          <w:sz w:val="28"/>
          <w:szCs w:val="28"/>
          <w:rtl w:val="true"/>
          <w:lang w:bidi="ar-SA"/>
        </w:rPr>
        <w:t>، والمحقّق القمّي</w:t>
      </w:r>
      <w:r>
        <w:rPr>
          <w:rStyle w:val="FootnoteAnchor"/>
          <w:rtl w:val="true"/>
        </w:rPr>
        <w:footnoteReference w:id="909"/>
      </w:r>
      <w:r>
        <w:rPr>
          <w:rFonts w:ascii="Amiri" w:hAnsi="Amiri" w:eastAsia="Amiri" w:cs="Amiri"/>
          <w:color w:val="111111"/>
          <w:sz w:val="28"/>
          <w:sz w:val="28"/>
          <w:szCs w:val="28"/>
          <w:rtl w:val="true"/>
          <w:lang w:bidi="ar-SA"/>
        </w:rPr>
        <w:t>، والمحقّق النراقي</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الفاضل الهندي روايةً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w:t>
      </w:r>
      <w:r>
        <w:rPr>
          <w:rStyle w:val="FootnoteAnchor"/>
          <w:rtl w:val="true"/>
        </w:rPr>
        <w:footnoteReference w:id="912"/>
      </w:r>
      <w:r>
        <w:rPr>
          <w:rFonts w:ascii="Amiri" w:hAnsi="Amiri" w:eastAsia="Amiri" w:cs="Amiri"/>
          <w:color w:val="111111"/>
          <w:sz w:val="28"/>
          <w:sz w:val="28"/>
          <w:szCs w:val="28"/>
          <w:rtl w:val="true"/>
          <w:lang w:bidi="ar-SA"/>
        </w:rPr>
        <w:t xml:space="preserve">، بل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النهي عن ذبائح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من الاختلاف الّذي يورث الفقيه القطع بخروج هذه النصوص مخرج التقيّة الّتي قد خفي الأمر من جهتها في ذلك الزمان على مثل أبي بصير والمعلّى، وهما من 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جناح وعدّة من </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العبيدي أنّه حدّث به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إنّ ابن أبي يعفور، ومعلّى بن خنيس كانا بالنيل على عهد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فاختلفا في ذبائح اليهود، فأكل المعلّى ولم يأكل ابن أبي يعفور، فلمّا صارا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أخبراه، فرضي بفعل ابن أبي يعفور وخطَّأ المعلّى في أكله إيّاه</w:t>
      </w:r>
      <w:r>
        <w:rPr>
          <w:rFonts w:eastAsia="IRNazanin" w:cs="IRNazanin"/>
          <w:color w:val="111111"/>
          <w:sz w:val="28"/>
          <w:szCs w:val="28"/>
          <w:rtl w:val="true"/>
          <w:lang w:bidi="fa-IR"/>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وبطانة الرجل خاصّته وصاحب سرّه وداخلة أمره الّذي يشاوره في أحواله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ذلك البناء على وثاقته، وترجيح ما دلّ على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الوجه فيه هو عدم تمامية ما دلّ على جرحه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الأخبار فهي إمّا ضعيفة الإسناد كالحديث الأوّل؛ فإنّ فيه موسى بن سعدان، وهو ضعيف</w:t>
      </w:r>
      <w:r>
        <w:rPr>
          <w:rStyle w:val="FootnoteAnchor"/>
          <w:rtl w:val="true"/>
        </w:rPr>
        <w:footnoteReference w:id="9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الضعيف والمجهول</w:t>
      </w:r>
      <w:r>
        <w:rPr>
          <w:rStyle w:val="FootnoteAnchor"/>
          <w:rtl w:val="true"/>
        </w:rPr>
        <w:footnoteReference w:id="9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السلولي المعروف بشقران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مجهول</w:t>
      </w:r>
      <w:r>
        <w:rPr>
          <w:rStyle w:val="FootnoteAnchor"/>
          <w:rtl w:val="true"/>
        </w:rPr>
        <w:footnoteReference w:id="9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مجهول مرميّ </w:t>
      </w:r>
    </w:p>
    <w:p>
      <w:pPr>
        <w:pStyle w:val="BookText"/>
        <w:rPr/>
      </w:pPr>
      <w:r>
        <w:rPr>
          <w:rFonts w:ascii="Amiri" w:hAnsi="Amiri" w:eastAsia="Amiri" w:cs="Amiri"/>
          <w:color w:val="111111"/>
          <w:sz w:val="28"/>
          <w:sz w:val="28"/>
          <w:szCs w:val="28"/>
          <w:rtl w:val="true"/>
          <w:lang w:bidi="ar-SA"/>
        </w:rPr>
        <w:t>بالغلوّ</w:t>
      </w:r>
      <w:r>
        <w:rPr>
          <w:rStyle w:val="FootnoteAnchor"/>
          <w:rtl w:val="true"/>
        </w:rPr>
        <w:footnoteReference w:id="9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مرميّ بالغلوّ وفي رواياته تخليط</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أنّها لا تفيد ضعفه كالحديث الأخير؛ فإنّ غاية ما يعطيه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خطأ معلّى بن خنيس باعتقاده أوّلاً، ولا بُدَّ وأنّه رجع عن قوله ببراءة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أنبياء</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تضعيف النجاشي وابن الغضائري فالظاهر أنّ منشأه اتّهامه بالغلوّ خصوصاً وأنّه عُرف عن المعلّى حديثه في أسرار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ومكانتهم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الأمّة، حتّى شنّع عليه رجال العامّة لروايته أنّ طاعة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مفروضة، فقد روى ابن سعد في الطبقات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شبابة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فضيل ابن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 بن عليّ وحسين بن عليّ، عمَّي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أهل البيت إنسان مفترضة طاعته تعرفون له ذلك، ومَن لم يعرف له ذلك فمات، مات ميتة جاهلية؟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فينا فهو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لعمر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إنّ هذه منزلة تزعمون أنّها كانت لعليّ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إليه ثُمَّ كانت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أوصى إليه، ثُمَّ كانت للحسين، إنّ الحسن أوصى إليه، ثُمَّ كانت لعليّ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أوصى إليه، ثُمَّ كانت لمحمّد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أوصى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لمات أبي فما أوصى بحرفين، قاتلهم الله، والله إنْ هؤلاء إلّا متأكّلون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خنيس الخرؤ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خنيس </w:t>
      </w:r>
    </w:p>
    <w:p>
      <w:pPr>
        <w:pStyle w:val="BookText"/>
        <w:rPr/>
      </w:pPr>
      <w:r>
        <w:rPr>
          <w:rFonts w:ascii="Amiri" w:hAnsi="Amiri" w:eastAsia="Amiri" w:cs="Amiri"/>
          <w:color w:val="111111"/>
          <w:sz w:val="28"/>
          <w:sz w:val="28"/>
          <w:szCs w:val="28"/>
          <w:rtl w:val="true"/>
          <w:lang w:bidi="ar-SA"/>
        </w:rPr>
        <w:t>الخرؤ؟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المعلّى بن خنيس، والله لفكّرت على فراشي طويلاً أتعجب من قوم لبس الله عقولهم حين أضلهم المعلّى بن خنيس</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تضعيف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فمأخوذ عن النجاشي وابن الغضائري</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bookmarkStart w:id="804" w:name="pg9153_76719"/>
    </w:p>
    <w:p>
      <w:pPr>
        <w:pStyle w:val="Heading2"/>
        <w:numPr>
          <w:ilvl w:val="1"/>
          <w:numId w:val="1"/>
        </w:numPr>
        <w:rPr/>
      </w:pPr>
      <w:bookmarkStart w:id="805" w:name="__RefHeading___Toc3380836_2870459653"/>
      <w:bookmarkStart w:id="806" w:name="_Toc317"/>
      <w:bookmarkEnd w:id="804"/>
      <w:bookmarkEnd w:id="805"/>
      <w:r>
        <w:rPr>
          <w:rtl w:val="true"/>
        </w:rPr>
        <w:t xml:space="preserve">قاعدة </w:t>
      </w:r>
      <w:r>
        <w:rPr>
          <w:rtl w:val="true"/>
        </w:rPr>
        <w:t>(</w:t>
      </w:r>
      <w:r>
        <w:rPr>
          <w:rtl w:val="true"/>
        </w:rPr>
        <w:t xml:space="preserve">الواحد لا يصدر عنه إلا الواحد </w:t>
      </w:r>
      <w:r>
        <w:rPr>
          <w:rtl w:val="true"/>
        </w:rPr>
        <w:t xml:space="preserve">) </w:t>
      </w:r>
      <w:r>
        <w:rPr>
          <w:rtl w:val="true"/>
        </w:rPr>
        <w:t xml:space="preserve">للفقيه الكبير الشّيخ فتح الله الأصفهانيّ المعروف بشيخ الشّريعة </w:t>
      </w:r>
      <w:r>
        <w:rPr>
          <w:rtl w:val="true"/>
        </w:rPr>
        <w:t>(</w:t>
      </w:r>
      <w:r>
        <w:rPr>
          <w:rtl w:val="true"/>
        </w:rPr>
        <w:t>قدس سره</w:t>
      </w:r>
      <w:r>
        <w:rPr>
          <w:rtl w:val="true"/>
        </w:rPr>
        <w:t xml:space="preserve">) - </w:t>
      </w:r>
      <w:r>
        <w:rPr>
          <w:rtl w:val="true"/>
        </w:rPr>
        <w:t xml:space="preserve">الشّيخ قاسم الطّائيّ </w:t>
      </w:r>
      <w:r>
        <w:rPr>
          <w:rtl w:val="true"/>
        </w:rPr>
        <w:t>(</w:t>
      </w:r>
      <w:r>
        <w:rPr>
          <w:rtl w:val="true"/>
        </w:rPr>
        <w:t>دام عزه</w:t>
      </w:r>
      <w:r>
        <w:rPr>
          <w:rtl w:val="true"/>
        </w:rPr>
        <w:t>)</w:t>
      </w:r>
      <w:bookmarkEnd w:id="806"/>
    </w:p>
    <w:p>
      <w:pPr>
        <w:pStyle w:val="Heading3"/>
        <w:numPr>
          <w:ilvl w:val="2"/>
          <w:numId w:val="1"/>
        </w:numPr>
        <w:rPr/>
      </w:pPr>
      <w:bookmarkStart w:id="807" w:name="__RefHeading___Toc3380838_2870459653"/>
      <w:bookmarkStart w:id="808" w:name="_Toc318"/>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الواحد لا يصدر عنه إلا الواحد</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الشّيخ فتح الله النمازی الغروی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بشيخ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من خِدمته شرف للملائكة المقرّبين، ومجاورته في الجنان عزٌّ لجموع الأنبياء والمرسلين، وشفاعته يوم القيامة فوزٌ للمؤمنين، ورسالته في الدنيا رحمةٌ للعالمين، أبي القاسم، محمّد بن عبد الله، وعلى آله الطيّبين الطاهرين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واعرض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النظر في أخبار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أو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وتقليب آثارهم بهذه المثابة من الأهمّيّة فلا جرم يكون النظر في آثار من أفنى عمره في تشييد أركان الدين، وبذل مهجته في تعليم الجاهلين، وما كان عليه من الهمّة والسعي الحثيث في السرّاء والضرّاء لإحياء علوم الدين، أكثر أهمّيّة؛ لأنّه أرجى عاقبةً، وأعود نفعاً، وأخلص 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تولّدت الرغبة في إحياء هذا الأثر لأحد علمائنا الأبرار، الذي واصل الليل بالنهار في النظر بما ورد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واستبدل راحة الدار بمشقّة جهاد الكفّار؛ رغبةً في ما أعدّه الله لعباده الأبرار، ألا وهو الشيخ فتح الله الأصفهانيّ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تراثاً قيّماً لا غنى للباحثين عن النظر فيه، ومن تراثه الذي لم يطبع ما دبّجه يراعه في 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عنه إلّا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تعالى أن يعمّ بنفعه المحصّلين، وينمّي أثره في الدارين، ويجعل رغبتي في ذلك خالصة عن شوائب التوهين، فإنّه نعم المولى ونعم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ارتأيت قبل الشروع في التحقيق أن أضع مقدّمة تشتمل على أمرين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عن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 فيمن كتب في قاعدة الواحد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الخاتمة فهي في وصف النسخ وعملنا في التحقيق</w:t>
      </w:r>
      <w:r>
        <w:rPr>
          <w:rFonts w:eastAsia="Amiri" w:cs="Amiri" w:ascii="Amiri" w:hAnsi="Amiri"/>
          <w:color w:val="111111"/>
          <w:sz w:val="28"/>
          <w:szCs w:val="28"/>
          <w:rtl w:val="true"/>
          <w:lang w:bidi="ar-SA"/>
        </w:rPr>
        <w:t xml:space="preserve">. </w:t>
      </w:r>
      <w:bookmarkStart w:id="809" w:name="pg9153_76726"/>
    </w:p>
    <w:p>
      <w:pPr>
        <w:pStyle w:val="Heading3"/>
        <w:numPr>
          <w:ilvl w:val="2"/>
          <w:numId w:val="1"/>
        </w:numPr>
        <w:rPr/>
      </w:pPr>
      <w:bookmarkStart w:id="810" w:name="__RefHeading___Toc3380840_2870459653"/>
      <w:bookmarkStart w:id="811" w:name="_Toc319"/>
      <w:bookmarkEnd w:id="809"/>
      <w:bookmarkEnd w:id="810"/>
      <w:r>
        <w:rPr>
          <w:rtl w:val="true"/>
        </w:rPr>
        <w:t>المقدّمة</w:t>
      </w:r>
      <w:bookmarkEnd w:id="811"/>
    </w:p>
    <w:p>
      <w:pPr>
        <w:pStyle w:val="Heading4"/>
        <w:numPr>
          <w:ilvl w:val="3"/>
          <w:numId w:val="1"/>
        </w:numPr>
        <w:rPr/>
      </w:pPr>
      <w:bookmarkStart w:id="812" w:name="__RefHeading___Toc3380842_2870459653"/>
      <w:bookmarkStart w:id="813" w:name="_Toc320"/>
      <w:bookmarkEnd w:id="812"/>
      <w:r>
        <w:rPr>
          <w:rtl w:val="true"/>
        </w:rPr>
        <w:t>الأمر الأوّل</w:t>
      </w:r>
      <w:r>
        <w:rPr>
          <w:rtl w:val="true"/>
        </w:rPr>
        <w:t xml:space="preserve">: </w:t>
      </w:r>
      <w:r>
        <w:rPr>
          <w:rtl w:val="true"/>
        </w:rPr>
        <w:t xml:space="preserve">حياة شيخ الشريعة الأصفهانيّ </w:t>
      </w:r>
      <w:r>
        <w:rPr>
          <w:rtl w:val="true"/>
        </w:rPr>
        <w:t>(</w:t>
      </w:r>
      <w:r>
        <w:rPr>
          <w:rtl w:val="true"/>
        </w:rPr>
        <w:t>قدس سره</w:t>
      </w:r>
      <w:r>
        <w:rPr>
          <w:rtl w:val="true"/>
        </w:rPr>
        <w:t>)</w:t>
      </w:r>
      <w:bookmarkEnd w:id="813"/>
    </w:p>
    <w:p>
      <w:pPr>
        <w:pStyle w:val="Heading5"/>
        <w:numPr>
          <w:ilvl w:val="4"/>
          <w:numId w:val="1"/>
        </w:numPr>
        <w:rPr/>
      </w:pPr>
      <w:bookmarkStart w:id="814" w:name="__RefHeading___Toc3380844_2870459653"/>
      <w:bookmarkStart w:id="815" w:name="_Toc321"/>
      <w:bookmarkEnd w:id="814"/>
      <w:r>
        <w:rPr>
          <w:rtl w:val="true"/>
        </w:rPr>
        <w:t>اسمه ولقبه ومولده</w:t>
      </w:r>
      <w:bookmarkEnd w:id="815"/>
    </w:p>
    <w:p>
      <w:pPr>
        <w:pStyle w:val="BookText"/>
        <w:rPr/>
      </w:pPr>
      <w:r>
        <w:rPr>
          <w:rFonts w:ascii="Amiri" w:hAnsi="Amiri" w:eastAsia="Amiri" w:cs="Amiri"/>
          <w:color w:val="111111"/>
          <w:sz w:val="28"/>
          <w:sz w:val="28"/>
          <w:szCs w:val="28"/>
          <w:rtl w:val="true"/>
          <w:lang w:bidi="ar-SA"/>
        </w:rPr>
        <w:t>هو آية الله العظمى الشيخ فتح الله ابن الشيخ محمّد جواد ابن الحاجّ محمّد عليّ النمازيّ، الشيرازيّ أصلاً، الأصبهانيّ انتساباً، الغرويّ موطناً ومدفناً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إحدى نسخ مخطوطتنا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الحقّ</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وهو المطابق لما وجد في بعض المخطوطات من ختمه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شريعة الحقّ فتح الله تابعها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أعيان الشيعة تلقّبه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مدار</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وقيل</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يلقّب أوّلاً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أخواه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يوم الاثنين المصادف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وما في المطبوع من 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سنة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واضح ولعلّه من خطأ النسخة،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 الشريعة قد أجيز من قبل صاحب الروضات يوم الخميس عاشر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يعقل أن يجيزه وهو بعدُ لم يولد، بل قد نصّ في مواضع من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ولادة شيخ الشريعة كانت في سنة ست وستين من القرن الثالث عشر الهجريّ، فليلاحظ</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w:t>
      </w:r>
      <w:bookmarkStart w:id="816" w:name="pg9153_76728"/>
    </w:p>
    <w:p>
      <w:pPr>
        <w:pStyle w:val="BookText"/>
        <w:rPr/>
      </w:pPr>
      <w:bookmarkEnd w:id="816"/>
      <w:r>
        <w:rPr>
          <w:rFonts w:ascii="IRNazanin" w:hAnsi="IRNazanin" w:eastAsia="IRNazanin"/>
          <w:color w:val="111111"/>
          <w:sz w:val="28"/>
          <w:sz w:val="28"/>
          <w:szCs w:val="28"/>
          <w:rtl w:val="true"/>
          <w:lang w:bidi="fa-IR"/>
        </w:rPr>
        <w:t>أصفهان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3380846_2870459653"/>
      <w:bookmarkStart w:id="818" w:name="_Toc322"/>
      <w:bookmarkEnd w:id="817"/>
      <w:r>
        <w:rPr>
          <w:rtl w:val="true"/>
        </w:rPr>
        <w:t>ما قيل في حقّه</w:t>
      </w:r>
      <w:bookmarkEnd w:id="818"/>
    </w:p>
    <w:p>
      <w:pPr>
        <w:pStyle w:val="BookText"/>
        <w:rPr/>
      </w:pPr>
      <w:r>
        <w:rPr>
          <w:rFonts w:ascii="Amiri" w:hAnsi="Amiri" w:eastAsia="Amiri" w:cs="Amiri"/>
          <w:color w:val="111111"/>
          <w:sz w:val="28"/>
          <w:sz w:val="28"/>
          <w:szCs w:val="28"/>
          <w:rtl w:val="true"/>
          <w:lang w:bidi="ar-SA"/>
        </w:rPr>
        <w:t xml:space="preserve">قال عنه تلميذه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أعلى الله مقامه من أعلام الفقه والأصول، فسيح الخطوة في المعقول والمنقول، غزير المادّة في ما يؤثر عن أهل بيت العصمة، واسع الرواية في ذلك، طويل الباع في أخبار الماضين وحوادث السنين، عذب المنطق، أنيق اللهجة، حسن الترسّل متصرّفاً في ضروب الكلام بكلٍّ من فمه وقلمه، لطيف الكنايات، بديع الاستعارات، حلو المجاز، حسن الخطّ، سريع الخاطر، حاضر الذهن، بديهيّ الجواب، على جانب من الورع والعبادة، ركناً من أشدّ أركان المؤمنين، ومنهلاً من أصفى مناهل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حوزة تربو على المائتين من كلّ مرهف للعلم طبعه، باذل فيه وسعه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3380848_2870459653"/>
      <w:bookmarkStart w:id="820" w:name="_Toc323"/>
      <w:bookmarkEnd w:id="819"/>
      <w:r>
        <w:rPr>
          <w:rtl w:val="true"/>
        </w:rPr>
        <w:t>أسرته</w:t>
      </w:r>
      <w:bookmarkEnd w:id="82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قطنت أسرته شيراز أوّلاً، وعرفت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جدّه الحاجّ محمّد عليّ </w:t>
      </w:r>
      <w:bookmarkStart w:id="821" w:name="pg9153_76730"/>
    </w:p>
    <w:p>
      <w:pPr>
        <w:pStyle w:val="BookText"/>
        <w:rPr/>
      </w:pPr>
      <w:bookmarkEnd w:id="821"/>
      <w:r>
        <w:rPr>
          <w:rFonts w:ascii="Amiri" w:hAnsi="Amiri" w:eastAsia="Amiri" w:cs="Amiri"/>
          <w:color w:val="111111"/>
          <w:sz w:val="28"/>
          <w:sz w:val="28"/>
          <w:szCs w:val="28"/>
          <w:rtl w:val="true"/>
          <w:lang w:bidi="ar-SA"/>
        </w:rPr>
        <w:t>النمازيّ كان معروفاً بالورع والصلاح وكثرة المداومة على الصلوات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مكارم الآثار عن 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في إيران أو الهند أو أوربا أو أيّ مكان آخر هم من 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التركمانيّ الذي نقله الشاه عبّاس الصفويّ من بلاد ما وراء النهر إلى أصفهان، وكثر أعقابه في إيران وغيرها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هاجر والده الشيخ محمّد جواد بعد وفاة أبيه الحاجّ محمّد عليّ النمازيّ إلى أصفهان للاستفادة من علمائها</w:t>
      </w:r>
      <w:r>
        <w:rPr>
          <w:rStyle w:val="FootnoteAnchor"/>
          <w:rtl w:val="true"/>
        </w:rPr>
        <w:footnoteReference w:id="933"/>
      </w:r>
      <w:r>
        <w:rPr>
          <w:rFonts w:ascii="Amiri" w:hAnsi="Amiri" w:eastAsia="Amiri" w:cs="Amiri"/>
          <w:color w:val="111111"/>
          <w:sz w:val="28"/>
          <w:sz w:val="28"/>
          <w:szCs w:val="28"/>
          <w:rtl w:val="true"/>
          <w:lang w:bidi="ar-SA"/>
        </w:rPr>
        <w:t>، فكان من المحصّلين المعروفين بالورع والتقوى، وصفه ولده شيخ الشريعة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النقيّ</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 ووصفه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أهل السداد</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 وكانت له مؤلّفات محفوظة في مكتبة ولده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3380850_2870459653"/>
      <w:bookmarkStart w:id="823" w:name="_Toc324"/>
      <w:bookmarkEnd w:id="822"/>
      <w:r>
        <w:rPr>
          <w:rtl w:val="true"/>
        </w:rPr>
        <w:t>أولاده</w:t>
      </w:r>
      <w:bookmarkEnd w:id="823"/>
    </w:p>
    <w:p>
      <w:pPr>
        <w:pStyle w:val="BookText"/>
        <w:rPr/>
      </w:pPr>
      <w:r>
        <w:rPr>
          <w:rFonts w:ascii="Amiri" w:hAnsi="Amiri" w:eastAsia="Amiri" w:cs="Amiri"/>
          <w:color w:val="111111"/>
          <w:sz w:val="28"/>
          <w:sz w:val="28"/>
          <w:szCs w:val="28"/>
          <w:rtl w:val="true"/>
          <w:lang w:bidi="ar-SA"/>
        </w:rPr>
        <w:t xml:space="preserve">ولد لشيخ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الذكور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مهدي، وهو أكبر أولاده، وقد توفّي في حياة والده سنة </w:t>
      </w:r>
      <w:bookmarkStart w:id="824" w:name="pg9153_76732"/>
    </w:p>
    <w:p>
      <w:pPr>
        <w:pStyle w:val="BookText"/>
        <w:rPr/>
      </w:pPr>
      <w:bookmarkEnd w:id="8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وهو شقيق الشيخ حسن الأصغر منه سناً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وهو أصغر منهما وأخوهما غير الشقيق</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3380852_2870459653"/>
      <w:bookmarkStart w:id="826" w:name="_Toc325"/>
      <w:bookmarkEnd w:id="825"/>
      <w:r>
        <w:rPr>
          <w:rtl w:val="true"/>
        </w:rPr>
        <w:t>مسيرته العلميّة</w:t>
      </w:r>
      <w:bookmarkEnd w:id="826"/>
    </w:p>
    <w:p>
      <w:pPr>
        <w:pStyle w:val="Heading6"/>
        <w:numPr>
          <w:ilvl w:val="5"/>
          <w:numId w:val="1"/>
        </w:numPr>
        <w:rPr/>
      </w:pPr>
      <w:bookmarkStart w:id="827" w:name="__RefHeading___Toc3380854_2870459653"/>
      <w:bookmarkStart w:id="828" w:name="_Toc326"/>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الملاحظ أنّ مسيرته العلميّة على مرحلتين</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3380856_2870459653"/>
      <w:bookmarkStart w:id="830" w:name="_Toc327"/>
      <w:bookmarkEnd w:id="829"/>
      <w:r>
        <w:rPr>
          <w:rtl w:val="true"/>
        </w:rPr>
        <w:t>المرحلة الأولى</w:t>
      </w:r>
      <w:r>
        <w:rPr>
          <w:rtl w:val="true"/>
        </w:rPr>
        <w:t xml:space="preserve">: </w:t>
      </w:r>
      <w:r>
        <w:rPr>
          <w:rtl w:val="true"/>
        </w:rPr>
        <w:t>في إيران</w:t>
      </w:r>
      <w:bookmarkEnd w:id="830"/>
    </w:p>
    <w:p>
      <w:pPr>
        <w:pStyle w:val="Heading6"/>
        <w:numPr>
          <w:ilvl w:val="5"/>
          <w:numId w:val="1"/>
        </w:numPr>
        <w:rPr/>
      </w:pPr>
      <w:bookmarkStart w:id="831" w:name="__RefHeading___Toc3380858_2870459653"/>
      <w:bookmarkStart w:id="832" w:name="_Toc328"/>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بثلاثة أدوار</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3380860_2870459653"/>
      <w:bookmarkStart w:id="834" w:name="_Toc329"/>
      <w:bookmarkEnd w:id="833"/>
      <w:r>
        <w:rPr>
          <w:rtl w:val="true"/>
        </w:rPr>
        <w:t>الدور الأوّل</w:t>
      </w:r>
      <w:r>
        <w:rPr>
          <w:rtl w:val="true"/>
        </w:rPr>
        <w:t xml:space="preserve">: </w:t>
      </w:r>
      <w:r>
        <w:rPr>
          <w:rtl w:val="true"/>
        </w:rPr>
        <w:t>بداية تحصيله في مسقط رأسه أصفهان</w:t>
      </w:r>
      <w:bookmarkEnd w:id="834"/>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بتلقّي مبادئ العلوم عند بلوغه حدّ التمييز، وأكملها ولمّا يبلغ حدّ الحُلم بعدُ، ثمّ دأب في الليل والنهار على إتقان علم أصول الفقه، وعلمي الكلام والحكمة النظرية، ولمّا أتمّها شرع في حضور الأبحاث العالية على جمع من الأساتذة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المولى حيدر عليّ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835" w:name="pg9153_76734"/>
    </w:p>
    <w:p>
      <w:pPr>
        <w:pStyle w:val="BookText"/>
        <w:rPr/>
      </w:pPr>
      <w:bookmarkEnd w:id="8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الجواد الخراسانيّ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صادق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حسين عليّ التويسركانيّ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الهرويّ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3380862_2870459653"/>
      <w:bookmarkStart w:id="837" w:name="_Toc330"/>
      <w:bookmarkEnd w:id="836"/>
      <w:r>
        <w:rPr>
          <w:rtl w:val="true"/>
        </w:rPr>
        <w:t>الدور الثاني</w:t>
      </w:r>
      <w:r>
        <w:rPr>
          <w:rtl w:val="true"/>
        </w:rPr>
        <w:t xml:space="preserve">: </w:t>
      </w:r>
      <w:r>
        <w:rPr>
          <w:rtl w:val="true"/>
        </w:rPr>
        <w:t>في مشهد المقدّسة</w:t>
      </w:r>
      <w:bookmarkEnd w:id="837"/>
    </w:p>
    <w:p>
      <w:pPr>
        <w:pStyle w:val="BookText"/>
        <w:rPr/>
      </w:pP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مشهد المقدّسة، وهناك حضر على جملة من الأساتذة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ميرزا نصر اللّه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رحيم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مرتضى اليزديّ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bookmarkStart w:id="838" w:name="pg9153_76736"/>
    </w:p>
    <w:p>
      <w:pPr>
        <w:pStyle w:val="Heading6"/>
        <w:numPr>
          <w:ilvl w:val="5"/>
          <w:numId w:val="1"/>
        </w:numPr>
        <w:rPr/>
      </w:pPr>
      <w:bookmarkStart w:id="839" w:name="__RefHeading___Toc3380864_2870459653"/>
      <w:bookmarkStart w:id="840" w:name="_Toc331"/>
      <w:bookmarkEnd w:id="838"/>
      <w:bookmarkEnd w:id="839"/>
      <w:r>
        <w:rPr>
          <w:rtl w:val="true"/>
        </w:rPr>
        <w:t>الدور الثالث</w:t>
      </w:r>
      <w:r>
        <w:rPr>
          <w:rtl w:val="true"/>
        </w:rPr>
        <w:t xml:space="preserve">: </w:t>
      </w:r>
      <w:r>
        <w:rPr>
          <w:rtl w:val="true"/>
        </w:rPr>
        <w:t>رجوعه إلى أصفهان</w:t>
      </w:r>
      <w:bookmarkEnd w:id="840"/>
    </w:p>
    <w:p>
      <w:pPr>
        <w:pStyle w:val="BookText"/>
        <w:rPr/>
      </w:pPr>
      <w:r>
        <w:rPr>
          <w:rFonts w:ascii="Amiri" w:hAnsi="Amiri" w:eastAsia="Amiri" w:cs="Amiri"/>
          <w:color w:val="111111"/>
          <w:sz w:val="28"/>
          <w:sz w:val="28"/>
          <w:szCs w:val="28"/>
          <w:rtl w:val="true"/>
          <w:lang w:bidi="ar-SA"/>
        </w:rPr>
        <w:t xml:space="preserve">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سفره إلى مشهد انقطع عن الحضور عند الأساتذة، وأخذ بالبحث والإفادة، وإلقاء الدروس بطريقة مشابهة لطريقة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التدريس، ولم يكن ذلك شائعاً في أصفهان بعدُ، حتّى قيل إنّه جعل أصفهان كالنجف في طريقة التحصيل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أجيز في هذا الدور من حياته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الخميس عاشر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هاشم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أخو صاحب الروضات، أجازه الاجتهاد والرواية في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زال في أصفهان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3380866_2870459653"/>
      <w:bookmarkStart w:id="842" w:name="_Toc332"/>
      <w:bookmarkEnd w:id="841"/>
      <w:r>
        <w:rPr>
          <w:rtl w:val="true"/>
        </w:rPr>
        <w:t>المرحلة الأخرى</w:t>
      </w:r>
      <w:r>
        <w:rPr>
          <w:rtl w:val="true"/>
        </w:rPr>
        <w:t xml:space="preserve">: </w:t>
      </w:r>
      <w:r>
        <w:rPr>
          <w:rtl w:val="true"/>
        </w:rPr>
        <w:t>في العراق</w:t>
      </w:r>
      <w:bookmarkEnd w:id="842"/>
    </w:p>
    <w:p>
      <w:pPr>
        <w:pStyle w:val="Heading6"/>
        <w:numPr>
          <w:ilvl w:val="5"/>
          <w:numId w:val="1"/>
        </w:numPr>
        <w:rPr/>
      </w:pPr>
      <w:bookmarkStart w:id="843" w:name="__RefHeading___Toc3380868_2870459653"/>
      <w:bookmarkStart w:id="844" w:name="_Toc333"/>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ويمكن القول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هذه المرحلة بثلاثة أدوار</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3380870_2870459653"/>
      <w:bookmarkStart w:id="846" w:name="_Toc334"/>
      <w:bookmarkEnd w:id="845"/>
      <w:r>
        <w:rPr>
          <w:rtl w:val="true"/>
        </w:rPr>
        <w:t>الدور الأوّل</w:t>
      </w:r>
      <w:r>
        <w:rPr>
          <w:rtl w:val="true"/>
        </w:rPr>
        <w:t xml:space="preserve">: </w:t>
      </w:r>
      <w:r>
        <w:rPr>
          <w:rtl w:val="true"/>
        </w:rPr>
        <w:t>في الكاظمية المقدّسة</w:t>
      </w:r>
      <w:bookmarkEnd w:id="8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أوّل وروده إلى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واجتمع بعلمائها، وكان رئيسهم آنذاك </w:t>
      </w:r>
      <w:bookmarkStart w:id="847" w:name="pg9153_76738"/>
    </w:p>
    <w:p>
      <w:pPr>
        <w:pStyle w:val="BookText"/>
        <w:rPr/>
      </w:pPr>
      <w:bookmarkEnd w:id="847"/>
      <w:r>
        <w:rPr>
          <w:rFonts w:ascii="Amiri" w:hAnsi="Amiri" w:eastAsia="Amiri" w:cs="Amiri"/>
          <w:color w:val="111111"/>
          <w:sz w:val="28"/>
          <w:sz w:val="28"/>
          <w:szCs w:val="28"/>
          <w:rtl w:val="true"/>
          <w:lang w:bidi="ar-SA"/>
        </w:rPr>
        <w:t xml:space="preserve">الشيخ محمّد حسن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8" w:name="__RefHeading___Toc3380872_2870459653"/>
      <w:bookmarkStart w:id="849" w:name="_Toc335"/>
      <w:bookmarkEnd w:id="848"/>
      <w:r>
        <w:rPr>
          <w:rtl w:val="true"/>
        </w:rPr>
        <w:t>الدور الثاني</w:t>
      </w:r>
      <w:r>
        <w:rPr>
          <w:rtl w:val="true"/>
        </w:rPr>
        <w:t xml:space="preserve">: </w:t>
      </w:r>
      <w:r>
        <w:rPr>
          <w:rtl w:val="true"/>
        </w:rPr>
        <w:t>في كربلاء المقدّسة</w:t>
      </w:r>
      <w:bookmarkEnd w:id="849"/>
    </w:p>
    <w:p>
      <w:pPr>
        <w:pStyle w:val="BookText"/>
        <w:rPr/>
      </w:pPr>
      <w:r>
        <w:rPr>
          <w:rFonts w:ascii="Amiri" w:hAnsi="Amiri" w:eastAsia="Amiri" w:cs="Amiri"/>
          <w:color w:val="111111"/>
          <w:sz w:val="28"/>
          <w:sz w:val="28"/>
          <w:szCs w:val="28"/>
          <w:rtl w:val="true"/>
          <w:lang w:bidi="ar-SA"/>
        </w:rPr>
        <w:t>سافر إلى كربلاء، وأقام زماناً يتردّد على الشيخ محمّد 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الأردكانيّ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زين العابدين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وجرت له معهما مباحثات كثيرة في مهمّات علم الفقه وأصوله، فلم تطب نفسه إلّا بالورود إلى النجف، لما يسمع من حركة العلم، ووفور الأساتذة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0" w:name="__RefHeading___Toc3380874_2870459653"/>
      <w:bookmarkStart w:id="851" w:name="_Toc336"/>
      <w:bookmarkEnd w:id="850"/>
      <w:r>
        <w:rPr>
          <w:rtl w:val="true"/>
        </w:rPr>
        <w:t>الدور الثالث</w:t>
      </w:r>
      <w:r>
        <w:rPr>
          <w:rtl w:val="true"/>
        </w:rPr>
        <w:t xml:space="preserve">: </w:t>
      </w:r>
      <w:r>
        <w:rPr>
          <w:rtl w:val="true"/>
        </w:rPr>
        <w:t>في النجف الأشرف</w:t>
      </w:r>
      <w:bookmarkEnd w:id="851"/>
    </w:p>
    <w:p>
      <w:pPr>
        <w:pStyle w:val="BookText"/>
        <w:rPr/>
      </w:pPr>
      <w:r>
        <w:rPr>
          <w:rFonts w:ascii="Amiri" w:hAnsi="Amiri" w:eastAsia="Amiri" w:cs="Amiri"/>
          <w:color w:val="111111"/>
          <w:sz w:val="28"/>
          <w:sz w:val="28"/>
          <w:szCs w:val="28"/>
          <w:rtl w:val="true"/>
          <w:lang w:bidi="ar-SA"/>
        </w:rPr>
        <w:t>هاجر إلى النجف الأشرف، فرأى فيها ما ينيف على ألفي رجل من أهل العلم، وبينهم عدد كبير من أجلّة العلماء وعظمائهم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فحضر أبحاث الآيات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المحقّق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جلّ استفادة شيخ الشريعة من حضور بحثه فقهاً وأصولاً، فكان يحضر درسه صباحاً ومساءً إلى أن استغنى عن حضور الدرس</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الآخوند ملّا عليّ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حكى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أنّ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عنده بعض مباحث </w:t>
      </w:r>
      <w:bookmarkStart w:id="852" w:name="pg9153_76740"/>
    </w:p>
    <w:p>
      <w:pPr>
        <w:pStyle w:val="BookText"/>
        <w:rPr/>
      </w:pPr>
      <w:bookmarkEnd w:id="852"/>
      <w:r>
        <w:rPr>
          <w:rFonts w:ascii="IRNazanin" w:hAnsi="IRNazanin" w:eastAsia="IRNazanin"/>
          <w:color w:val="111111"/>
          <w:sz w:val="28"/>
          <w:sz w:val="28"/>
          <w:szCs w:val="28"/>
          <w:rtl w:val="true"/>
          <w:lang w:bidi="fa-IR"/>
        </w:rPr>
        <w:t>الوضع</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حسين ابن الميرزا خليل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 عنده شيخ الشريعة قليلاً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حضر عنده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شهوراً في علم الفقه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يتبيّن الخدش فيما قاله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الطبقات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عنده أيّاماً</w:t>
      </w:r>
      <w:r>
        <w:rPr>
          <w:rStyle w:val="FootnoteAnchor"/>
          <w:rtl w:val="true"/>
        </w:rPr>
        <w:footnoteReference w:id="960"/>
      </w:r>
      <w:r>
        <w:rPr>
          <w:rFonts w:ascii="Amiri" w:hAnsi="Amiri" w:eastAsia="Amiri" w:cs="Amiri"/>
          <w:color w:val="111111"/>
          <w:sz w:val="28"/>
          <w:sz w:val="28"/>
          <w:szCs w:val="28"/>
          <w:rtl w:val="true"/>
          <w:lang w:bidi="ar-SA"/>
        </w:rPr>
        <w:t>وإن كان قد ذكر في موضعين آخرين منها ما يلوح منه خلاف ذلك</w:t>
      </w:r>
      <w:r>
        <w:rPr>
          <w:rStyle w:val="FootnoteAnchor"/>
          <w:rtl w:val="true"/>
        </w:rPr>
        <w:footnoteReference w:id="961"/>
      </w:r>
      <w:r>
        <w:rPr>
          <w:rFonts w:ascii="Amiri" w:hAnsi="Amiri" w:eastAsia="Amiri" w:cs="Amiri"/>
          <w:color w:val="111111"/>
          <w:sz w:val="28"/>
          <w:sz w:val="28"/>
          <w:szCs w:val="28"/>
          <w:rtl w:val="true"/>
          <w:lang w:bidi="ar-SA"/>
        </w:rPr>
        <w:t>،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حسين قلي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لازم درسه في العلوم الرياضية وفنون الحكمة النظرية والتفسير</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3380876_2870459653"/>
      <w:bookmarkStart w:id="854" w:name="_Toc337"/>
      <w:bookmarkEnd w:id="853"/>
      <w:r>
        <w:rPr>
          <w:rtl w:val="true"/>
        </w:rPr>
        <w:t>إلقاؤه دروس البحث العالي</w:t>
      </w:r>
      <w:bookmarkEnd w:id="8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للتدريس وإلقاء البحوث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بقليل؛ ذلك أنّ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الطبقات أنّ السيّد محمّد باقر القاضي قد </w:t>
      </w:r>
      <w:bookmarkStart w:id="855" w:name="pg9153_76742"/>
    </w:p>
    <w:p>
      <w:pPr>
        <w:pStyle w:val="BookText"/>
        <w:rPr/>
      </w:pPr>
      <w:bookmarkEnd w:id="855"/>
      <w:r>
        <w:rPr>
          <w:rFonts w:ascii="Amiri" w:hAnsi="Amiri" w:eastAsia="Amiri" w:cs="Amiri"/>
          <w:color w:val="111111"/>
          <w:sz w:val="28"/>
          <w:sz w:val="28"/>
          <w:szCs w:val="28"/>
          <w:rtl w:val="true"/>
          <w:lang w:bidi="ar-SA"/>
        </w:rPr>
        <w:t xml:space="preserve">تشرّف بمجاورة العتبات المقدّسة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 أبحاث الشيخ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وقريب منه ذكره في موضع آخر منها أيضاً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أنّه قد انقطع عن حضور أبحاث أعلام عصره بعد وفاة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فاستقلّ بالتدريس والمذاكرة بطريقة المحاضرة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يدرّس الفقه صباحاً، والأصول عصراً، وأحياناً كان يملي درساً في الكلام والرجال صدر النهار، ودرساً ثالثاً في الأصول أيضاً بعد المغرب</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يلقي بحوثه في مسجد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إلى أن توفّي</w:t>
      </w:r>
      <w:r>
        <w:rPr>
          <w:rStyle w:val="FootnoteAnchor"/>
          <w:rtl w:val="true"/>
        </w:rPr>
        <w:footnoteReference w:id="967"/>
      </w:r>
      <w:r>
        <w:rPr>
          <w:rFonts w:ascii="Amiri" w:hAnsi="Amiri" w:eastAsia="Amiri" w:cs="Amiri"/>
          <w:color w:val="111111"/>
          <w:sz w:val="28"/>
          <w:sz w:val="28"/>
          <w:szCs w:val="28"/>
          <w:rtl w:val="true"/>
          <w:lang w:bidi="ar-SA"/>
        </w:rPr>
        <w:t>، وكذلك في مسجد الهنديّ</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3380878_2870459653"/>
      <w:bookmarkStart w:id="857" w:name="_Toc338"/>
      <w:bookmarkEnd w:id="856"/>
      <w:r>
        <w:rPr>
          <w:rtl w:val="true"/>
        </w:rPr>
        <w:t>الإجازات الممنوحة له في النجف الأشرف</w:t>
      </w:r>
      <w:bookmarkEnd w:id="857"/>
    </w:p>
    <w:p>
      <w:pPr>
        <w:pStyle w:val="BookText"/>
        <w:rPr/>
      </w:pPr>
      <w:r>
        <w:rPr>
          <w:rFonts w:ascii="Amiri" w:hAnsi="Amiri" w:eastAsia="Amiri" w:cs="Amiri"/>
          <w:color w:val="111111"/>
          <w:sz w:val="28"/>
          <w:sz w:val="28"/>
          <w:szCs w:val="28"/>
          <w:rtl w:val="true"/>
          <w:lang w:bidi="ar-SA"/>
        </w:rPr>
        <w:t xml:space="preserve">قد أجيز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جمعٍ من الأعلام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القزوينيّ الحلّيّ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858" w:name="pg9153_76744"/>
    </w:p>
    <w:p>
      <w:pPr>
        <w:pStyle w:val="BookText"/>
        <w:rPr/>
      </w:pPr>
      <w:bookmarkEnd w:id="8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3380880_2870459653"/>
      <w:bookmarkStart w:id="860" w:name="_Toc339"/>
      <w:bookmarkEnd w:id="859"/>
      <w:r>
        <w:rPr>
          <w:rtl w:val="true"/>
        </w:rPr>
        <w:t xml:space="preserve">الإجازات الممنوحة منه </w:t>
      </w:r>
      <w:r>
        <w:rPr>
          <w:rtl w:val="true"/>
        </w:rPr>
        <w:t>(</w:t>
      </w:r>
      <w:r>
        <w:rPr>
          <w:rtl w:val="true"/>
        </w:rPr>
        <w:t>قدس سره</w:t>
      </w:r>
      <w:r>
        <w:rPr>
          <w:rtl w:val="true"/>
        </w:rPr>
        <w:t xml:space="preserve">) </w:t>
      </w:r>
      <w:r>
        <w:rPr>
          <w:rtl w:val="true"/>
        </w:rPr>
        <w:t>في النجف الأشرف</w:t>
      </w:r>
      <w:bookmarkEnd w:id="860"/>
    </w:p>
    <w:p>
      <w:pPr>
        <w:pStyle w:val="BookText"/>
        <w:rPr/>
      </w:pPr>
      <w:r>
        <w:rPr>
          <w:rFonts w:ascii="Amiri" w:hAnsi="Amiri" w:eastAsia="Amiri" w:cs="Amiri"/>
          <w:color w:val="111111"/>
          <w:sz w:val="28"/>
          <w:sz w:val="28"/>
          <w:szCs w:val="28"/>
          <w:rtl w:val="true"/>
          <w:lang w:bidi="ar-SA"/>
        </w:rPr>
        <w:t>قد تقدّمت الإشارة فيما قيل في حقّه إلى كثرة من حضر بحثه من الفضلاء، وهناك عدد ليس باليسير منهم قد أجازهم بالاجتهاد والرواية، يظهر ذلك بالتتبّع في الكتب المعدّة لذلك</w:t>
      </w:r>
      <w:r>
        <w:rPr>
          <w:rStyle w:val="FootnoteAnchor"/>
          <w:rtl w:val="true"/>
        </w:rPr>
        <w:footnoteReference w:id="972"/>
      </w:r>
      <w:r>
        <w:rPr>
          <w:rFonts w:ascii="Amiri" w:hAnsi="Amiri" w:eastAsia="Amiri" w:cs="Amiri"/>
          <w:color w:val="111111"/>
          <w:sz w:val="28"/>
          <w:sz w:val="28"/>
          <w:szCs w:val="28"/>
          <w:rtl w:val="true"/>
          <w:lang w:bidi="ar-SA"/>
        </w:rPr>
        <w:t>، وأمّا من أجازهم رواية الحديث فهم فوق حدّ الإحصاء</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وأذكر هنا نبذة ممّا حرّره قلمه الشريف من إجازته للسيّد عبد الحسين شرف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فيها من فصاحة الكلام وحسن التعبير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شرف العلم وكثرة فضله وجلال حملته وسدنته وأهله ممّا أغنت ضرورة العقول السليمة عن الاستشهاد عليه بالآيات المحكمة الكريمة، وصريح النصوص الصريحة القويمة، وقد أيّد الله هذا الدين المتين بالعلماء، وجعلهم ورثة الأنبياء، وفضّل نومهم على عمل الصلحاء، ولا شرف إلّا وهو نظامه، ولا كرم إلّا وهو ملاكه وقوامه، وهو الصديق إذا خان كلّ صديق، والشفيق إذا لم يوثق بكلّ ناصح شفيق، وهو المؤنس في الوحشة، والمصاحب في الغربة والوحدة، والمحدّث </w:t>
      </w:r>
    </w:p>
    <w:p>
      <w:pPr>
        <w:pStyle w:val="BookText"/>
        <w:rPr/>
      </w:pPr>
      <w:r>
        <w:rPr>
          <w:rFonts w:ascii="Amiri" w:hAnsi="Amiri" w:eastAsia="Amiri" w:cs="Amiri"/>
          <w:color w:val="111111"/>
          <w:sz w:val="28"/>
          <w:sz w:val="28"/>
          <w:szCs w:val="28"/>
          <w:rtl w:val="true"/>
          <w:lang w:bidi="ar-SA"/>
        </w:rPr>
        <w:t>في الخلوة، يستغفر لأهله حيتان البحر وهوامه، وسباع البرّ وأنعامه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هذه الروضة المرضيّة المخضرّة الأطراف، والدوحة البهيّة الزاهرة الأكناف، غصن شجرة السيادة، ونور حديقة السعادة، صاحب الذهن الوقّاد، والطبع النقّاد، والقريحة القويمة، والسليقة المستقيمة، السالك أوضح المسالك في استنباط الفروع من المدارك، العالم العامل البهيّ التقيّ النقيّ المبرّأ عن كلّ شين، السيّد عبدالحسين العامليّ، أيّده الله بلطفه الخفيّ والجليّ، ابن علم الأعلام، وملاذ الأنام، ومرجع الخواصّ والعوامّ، ثقة الإسلام سيّدنا السيّد يوسف صانه الله تعالى عمّا يوجب التأسّف والتلهّف، فإنّه هاجر عن وطنه ونفر عن مسكنه، وبعد عن الأتراب والأقران، وشطّت به الديار والسكّان، فحضر على ثلّة من العلماء الأعيان، وعلى هذا الضعيف مدّة من الزمان، فلم يقنع من السماع إلّا إلى التحقيق، ومن النظر إلّا إلى التحديق، وجدّ واجتهد في طلب المعالي، ووصل يقظة الأيّام بإحياء الليالي، وناظر ونوظر، وراجع وروجع حتّى فاق الأمثال والأقران، وصار مشاراً إليه بالبنان، بصيراً بمعضلات المسائل الفقهيّة، ومشكلات المطالب الأصليّة والفرعيّة، وتكلّم معي مراراً بما كشف عن كون نظيره نزيراً، واختبرته ببعض مقفلات المسائل فوجدته بطرق فتحها وحلّها خبيراً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ترقّى من حضيض التقليد إلى أوج الاجتهاد، وصار من أهل الذكر الذين يرجع إليهم العباد فيما يتعلّق بالمعاش والمعاد، فليحمد الله تعالى على ما آتاه من النعم الجليلة والآلاء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الآثم الجاني فتح اللّه الشيرازيّ أصلاً، الأصبهانيّ انتساباً، الغروي موطناً ومدفناً إن شاء اللّه تعالى، في رابع شهر </w:t>
      </w:r>
      <w:bookmarkStart w:id="861" w:name="pg9153_76748"/>
    </w:p>
    <w:p>
      <w:pPr>
        <w:pStyle w:val="BookText"/>
        <w:rPr/>
      </w:pPr>
      <w:bookmarkEnd w:id="861"/>
      <w:r>
        <w:rPr>
          <w:rFonts w:ascii="Amiri" w:hAnsi="Amiri" w:eastAsia="Amiri" w:cs="Amiri"/>
          <w:color w:val="111111"/>
          <w:sz w:val="28"/>
          <w:sz w:val="28"/>
          <w:szCs w:val="28"/>
          <w:rtl w:val="true"/>
          <w:lang w:bidi="ar-SA"/>
        </w:rPr>
        <w:t>محرّم الحرام من شهور السنة الحادية والعشرين بعد الثلاثمائة والألف من الهجرة الشريفة على مهاجرها ألف سلام وتحيّة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3380882_2870459653"/>
      <w:bookmarkStart w:id="863" w:name="_Toc340"/>
      <w:bookmarkEnd w:id="862"/>
      <w:r>
        <w:rPr>
          <w:rtl w:val="true"/>
        </w:rPr>
        <w:t>بعض أعلام تلامذته</w:t>
      </w:r>
      <w:bookmarkEnd w:id="8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الهادي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فتح عليّ بن گل‌محمّد حكيم البرادگاهيّ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خواصّ تلامذته وكتب جميع تقريرات بحثه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بن زين العابدين إمام الجمعة في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 بحث مخصوص عند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الحسن عليّ الهادي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ممتاز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64" w:name="pg9153_76751"/>
    </w:p>
    <w:p>
      <w:pPr>
        <w:pStyle w:val="BookText"/>
        <w:rPr/>
      </w:pPr>
      <w:bookmarkEnd w:id="864"/>
      <w:r>
        <w:rPr>
          <w:rFonts w:ascii="Amiri" w:hAnsi="Amiri" w:eastAsia="Amiri" w:cs="Amiri"/>
          <w:color w:val="111111"/>
          <w:sz w:val="28"/>
          <w:sz w:val="28"/>
          <w:szCs w:val="28"/>
          <w:rtl w:val="true"/>
          <w:lang w:bidi="ar-SA"/>
        </w:rPr>
        <w:t xml:space="preserve">وكان من أخصّ تلاميذ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الحسين بن قاسم الحلّيّ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 ترجمة لأستاذه شيخ الشريعة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محسن بن عليّ بن محمّد رضا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الحجّة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3380884_2870459653"/>
      <w:bookmarkStart w:id="866" w:name="_Toc341"/>
      <w:bookmarkEnd w:id="865"/>
      <w:r>
        <w:rPr>
          <w:rtl w:val="true"/>
        </w:rPr>
        <w:t>مؤلّفاته</w:t>
      </w:r>
      <w:bookmarkEnd w:id="866"/>
    </w:p>
    <w:p>
      <w:pPr>
        <w:pStyle w:val="Heading6"/>
        <w:numPr>
          <w:ilvl w:val="5"/>
          <w:numId w:val="1"/>
        </w:numPr>
        <w:rPr/>
      </w:pPr>
      <w:bookmarkStart w:id="867" w:name="__RefHeading___Toc3380886_2870459653"/>
      <w:bookmarkStart w:id="868" w:name="_Toc342"/>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ما يلقيه من الدروس، فكان جلّ وقته مصروفاً في المطالعة لها، ولذا قلّت مصنّفاته ولم تستوعب فنّاً من الفنون التي يمتاز بها أو كان مشاركاً فيها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ذلك وجدت له المؤلّفات التالية</w:t>
      </w:r>
      <w:r>
        <w:rPr>
          <w:rFonts w:eastAsia="Amiri" w:cs="Amiri" w:ascii="Amiri" w:hAnsi="Amiri"/>
          <w:color w:val="111111"/>
          <w:sz w:val="28"/>
          <w:szCs w:val="28"/>
          <w:rtl w:val="true"/>
          <w:lang w:bidi="ar-SA"/>
        </w:rPr>
        <w:t xml:space="preserve">: </w:t>
      </w:r>
      <w:bookmarkStart w:id="869" w:name="pg9153_76752"/>
    </w:p>
    <w:p>
      <w:pPr>
        <w:pStyle w:val="Heading6"/>
        <w:numPr>
          <w:ilvl w:val="5"/>
          <w:numId w:val="1"/>
        </w:numPr>
        <w:rPr/>
      </w:pPr>
      <w:bookmarkStart w:id="870" w:name="__RefHeading___Toc3380888_2870459653"/>
      <w:bookmarkStart w:id="871" w:name="_Toc343"/>
      <w:bookmarkEnd w:id="869"/>
      <w:bookmarkEnd w:id="870"/>
      <w:r>
        <w:rPr>
          <w:rtl w:val="true"/>
        </w:rPr>
        <w:t>أمّا المطبوع منها فهو</w:t>
      </w:r>
      <w:bookmarkEnd w:id="8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الصراح في أحوال الصحاح،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رسالة فيما يتعلّق بالصحاح الستّة، وأحوال رواتها، تقرب من ثلاثة آلاف بيت، وأنا استنسختها عن خطّ يده، ولمّا لم يسمّه باسم خاصّ فسمَّيته أنا القول الصراح في أحوال الصحاح</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مؤخّراً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الصراح في البخاري وصحيحه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بتحقيق الشيخ حسين الهرساويّ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 له الشيخ جعفر السبحانيّ، من منشورات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إبانة المختار من ثمن العقار بعد الأخذ بالخيار، كتبها ردَّاً على ما كتبه السيّد اليزديّ في حواشيه على مكاسب الشيخ الأعظم في هذا الموضوع، فرغ منها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الإبانة عن وصمة الرطانة، دفع فيه ما اعترض به المحقِّق الخراسانيّ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المختار في إرث الزوجة من العقار</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طبعتا مؤخّراً في مجموعة مكوّنة من أربع رسائل، بتحقيق الشيخ محمّد الفاضل القائينيّ، وإشراف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w:t>
      </w:r>
      <w:bookmarkStart w:id="872" w:name="pg9153_76754"/>
    </w:p>
    <w:p>
      <w:pPr>
        <w:pStyle w:val="BookText"/>
        <w:rPr/>
      </w:pPr>
      <w:bookmarkEnd w:id="872"/>
      <w:r>
        <w:rPr>
          <w:rFonts w:ascii="Amiri" w:hAnsi="Amiri" w:eastAsia="Amiri" w:cs="Amiri"/>
          <w:color w:val="111111"/>
          <w:sz w:val="28"/>
          <w:sz w:val="28"/>
          <w:szCs w:val="28"/>
          <w:rtl w:val="true"/>
          <w:lang w:bidi="ar-SA"/>
        </w:rPr>
        <w:t>قدّم لها الشيخ جعفر السبحانيّ</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المتّقين، رسالة عمليّة بالفارسيّة، طبعت في المطبعة الحيدريّة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إفاضة القدير في حلِّ العصير</w:t>
      </w:r>
      <w:r>
        <w:rPr>
          <w:rStyle w:val="FootnoteAnchor"/>
          <w:rtl w:val="true"/>
        </w:rPr>
        <w:footnoteReference w:id="993"/>
      </w:r>
      <w:r>
        <w:rPr>
          <w:rFonts w:ascii="IRNazanin" w:hAnsi="IRNazanin" w:eastAsia="IRNazanin"/>
          <w:color w:val="111111"/>
          <w:sz w:val="28"/>
          <w:sz w:val="28"/>
          <w:szCs w:val="28"/>
          <w:rtl w:val="true"/>
          <w:lang w:bidi="fa-IR"/>
        </w:rPr>
        <w:t xml:space="preserve">، فرغ منه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ضرر، وهي آخر ما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طبعت الرسالتان في مجلّد واحد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الأبو طالبيّ العراقي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مناظراته مع محمود شكري أفندي الآلوسيّ البغداديّ</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في مجلّد واحد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مناظرات شيخ الشريعة الأصفهانيّ مع السيّد محمود شكري 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Heading6"/>
        <w:numPr>
          <w:ilvl w:val="5"/>
          <w:numId w:val="1"/>
        </w:numPr>
        <w:rPr/>
      </w:pPr>
      <w:bookmarkStart w:id="873" w:name="__RefHeading___Toc3380890_2870459653"/>
      <w:bookmarkStart w:id="874" w:name="_Toc344"/>
      <w:bookmarkEnd w:id="873"/>
      <w:r>
        <w:rPr>
          <w:rtl w:val="true"/>
        </w:rPr>
        <w:t>وأمّا غير المطبوع منها فهو</w:t>
      </w:r>
      <w:bookmarkEnd w:id="87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 العالي بالسافل</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شيخ الشريعة،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بخطِّه تعليقات كثيرة على الكتب الرجاليّة لو دوِّنت لساوى مجلَّداً ضخماً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الهداية، والهداية كتاب من ثلاثة مجلّدات، تأليف جمعية المستشرقين الأمريكان، طبع بمصر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المسلمين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الكعب</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لفظ الجلالة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إبرام القضاء في وسع الفضاء</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مبسوطة تتعلّق بمباحث الوضع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الغرويّة</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إنارة الحالك في قراءة ملك ومالك، فرغ منه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التفصيل بين جلود السباع وغيرها، فرغ منها في النجف الأشرف في العشر الأخير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تتميم القليل كرّاً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قاعدة الطهارة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الواحد لا يصدر عنه إلّا الواحد</w:t>
      </w:r>
      <w:r>
        <w:rPr>
          <w:rStyle w:val="FootnoteAnchor"/>
          <w:rtl w:val="true"/>
        </w:rPr>
        <w:footnoteReference w:id="1008"/>
      </w:r>
      <w:r>
        <w:rPr>
          <w:rFonts w:ascii="Amiri" w:hAnsi="Amiri" w:eastAsia="Amiri" w:cs="Amiri"/>
          <w:color w:val="111111"/>
          <w:sz w:val="28"/>
          <w:sz w:val="28"/>
          <w:szCs w:val="28"/>
          <w:rtl w:val="true"/>
          <w:lang w:bidi="ar-SA"/>
        </w:rPr>
        <w:t>، وهي التي بين يدي القارئ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أصالة الصحّة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اللباس المشكوك</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الغسالة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معنى لا بأس</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علم اللّه بالممتنعات</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صفات الذات و صفات الفعل</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تبصرة المتعلّمين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بطلان العمل بالاحتياط في بعض الفروع لمن تمكّن من تحصيل الواقع بطريق معتبر</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تعداده لمؤلّفات أستاذه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تعيين الكرّ</w:t>
      </w:r>
      <w:r>
        <w:rPr>
          <w:rStyle w:val="FootnoteAnchor"/>
          <w:rtl w:val="true"/>
        </w:rPr>
        <w:footnoteReference w:id="1017"/>
      </w:r>
      <w:r>
        <w:rPr>
          <w:rFonts w:ascii="Amiri" w:hAnsi="Amiri" w:eastAsia="Amiri" w:cs="Amiri"/>
          <w:color w:val="111111"/>
          <w:sz w:val="28"/>
          <w:sz w:val="28"/>
          <w:szCs w:val="28"/>
          <w:rtl w:val="true"/>
          <w:lang w:bidi="ar-SA"/>
        </w:rPr>
        <w:t>، ورسالة في تعريف البيع</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كلا الرسالتين طبعتا كتقرير لأبحاث شيخ الشريعة بقلم تلميذه الشيخ محمّد حسين السبحانيّ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المقدّسة، الأولى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تحديد الكرّ بالوزن والمساحة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تعريف البيع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أنّي زرت في يوم السبت المصادف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ﻫ مكتبة الإمام الشيخ محمّد الحسين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فأطلعني جناب الأخ العزيز الشيخ أمير نجل فضيلة الشيخ شريف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حوته خزانة المكتبة من تراث ضخم وفريد من نوعه لشيخ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في كثير من الوثائق والمراسلات التي جرت بينه وبين علماء وقته، وبينه وبين الملوك والسلاطين والوزراء والأعيان في الشؤون العامّة وغيرها، وما منحه من إجازات، وما بقي من مقتنياته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الشخصية، حتّى تملّكتني الدهشة لما رأيت، أسأل الله تعالى التوفيق </w:t>
      </w:r>
      <w:bookmarkStart w:id="875" w:name="pg9153_76762"/>
    </w:p>
    <w:p>
      <w:pPr>
        <w:pStyle w:val="BookText"/>
        <w:rPr/>
      </w:pPr>
      <w:bookmarkEnd w:id="875"/>
      <w:r>
        <w:rPr>
          <w:rFonts w:ascii="Amiri" w:hAnsi="Amiri" w:eastAsia="Amiri" w:cs="Amiri"/>
          <w:color w:val="111111"/>
          <w:sz w:val="28"/>
          <w:sz w:val="28"/>
          <w:szCs w:val="28"/>
          <w:rtl w:val="true"/>
          <w:lang w:bidi="ar-SA"/>
        </w:rPr>
        <w:t xml:space="preserve">لإخراجها بما يتلائم ومكانة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أتعب نفسه الشريفة في ساحتي العلم والجهاد</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380892_2870459653"/>
      <w:bookmarkStart w:id="877" w:name="_Toc345"/>
      <w:bookmarkEnd w:id="876"/>
      <w:r>
        <w:rPr>
          <w:rtl w:val="true"/>
        </w:rPr>
        <w:t>مكتبته</w:t>
      </w:r>
      <w:bookmarkEnd w:id="877"/>
    </w:p>
    <w:p>
      <w:pPr>
        <w:pStyle w:val="BookText"/>
        <w:rPr/>
      </w:pP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تضمّ بين رفوفها جملة وافرة من أهمّ الكتب والمخطوطات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عليّ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عدداً كثيراً يبلغ الألف وفيها الكتب القلمية النفيسة الجيّدة الخطّ وإن كان أغلبها من مطبوعات إيران وغيرها، وهو لم يزل حريصاً في جمعها واقتنائها، ضنيناً بها، وهي اليوم ممّا يشار إليها بالبنان، وقد جلب أغلبها من الأطراف، وقد احتوت على علوم شتى</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عليه من الاشتغال بالبحث والتدريس يخطّ بيده بعض الكتب النادرة، فقد استنسخ بيده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اطّلعنا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تضمّ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للنوبختيّ،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 وأيضاً رسالة طريق استنباط الأحكام للمحقِّق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3380894_2870459653"/>
      <w:bookmarkStart w:id="879" w:name="_Toc346"/>
      <w:bookmarkEnd w:id="878"/>
      <w:r>
        <w:rPr>
          <w:rtl w:val="true"/>
        </w:rPr>
        <w:t>وفاته</w:t>
      </w:r>
      <w:bookmarkEnd w:id="87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ثلّة من العلماء لجهاد القوات الإنكليزيّة التي </w:t>
      </w:r>
    </w:p>
    <w:p>
      <w:pPr>
        <w:pStyle w:val="BookText"/>
        <w:rPr/>
      </w:pPr>
      <w:r>
        <w:rPr>
          <w:rFonts w:ascii="IRNazanin" w:hAnsi="IRNazanin" w:eastAsia="IRNazanin"/>
          <w:color w:val="111111"/>
          <w:sz w:val="28"/>
          <w:sz w:val="28"/>
          <w:szCs w:val="28"/>
          <w:rtl w:val="true"/>
          <w:lang w:bidi="fa-IR"/>
        </w:rPr>
        <w:t>احتلت جنوب العراق</w:t>
      </w:r>
      <w:r>
        <w:rPr>
          <w:rStyle w:val="FootnoteAnchor"/>
          <w:rtl w:val="true"/>
        </w:rPr>
        <w:footnoteReference w:id="1022"/>
      </w:r>
      <w:r>
        <w:rPr>
          <w:rFonts w:ascii="Amiri" w:hAnsi="Amiri" w:eastAsia="Amiri" w:cs="Amiri"/>
          <w:color w:val="111111"/>
          <w:sz w:val="28"/>
          <w:sz w:val="28"/>
          <w:szCs w:val="28"/>
          <w:rtl w:val="true"/>
          <w:lang w:bidi="ar-SA"/>
        </w:rPr>
        <w:t xml:space="preserve">، وقد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الخروج بمرض في صدره لما لاقاه من كثافة الهواء، وزاد في سوء حالته انهزام عساكر المسلمين، وتفرّق جموعهم، وزاد في قلقه ومرضه بشكل أكثر حدوث حوادث تدمي العيون، وتذيب الأكباد، ابتلي بها المسلمون في العراق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تسلب راحته، وتقلق وساده، وتذرف لها دموعه، نتيجة لاضطهاد الحكومة الإنكليزية للعراقيين المطالبين بالاستقلال</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يمهله الأجل كثيراً، بل وافته المنيّة ليلة الأحد، ثامن</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وإفاضة القدير في أحكام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 من ذلك العام صادف يوم الاثنين بحسب المواقيت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فشيّعه عامّة أهل النجف رجالاً ونساءً، ولم يبق فيها أحد إلّا وخرج لنيل الأجر بتشيعه، فجيء به إلى الصحن الشريف فصلّى عليه بوصيّةٍ منه الشيخ عليّ الحلّيّ والد الشيخ حسين 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ودفن في إحدى حجر الصحن الشريف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الجهة الشرقيّة، وأقيمت له مجالس العزاء في البلاد، ورثاه الشعراء</w:t>
      </w:r>
      <w:r>
        <w:rPr>
          <w:rFonts w:eastAsia="IRNazanin" w:cs="IRNazanin"/>
          <w:color w:val="111111"/>
          <w:sz w:val="28"/>
          <w:szCs w:val="28"/>
          <w:rtl w:val="true"/>
          <w:lang w:bidi="fa-IR"/>
        </w:rPr>
        <w:t>.</w:t>
      </w:r>
      <w:bookmarkStart w:id="880" w:name="pg9153_76767"/>
    </w:p>
    <w:p>
      <w:pPr>
        <w:pStyle w:val="Heading4"/>
        <w:numPr>
          <w:ilvl w:val="3"/>
          <w:numId w:val="1"/>
        </w:numPr>
        <w:rPr/>
      </w:pPr>
      <w:bookmarkStart w:id="881" w:name="__RefHeading___Toc3380896_2870459653"/>
      <w:bookmarkStart w:id="882" w:name="_Toc347"/>
      <w:bookmarkEnd w:id="880"/>
      <w:bookmarkEnd w:id="881"/>
      <w:r>
        <w:rPr>
          <w:rtl w:val="true"/>
        </w:rPr>
        <w:t>الأمر الآخر</w:t>
      </w:r>
      <w:r>
        <w:rPr>
          <w:rtl w:val="true"/>
        </w:rPr>
        <w:t xml:space="preserve">: </w:t>
      </w:r>
      <w:r>
        <w:rPr>
          <w:rtl w:val="true"/>
        </w:rPr>
        <w:t>نبذة فيمن كتب في قاعدة الواحد</w:t>
      </w:r>
      <w:bookmarkEnd w:id="882"/>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الفلسفيّة القديمة عند الفرس الثنوية، وقد رتّبت عليه فيما بعد نظرية العقول العشرة لإثبات التوحيد</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 الاختلاف في هذه القاعدة بين المسلمين عند قبول الفلاسفة المسلمين لهذه القاعدة والاستدلال بها في مباحث التوحيد وغيرها، وعلى إثر ذلك احتدم النقاش بينهم وبين علماء الكلام المسلمين؛ للتنافي الملحوظ بدواً بين مفاد هذه القاعدة وبين ما يعتقد به المسلم من أنّ هذا العالم بكثرته مخلوق لله تعالى، فإنّ التسليم بهذه القاعدة يفضي إلى أنّ الصادر منه تعالى ليس إلّا شيئاً واحداً فقط، وأمّا الكثرات الموجودة في هذا العالم فلم تصدر من الباري عزّ وجلّ مباشرةً، بل صدرت منه بتوسّط غيره، ومن الطبيعيّ أنّ ينعكس مثل هذا الاختلاف على مستوى المباحث العلميّة بين الفريقين، وبتبعه تكثر الكتابة في هذه القاعدة، فيتمّ تناولها إمّا بشكلٍ مستقلّ أو ضمن كُتب علم الكلام أو غيرها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كتب فيها من علمائنا قبل شيخ الشريعة المحقّق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ما كتبه شرحاً لكتب الفيلسوف أبي عليّ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كشرح الإشارات والتنبيهات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ضمن ما ألّفه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كتجريد الاعتقاد</w:t>
      </w:r>
      <w:r>
        <w:rPr>
          <w:rStyle w:val="FootnoteAnchor"/>
          <w:rtl w:val="true"/>
        </w:rPr>
        <w:footnoteReference w:id="1026"/>
      </w:r>
      <w:r>
        <w:rPr>
          <w:rFonts w:ascii="Amiri" w:hAnsi="Amiri" w:eastAsia="Amiri" w:cs="Amiri"/>
          <w:color w:val="111111"/>
          <w:sz w:val="28"/>
          <w:sz w:val="28"/>
          <w:szCs w:val="28"/>
          <w:rtl w:val="true"/>
          <w:lang w:bidi="ar-SA"/>
        </w:rPr>
        <w:t>، أو أجوبة المسائل النصيريّة</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شرحه من كتاب </w:t>
      </w:r>
    </w:p>
    <w:p>
      <w:pPr>
        <w:pStyle w:val="BookText"/>
        <w:rPr/>
      </w:pPr>
      <w:r>
        <w:rPr>
          <w:rFonts w:ascii="Amiri" w:hAnsi="Amiri" w:eastAsia="Amiri" w:cs="Amiri"/>
          <w:color w:val="111111"/>
          <w:sz w:val="28"/>
          <w:sz w:val="28"/>
          <w:szCs w:val="28"/>
          <w:rtl w:val="true"/>
          <w:lang w:bidi="ar-SA"/>
        </w:rPr>
        <w:t>تجريد الاعتقاد</w:t>
      </w:r>
      <w:r>
        <w:rPr>
          <w:rStyle w:val="FootnoteAnchor"/>
          <w:rtl w:val="true"/>
        </w:rPr>
        <w:footnoteReference w:id="1028"/>
      </w:r>
      <w:r>
        <w:rPr>
          <w:rFonts w:ascii="Amiri" w:hAnsi="Amiri" w:eastAsia="Amiri" w:cs="Amiri"/>
          <w:color w:val="111111"/>
          <w:sz w:val="28"/>
          <w:sz w:val="28"/>
          <w:szCs w:val="28"/>
          <w:rtl w:val="true"/>
          <w:lang w:bidi="ar-SA"/>
        </w:rPr>
        <w:t xml:space="preserve">، أو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إلى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نهج المسترشدين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وكذلك في كتابه الآخر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الجلاليّة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الذي شرح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نصير الدين الطوسيّ، والسيّد إبراهيم ابن ميرزا حسين ابن الحسن الحسينيّ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معاصري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ألّف فيها رسالة مستقلّة</w:t>
      </w:r>
      <w:r>
        <w:rPr>
          <w:rStyle w:val="FootnoteAnchor"/>
          <w:rtl w:val="true"/>
        </w:rPr>
        <w:footnoteReference w:id="1031"/>
      </w:r>
      <w:r>
        <w:rPr>
          <w:rFonts w:ascii="Amiri" w:hAnsi="Amiri" w:eastAsia="Amiri" w:cs="Amiri"/>
          <w:color w:val="111111"/>
          <w:sz w:val="28"/>
          <w:sz w:val="28"/>
          <w:szCs w:val="28"/>
          <w:rtl w:val="true"/>
          <w:lang w:bidi="ar-SA"/>
        </w:rPr>
        <w:t xml:space="preserve">، والملّا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تناول هذه القاعدة في كتبه</w:t>
      </w:r>
      <w:r>
        <w:rPr>
          <w:rStyle w:val="FootnoteAnchor"/>
          <w:rtl w:val="true"/>
        </w:rPr>
        <w:footnoteReference w:id="1032"/>
      </w:r>
      <w:r>
        <w:rPr>
          <w:rFonts w:ascii="Amiri" w:hAnsi="Amiri" w:eastAsia="Amiri" w:cs="Amiri"/>
          <w:color w:val="111111"/>
          <w:sz w:val="28"/>
          <w:sz w:val="28"/>
          <w:szCs w:val="28"/>
          <w:rtl w:val="true"/>
          <w:lang w:bidi="ar-SA"/>
        </w:rPr>
        <w:t xml:space="preserve">، والمحقّق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شوارق الإلهام في شرح تجريد الكلام</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وجمال الدين محمّد بن الحسين ابن محمّد بن الحسين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 xml:space="preserve">، وكذلك المولى نظر عليّ بن محمّد محسن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1217</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ومحمّد جعفر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 في شرح تجريد العقائد الساطعة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سليمان ابن </w:t>
      </w:r>
    </w:p>
    <w:p>
      <w:pPr>
        <w:pStyle w:val="BookText"/>
        <w:rPr/>
      </w:pPr>
      <w:r>
        <w:rPr>
          <w:rFonts w:ascii="Amiri" w:hAnsi="Amiri" w:eastAsia="Amiri" w:cs="Amiri"/>
          <w:color w:val="111111"/>
          <w:sz w:val="28"/>
          <w:sz w:val="28"/>
          <w:szCs w:val="28"/>
          <w:rtl w:val="true"/>
          <w:lang w:bidi="ar-SA"/>
        </w:rPr>
        <w:t xml:space="preserve">الشيخ أحمد ابن الشيخ حسين آل عبد الجبّار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 فيها رسالة مستقلّة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كتب فيها في عهد شيخ الشريعة السيّد راحت حسين الرضويّ الكوپال‌پوريّ الذي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إفحام الجاحد في ردّ أنّ الواحد لا يصدر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1337</w:t>
      </w:r>
      <w:r>
        <w:rPr>
          <w:rStyle w:val="FootnoteAnchor"/>
          <w:rtl w:val="true"/>
        </w:rPr>
        <w:footnoteReference w:id="1037"/>
      </w:r>
      <w:r>
        <w:rPr>
          <w:rFonts w:ascii="Amiri" w:hAnsi="Amiri" w:eastAsia="Amiri" w:cs="Amiri"/>
          <w:color w:val="111111"/>
          <w:sz w:val="28"/>
          <w:sz w:val="28"/>
          <w:szCs w:val="28"/>
          <w:rtl w:val="true"/>
          <w:lang w:bidi="ar-SA"/>
        </w:rPr>
        <w:t xml:space="preserve">، وتلميذ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 وهو الذي طلب من شيخ الشريعة أن يكتب في قاعدة الواحد على ما ستطّلع عليه في بداية الرسالة التي بين أيدينا، وكذلك أخوه الشيخ فضل الله شيخ الإسلام بحسب ما تفرّد به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الطبقات</w:t>
      </w:r>
      <w:r>
        <w:rPr>
          <w:rStyle w:val="FootnoteAnchor"/>
          <w:rtl w:val="true"/>
        </w:rPr>
        <w:footnoteReference w:id="1039"/>
      </w:r>
      <w:r>
        <w:rPr>
          <w:rFonts w:ascii="Amiri" w:hAnsi="Amiri" w:eastAsia="Amiri" w:cs="Amiri"/>
          <w:color w:val="111111"/>
          <w:sz w:val="28"/>
          <w:sz w:val="28"/>
          <w:szCs w:val="28"/>
          <w:rtl w:val="true"/>
          <w:lang w:bidi="ar-SA"/>
        </w:rPr>
        <w:t>، لكنّه لم يعدّه ضمن من كتب فيها في الذريعة</w:t>
      </w:r>
      <w:r>
        <w:rPr>
          <w:rStyle w:val="FootnoteAnchor"/>
          <w:rtl w:val="true"/>
        </w:rPr>
        <w:footnoteReference w:id="1040"/>
      </w:r>
      <w:r>
        <w:rPr>
          <w:rFonts w:ascii="Amiri" w:hAnsi="Amiri" w:eastAsia="Amiri" w:cs="Amiri"/>
          <w:color w:val="111111"/>
          <w:sz w:val="28"/>
          <w:sz w:val="28"/>
          <w:szCs w:val="28"/>
          <w:rtl w:val="true"/>
          <w:lang w:bidi="ar-SA"/>
        </w:rPr>
        <w:t>،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كتب تلميذ شيخ الشريعة الشيخ محمّد أمين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ما كتبه أستاذه في قاعدة الواحد بعد وفاته، لكنّه لم يكتمل بحسب ما اطّلعنا عليه من نسخته الموجودة ضمن المجموعة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كتب فيها أيضاً بعد وفاة شيخ الشريعة تلميذه الشيخ الإمام محمّد الحسين </w:t>
      </w:r>
      <w:bookmarkStart w:id="883" w:name="pg9153_76773"/>
    </w:p>
    <w:p>
      <w:pPr>
        <w:pStyle w:val="BookText"/>
        <w:rPr/>
      </w:pPr>
      <w:bookmarkEnd w:id="883"/>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3380898_2870459653"/>
      <w:bookmarkStart w:id="885" w:name="_Toc348"/>
      <w:bookmarkEnd w:id="884"/>
      <w:r>
        <w:rPr>
          <w:rtl w:val="true"/>
        </w:rPr>
        <w:t>الخاتمة</w:t>
      </w:r>
      <w:r>
        <w:rPr>
          <w:rtl w:val="true"/>
        </w:rPr>
        <w:t xml:space="preserve">: </w:t>
      </w:r>
      <w:r>
        <w:rPr>
          <w:rtl w:val="true"/>
        </w:rPr>
        <w:t>وصف النسخ وعملنا في التحقيق</w:t>
      </w:r>
      <w:bookmarkEnd w:id="885"/>
    </w:p>
    <w:p>
      <w:pPr>
        <w:pStyle w:val="Heading5"/>
        <w:numPr>
          <w:ilvl w:val="4"/>
          <w:numId w:val="1"/>
        </w:numPr>
        <w:rPr/>
      </w:pPr>
      <w:bookmarkStart w:id="886" w:name="__RefHeading___Toc3380900_2870459653"/>
      <w:bookmarkStart w:id="887" w:name="_Toc349"/>
      <w:bookmarkEnd w:id="886"/>
      <w:r>
        <w:rPr>
          <w:rtl w:val="true"/>
        </w:rPr>
        <w:t>أ</w:t>
      </w:r>
      <w:r>
        <w:rPr>
          <w:rtl w:val="true"/>
        </w:rPr>
        <w:t xml:space="preserve">- </w:t>
      </w:r>
      <w:r>
        <w:rPr>
          <w:rtl w:val="true"/>
        </w:rPr>
        <w:t>وصف النسخ</w:t>
      </w:r>
      <w:bookmarkEnd w:id="887"/>
    </w:p>
    <w:p>
      <w:pPr>
        <w:pStyle w:val="BookText"/>
        <w:rPr/>
      </w:pPr>
      <w:r>
        <w:rPr>
          <w:rFonts w:ascii="Amiri" w:hAnsi="Amiri" w:eastAsia="Amiri" w:cs="Amiri"/>
          <w:color w:val="111111"/>
          <w:sz w:val="28"/>
          <w:sz w:val="28"/>
          <w:szCs w:val="28"/>
          <w:rtl w:val="true"/>
          <w:lang w:bidi="ar-SA"/>
        </w:rPr>
        <w:t>ما وقفنا عليه من نسخ هذه المخطوطة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العامّة، وناسخها تلميذ المصنّف وحفيده الشيخ محسن بن حسن بن شيخ الشريعة، وتاريخ نسخها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شيخ الشريعة بثلاثة أشهر تقريباً، وهي بخطّ النسخ، وقد جعلناها الأصل، رقمها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كتب الشيخ محمّد الرشتيّ، وهي مؤلّفة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في كلّ صفحة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سطراً إلّا الصفحة الأخيرة فإنّها مؤلّفة من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ascii="Amiri" w:hAnsi="Amiri" w:eastAsia="Amiri" w:cs="Amiri"/>
          <w:color w:val="111111"/>
          <w:sz w:val="28"/>
          <w:sz w:val="28"/>
          <w:szCs w:val="28"/>
          <w:rtl w:val="true"/>
          <w:lang w:bidi="ar-SA"/>
        </w:rPr>
        <w:t>سم، رقم حيازة المخطوطات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وناسخها تلميذ المصنّف الشيخ محمّد أمين صدر الإسلام الخوئيّ، تاريخ النسخ ليلة الخامس والعشرين من شهر ربيع الآخر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ﻫ، وقد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وردت ضمن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أبعادها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بخطّ نستعليق، ومؤلّفة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وناسخها نصرت الله البنارواني الميانجي، تاريخ النسخ يوم الخميس من شهر جمادى الآخرة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ﻫ في زنجان، وقد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وردت ضمن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أبعادها</w:t>
      </w:r>
      <w:r>
        <w:rPr>
          <w:rFonts w:eastAsia="Amiri" w:cs="Amiri" w:ascii="Amiri" w:hAnsi="Amiri"/>
          <w:color w:val="111111"/>
          <w:sz w:val="28"/>
          <w:szCs w:val="28"/>
          <w:rtl w:val="true"/>
          <w:lang w:bidi="ar-SA"/>
        </w:rPr>
        <w:t xml:space="preserve">: </w:t>
      </w:r>
      <w:bookmarkStart w:id="888" w:name="pg9153_76775"/>
    </w:p>
    <w:p>
      <w:pPr>
        <w:pStyle w:val="BookText"/>
        <w:rPr/>
      </w:pPr>
      <w:bookmarkEnd w:id="888"/>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بخطّ نستعليق، ومؤلّفة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وأربعة أسطر من الصفحة الثامنة</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3380902_2870459653"/>
      <w:bookmarkStart w:id="890" w:name="_Toc350"/>
      <w:bookmarkEnd w:id="889"/>
      <w:r>
        <w:rPr>
          <w:rtl w:val="true"/>
        </w:rPr>
        <w:t>ب</w:t>
      </w:r>
      <w:r>
        <w:rPr>
          <w:rtl w:val="true"/>
        </w:rPr>
        <w:t xml:space="preserve">- </w:t>
      </w:r>
      <w:r>
        <w:rPr>
          <w:rtl w:val="true"/>
        </w:rPr>
        <w:t>عملنا في التحقيق</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الحروف، وضبط النصّ وفق القواعد الإملائيّة والنحويّة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النسخ وإثبات نقاط الاختلاف المهمّة بينها بوضع الهوامش المبيّنة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تشكيل النصّ، وتقطيعه بما يفضي إلى فهمه بشكل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الأقوال الواردة في النصّ من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فهرس لبيان المصادر المعتمدة في تحقيق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التي لم نستطع قراءتها وضعنا مكانها</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أتقدّم بخالص شكري ووافر امتناني لإدارة مكتبة الإمام الحكيم العامّة في النجف الأشرف، وإدارة مكتبة السيّد المرعشيّ النجفيّ في قم المقدّسة، لتوفيرهما النسخ المعتمدة في التحقيق، كما وأتقدّم بالشكر الجزيل لكلّ من أعانني ولو بكلمة على إنجاز هذا العمل، سائلاً الله عزّ وجلّ أن يثقّل به ميزان أعمالهم وميزاني يوم العرض عليه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الأصل </w:t>
      </w:r>
    </w:p>
    <w:p>
      <w:pPr>
        <w:pStyle w:val="BookText"/>
        <w:rPr/>
      </w:pPr>
      <w:r>
        <w:rPr>
          <w:rFonts w:ascii="Amiri" w:hAnsi="Amiri" w:eastAsia="Amiri" w:cs="Amiri"/>
          <w:color w:val="111111"/>
          <w:sz w:val="28"/>
          <w:sz w:val="28"/>
          <w:szCs w:val="28"/>
          <w:rtl w:val="true"/>
          <w:lang w:bidi="ar-SA"/>
        </w:rPr>
        <w:t>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الأصل </w:t>
      </w:r>
    </w:p>
    <w:p>
      <w:pPr>
        <w:pStyle w:val="BookText"/>
        <w:rPr/>
      </w:pPr>
      <w:r>
        <w:rPr>
          <w:rFonts w:ascii="Amiri" w:hAnsi="Amiri" w:eastAsia="Amiri" w:cs="Amiri"/>
          <w:color w:val="111111"/>
          <w:sz w:val="28"/>
          <w:sz w:val="28"/>
          <w:szCs w:val="28"/>
          <w:rtl w:val="true"/>
          <w:lang w:bidi="ar-SA"/>
        </w:rPr>
        <w:t>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9153_76790"/>
      <w:bookmarkStart w:id="892" w:name="pg9153_76790"/>
      <w:bookmarkEnd w:id="892"/>
    </w:p>
    <w:p>
      <w:pPr>
        <w:pStyle w:val="Heading3"/>
        <w:numPr>
          <w:ilvl w:val="2"/>
          <w:numId w:val="1"/>
        </w:numPr>
        <w:rPr/>
      </w:pPr>
      <w:bookmarkStart w:id="893" w:name="pg9153_76790"/>
      <w:bookmarkStart w:id="894" w:name="__RefHeading___Toc3380904_2870459653"/>
      <w:bookmarkStart w:id="895" w:name="_Toc351"/>
      <w:bookmarkEnd w:id="893"/>
      <w:bookmarkEnd w:id="894"/>
      <w:r>
        <w:rPr>
          <w:rtl w:val="true"/>
        </w:rPr>
        <w:t>قاعدة الواحد لا يصدر عنه إلا الواحد</w:t>
      </w:r>
      <w:bookmarkEnd w:id="895"/>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الشّيخ فتح الله النمازی الغروی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بشيخ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وأفضل صلواته وتسليماته على أفضل أنبيائه محمّد وآله الطاهرين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اشتهر بين الحكماء والفلاسفة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الواحد لا يصدر عنه إلّا الواحد</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وفرّعوا عليها شطراً من مباحثهم المهمّة</w:t>
      </w:r>
      <w:r>
        <w:rPr>
          <w:rStyle w:val="FootnoteAnchor"/>
          <w:rtl w:val="true"/>
        </w:rPr>
        <w:footnoteReference w:id="1043"/>
      </w:r>
      <w:r>
        <w:rPr>
          <w:rFonts w:ascii="Amiri" w:hAnsi="Amiri" w:eastAsia="Amiri" w:cs="Amiri"/>
          <w:color w:val="111111"/>
          <w:sz w:val="28"/>
          <w:sz w:val="28"/>
          <w:szCs w:val="28"/>
          <w:rtl w:val="true"/>
          <w:lang w:bidi="ar-SA"/>
        </w:rPr>
        <w:t xml:space="preserve">، وأخذوا في إتقانها وتشييدها، والاحتجاج عليها، والذبّ عنها، وترصيف سورها وسدّ ثغورها، بل ربّما ادّعوا البداهة فيها، كما في شرح الإشارات للمحقّق العلّامة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القدُّوسيّ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الحكم بديهيٌّ يحتاج فيه إلى نوع تنبيه؛ لإزالة ما فيه من الخفاء، </w:t>
      </w:r>
    </w:p>
    <w:p>
      <w:pPr>
        <w:pStyle w:val="BookText"/>
        <w:rPr/>
      </w:pPr>
      <w:r>
        <w:rPr>
          <w:rFonts w:ascii="Amiri" w:hAnsi="Amiri" w:eastAsia="Amiri" w:cs="Amiri"/>
          <w:color w:val="111111"/>
          <w:sz w:val="28"/>
          <w:sz w:val="28"/>
          <w:szCs w:val="28"/>
          <w:rtl w:val="true"/>
          <w:lang w:bidi="ar-SA"/>
        </w:rPr>
        <w:t>وإنّما كثرت مدافعة الناس فيه لإغفالهم معنى الوحدة الحقيقيّة، فما ذكر في صورة الاحتجاج ليس إلّا تنبيهاً، ولذا صدّر الشيخ الرئيس في الإشارات هذا المبحث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أفرد هذه المسألة بالتصنيف، العالم الفاضل الكامل، الجامع لأشتات الفضائل، قرّة عيني، وولدي الروحانيّ، الميرزا أبو عبد الله الزنجانيّ</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طهران، فدرس فيها العلم بعدما حصّل على علوم العربية ومبادئ الفقه الإسلاميّ وأصوله وعلم الهيئة وعلم الكلام في زنجان على يد جماعة من مشايخ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مع أخيه الأكبر الميرزا فضل الله الزنجانيّ إلى النجف الأشرف، فحضرا الأبحاث العالية في الفقه والأصول لجملة من أعلام العصر آنذاك، كالسيّد محمّد كاظم اليزديّ، وشيخ الشريعة الأصفهانيّ، والسيّد أبو الحسن الأصفهانيّ، والمحقّق النائينيّ، والمحقّق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زنجان، ثمّ سافر إلى بعض بلاد إيران المهمّة، وزار سوريا وفلسطين ومصر والحجاز في رحلة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مصر ثانياً، وعرج على دمشق فانتخب من قبل المجمع العلميّ العربيّ بدمشق عضواً مراسلاً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أستاذاً للتفسير والفلسفة في كلّيّة الشريعة بجامعة طهران، وبقى كذلك حتّى وفاته يوم الخميس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بالإجازة عن السيّد حسن الصدر العامليّ الكاظميّ، والسيّد محمود شكري الآلوسيّ، والسيّد محمّد بدر الدين بن يوسف المغربيّ محدّث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مجموعة مؤلّفات، منها تاريخ القرآن، وكتاب علوم القرآن الاجتماعيّة، وكتاب في الفلسفة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ورسالة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قرّظها وأثنى على مؤلّفها أستاذه شيخ الشريعة الأصفهانيّ، وله مقالات نشرت في مجلّة المجمع العلميّ العربيّ في دمشق، ومجلّة الزهراء في مصر، ومجلّة لغة العرب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لهذه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شهداء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مستدركات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معجم مؤرّخي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حقّق الله له</w:t>
      </w:r>
    </w:p>
    <w:p>
      <w:pPr>
        <w:pStyle w:val="BookText"/>
        <w:rPr/>
      </w:pPr>
      <w:r>
        <w:rPr>
          <w:rFonts w:ascii="Amiri" w:hAnsi="Amiri" w:eastAsia="Amiri" w:cs="Amiri"/>
          <w:color w:val="111111"/>
          <w:sz w:val="28"/>
          <w:sz w:val="28"/>
          <w:szCs w:val="28"/>
          <w:rtl w:val="true"/>
          <w:lang w:bidi="ar-SA"/>
        </w:rPr>
        <w:t>الآمال والأماني، ونبّه على مصدرها ومنشئها، وسبب شيوعها ورواجها، والغرض الباعث أوّلاً عليها، واستطرد كثيراً من الفوائد الظريفة والمباحث اللطيفة المرتبطة بها، وأجاد فيها كلّ الإجادة بما ضمّنها من البيان والإفادة، وسألني أن أكتب بعض ما خطر بالبال، وما قيل أو يقال في هذا المجال، حسب ما يساعده الحال، فأجبته بما ترى من المقال، تكميلاً لرسالته مع ما هي عليه من التمام والكمال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بدل المقدار الساقط في البداية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ثقتي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بلغنا في تلك الأيّام من الحضرة المقدّسة، علّامة الآفاق وحجّة الإسلام على الإطلاق، 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الدافق، أستاذ الأساتذة وجهبذ الجهابذة، قدوة المحقّقين وأسوة المجتهدين، وجه الأمّة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المنتهي إليه رئاسة الإماميّة، سيدي وسندي وشيخي ومعتمدي وأستاذي ومستندي، نادرة الأيّام ومفتي فرق الأنام الحبر الإمام، فخر الشيعة شيخ الشريعة الإصبهانيّ النجفيّ، أفاض الله على تربته رشحات الرحمة والغفران، وأكسى على مضجعه أمطار الفضل والرضوان، سطور يسيرة ووجيزة صغيرة، هي مع صغر حجمها وقلّة كلمتها قد احتوت معاني جمّة ونكات مهمّة، ومطالب كثيرة وفوائد خطيرة، تكلّم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الواحد لا يصدر عنه إلّا الواحد، التي جرت عند الفلاسفة مجرى المسلّمات، وباحث فيها الحكماء بالتي هي أحسن، وإن كان الذي عندنا ليس كما رآه وسوف تسمع الحقيقة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كلمات لم نتمكن من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وعدم ضبطه تلفاً لا يرضى به اللبيب، ولا يختاره الأريب، فهممت على ضبطه، وعزمت على ثبته بمكاتبة وحيازة لدرره ورداً لأياديه عليّ في النعم</w:t>
      </w:r>
    </w:p>
    <w:p>
      <w:pPr>
        <w:pStyle w:val="BookText"/>
        <w:rPr/>
      </w:pPr>
      <w:r>
        <w:rPr>
          <w:rFonts w:ascii="Amiri" w:hAnsi="Amiri" w:eastAsia="Amiri" w:cs="Amiri"/>
          <w:color w:val="111111"/>
          <w:sz w:val="28"/>
          <w:sz w:val="28"/>
          <w:szCs w:val="28"/>
          <w:rtl w:val="true"/>
          <w:lang w:bidi="ar-SA"/>
        </w:rPr>
        <w:t xml:space="preserve">وعظيم حقّه فها أنا آت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وبالله ثقتي وحده، وعليه التكلان، فهو حسبي، ونعم الوكيل، نعم المولى ونعم النصير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في الحقيقة عزلوا مالك الملوك عن التصرّف في ملكه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وملكوته، وجعلوه كالسبب البعيد للعالم؛ فإنّ الصادر منه بلا واسطة هو جزء واحد من العالم، وأسندوا خلق العلويّات والسفليّات، والأرضين والسموات، والبسائط والمركّبات، والثوابت والسيّارات إلى غير ذلك من الموجودات كلَّاً إلى غيره تعالى بالأساطير والمموّهات، بل على ما قال الإمام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 فوق ظلمات بحيث لو حكاه إنسان عن منامه لاستدلّ على سوء مزاجه</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فإنّك تراهم بعد تشييدهم </w:t>
      </w:r>
    </w:p>
    <w:p>
      <w:pPr>
        <w:pStyle w:val="BookText"/>
        <w:rPr/>
      </w:pPr>
      <w:r>
        <w:rPr>
          <w:rFonts w:ascii="Amiri" w:hAnsi="Amiri" w:eastAsia="Amiri" w:cs="Amiri"/>
          <w:color w:val="111111"/>
          <w:sz w:val="28"/>
          <w:sz w:val="28"/>
          <w:szCs w:val="28"/>
          <w:rtl w:val="true"/>
          <w:lang w:bidi="ar-SA"/>
        </w:rPr>
        <w:t>لقاعدة امتناع صدور الكثير عن الواحد ذكروا في كيفيّة صدور العالم بكثرته أنّه صدر عن المبدأ الأوّل الواجب الوجود</w:t>
      </w:r>
      <w:r>
        <w:rPr>
          <w:rStyle w:val="FootnoteAnchor"/>
          <w:rtl w:val="true"/>
        </w:rPr>
        <w:footnoteReference w:id="1048"/>
      </w:r>
      <w:r>
        <w:rPr>
          <w:rFonts w:ascii="Amiri" w:hAnsi="Amiri" w:eastAsia="Amiri" w:cs="Amiri"/>
          <w:color w:val="111111"/>
          <w:sz w:val="28"/>
          <w:sz w:val="28"/>
          <w:szCs w:val="28"/>
          <w:rtl w:val="true"/>
          <w:lang w:bidi="ar-SA"/>
        </w:rPr>
        <w:t>بذاته عقل، أي ممكن غير متحيّز، ولا حالٍّ فيه، مستغنٍ في فاعليّته عن الآلات الجسمانيّة، وهذا المعلول الأوّل البسيط</w:t>
      </w:r>
      <w:r>
        <w:rPr>
          <w:rStyle w:val="FootnoteAnchor"/>
          <w:rtl w:val="true"/>
        </w:rPr>
        <w:footnoteReference w:id="1049"/>
      </w:r>
      <w:r>
        <w:rPr>
          <w:rFonts w:ascii="Amiri" w:hAnsi="Amiri" w:eastAsia="Amiri" w:cs="Amiri"/>
          <w:color w:val="111111"/>
          <w:sz w:val="28"/>
          <w:sz w:val="28"/>
          <w:szCs w:val="28"/>
          <w:rtl w:val="true"/>
          <w:lang w:bidi="ar-SA"/>
        </w:rPr>
        <w:t>له تعقّل لمبدئه، وتعقّل</w:t>
      </w:r>
      <w:r>
        <w:rPr>
          <w:rStyle w:val="FootnoteAnchor"/>
          <w:rtl w:val="true"/>
        </w:rPr>
        <w:footnoteReference w:id="1050"/>
      </w:r>
      <w:r>
        <w:rPr>
          <w:rFonts w:ascii="Amiri" w:hAnsi="Amiri" w:eastAsia="Amiri" w:cs="Amiri"/>
          <w:color w:val="111111"/>
          <w:sz w:val="28"/>
          <w:sz w:val="28"/>
          <w:szCs w:val="28"/>
          <w:rtl w:val="true"/>
          <w:lang w:bidi="ar-SA"/>
        </w:rPr>
        <w:t>لنفسه، وإمكان وجوده، وهذه الاعتبارات الثلاثة بعضها أشرف من بعض، والأليق أن يصدر من الأشرف ما هو أشرف، فصدر عنه بجهة تعقّله لمبدئه</w:t>
      </w:r>
      <w:r>
        <w:rPr>
          <w:rStyle w:val="FootnoteAnchor"/>
          <w:rtl w:val="true"/>
        </w:rPr>
        <w:footnoteReference w:id="1051"/>
      </w:r>
      <w:r>
        <w:rPr>
          <w:rFonts w:ascii="Amiri" w:hAnsi="Amiri" w:eastAsia="Amiri" w:cs="Amiri"/>
          <w:color w:val="111111"/>
          <w:sz w:val="28"/>
          <w:sz w:val="28"/>
          <w:szCs w:val="28"/>
          <w:rtl w:val="true"/>
          <w:lang w:bidi="ar-SA"/>
        </w:rPr>
        <w:t>عقل ثانٍ، وبجهة تعقّله لنفسه نفس الفلك الأقصى، وبجهة إمكانه</w:t>
      </w:r>
      <w:r>
        <w:rPr>
          <w:rStyle w:val="FootnoteAnchor"/>
          <w:rtl w:val="true"/>
        </w:rPr>
        <w:footnoteReference w:id="1052"/>
      </w:r>
      <w:r>
        <w:rPr>
          <w:rFonts w:ascii="Amiri" w:hAnsi="Amiri" w:eastAsia="Amiri" w:cs="Amiri"/>
          <w:color w:val="111111"/>
          <w:sz w:val="28"/>
          <w:sz w:val="28"/>
          <w:szCs w:val="28"/>
          <w:rtl w:val="true"/>
          <w:lang w:bidi="ar-SA"/>
        </w:rPr>
        <w:t>جرم ذلك الفلك</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وصدر من هذا العقل الثاني عقل ثالث، ونفس ثانية، وجرم فلك الثوابت على ما فيه من الثوابت والسيّارات التي لا يحصيها إلّا الله تعالى، وهكذا إلى أن ينتهي إلى العقل العاشر الفعّال</w:t>
      </w:r>
      <w:r>
        <w:rPr>
          <w:rStyle w:val="FootnoteAnchor"/>
          <w:rtl w:val="true"/>
        </w:rPr>
        <w:footnoteReference w:id="1054"/>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بعضهم أنّ الجهات الثلاث في المعلول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ووجوب وجوده، وإمكانه، ويستند صدور العقل والنفس وجرم الفلك إلى هذه الثلاثة على الترتيب</w:t>
      </w:r>
      <w:r>
        <w:rPr>
          <w:rStyle w:val="FootnoteAnchor"/>
          <w:rtl w:val="true"/>
        </w:rPr>
        <w:footnoteReference w:id="1056"/>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أثبتوا في المعلول الأوّل خمس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وتعقّله لمبدئه، وتعقّله</w:t>
      </w:r>
      <w:r>
        <w:rPr>
          <w:rStyle w:val="FootnoteAnchor"/>
          <w:rtl w:val="true"/>
        </w:rPr>
        <w:footnoteReference w:id="1058"/>
      </w:r>
      <w:r>
        <w:rPr>
          <w:rFonts w:ascii="IRNazanin" w:hAnsi="IRNazanin" w:eastAsia="IRNazanin"/>
          <w:color w:val="111111"/>
          <w:sz w:val="28"/>
          <w:sz w:val="28"/>
          <w:szCs w:val="28"/>
          <w:rtl w:val="true"/>
          <w:lang w:bidi="fa-IR"/>
        </w:rPr>
        <w:t>لنفسه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أثبتوا فيه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ووجوده، ووجوبه بالغير، وتعقّله لذلك الغير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أثبتوا فيه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ووجوده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أيضاً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تعقّله لوجوده، وتعقّله لإمكانه</w:t>
      </w:r>
      <w:r>
        <w:rPr>
          <w:rStyle w:val="FootnoteAnchor"/>
          <w:rtl w:val="true"/>
        </w:rPr>
        <w:footnoteReference w:id="1062"/>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شأن كلّ ما لم يستند إلى أصل متين، ولم يلجأ إلى ركن وثيق</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الجهات المتعدّدة في المعلول الأوّل البسيط الواحد الصادر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أموراً متكثّرة متعدّدة حقيقةً فقد صدر الكثير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راجعةً إلى أمرٍ واحدٍ حقيقةً وإن اختلفت اعتباراً فكيف صدر من هذا الواحد الحقيقيّ هذه الأمور المتكثّرة؟ وكيف صدر من العقل الثاني البسيط الفلك الثامن، وما فيه من الكواكب الكثيرة العظيمة التي تحيّرت الألباب</w:t>
      </w:r>
      <w:r>
        <w:rPr>
          <w:rStyle w:val="FootnoteAnchor"/>
          <w:rtl w:val="true"/>
        </w:rPr>
        <w:footnoteReference w:id="1065"/>
      </w:r>
      <w:r>
        <w:rPr>
          <w:rFonts w:ascii="Amiri" w:hAnsi="Amiri" w:eastAsia="Amiri" w:cs="Amiri"/>
          <w:color w:val="111111"/>
          <w:sz w:val="28"/>
          <w:sz w:val="28"/>
          <w:szCs w:val="28"/>
          <w:rtl w:val="true"/>
          <w:lang w:bidi="ar-SA"/>
        </w:rPr>
        <w:t>والعقول في كثرتها وعظمتها وأوصافها وأنوارها؟</w:t>
      </w:r>
    </w:p>
    <w:p>
      <w:pPr>
        <w:pStyle w:val="BookText"/>
        <w:rPr/>
      </w:pPr>
      <w:r>
        <w:rPr>
          <w:rFonts w:ascii="Amiri" w:hAnsi="Amiri" w:eastAsia="Amiri" w:cs="Amiri"/>
          <w:color w:val="111111"/>
          <w:sz w:val="28"/>
          <w:sz w:val="28"/>
          <w:szCs w:val="28"/>
          <w:rtl w:val="true"/>
          <w:lang w:bidi="ar-SA"/>
        </w:rPr>
        <w:t>وإن كانت الكثرات الاعتباريّة الراجعة إلى أمر واحد كافية في المصدريّة للموجودات الحقيقيّة فيمكن فرض مثلها في المبدأ الأوّل البسيط من جميع الجهات، على ما سيأتي شرح القول فيه إن شاء الله تعالى</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طلب بهمنيار</w:t>
      </w:r>
      <w:r>
        <w:rPr>
          <w:rStyle w:val="FootnoteAnchor"/>
          <w:rtl w:val="true"/>
        </w:rPr>
        <w:footnoteReference w:id="1067"/>
      </w:r>
      <w:r>
        <w:rPr>
          <w:rFonts w:ascii="Amiri" w:hAnsi="Amiri" w:eastAsia="Amiri" w:cs="Amiri"/>
          <w:color w:val="111111"/>
          <w:sz w:val="28"/>
          <w:sz w:val="28"/>
          <w:szCs w:val="28"/>
          <w:rtl w:val="true"/>
          <w:lang w:bidi="ar-SA"/>
        </w:rPr>
        <w:t xml:space="preserve">من الشيخ الرئيس البرهان على أصل القاعدة كتب إليه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الواحد الحقيقيّ مصدراً لأمرين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اجتماع النقيضين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نقيض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صدور 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أعني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هذا الكلام في السقوط أظهر من أن يخفى على ضعفاء العقول، فلا أدري كيف اشتبه على الذين يدّعون الكياسة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w:t>
      </w:r>
      <w:r>
        <w:rPr>
          <w:rStyle w:val="FootnoteAnchor"/>
          <w:rtl w:val="true"/>
        </w:rPr>
        <w:footnoteReference w:id="1070"/>
      </w:r>
      <w:r>
        <w:rPr>
          <w:rFonts w:ascii="Amiri" w:hAnsi="Amiri" w:eastAsia="Amiri" w:cs="Amiri"/>
          <w:color w:val="111111"/>
          <w:sz w:val="28"/>
          <w:sz w:val="28"/>
          <w:szCs w:val="28"/>
          <w:rtl w:val="true"/>
          <w:lang w:bidi="ar-SA"/>
        </w:rPr>
        <w:t>ممّن يفني عمره في تعليم المنطق وتعلّمه ليكون آلةً عاصمةً لذهنه عن الغلط ثمّ لمّا جاء إلى المطلب الأشرف أعرض عن استعمال تلك الآلة، حتّى وقع في الغلط الذي يضحك منه الصبيان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وإيراد الرازيّ هذا قد ثقل على صدور أتباع الشيخ وألقى عبئاً ثقيلاً على عواتقهم، حتّى سلك بعضهم في الجواب طريق الشتم والسباب</w:t>
      </w:r>
      <w:r>
        <w:rPr>
          <w:rStyle w:val="FootnoteAnchor"/>
          <w:rtl w:val="true"/>
        </w:rPr>
        <w:footnoteReference w:id="1072"/>
      </w:r>
      <w:r>
        <w:rPr>
          <w:rFonts w:ascii="Amiri" w:hAnsi="Amiri" w:eastAsia="Amiri" w:cs="Amiri"/>
          <w:color w:val="111111"/>
          <w:sz w:val="28"/>
          <w:sz w:val="28"/>
          <w:szCs w:val="28"/>
          <w:rtl w:val="true"/>
          <w:lang w:bidi="ar-SA"/>
        </w:rPr>
        <w:t xml:space="preserve">، ففي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إشكال الفخر الرازيّ على ذلك البرهان، وتقريعه وتشنيعه العظيم على الشيخ</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ذكره أيضاً يدلّ دلالةً واضحةً أنّ هذا الجليل القدر ما تصوّر </w:t>
      </w:r>
    </w:p>
    <w:p>
      <w:pPr>
        <w:pStyle w:val="BookText"/>
        <w:rPr/>
      </w:pPr>
      <w:r>
        <w:rPr>
          <w:rFonts w:ascii="Amiri" w:hAnsi="Amiri" w:eastAsia="Amiri" w:cs="Amiri"/>
          <w:color w:val="111111"/>
          <w:sz w:val="28"/>
          <w:sz w:val="28"/>
          <w:szCs w:val="28"/>
          <w:rtl w:val="true"/>
          <w:lang w:bidi="ar-SA"/>
        </w:rPr>
        <w:t>معنى الواحد الحقيقيّ، وكونه مبدأً لشيءٍ، وأنّ مثله كما قال الشيخ فيمن ادّعى أنّه يتكلّم بالمنطق مع قدوة الحكماء أرسطاطاليس، وهو واضعه، إنّ هذا الرجل يتمنطق على المشّاءين، فهو أيضاً يتمنطق على مثل الشيخ الرئيس فاضل الفلاسفة، أليس ذلك منه غيّاً وضلالةً وحمقاً وسفاهةً</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العلّامة الدوانيّ</w:t>
      </w:r>
      <w:r>
        <w:rPr>
          <w:rStyle w:val="FootnoteAnchor"/>
          <w:rtl w:val="true"/>
        </w:rPr>
        <w:footnoteReference w:id="1075"/>
      </w:r>
      <w:r>
        <w:rPr>
          <w:rFonts w:ascii="Amiri" w:hAnsi="Amiri" w:eastAsia="Amiri" w:cs="Amiri"/>
          <w:color w:val="111111"/>
          <w:sz w:val="28"/>
          <w:sz w:val="28"/>
          <w:szCs w:val="28"/>
          <w:rtl w:val="true"/>
          <w:lang w:bidi="ar-SA"/>
        </w:rPr>
        <w:t>في تتميم كلام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صدور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اتّصف بصدور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اتّصف بلا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له حيثيّتان جاز أن يكون متّصفاً من حيثيّةٍ بصدور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حيثيّةٍ أخرى بلا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تناقض، أمّا إذا لم يكن له إلّا حيثيّة واحدة لم يصحّ أن يتّصف بهما؛ للزوم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شيءٍ بأمرٍ هو لا اتّصافه بآخر، فهو من حيث الاتّصاف بذلك الشيء لا يتّصف بغيره، فلا يجوز اجتماعهما من حيثيّة واحدة</w:t>
      </w:r>
      <w:r>
        <w:rPr>
          <w:rFonts w:eastAsia="Amiri" w:cs="Amiri" w:ascii="Amiri" w:hAnsi="Amiri"/>
          <w:color w:val="111111"/>
          <w:sz w:val="28"/>
          <w:szCs w:val="28"/>
          <w:rtl w:val="true"/>
          <w:lang w:bidi="ar-SA"/>
        </w:rPr>
        <w:t>)</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يكون الشيئان نقيضين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بحمل المواطاة، ولا يكونان نقيضين بحمل 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حمل الاشتقاق</w:t>
      </w:r>
      <w:r>
        <w:rPr>
          <w:rStyle w:val="FootnoteAnchor"/>
          <w:rtl w:val="true"/>
        </w:rPr>
        <w:footnoteReference w:id="1077"/>
      </w:r>
      <w:r>
        <w:rPr>
          <w:rFonts w:ascii="Amiri" w:hAnsi="Amiri" w:eastAsia="Amiri" w:cs="Amiri"/>
          <w:color w:val="111111"/>
          <w:sz w:val="28"/>
          <w:sz w:val="28"/>
          <w:szCs w:val="28"/>
          <w:rtl w:val="true"/>
          <w:lang w:bidi="ar-SA"/>
        </w:rPr>
        <w:t xml:space="preserve">، واجتماع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يصدق على شيءٍ واحد نقيضان، ويحملا عليه بطريق</w:t>
      </w:r>
      <w:r>
        <w:rPr>
          <w:rStyle w:val="FootnoteAnchor"/>
          <w:rtl w:val="true"/>
        </w:rPr>
        <w:footnoteReference w:id="1078"/>
      </w:r>
      <w:r>
        <w:rPr>
          <w:rFonts w:ascii="Amiri" w:hAnsi="Amiri" w:eastAsia="Amiri" w:cs="Amiri"/>
          <w:color w:val="111111"/>
          <w:sz w:val="28"/>
          <w:sz w:val="28"/>
          <w:szCs w:val="28"/>
          <w:rtl w:val="true"/>
          <w:lang w:bidi="ar-SA"/>
        </w:rPr>
        <w:t xml:space="preserve">حمل المواطاة، كأن يصدق على واحد أنّه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 لا أن يوجدا فيه، ويحملا عليه بالاشتقاق، كما فيما نحن فيه؛ فإنّه وجد في الواحد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صدور</w:t>
      </w:r>
      <w:r>
        <w:rPr>
          <w:rStyle w:val="FootnoteAnchor"/>
          <w:rtl w:val="true"/>
        </w:rPr>
        <w:footnoteReference w:id="1080"/>
      </w:r>
      <w:r>
        <w:rPr>
          <w:rFonts w:ascii="Amiri" w:hAnsi="Amiri" w:eastAsia="Amiri" w:cs="Amiri"/>
          <w:color w:val="111111"/>
          <w:sz w:val="28"/>
          <w:sz w:val="28"/>
          <w:szCs w:val="28"/>
          <w:rtl w:val="true"/>
          <w:lang w:bidi="ar-SA"/>
        </w:rPr>
        <w:t xml:space="preserve">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يلزم منه 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كالأصفر الحلو الذي توجد فيه الصفرة واللاصفرة التي هي الحلاوة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ومهّد صاحب الأسفار</w:t>
      </w:r>
      <w:r>
        <w:rPr>
          <w:rStyle w:val="FootnoteAnchor"/>
          <w:rtl w:val="true"/>
        </w:rPr>
        <w:footnoteReference w:id="1081"/>
      </w:r>
      <w:r>
        <w:rPr>
          <w:rFonts w:ascii="Amiri" w:hAnsi="Amiri" w:eastAsia="Amiri" w:cs="Amiri"/>
          <w:color w:val="111111"/>
          <w:sz w:val="28"/>
          <w:sz w:val="28"/>
          <w:szCs w:val="28"/>
          <w:rtl w:val="true"/>
          <w:lang w:bidi="ar-SA"/>
        </w:rPr>
        <w:t>لتصحيح برهان الشيخ</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مصدريّة المبدأ لشيءٍ ليس هو الأمر الإضافيّ الذي لا يتحقّق إلّا بعد شيئين، بل كون العلّة بحيث يصدر عنها المعلول؛ فإنّه لا بدّ أن يكون للعلّة خصوصيّة بحسبها يصدر عنها المعلول</w:t>
      </w:r>
      <w:r>
        <w:rPr>
          <w:rStyle w:val="FootnoteAnchor"/>
          <w:rtl w:val="true"/>
        </w:rPr>
        <w:footnoteReference w:id="1082"/>
      </w:r>
      <w:r>
        <w:rPr>
          <w:rFonts w:ascii="Amiri" w:hAnsi="Amiri" w:eastAsia="Amiri" w:cs="Amiri"/>
          <w:color w:val="111111"/>
          <w:sz w:val="28"/>
          <w:sz w:val="28"/>
          <w:szCs w:val="28"/>
          <w:rtl w:val="true"/>
          <w:lang w:bidi="ar-SA"/>
        </w:rPr>
        <w:t xml:space="preserve">المعيّن، دون غيره، وتلك الخصوصيّة هي المصدر في الحقيقة، وهي التي يعبّر عنها تارةً بالصدور، ومرّة بالمصدريّة، وطوراً </w:t>
      </w:r>
    </w:p>
    <w:p>
      <w:pPr>
        <w:pStyle w:val="BookText"/>
        <w:rPr/>
      </w:pPr>
      <w:r>
        <w:rPr>
          <w:rFonts w:ascii="Amiri" w:hAnsi="Amiri" w:eastAsia="Amiri" w:cs="Amiri"/>
          <w:color w:val="111111"/>
          <w:sz w:val="28"/>
          <w:sz w:val="28"/>
          <w:szCs w:val="28"/>
          <w:rtl w:val="true"/>
          <w:lang w:bidi="ar-SA"/>
        </w:rPr>
        <w:t>بكون العلّة بحيث يجب عنه المعلول، وذلك لضيق الكلام عمّا هو المرام، حتّى أنّ الخصوصيّة أيضاً لا يراد بها المفهوم الإضافيّ، بل أمر مخصوص له تعلّق وارتباط بالمعلول المخصوص، ولا شكّ في كونه موجوداً ومتقدّماً على المعلول المتقدّم على الإضافة العارضة لهما، وذلك قد يكون نفس العلّة إذا كانت العلّة علّة</w:t>
      </w:r>
      <w:r>
        <w:rPr>
          <w:rStyle w:val="FootnoteAnchor"/>
          <w:rtl w:val="true"/>
        </w:rPr>
        <w:footnoteReference w:id="1083"/>
      </w:r>
      <w:r>
        <w:rPr>
          <w:rFonts w:ascii="Amiri" w:hAnsi="Amiri" w:eastAsia="Amiri" w:cs="Amiri"/>
          <w:color w:val="111111"/>
          <w:sz w:val="28"/>
          <w:sz w:val="28"/>
          <w:szCs w:val="28"/>
          <w:rtl w:val="true"/>
          <w:lang w:bidi="ar-SA"/>
        </w:rPr>
        <w:t>لذاتها، وقد يكون زائداً عليها، فإذا فرض العلّة بما هي علّة بسيطاً حقيقيّاً يكون معلوله بسيطاً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عليه الجواب عن إيراد الإمام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قرّرنا أنّ المصدريّة بالمعنى المذكور نفس ماهيّة العلّة البسيطة، والماهيّة من حيث هي ليست إلّا هي، فإذا كان البسيط الحقيقيّ مصدراً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ولما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كانت مصدريّته لما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مصدريّته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نفس ذاته، فيكون ذاته غير ذاته، وهذا هو التناقض</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مثل هذا وما يقرب منه في تقريب الاحتجاج على أصل القاعدة مراراً في كتابه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مبنيّ على ثبوت لزوم مغايرة الخصوصيّة التي يحدث بها معلول معيّن مع الخصوصيّة التي يصدر منها معلول آخر، وامتناع أن تكون خصوصيّة واحدة مشتركة بين أمرين مناسبة لهما تقتضي صدور كلّ منهما، فإن أثبته بامتناع أن </w:t>
      </w:r>
    </w:p>
    <w:p>
      <w:pPr>
        <w:pStyle w:val="BookText"/>
        <w:rPr/>
      </w:pPr>
      <w:r>
        <w:rPr>
          <w:rFonts w:ascii="Amiri" w:hAnsi="Amiri" w:eastAsia="Amiri" w:cs="Amiri"/>
          <w:color w:val="111111"/>
          <w:sz w:val="28"/>
          <w:sz w:val="28"/>
          <w:szCs w:val="28"/>
          <w:rtl w:val="true"/>
          <w:lang w:bidi="ar-SA"/>
        </w:rPr>
        <w:t>تكون علّة واحدة مناسبة لشيئين معيّنين خاصّين كان مصادرة محضة، وإن استند في لزوم مغايرة الخصوصيّتين إلى ما أخذوه في مقدّمات الحجّة المعروفة لهذه القاعدة تبيّن منعه ممّا نشير إليه بعد التعرّض لتلك الحجّة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086"/>
      </w:r>
      <w:r>
        <w:rPr>
          <w:rFonts w:ascii="Amiri" w:hAnsi="Amiri" w:eastAsia="Amiri" w:cs="Amiri"/>
          <w:color w:val="111111"/>
          <w:sz w:val="28"/>
          <w:sz w:val="28"/>
          <w:szCs w:val="28"/>
          <w:rtl w:val="true"/>
          <w:lang w:bidi="ar-SA"/>
        </w:rPr>
        <w:t>عند القوم في الاحتجاج على قاعدة امتناع صدور الكثير عن الواحد أنّ العلّة الموجدة للمعلول يجب أن تكون موجودة قبل المعلول قبليّة بالذّات، ويجب أن تكون لها خصوصيّة مع معلولها المعيّن ليست مع غيره؛ إذ لولاها لم يكن اقتضاؤها لهذا المعلول أولى من اقتضائها لما عداه، فلا يتصوّر صدوره عنها، فإذا كانت العلّة الموجودة ذاتاً بسيطة لا تكثّر فيها بوجه من الوجوه فلا شكّ أنّ تلك الخصوصيّة إنّما تكون بحسب الذّات؛ لأنّ المفروض أن لا مدخل في العلّيّة لغير الذّات البسيطة التي لا تكثّر فيها بوجه من الوجوه، فإذا فرض لها معلول آخر كانت للعلّة بحسب ذاتها خصوصيّة معه ليست مع غيره أصلاً، فلا يمكن أن يكون لها معلول أخر، وإلّا لزم أن تكون خصوصيّتها بحسب ذاتها مع الثاني أيضاً، فلا يكون لها مع شيء من المعلولين خصوصيّة ليست لها مع غيره، فلا تكون علّة لشيءٍ منهما، هذا خلفٌ</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خصوصيّتها مع المعلول الأوّل بحسب ذاتها غير خصوصيّتها مع المعلول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فرضت ذات العلّة واحدة من جميع الوجوه لم يتصوّر أن يكون لها بحسب ذاتها خصوصيّتان يترتّب عليهما علّيّتان، بل لا بدّ في ذات العلّة من تعدّد ولو بحسب الاعتبار، حتّى يتصوّر تعدّد الخصوصيّة فيها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والاعتراض عليه أنّا لا نسلّم أنّه يجب أن تكون للعلّة خصوصيّة مع المعلول المعيّن ليست مع غيره، بل اللازم أن تكون لها خصوصيّة مع كلّ ما هو معلول لها لا تكون تلك الخصوصيّة لما لا يكون معلولاً لها، وإلّا لم يكن اقتضاؤها لمعلولها أولى من اقتضائها لما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يجب أن تكون لها خصوصيّة مع معلولها المعيّن لا تكون تلك الخصوصيّة لغير ذلك المعلول المعيّن أصلاً فلا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أنّه لولاها لم يكن اقتضاؤها لهذا المعلول أولى من اقتضائها لما عداه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الخصوصيّة المختصّة بالمعلول المعيّن لم يكن اقتضاؤها لهذا المعلول أولى من اقتضائها لما عداه</w:t>
      </w:r>
      <w:r>
        <w:rPr>
          <w:rStyle w:val="FootnoteAnchor"/>
          <w:rtl w:val="true"/>
        </w:rPr>
        <w:footnoteReference w:id="1088"/>
      </w:r>
      <w:r>
        <w:rPr>
          <w:rFonts w:ascii="Amiri" w:hAnsi="Amiri" w:eastAsia="Amiri" w:cs="Amiri"/>
          <w:color w:val="111111"/>
          <w:sz w:val="28"/>
          <w:sz w:val="28"/>
          <w:szCs w:val="28"/>
          <w:rtl w:val="true"/>
          <w:lang w:bidi="ar-SA"/>
        </w:rPr>
        <w:t>ممّا ليس معلولاً لها فلا نسلّم الملازمة، وإنّما تتمّ لولم يكن لها خصوصيّة معه أصلاً، وهو ممنوع؛ لجواز أن لا تكون لها خصوصيّة مختصّة به، ويكون مع ذلك لها خصوصيّة مع أمور متعدّدة مختصّة بها من جملتها ذلك المعلول المعيّن، وبحسبها يكون اقتضاؤها له أولى من اقتضائها لما ليس معلولاً لها، وبسببها يصدر عنها ذلك المعلول مع سائر معلولاتها، دون ما سواها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الخصوصيّة المختصّة بالمعلول المعيّن لم يكن اقتضاؤها لهذا المعلول أولى من اقتضائها لما عداه ممّا هو معلول لها فالملازمة مسلّمة، وبطلان التالي ممنوع؛ فإنّا نقول لا أولويّة، بل كما تقتضي هذا المعلول تقتضي ما سواه ممّا هو معلول لها، فيصدر عنها جميع ما هو معلول لها</w:t>
      </w:r>
      <w:r>
        <w:rPr>
          <w:rStyle w:val="FootnoteAnchor"/>
          <w:rtl w:val="true"/>
        </w:rPr>
        <w:footnoteReference w:id="1089"/>
      </w:r>
      <w:r>
        <w:rPr>
          <w:rFonts w:ascii="Amiri" w:hAnsi="Amiri" w:eastAsia="Amiri" w:cs="Amiri"/>
          <w:color w:val="111111"/>
          <w:sz w:val="28"/>
          <w:sz w:val="28"/>
          <w:szCs w:val="28"/>
          <w:rtl w:val="true"/>
          <w:lang w:bidi="ar-SA"/>
        </w:rPr>
        <w:t>بتلك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في جملة من كتبه</w:t>
      </w:r>
      <w:r>
        <w:rPr>
          <w:rStyle w:val="FootnoteAnchor"/>
          <w:rtl w:val="true"/>
        </w:rPr>
        <w:footnoteReference w:id="1090"/>
      </w:r>
      <w:r>
        <w:rPr>
          <w:rFonts w:ascii="IRNazanin" w:hAnsi="IRNazanin" w:eastAsia="IRNazanin"/>
          <w:color w:val="111111"/>
          <w:sz w:val="28"/>
          <w:sz w:val="28"/>
          <w:szCs w:val="28"/>
          <w:rtl w:val="true"/>
          <w:lang w:bidi="fa-IR"/>
        </w:rPr>
        <w:t>منها الإشارات</w:t>
      </w:r>
      <w:r>
        <w:rPr>
          <w:rStyle w:val="FootnoteAnchor"/>
          <w:rtl w:val="true"/>
        </w:rPr>
        <w:footnoteReference w:id="1091"/>
      </w:r>
      <w:r>
        <w:rPr>
          <w:rFonts w:ascii="Amiri" w:hAnsi="Amiri" w:eastAsia="Amiri" w:cs="Amiri"/>
          <w:color w:val="111111"/>
          <w:sz w:val="28"/>
          <w:sz w:val="28"/>
          <w:szCs w:val="28"/>
          <w:rtl w:val="true"/>
          <w:lang w:bidi="ar-SA"/>
        </w:rPr>
        <w:t xml:space="preserve">على هذه القاعدة بما قرّره شارحها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كون الشيء بحيث يجب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مفهوم كونه بحيث يجب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علّيّته لأحدهما غير علّيّته للآخر، وتغاير المفهومين يدلّ على تغاير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المفروض ليس شيئاً واحداً، بل هو شيئان، أو شيء</w:t>
      </w:r>
      <w:r>
        <w:rPr>
          <w:rStyle w:val="FootnoteAnchor"/>
          <w:rtl w:val="true"/>
        </w:rPr>
        <w:footnoteReference w:id="1092"/>
      </w:r>
      <w:r>
        <w:rPr>
          <w:rFonts w:ascii="Amiri" w:hAnsi="Amiri" w:eastAsia="Amiri" w:cs="Amiri"/>
          <w:color w:val="111111"/>
          <w:sz w:val="28"/>
          <w:sz w:val="28"/>
          <w:szCs w:val="28"/>
          <w:rtl w:val="true"/>
          <w:lang w:bidi="ar-SA"/>
        </w:rPr>
        <w:t>موصوف بصفتين متغايرتين، وقد فرضناه واحداً، هذا خلفٌ</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القدر كافٍ في تقرير هذا المعنى، أي إثبات القاعدة، إلّا أنّ الشيخ لزيادة الإيضاح زاد عليه</w:t>
      </w:r>
      <w:r>
        <w:rPr>
          <w:rStyle w:val="FootnoteAnchor"/>
          <w:rtl w:val="true"/>
        </w:rPr>
        <w:footnoteReference w:id="1094"/>
      </w:r>
      <w:r>
        <w:rPr>
          <w:rFonts w:ascii="IRNazanin" w:hAnsi="IRNazanin" w:eastAsia="IRNazanin"/>
          <w:color w:val="111111"/>
          <w:sz w:val="28"/>
          <w:sz w:val="28"/>
          <w:szCs w:val="28"/>
          <w:rtl w:val="true"/>
          <w:lang w:bidi="fa-IR"/>
        </w:rPr>
        <w:t>بما حذفناه؛ روماً للاختصار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والاعتراض عليه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أريد أنّه حين صدورين يتحقّق هذان المفهومان سواء كانا متقدّمين على الصدور أم لا، وسواء كانا وجوديّين أو اعتباريّين ففيه أنّ هذا مسلّم، لكنّه لا ينفع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فللنقض بصدور الواحد؛ إذ لا شكّ أنّ في صدور الواحد يتحقّق مفهومان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العلّة بحيث يصدر عنها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تتقدّم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التقدّم غير الصدور، على ما صرّح به المحقّق الطوسيّ من أنّ التقدّم معنى بديهيٌّ غير التأثير</w:t>
      </w:r>
      <w:r>
        <w:rPr>
          <w:rStyle w:val="FootnoteAnchor"/>
          <w:rtl w:val="true"/>
        </w:rPr>
        <w:footnoteReference w:id="1095"/>
      </w:r>
      <w:r>
        <w:rPr>
          <w:rFonts w:ascii="Amiri" w:hAnsi="Amiri" w:eastAsia="Amiri" w:cs="Amiri"/>
          <w:color w:val="111111"/>
          <w:sz w:val="28"/>
          <w:sz w:val="28"/>
          <w:szCs w:val="28"/>
          <w:rtl w:val="true"/>
          <w:lang w:bidi="ar-SA"/>
        </w:rPr>
        <w:t>، فلو تمّ هذا الدليل لزم أن لا يصدر الواحد أيضاً عن الواحد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مرادهم بالواحد الحقيقيّ إن كان ما لا تكثّر فيه لا حقيقة ولا اعتباراً سواء كان قبل صدور شيءٍ عنه أو بعده، فحينئذٍ وإن صحّ أنّه لا يمكن صدور الكثرة عنه لكن هذه المسألة ممّا لا جدوى لها؛ إذ لا يوجد واحد حقيقيّ كذلك، لأنّ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المقصود الحقيقيّ من وضع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أنّه ليس كذلك، فما ظنّك بغيره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 واحد حقيقيٍّ كذلك فكما لا يمكن صدور الكثرة عنه لا يمكن صدور الواحد أيضاً على ما علمت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هذين المفهومين لا بدّ أن يتقدّما على الصدور سواء كانا موجودين </w:t>
      </w:r>
    </w:p>
    <w:p>
      <w:pPr>
        <w:pStyle w:val="BookText"/>
        <w:rPr/>
      </w:pPr>
      <w:r>
        <w:rPr>
          <w:rFonts w:ascii="Amiri" w:hAnsi="Amiri" w:eastAsia="Amiri" w:cs="Amiri"/>
          <w:color w:val="111111"/>
          <w:sz w:val="28"/>
          <w:sz w:val="28"/>
          <w:szCs w:val="28"/>
          <w:rtl w:val="true"/>
          <w:lang w:bidi="ar-SA"/>
        </w:rPr>
        <w:t>أم لا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التقدّم ممنوع، بل لا يتوقّف الصدور إلّا على ذات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مفهوم كونها بحيث يصدر عنها المعلول فلا،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سلّمنا تقدّمهما لكن لمّا جاز أن يكونا اعتباريّين فلم لا يجوز أن يصدر عن الواحد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المقصود في المقام، أعني ذات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مختلفان، ويكون صدورهما باعتبار هذين المفهومين الاعتباريّين، وعدم تحقّق المفهومات الاعتباريّة في ذات الله تعالى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المفهومين لمّا لم يكونا من الاعتباريّات المحضة، بل من الاعتباريّات الواقعة</w:t>
      </w:r>
      <w:r>
        <w:rPr>
          <w:rStyle w:val="FootnoteAnchor"/>
          <w:rtl w:val="true"/>
        </w:rPr>
        <w:footnoteReference w:id="1096"/>
      </w:r>
      <w:r>
        <w:rPr>
          <w:rFonts w:ascii="Amiri" w:hAnsi="Amiri" w:eastAsia="Amiri" w:cs="Amiri"/>
          <w:color w:val="111111"/>
          <w:sz w:val="28"/>
          <w:sz w:val="28"/>
          <w:szCs w:val="28"/>
          <w:rtl w:val="true"/>
          <w:lang w:bidi="ar-SA"/>
        </w:rPr>
        <w:t>في نفس الأمر</w:t>
      </w:r>
      <w:r>
        <w:rPr>
          <w:rStyle w:val="FootnoteAnchor"/>
          <w:rtl w:val="true"/>
        </w:rPr>
        <w:footnoteReference w:id="1097"/>
      </w:r>
      <w:r>
        <w:rPr>
          <w:rFonts w:ascii="Amiri" w:hAnsi="Amiri" w:eastAsia="Amiri" w:cs="Amiri"/>
          <w:color w:val="111111"/>
          <w:sz w:val="28"/>
          <w:sz w:val="28"/>
          <w:szCs w:val="28"/>
          <w:rtl w:val="true"/>
          <w:lang w:bidi="ar-SA"/>
        </w:rPr>
        <w:t>، فلهما أيضاً صدور عن ذات الله تعالى، ويتوقّف صدورهما على مفهومين آخرين على ما سلّمته من التوقّف وهكذا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التسلسل في الأمور الاعتباريّة جائز، مع أنّه يمكن أن لا يلزم التسلسل، بل يصحّح بمثل ما صحّحوا به صدور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هذين المفهومين متقدّمان ولا بدّ أن يكونا وجوديّين فحينئذٍ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كما عرفت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الموجوديّة؛ إذ لا منع في أن يكون الأمر الاعتباريّ له مدخل في وجود الأمر الخارجيّ بعد ما كان الفاعل أمراً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بهذين المفهومين لا ما هو الظاهر منهما، بل أنّه لا بدّ في كلّ صدور من خصوصيّة بالنسبة إلى فعله بحيث لا تكون له تلك الخصوصيّة بالنسبة إلى غيره، وعلى هذا لا بدّ أن يكون صدور شيئين عن شيئين؛ إذ الأمر الواحد لا يمكن أن تكون له تلك الخصوصيّة بالنسبة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العلّة يجب أن يكون لها خصوصيّة بالنسبة إلى معلولها بحيث لا تكون له تلك الخصوصيّة مع غيرها، بل لا بدّ أن لا يكون له تلك الخصوصية</w:t>
      </w:r>
      <w:r>
        <w:rPr>
          <w:rStyle w:val="FootnoteAnchor"/>
          <w:rtl w:val="true"/>
        </w:rPr>
        <w:footnoteReference w:id="1099"/>
      </w:r>
      <w:r>
        <w:rPr>
          <w:rFonts w:ascii="Amiri" w:hAnsi="Amiri" w:eastAsia="Amiri" w:cs="Amiri"/>
          <w:color w:val="111111"/>
          <w:sz w:val="28"/>
          <w:sz w:val="28"/>
          <w:szCs w:val="28"/>
          <w:rtl w:val="true"/>
          <w:lang w:bidi="ar-SA"/>
        </w:rPr>
        <w:t>بالنسبة إلى ما ليس معلولاً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المشتركة لا تصير منشأً لحصول التعدّد</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المشتركة لا معنى لها إلّا أنّ ذاتاً واحدة لها مناسبة لهذا وهذا وهذا</w:t>
      </w:r>
      <w:r>
        <w:rPr>
          <w:rStyle w:val="FootnoteAnchor"/>
          <w:rtl w:val="true"/>
        </w:rPr>
        <w:footnoteReference w:id="1101"/>
      </w:r>
      <w:r>
        <w:rPr>
          <w:rFonts w:ascii="Amiri" w:hAnsi="Amiri" w:eastAsia="Amiri" w:cs="Amiri"/>
          <w:color w:val="111111"/>
          <w:sz w:val="28"/>
          <w:sz w:val="28"/>
          <w:szCs w:val="28"/>
          <w:rtl w:val="true"/>
          <w:lang w:bidi="ar-SA"/>
        </w:rPr>
        <w:t>بحيث يصدر عنها كلّ من تلك الأمور، وهذا ممّا لا محذور فيه، ومن يدّعي البطلان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البداهة غير مسموعة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لا بدّ أن تكون لها خصوصيّة بالنسبة إلى المعلول ليس لها بالنسبة إلى غيره مطلقاً، فنقول إنّ هذا المعنى على تقدير صحّته ظاهر أنّه لا يلزم بالنسبة إلى مجرّد</w:t>
      </w:r>
      <w:r>
        <w:rPr>
          <w:rStyle w:val="FootnoteAnchor"/>
          <w:rtl w:val="true"/>
        </w:rPr>
        <w:footnoteReference w:id="1102"/>
      </w:r>
      <w:r>
        <w:rPr>
          <w:rFonts w:ascii="Amiri" w:hAnsi="Amiri" w:eastAsia="Amiri" w:cs="Amiri"/>
          <w:color w:val="111111"/>
          <w:sz w:val="28"/>
          <w:sz w:val="28"/>
          <w:szCs w:val="28"/>
          <w:rtl w:val="true"/>
          <w:lang w:bidi="ar-SA"/>
        </w:rPr>
        <w:t xml:space="preserve">ذات الفاعل، بل إن كان ولا بد فهو بالنسبة إلى مجموع العلّة </w:t>
      </w:r>
    </w:p>
    <w:p>
      <w:pPr>
        <w:pStyle w:val="BookText"/>
        <w:rPr/>
      </w:pP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فاعل واحد له جهات اعتباريّة، ويكون له بكلّ جهة خصوصيّة مع أمر ليس له تلك الخصوصيّة مع غيره، وبهذه الجهات يصدر عنه أمور متكثّرة، وقد عرفت أنّ مدخليّة الجهة الاعتباريّة في صدور الأمر الخارجيّ ممّا لا حجر فيه</w:t>
      </w:r>
      <w:r>
        <w:rPr>
          <w:rStyle w:val="FootnoteAnchor"/>
          <w:rtl w:val="true"/>
        </w:rPr>
        <w:footnoteReference w:id="1103"/>
      </w:r>
      <w:r>
        <w:rPr>
          <w:rFonts w:ascii="Amiri" w:hAnsi="Amiri" w:eastAsia="Amiri" w:cs="Amiri"/>
          <w:color w:val="111111"/>
          <w:sz w:val="28"/>
          <w:sz w:val="28"/>
          <w:szCs w:val="28"/>
          <w:rtl w:val="true"/>
          <w:lang w:bidi="ar-SA"/>
        </w:rPr>
        <w:t>، وقد عرفت أيضاً أنّه يجوز تكثّر الجهات الاعتباريّة بالنظر إلى الواحد الحقيقيّ المقصود في المقام، أي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يتمّ المرام أصلاً، ونِعْمَ ما قال الإمام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العجب من الحكماء كيف قنعت نفوسهم في مثل هذا الأصل الذي فرّعوا عليه شطراً من مباحثهم بهذه الحجّة الضعيفة والخيال الوهميّ</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اكتفوا في المدّعى بأنّ صدور الكثرة لا بدّ له من جهات كثيرة في الفاعل وإن كانت اعتباريّة متمسّكاً بالخصوصيّة التي ذكرنا لما كان بذلك البعد، لكن لم ينفعهم في المباحث التي يستعملون تلك المقدّمة مثل إثبات العقل بأنّه لا بدّ أن يصدر عن الله تعالى أمر واحد، وهو العقل؛ إذ على تقدير تجويز صدور الكثرة باعتبار الجهات الاعتباريّة يجوز صدور الكثرة عن الله تعالى أيضاً باعتبارها؛ لما علمت من إمكان تحقّق الجهات له تعالى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الشيخ زيادة لإيضاح البرهان من التشقيقات وما يتّجه على كلّ </w:t>
      </w:r>
    </w:p>
    <w:p>
      <w:pPr>
        <w:pStyle w:val="BookText"/>
        <w:rPr/>
      </w:pPr>
      <w:r>
        <w:rPr>
          <w:rFonts w:ascii="Amiri" w:hAnsi="Amiri" w:eastAsia="Amiri" w:cs="Amiri"/>
          <w:color w:val="111111"/>
          <w:sz w:val="28"/>
          <w:sz w:val="28"/>
          <w:szCs w:val="28"/>
          <w:rtl w:val="true"/>
          <w:lang w:bidi="ar-SA"/>
        </w:rPr>
        <w:t>منهما فهو وإن كان أيضاً مورداً لمناقشات إلّا أنّه لا فائدة مهمّة في التعرّض لها، وذكر ما لها وما عليها، سيّما مع ضيق المجال، وتشتّت البال، واستيلاء الأمراض والأهوال</w:t>
      </w:r>
      <w:r>
        <w:rPr>
          <w:rStyle w:val="FootnoteAnchor"/>
          <w:rtl w:val="true"/>
        </w:rPr>
        <w:footnoteReference w:id="1105"/>
      </w:r>
      <w:r>
        <w:rPr>
          <w:rFonts w:ascii="Amiri" w:hAnsi="Amiri" w:eastAsia="Amiri" w:cs="Amiri"/>
          <w:color w:val="111111"/>
          <w:sz w:val="28"/>
          <w:sz w:val="28"/>
          <w:szCs w:val="28"/>
          <w:rtl w:val="true"/>
          <w:lang w:bidi="ar-SA"/>
        </w:rPr>
        <w:t>، ولنكتف بهذا حامدين لله تعالى شاكرين مصلّين على النبيّ وآله الطاهرين</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حرّره الجاني فتح الله الغرويّ الأصبهانيّ 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 جرائمه الفظيعة، ليلة الخميس، الحادي عشر، من جمادى الآخرة، من شهور السنة السابعة والثلاثين بعد الثلاثمائة والألف، من الهجرة المقدّسة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وفّقنا بإتمام هذه النسخة الشريفة لقدوة الأنام، فحل الأعلام، وفريد الأيّام، السند الأعظم، والحبر المعظّم، شيخنا الأكرم، وأستاذنا الأعظم، أعلم العلماء العاملين، وأفضل الفقهاء الراشدين، رئيس المحقّقين والمدقّقين، شمس الفقهاء والأصوليّين، وأسوة الحكماء والمتألّهين، حجّة الإسلام والمسلمين، وآية الله تعالى في الأرضين، العالم الربّانيّ، والفاضل الصمدانيّ، شيخنا شيخ الشريعة الغرويّ الأصفهانيّ قدّس سرّه القدّوسيّ</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الجاني محسن بن حسن بن شيخ الشريعة، أسكنه الله بحبوحة جنانه، في يوم الأحد، العاشر من شهر رجب المرجّب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bookmarkStart w:id="896" w:name="pg9153_76833"/>
    </w:p>
    <w:p>
      <w:pPr>
        <w:pStyle w:val="Heading3"/>
        <w:numPr>
          <w:ilvl w:val="2"/>
          <w:numId w:val="1"/>
        </w:numPr>
        <w:rPr/>
      </w:pPr>
      <w:bookmarkStart w:id="897" w:name="__RefHeading___Toc3380906_2870459653"/>
      <w:bookmarkStart w:id="898" w:name="_Toc352"/>
      <w:bookmarkEnd w:id="896"/>
      <w:bookmarkEnd w:id="897"/>
      <w:r>
        <w:rPr>
          <w:rtl w:val="true"/>
        </w:rPr>
        <w:t>مصادر التحقيق</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إبانة المختار في إرث الزوجة من ثمن العقار بعد الأخذ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الفاضل القائنيّ،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نورانيّ،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الوديعة في تراجم مشاهير مجتهدي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الموسويّ الأصفهانيّ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 السيّد عبد الستار الحسنيّ،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تراث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البلاغة،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 هياكل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التراث المكتوب،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 لأشهر الرجال والنساء من العرب والمستعربين والمستشرقين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إفاضة القدير في أحكام العصير مع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فتح الله بن محمّد جواد النمازيّ الأصفهانيّ المدعو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الأبو طالبي العراقي،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الإسلاميّ التابع لجماعة المدرّسين في الحوزة العلميّة في 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البدرين في تراجم علماء القطيف والإحساء و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محمّد رضا الطبسيّ،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الجلالية في 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حاجي آبادي وعبّاس جلالي نيا،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القاطعة في شرح تجريد العقائد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جعفر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الحقّ بضمان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اللوكريّ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السيّد إبراهيم الديباجيّ،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للفكر والحضارة الإسلاميّة،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الحكماء قبل ظهور الإسلام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الأرواح وروضة الأفراح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محمود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أبو شهويرب،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بيبليون،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حكماء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الترقي،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الحسينيّ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بهمنيار 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الشهيد الشيخ مرتضى مطهّريّ،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البدويّ،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بن عيسى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عدنان الدبّاغ، عبد الكريم الدبّاغ،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تهافت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 محمّد العريبيّ،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المتعالية في الأسفار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ابن محمّد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الحسينيّ الجلاليّ،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والتحقيقات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هياكل النور المطبوعة ضمن ثلاث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السيّد أحمد التويسركانيّ،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الأبحاث الإسلاميّة في الروضة الرضويّة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نجف زادة،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 الآثار والمفاخر الثقافيّة،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البلاغة،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النعمانيّة،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النعمانيّة،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زاده آمليّ، وتحقيق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طالبيّ،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ناب،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عبد الرحمن بن أحمد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النعسانيّ،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فولادكار،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ضيائي تربتي،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الأبحاث والدراسات الثقافيّة،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زايد،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زايد،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توطئة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رضا الحكيميّ، محمّد خليل زين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شوارق الإلهام في شرح تجريد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فيّاض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المهدويّ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الشريعة قيادته في الثورة العراقية الكبرى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ووثائقه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كامل سلمان الجبوريّ، طبع ونشر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القارئ،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الشيخ شريف الشيخ محمّد الحسين آل كاشف الغطاء،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ومكتبة الإمام كاشف الغطاء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أنوار الهدى،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فصوص الحكمة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الغازانيّ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أوجبيّ،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 الآثار والمفاخر الثقافيّة،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المحقّق، والدكتور السيّد عليّ الموسويّ البهبهانيّ، والبروفسور إيزوتسو، والدكتور إبراهيم الديباجيّ،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كشّاف اصطلاحات الفنون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 ناشرون،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بن يوسف بن المطهّر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زادة الآمليّ،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الشيخ باقر آل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المباحث المشرقيّة في علم الإلهيّات والطبيعيّات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بيدارفر،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نورانيّ،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المصنّف الشيخ محمّد حسين حرز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طبقات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 التبريزيّ،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المعارف للفقه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الآثار در أحوال رجال دورة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حبيب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الإمام السيّد عبدالحسين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العلوم والثقافة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w:t>
      </w:r>
    </w:p>
    <w:p>
      <w:pPr>
        <w:pStyle w:val="BookText"/>
        <w:rPr/>
      </w:pPr>
      <w:r>
        <w:rPr>
          <w:rFonts w:ascii="Amiri" w:hAnsi="Amiri" w:eastAsia="Amiri" w:cs="Amiri"/>
          <w:color w:val="111111"/>
          <w:sz w:val="28"/>
          <w:sz w:val="28"/>
          <w:szCs w:val="28"/>
          <w:rtl w:val="true"/>
          <w:lang w:bidi="ar-SA"/>
        </w:rPr>
        <w:t>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النجاة من الغرق في بحر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الرئيس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وتصحيح محمّد تقي دانش پژوه،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طهران،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الأزهار في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مجموع ما اختاره الشريف الرضي الموسويّ من كلام أمير المؤمنين أبي الحسن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نصّه وابتكر فهارسه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صبحي الصالح،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الصواب في الكاتب والكتابة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محمّد رضا ابن الشيخ موسى ابن الشيخ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قيد 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قسيمة الاشتراك السنوي</w:t>
      </w:r>
    </w:p>
    <w:p>
      <w:pPr>
        <w:pStyle w:val="BookText"/>
        <w:rPr/>
      </w:pPr>
      <w:r>
        <w:rPr>
          <w:rFonts w:ascii="Amiri" w:hAnsi="Amiri" w:eastAsia="Amiri" w:cs="Amiri"/>
          <w:color w:val="111111"/>
          <w:sz w:val="28"/>
          <w:sz w:val="28"/>
          <w:szCs w:val="28"/>
          <w:rtl w:val="true"/>
          <w:lang w:bidi="ar-SA"/>
        </w:rPr>
        <w:t>أرجو قبول اشتراكي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سنوات</w:t>
      </w:r>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تملاً هذه القسيمة وترسل مع قيمة الاشتراك إلى أحد مراكز التوزيع المذكورة، أو إلى مقر المجلة على العنوان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للاستفسار</w:t>
      </w:r>
      <w:r>
        <w:rPr>
          <w:rFonts w:eastAsia="IRNazanin" w:cs="IRNazanin"/>
          <w:color w:val="111111"/>
          <w:sz w:val="28"/>
          <w:szCs w:val="28"/>
          <w:rtl w:val="true"/>
          <w:lang w:bidi="fa-IR"/>
        </w:rPr>
        <w:t xml:space="preserve">: </w:t>
      </w:r>
      <w:r>
        <w:rPr>
          <w:rFonts w:eastAsia="IRNazanin" w:cs="IRNazanin"/>
          <w:color w:val="111111"/>
          <w:sz w:val="28"/>
          <w:szCs w:val="28"/>
          <w:lang w:bidi="fa-IR"/>
        </w:rPr>
        <w:t>7800093930</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الاشتراك السنوي</w:t>
      </w:r>
    </w:p>
    <w:p>
      <w:pPr>
        <w:pStyle w:val="BookText"/>
        <w:rPr/>
      </w:pPr>
      <w:r>
        <w:rPr>
          <w:rFonts w:ascii="IRNazanin" w:hAnsi="IRNazanin" w:eastAsia="IRNazanin"/>
          <w:color w:val="111111"/>
          <w:sz w:val="28"/>
          <w:sz w:val="28"/>
          <w:szCs w:val="28"/>
          <w:rtl w:val="true"/>
          <w:lang w:bidi="fa-IR"/>
        </w:rPr>
        <w:t>داخل العراق</w:t>
      </w:r>
      <w:r>
        <w:rPr>
          <w:rFonts w:eastAsia="IRNazanin" w:cs="IRNazanin"/>
          <w:color w:val="111111"/>
          <w:sz w:val="28"/>
          <w:szCs w:val="28"/>
          <w:rtl w:val="true"/>
          <w:lang w:bidi="fa-IR"/>
        </w:rPr>
        <w:t>: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أو ما يعادلها </w:t>
      </w:r>
    </w:p>
    <w:p>
      <w:pPr>
        <w:pStyle w:val="BookText"/>
        <w:rPr/>
      </w:pPr>
      <w:r>
        <w:rPr>
          <w:rFonts w:ascii="Amiri" w:hAnsi="Amiri" w:eastAsia="Amiri" w:cs="Amiri"/>
          <w:color w:val="111111"/>
          <w:sz w:val="28"/>
          <w:sz w:val="28"/>
          <w:szCs w:val="28"/>
          <w:rtl w:val="true"/>
          <w:lang w:bidi="ar-SA"/>
        </w:rPr>
        <w:t>مراكز التوزيع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البذرة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07802450230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القاموسي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المحسن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مستشقى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07901770672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فندق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07834413784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مجاور جامع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07807976000</w:t>
      </w:r>
    </w:p>
    <w:p>
      <w:pPr>
        <w:pStyle w:val="BookText"/>
        <w:rPr/>
      </w:pPr>
      <w:r>
        <w:rPr>
          <w:rFonts w:ascii="Amiri" w:hAnsi="Amiri" w:eastAsia="Amiri" w:cs="Amiri"/>
          <w:color w:val="111111"/>
          <w:sz w:val="28"/>
          <w:sz w:val="28"/>
          <w:szCs w:val="28"/>
          <w:rtl w:val="true"/>
          <w:lang w:bidi="ar-SA"/>
        </w:rPr>
        <w:t>مراكز التوزيع خارج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37838212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50699880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مداد للثقافة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كتاب الخمس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الحجر والحبس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وتقدّم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الشفتي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الأخير بعض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التسعة،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أبواب مقدّمات النكاح وآدابه،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لمزيد من المراجعة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الحادي والثلاثون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وما بعدها، مدخل إلى نظرية الاحتمال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ضمّ الضعفاء والمختلف فيهم لكي يتمّ حساب الاحتمال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الرقم يتّضح بعد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 إلى الواقع من الرقم المذكور في الإشكال، مع أنّ زيادة الرقم قليلاً لا تؤثّر في النتيجة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أنّ الاحتمالات هنا مستقلّة؛ لأنَّ كذب الثاني لا يتأثّر بكذب الأوَّل، وهكذا كذب الثالث لا يتأثّر بكذب الأوَّل والثاني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بعض الباحثين بأنَّ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اثنان أو أزيد من ذلك، وأقلّ تقدير هو اثنان، وهو المعنى الحرفي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وقريب منه في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المضاربة والشراكة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ابن محبوب أربعين رواية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حقيقته، علامته وأحكامه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نقل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بريد في نسخة ويزيد 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وحسب نقل الشيخ 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في هذا العنوان طويل الذيل وقد بحثه بعض أساتذتنا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أوّلية محدودة التداول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الهمزة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أبواب الثلاثة عشر، حدّ بلوغ الغلام ثلاث عشرة سنة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مقدّمات العبادات،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عن عمرو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حقيقته، علامته وأحكامه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دروس تمهيدية في القواعد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المعجم الأصولي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بحث طويل أعرضنا عنه اختصاراً للمطلب، وتعرّض له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قبسات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الحسن بن راشد يكنّى أبا عليّ، بغدادي بقرينة رواية العبيدي عنه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أصحاب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أصحاب أبي الحسن الثالث،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 ونفس الحديث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أبواب مقدّمات العبادات،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كتاب النكاح، أبواب مقدّمات النكاح،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كتاب النكاح، أبواب مقدّمات النكاح،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نوادر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التسعة، حدّ بلوغ المرأة تسع سنين،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واستجوده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الاجتهاد والتجديد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بلوغ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 للسيّد محمّد الموسوي البجنوردي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ترجمة بعض الباحثين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بلوغ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 للشيخ محمّد إبراهيم الجنّاتي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ترجمة بعض الباحثين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مصطفى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كتابا الوصايا،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وأوردها بسندين الثاني منهما موثّق،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الحجر،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إسماعيل بن عيسى، ولم تثبت وثاقتهما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19/370</w:t>
      </w:r>
      <w:r>
        <w:rPr>
          <w:rFonts w:ascii="IRNazanin" w:hAnsi="IRNazanin" w:eastAsia="IRNazanin"/>
          <w:b w:val="false"/>
          <w:b w:val="false"/>
          <w:bCs w:val="false"/>
          <w:i w:val="false"/>
          <w:i w:val="false"/>
          <w:iCs w:val="false"/>
          <w:color w:val="333333"/>
          <w:sz w:val="20"/>
          <w:sz w:val="20"/>
          <w:szCs w:val="20"/>
          <w:rtl w:val="true"/>
        </w:rPr>
        <w:t>، كتاب الوصايا،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كتابا الوصايا،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نقل 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حسب نقل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20/101</w:t>
      </w:r>
      <w:r>
        <w:rPr>
          <w:rFonts w:ascii="IRNazanin" w:hAnsi="IRNazanin" w:eastAsia="IRNazanin"/>
          <w:b w:val="false"/>
          <w:b w:val="false"/>
          <w:bCs w:val="false"/>
          <w:i w:val="false"/>
          <w:i w:val="false"/>
          <w:iCs w:val="false"/>
          <w:color w:val="333333"/>
          <w:sz w:val="20"/>
          <w:sz w:val="20"/>
          <w:szCs w:val="20"/>
          <w:rtl w:val="true"/>
        </w:rPr>
        <w:t>، كتاب النكاح، أبواب مقدّمات النكاح،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كتاب النكاح، أبواب مقدّمات النكاح،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الخزّاز؛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زيد، وغياث بن إبراهيم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بن عبد الله بن سعد الأشعري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المناسب لهذه الطبقة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أبو جعفر ابن بابويه،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عيسى من كتب يونس وحديثه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أصحابنا ينكرون هذا القول،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أبي جعفر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يفهم ذلك من ردّ الشيخ النجاشي على ما نقله من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النكاح، أبواب المتعة،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 حقيقته، علامته وأحكامه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29/414</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فتح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نهاية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القيام والقعود في الصلاة،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جاء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صلاة الغريق والمتوحّل والمضطر بغير ذلك،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الشيخ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تبنّي كثير من العلماء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لهذه الحالة وما بعدها ما ذكر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إلى غير 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أنّ صلاة العيدين فريضة،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أنّ صلاة العيدين فريضة،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أنّ صلاة العيدين فريضة،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الفأرة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نصر بن سعيد الباهلي، المعروف بابن أبي هراسة، يلقّب أبوه هوذة، سمع منه التلعكبري سنة إحدى وثلاثين وثلاثمائة، وله منه إجازة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 ما وضع رسول الله صلّى الله عليه وعلى أهل بيته الزكاة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 الزيادات في شهر رمضان،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فضل شهر رمضان والصلاة فيه زيادة على النوافل المذكورة في سائر الشهور،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باب الولادة والنفاس والعقيقة،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الأخذ بالسنّة وشواهد الكتاب،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تلقين المحتضرين وتوجيههم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فضل الصلاة والمفروض منها والمسنون،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أقلّ ما يجزئ من التسبيح في الركوع والسجود،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باب فضل يوم الجمعة وليلته،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كراهية الرهبانية وترك الباه،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السنّة في حمل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الغدوّ إلى عرفات،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فرض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والسند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يعقوب بن يزيد، عن حمّاد بن عيسى، عن حريز، عن زرارة بن أعين،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w:t>
      </w:r>
      <w:r>
        <w:rPr>
          <w:rFonts w:ascii="IRNazanin" w:hAnsi="IRNazanin" w:eastAsia="IRNazanin"/>
          <w:b w:val="false"/>
          <w:b w:val="false"/>
          <w:bCs w:val="false"/>
          <w:i w:val="false"/>
          <w:i w:val="false"/>
          <w:iCs w:val="false"/>
          <w:color w:val="333333"/>
          <w:sz w:val="20"/>
          <w:sz w:val="20"/>
          <w:szCs w:val="20"/>
          <w:rtl w:val="true"/>
        </w:rPr>
        <w:t>، هامش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الحديث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وغيرهما من مصادر الجمهور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مدراك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صلاة العيدين والخطبة فيهما،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لا تجب صلاة العيدين إلّا مع الإمام،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صلاة العيدين والخطبة فيهما،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لا تجب صلاة العيدين إلّا مع الإمام،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زرارة بن أعين فقد رويته 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جعفر الحميري، عن محمّد بن عيسى بن عبيد والحسن بن ظريف وعليّ ابن إسماعيل بن عيسى كلّهم، عن حمّاد بن عيسى، عن حريز بن عبد الله، عن زرارة بن أعين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صلاة العيدين فريضة،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لا تجب صلاة العيدين إلّا مع الإمام،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حكم الإيلاء،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روي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هل يصلح له أن ينتف إبطه في رمضان وهو صائم؟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وسألته عن الرجل أيصلح له أن يصبّ الماء من فيه فيغسل به الشيء يكون في ثوبه؟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على ذلك بعض اللغويين مثل أبي هلال العسكري في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البأس بمعنى الإثم في قولهم لا بأس بكذا، أي لا إثم فيه،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فيه أي هو جائز شائع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وجوب الاستنجاء وإزالة النجاسات للصلاة،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ولعلّ الصحيح بمقتضى 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صلاة العيدين،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اشتراط صلاة العيدين بالجماعة،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استحباب صلاة العيدين منفرداً،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حكم من أدرك الخطبة دون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القانون في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جوستنيان في الفقه الروماني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المدونة كتبها جوستنيان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حكم الإمبراطورية الشرقية التي عاصمتها القسطنطينية، ولبث في الحكم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قبل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أولى عنايته بعلم فقه القوانين، فنشر مدونته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عبارة عمّا استمدّه من كتب السلف من الفقهاء، ثمّ توالى في النشر لمجاميع من القوانين الأخرى الإضافية في سنتي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دور جوستنيان هو جمع ما قد تمّ تدوينه من الفقه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المعرّب في مقدّمة المدوّنة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منوسمرتي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الهندوس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يعود إلى القرن السادس قبل الميلاد، وهو مصدر للهندوس والديانة الهندية القديمة، وقد استمدّ من كتب سبقتها بمدد طويلة، وحسب دعواهم أنّه كتاب تعاليم سماوية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الوقف في الشريعة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والولايات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وقد رواها الكليني بسندين آخرين ينتهي أحدهما إلى عجلان والآخر إلى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رواها الصدوق بسنده إلى عبد الرحمن بن الحجّاج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الفصيح وشرحه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مسند الحميدي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 إلى نيل الفضيلة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الوقف تحبيس الأصل وتسبيل المنفعة على وجه من سبل البرّ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قطرات من يراع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قطرات من يراع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المرتقى إلى الفقه الأرقى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منهاج الصالحين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رياض المسائل في بيان أحكام الشرع بالدلائل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في أحكام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في شرح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 للاطّلاع على الوجوه في المنع أو الجواز ما ذكر في بدائع الصنائع في ترتيب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ونيل الأوطار من أحاديث سيّد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الصدوق في المشيخة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فيه عن 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رويته عن محمّد بن الحسن بن أحمد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سند معتبر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باب الشرط في النكاح وما يجوز منه وما لا يجوز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وما لا يجوز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ما يجوز من الوقف والصدقة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الخيارات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قال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النضر بن سويد،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السند معتبر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المطبوع بعض الأخطاء الواضحة، وقد ذكر عين هذا التعبير في جامع البيان عن تأويل آي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والهبة والسكنى والرقبى وما لا يجوز من ذلك على الولد وغيره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وفيه هذا السند معلّق على السابق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بن زياد عن الحسن بن محمّد بن سماعة، عن أحمد بن عديس، 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النجعة في 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أنّ شرط الوقف إخراج الواقف له عن نفسه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مستند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المصلي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مدارك الأحكام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أحكام الخلل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وثيقة عدول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 في آخر البحث</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وكذا دروس في علم الرجال ألقاها أستاذنا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وكذا دروس في علم الرجال ألقاها أستاذنا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 الوقف والصدقة والنحل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النجعة في شرح اللمعة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والخبر وإن عبّر فيها بالوقف عليها إلّا أنّ المراد النحلة؛ لأنّ الوقف عليها فقط لا يتأتّى في غير الأبدي، والأبدي إنّما يحصل لو كان وقفاً عليها وعلى أولادها إلى الأبد، ولو كان كذلك لما احتاج إلى وقفها بما مرّ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المغني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في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ما بين القوسين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جني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فضل الحجّ والعمرة وثوابهما،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الذي اعترض عليه فخر الدين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ووصف كلامه بأنّه واضح البطلان، هو الميرداماد محمّد باقر الحسيني الاسترآبادي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حيث قال في معرض الحديث عن الأحاديث المصحّفة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أبو جعفر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من لا يحضره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بالوضوء والغسل من الجنابة والاستيال بماء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مذهبه في الماء المضاف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أنّنا لم نولِ هذه المسألة التاريخية أكثر ممّا تستحق؛ فلسنا بصدد تصنيف كتاب 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فقد يقف الباحث على هذا التوظيف في كلمات من سبق المحقّق الهمدانيّ من العلماء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وقُيّد الطريق بالمستقيم في بعض نسخ الكتاب اعتماداً على ما ورد في كتاب مجمل اللغة لابن فارس أيضاً، كما أنّ الصحيح في الضبط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كغيهب وحيدر، كما صرّح به الخليل في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والجوهري في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والفيروزآبادي في 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الزبيدي في 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والمنبّه على عدم التسليم هو أنّ هذا التقدّم والنضج المدّعى أضاف حقوقاً منافية للفطرة والعقل، ولما هو من ضروريات الدين أو الفقه، فكثير ممّا ادّعوه ليس ممّا تقتضيه قريحة العقلاء، وإنّما هي مجرّد توهمّات استدعتها أُسس فكرية غير صحيحة، كالإيمان بحرّية الفرد المطلقة، أو إلغائها إلى درجة كبيرة جدّاً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 الحلقة الأولى والثانية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يمكن أن يضاف إلى الوجوه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ذكرناها في الحلقة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يردع عن سيرة راسخة بالعمومات والمطلقات؟</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دروس في علم الأصول الحلقة الأولى والثانية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صليبا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الحال قد يقع خلاف في أنّ هذا يرجع إلى وحدة النكتة الارتكازية وتعدّد أفرادها، أم يرجع إلى تعدّد نفس النكتة الارتكازية، وقد فرضنا في المقام أنّه لا يرجع إلى تعدّد النكتة الارتكازية، فمملّكية العمل لنتيجة عمله لا تتعدّد كنكتة ارتكازية باختلاف متعلّق العمل من أنّه مادّي أو معنوي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علمية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بقطع النظر عن بعض الوجوه الخمسة المتقدّمة، فإنّها يمكن أن تأتي في المقام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التحليل للتوضيح؛ فإنّ الإطلاق يتوّقف على عدّة أمور، لا مجرّد 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منها السكوت وعدم التقييد، أو عدم ذكر الحالات الأخرى،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الأولى والثانية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مقصودنا من السنّة قول المعصوم وفعله وتقريره، فتكون الأخبار من الكواشف عن السنّة، لا أنّها هي السنّة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علاقة الموضوع بحكمه، وعلاقة الموضوع بمصاديقه، وعلاقة الحكم بمصاديق الموضوع، أبحاث تحليلية يترتّب على بعضها آثار علمية، ولكن في المقام لا يترتّب عليها أثر ولا مناسبة لائقة لمتابعتها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مباني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زياد العطّار، مولى بني ضبّة،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بن سيّار، أبو عبد الله الكاتب، بصري، كان من كتّاب آل طاهر في زمن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ويعرف بالسيّاري، ضعيف الحديث، فاسد المذهب، مجفوّ الرواية، كثير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المناقشة مبتنية على عدم حجّية خبر غير العدل الإمامي كما هو مختار جملة ممّن بنى على ذلك كالشهيد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على القول بحجّية قول مطلق الثقة فلا تتمّ؛ إذ ابن فضّال ثقة كما ستأتي الإشارة إلى كلام الشيخ فيه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 للوحيد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استظهار كونه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وجدناه في بعض الموارد من كلام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ينقل مطلب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 ما في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لبعض تفاصيل كلام الرياض هنا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خرداذبة في المسالك والممالك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الكوفة إلى القادسية خمسة عشر ميلاً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ابن فضّال، فطحي المذهب، ثقة، كوفي، كثير العلم، واسع الرواية والأخبار، جيّد التصانيف، غير معاند، وكان قريب الأمر إلى أصحابنا الإمامية القائلين بالاثني عشر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بكير، فطحي المذهب إلَّا أنَّه ثقة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 صاحب الجواهر عدم اشتراط المباشرة في الإكثار؛ ولذا وظّفه في عناصر معرفة حال إبراهيم بن هاشم الّذي يروي عنه الكليني بواسطة ابنه عادة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الخلاصة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سمّينا هذا الكتاب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ورتبته على قسمين وخاتمة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أعتمد على روايته، أو ترجّح عندي قبول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تركت روايته، أو توقّفت فيه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وعنه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الصدوق إليه في المشيخة،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أنّ ما دلّ من الأخبار على سهو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 لقواعد الإمامية 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مؤيّداً هنا ببعض الأخبار الواردة في سهو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ذي اليدين المشتملة على تكبير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للسجدتين وإنْ كانت هي مطرحة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ورد ذكر طلحة بن زيد في رجال العامّة مجمعين على ردّ حديثه، قال أحمد ابن حنبل في 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نزل على شعبة، ليس بشيء، كان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والبخاري في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حبّان في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 بن زيد الرقّي، وهو الّذي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يزيد الشامي، كان أصله من دمشق، يروي عن الأوزاعي وغيره، روى عنه العلى بن هلال الرقّي، وشيبان بن فروخ، منكر الحديث جدّاً، يروي عن الثقات المقلوبات، لا يحلّ الاحتجاج بخبره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ابن عدي في 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الدارقطني في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يشر إلى التأمّل في ترجمة حفص بن غياث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رسائل في دراية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معجم مصطلحات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عبدوس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يطلق القويّ على مروي الإمامي، غير الممدوح ولا المذموم كنوح بن درّاج، وناجية بن أبي عمارة الصيداوي، وأحمد بن عبد الله بن جعفر الحميري، وغيرهم، وهم كثيرون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اجتماع الأموال عندهم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يجمع المال، ولكنّه حصل في وقت الرشيد وكثر أعداؤه ولم يقدر على تفريق ما كان يجتمع إلّا على القليل ممّن يثق بهم في كتمان السرّ، فاجتمعت هذه الأموال لأجل ذلك، وأراد أن لا يتحقّق على نفسه قول من كان يسعى به إلى الرشيد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يحمل إليه الأموال ويعتقد له الإمامة ويحمل على الخروج عليه، ولولا ذلك لفرّق ما اجتمع منه هذه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لم تكن أموال الفقراء، وإنّما كانت أموالاً تصله به مواليه لتكون له إكراماً منهم له وبرّاً منهم به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والحديث مبني على سابقه،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وغيره عن سهل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إيضاح ذلك كتاب رجال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الكليني والفضل بن شاذان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الفوائد الرجالية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سماء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النخعي أبو الحسين كان وكيلاً لأبي الحسن وأبي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عظيم المنزلة عندهما، مأموناً، وكان شديد الورع، كثير العبادة، ثقة في رواياته، وأبوه نوح بن درّاج كان قاضياً بالكوفة، وكان 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بن شاذان بن الخليل، أبو محمّد الأزدي النيشابوري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أبوه من أصحاب يونس، وروى عن أبي جعفر الثاني،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أحد أصحابنا الفقهاء والمتكلّمين، وله جلالة في هذه الطائفة، وهو في قدره أشهر من أن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سنان بن طريف مولى بني هاشم، يقال مولى بني أبي طالب، ويقال مولى بني العبّاس، كان خازناً للمنصور والمهدي والهادي والرشيد، كوفي، ثقة، من أصحابنا، جليل، لا يطعن عليه في شيء،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الصلت، أبو طالب القمّي مولى بني تيم اللات بن ثعلبة، ثقة، مسكون إلى روايته،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وطريق الكشّي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الحسين بن الحسن بن بندار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عيسى، ومحمّد بن عبد الجبار الذهلي، عن العبّاس بن معروف، عن عبد الله بن الصلت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والظاهر أنَّه قصد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 لأنَّ محمّداً ثقة، وفاقاً لجماعة منهم العلّامة في المختلف، وقد حقّقناه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ومقدّمة القسم الثاني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سعدان الحنّاط، ضعيف في الحديث، كوفي، 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تفصيل المناقشة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وذكر السيّد عبد الحسين شرف الدين أنّه 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شريعة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السيّد عبدالحسين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نخبة الأزهار في أحكام الخيار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أحسن الوديعة في تراجم مشاهير مجتهدي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السيّد عبدالحسين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أحسن الوديعة في تراجم مشاهير مجتهدي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الشريعة قيادته في الثورة العراقية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إفاضة القدير في أحكام العصير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الشريعة قيادته في الثورة العراقية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شيخ الشريعة قيادته في الثورة العراقية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الشريعة قيادته في الثورة العراقية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ما قاله العلّامة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السيّد عبدالحسين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الشريعة قيادته في الثورة العراقية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 في إرث الزوجة من ثمن العقار، المقدّمة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المطبوع مع إفاضة القدير في أحكام العصير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الصواب في الكاتب والكتابة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أبى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الشريعة قيادته في الثورة العراقية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أحمد الحسينيّ الزنجانيّ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وفاة شيخ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النصيرية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الإلهام في شرح تجريد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طبقات المتكلّمين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الحكمة وشرحه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تهافت التهافت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بيان الحقّ بضمان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شرح حكمة الإشراق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ابن شيخ الإسلام ميرزا نصر اللّه ابن الحاجّ ميرزا عبد الرحيم بن نصر اللّه ابن محمّد بن عليّ، ولد في جمادى الآخرة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زنجان من أسرة علميّة عريقة تلقّب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لعدّة أجيال، فوالده الميرزا نصر الله شيخ الإسلام من كبار علماء زنجان، ومن تلامذة السيّد عليّ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الحاشية على المعالم، وجدّه الأعلى الفقيه المجاهد الملّا عليّ الزنجانيّ المستشهد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الدفاع عن بلاده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ما هي عليه من التمام والكمال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بدلها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ردّ قاعدة الواحد لا يصدر منه إلّا الواحد في الحكمة لأستاذ المحقّقين الحاجّ الشيخ أبي الفتح شريعة الحقّ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وهو المعين، الحمد لله جلّ ذكره، والصلاة على محمّد عز اسمه وآله أجمعين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 الوجود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البسيط</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لمبدئه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وبجهة تعقّله إمكان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وبجهة إمكانه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تهافت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تهافت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ويستند صدور العقل والنفس وجرم الفلك إلى هذه الثلاثة على الترتيب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الفلاسفة في شرح المقاصد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الحكماء في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الفخر الرازي عن الحكماء،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أيضاً جهتين هما تعقّله لوجوده، وتعقّله لإمكانه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الفخر الرازيّ عن الحكماء،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متين ولم يلجأ إلى ركن وثيق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الألباب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بهمنيار بن المرزبان الأذربيجانيّ،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من تلاميذ أبي عليّ ابن سينا، وكان مجوسيّ الملّة، ثمّ أسلم، غير ماهر في كلام العرب،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التحصيل، وكتاب الرتبة في المنطق، وكتاب في الموسيقى، ورسائل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حكماء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تاريخ الحكماء قبل ظهور الإسلام و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المشرقيّة في علم الإلهيّات والطبيعيّات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والعجب ممّن يفني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يضحك منه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المشرقيّة في علم الإلهيّات والطبيعيّات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وإيراد الرازيّ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الشتم والسباب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وتقريعه وتشنيعه العظيم على الشيخ</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بدلها فراغ بمقدار كلمة مكوّنة من ستة أحرف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إشراق هياكل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كشّاف اصطلاحات الفنون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الحمل يطلق على ثلاثة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الحمل اللغويّ، وهو الحكم بثبوت الشي‌ء للشي‌ء وانتفاؤه عنه، وحقيقته الإذعان والقبول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الحمل الاشتقاقيّ، ويقال له الحمل بوجود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حمل المواطأة، ويقال له الحمل بقول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وحقيقته الهوهو</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 حمل المواطاة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ويحملا عليه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يصدر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بدّ أن يكون للعلّة خصوصيّة بحسبها يصدر عنها المعلول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الرئيس ت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رسالة هياكل النور المطبوعة ضمن ثلاث رسائل للمحقّق الدوانيّ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وما بعدها، إشراق هياكل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غياث الدين دشتكي الشيرازيّ 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اقتضائها لما عداه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فيصدر عنها جميع ما هو معلول لها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النجاة من الغرق في بحر الضلالات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المباحثات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الواقعية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 الأمر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فيجب التسلسل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الخصوصيّة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الخصوصيّة المشتركة لا تصير منشأً لحصول التعدّد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عرفت أنّ مدخليّة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حجر فيه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ما ذكره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واستيلاء الأمراض والأهوال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مصلِّين على النَّبيّ وآله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 انتهت هذه النسخة وكتب في نهايتها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هذه الورقة بيد تراب أقدام الحضرات الطلاب نصرت الله البنارواني الميانجيّ في يوم الخميس من شهر جمادى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الزنجان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فرغت من تسويده ليلة الخامس والعشرين من شهر ربيع الآخر من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تشتت الخيال واختلال الأحوال حرصاً على الإفادة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60447</Words>
  <Characters>275495</Characters>
  <CharactersWithSpaces>333990</CharactersWithSpaces>
  <Paragraphs>2299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2026-08-20T10:08:01Z</dcterms:created>
  <dc:creator>ghaemiyeh.com</dc:creator>
  <dc:description/>
  <dc:language>en-US</dc:language>
  <cp:lastModifiedBy/>
  <dcterms:modified xsi:type="dcterms:W3CDTF">2026-08-20T13:38:16Z</dcterms:modified>
  <cp:revision>1</cp:revision>
  <dc:subject/>
  <dc:title>دراسات علمیة - 17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