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24</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3002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13004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13006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2713008_653776707">
            <w:r>
              <w:rPr>
                <w:webHidden/>
                <w:rStyle w:val="IndexLink"/>
                <w:rtl w:val="true"/>
              </w:rPr>
              <w:t>بررسی تطبیقی سوگواره های حسینی محتشم کاشانی و سیدحیدر حلی</w:t>
            </w:r>
            <w:r>
              <w:rPr>
                <w:rStyle w:val="IndexLink"/>
                <w:rtl w:val="true"/>
              </w:rPr>
              <w:tab/>
            </w:r>
            <w:r>
              <w:rPr>
                <w:rStyle w:val="IndexLink"/>
              </w:rPr>
              <w:t>12</w:t>
            </w:r>
          </w:hyperlink>
        </w:p>
        <w:p>
          <w:pPr>
            <w:pStyle w:val="Contents3"/>
            <w:tabs>
              <w:tab w:val="clear" w:pos="8459"/>
              <w:tab w:val="right" w:pos="9026" w:leader="dot"/>
            </w:tabs>
            <w:rPr/>
          </w:pPr>
          <w:hyperlink w:anchor="__RefHeading___Toc2713010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713012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713014_653776707">
            <w:r>
              <w:rPr>
                <w:webHidden/>
                <w:rStyle w:val="IndexLink"/>
                <w:rtl w:val="true"/>
              </w:rPr>
              <w:t>بیان مسئله</w:t>
            </w:r>
            <w:r>
              <w:rPr>
                <w:rStyle w:val="IndexLink"/>
                <w:rtl w:val="true"/>
              </w:rPr>
              <w:tab/>
            </w:r>
            <w:r>
              <w:rPr>
                <w:rStyle w:val="IndexLink"/>
              </w:rPr>
              <w:t>13</w:t>
            </w:r>
          </w:hyperlink>
        </w:p>
        <w:p>
          <w:pPr>
            <w:pStyle w:val="Contents3"/>
            <w:tabs>
              <w:tab w:val="clear" w:pos="8459"/>
              <w:tab w:val="right" w:pos="9026" w:leader="dot"/>
            </w:tabs>
            <w:rPr/>
          </w:pPr>
          <w:hyperlink w:anchor="__RefHeading___Toc2713016_653776707">
            <w:r>
              <w:rPr>
                <w:webHidden/>
                <w:rStyle w:val="IndexLink"/>
                <w:rtl w:val="true"/>
              </w:rPr>
              <w:t>اهداف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713018_653776707">
            <w:r>
              <w:rPr>
                <w:webHidden/>
                <w:rStyle w:val="IndexLink"/>
                <w:rtl w:val="true"/>
              </w:rPr>
              <w:t>پیشینۀ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2713020_653776707">
            <w:r>
              <w:rPr>
                <w:webHidden/>
                <w:rStyle w:val="IndexLink"/>
                <w:rtl w:val="true"/>
              </w:rPr>
              <w:t>بحث</w:t>
            </w:r>
            <w:r>
              <w:rPr>
                <w:rStyle w:val="IndexLink"/>
                <w:rtl w:val="true"/>
              </w:rPr>
              <w:tab/>
            </w:r>
            <w:r>
              <w:rPr>
                <w:rStyle w:val="IndexLink"/>
              </w:rPr>
              <w:t>15</w:t>
            </w:r>
          </w:hyperlink>
        </w:p>
        <w:p>
          <w:pPr>
            <w:pStyle w:val="Contents3"/>
            <w:tabs>
              <w:tab w:val="clear" w:pos="8459"/>
              <w:tab w:val="right" w:pos="9026" w:leader="dot"/>
            </w:tabs>
            <w:rPr/>
          </w:pPr>
          <w:hyperlink w:anchor="__RefHeading___Toc2713022_653776707">
            <w:r>
              <w:rPr>
                <w:webHidden/>
                <w:rStyle w:val="IndexLink"/>
                <w:rtl w:val="true"/>
              </w:rPr>
              <w:t>نکات مشترک دو شاعر در مرثیه سرایی حسینی</w:t>
            </w:r>
            <w:r>
              <w:rPr>
                <w:rStyle w:val="IndexLink"/>
                <w:rtl w:val="true"/>
              </w:rPr>
              <w:tab/>
            </w:r>
            <w:r>
              <w:rPr>
                <w:rStyle w:val="IndexLink"/>
              </w:rPr>
              <w:t>17</w:t>
            </w:r>
          </w:hyperlink>
        </w:p>
        <w:p>
          <w:pPr>
            <w:pStyle w:val="Contents3"/>
            <w:tabs>
              <w:tab w:val="clear" w:pos="8459"/>
              <w:tab w:val="right" w:pos="9026" w:leader="dot"/>
            </w:tabs>
            <w:rPr/>
          </w:pPr>
          <w:hyperlink w:anchor="__RefHeading___Toc2713024_653776707">
            <w:r>
              <w:rPr>
                <w:webHidden/>
                <w:rStyle w:val="IndexLink"/>
                <w:rtl w:val="true"/>
              </w:rPr>
              <w:t xml:space="preserve">توسّل جستن به امام حسین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2713026_653776707">
            <w:r>
              <w:rPr>
                <w:webHidden/>
                <w:rStyle w:val="IndexLink"/>
                <w:rtl w:val="true"/>
              </w:rPr>
              <w:t>گریستن فرشتگان در سوگ امام حسین</w:t>
            </w:r>
            <w:r>
              <w:rPr>
                <w:rStyle w:val="IndexLink"/>
                <w:rtl w:val="true"/>
              </w:rPr>
              <w:tab/>
            </w:r>
            <w:r>
              <w:rPr>
                <w:rStyle w:val="IndexLink"/>
              </w:rPr>
              <w:t>20</w:t>
            </w:r>
          </w:hyperlink>
        </w:p>
        <w:p>
          <w:pPr>
            <w:pStyle w:val="Contents3"/>
            <w:tabs>
              <w:tab w:val="clear" w:pos="8459"/>
              <w:tab w:val="right" w:pos="9026" w:leader="dot"/>
            </w:tabs>
            <w:rPr/>
          </w:pPr>
          <w:hyperlink w:anchor="__RefHeading___Toc2713028_653776707">
            <w:r>
              <w:rPr>
                <w:webHidden/>
                <w:rStyle w:val="IndexLink"/>
                <w:rtl w:val="true"/>
              </w:rPr>
              <w:t>توصیف تشنگی و سوز عطش در صحرای کربلا</w:t>
            </w:r>
            <w:r>
              <w:rPr>
                <w:rStyle w:val="IndexLink"/>
                <w:rtl w:val="true"/>
              </w:rPr>
              <w:tab/>
            </w:r>
            <w:r>
              <w:rPr>
                <w:rStyle w:val="IndexLink"/>
              </w:rPr>
              <w:t>21</w:t>
            </w:r>
          </w:hyperlink>
        </w:p>
        <w:p>
          <w:pPr>
            <w:pStyle w:val="Contents3"/>
            <w:tabs>
              <w:tab w:val="clear" w:pos="8459"/>
              <w:tab w:val="right" w:pos="9026" w:leader="dot"/>
            </w:tabs>
            <w:rPr/>
          </w:pPr>
          <w:hyperlink w:anchor="__RefHeading___Toc2713030_653776707">
            <w:r>
              <w:rPr>
                <w:webHidden/>
                <w:rStyle w:val="IndexLink"/>
                <w:rtl w:val="true"/>
              </w:rPr>
              <w:t>با کاروان اسیران کربلا</w:t>
            </w:r>
            <w:r>
              <w:rPr>
                <w:rStyle w:val="IndexLink"/>
                <w:rtl w:val="true"/>
              </w:rPr>
              <w:tab/>
            </w:r>
            <w:r>
              <w:rPr>
                <w:rStyle w:val="IndexLink"/>
              </w:rPr>
              <w:t>23</w:t>
            </w:r>
          </w:hyperlink>
        </w:p>
        <w:p>
          <w:pPr>
            <w:pStyle w:val="Contents3"/>
            <w:tabs>
              <w:tab w:val="clear" w:pos="8459"/>
              <w:tab w:val="right" w:pos="9026" w:leader="dot"/>
            </w:tabs>
            <w:rPr/>
          </w:pPr>
          <w:hyperlink w:anchor="__RefHeading___Toc2713032_653776707">
            <w:r>
              <w:rPr>
                <w:webHidden/>
                <w:rStyle w:val="IndexLink"/>
                <w:rtl w:val="true"/>
              </w:rPr>
              <w:t>در سرزنش زمانه و نکوهش روزگار</w:t>
            </w:r>
            <w:r>
              <w:rPr>
                <w:rStyle w:val="IndexLink"/>
                <w:rtl w:val="true"/>
              </w:rPr>
              <w:tab/>
            </w:r>
            <w:r>
              <w:rPr>
                <w:rStyle w:val="IndexLink"/>
              </w:rPr>
              <w:t>27</w:t>
            </w:r>
          </w:hyperlink>
        </w:p>
        <w:p>
          <w:pPr>
            <w:pStyle w:val="Contents3"/>
            <w:tabs>
              <w:tab w:val="clear" w:pos="8459"/>
              <w:tab w:val="right" w:pos="9026" w:leader="dot"/>
            </w:tabs>
            <w:rPr/>
          </w:pPr>
          <w:hyperlink w:anchor="__RefHeading___Toc2713034_653776707">
            <w:r>
              <w:rPr>
                <w:webHidden/>
                <w:rStyle w:val="IndexLink"/>
                <w:rtl w:val="true"/>
              </w:rPr>
              <w:t>نتیجه</w:t>
            </w:r>
            <w:r>
              <w:rPr>
                <w:rStyle w:val="IndexLink"/>
                <w:rtl w:val="true"/>
              </w:rPr>
              <w:tab/>
            </w:r>
            <w:r>
              <w:rPr>
                <w:rStyle w:val="IndexLink"/>
              </w:rPr>
              <w:t>31</w:t>
            </w:r>
          </w:hyperlink>
        </w:p>
        <w:p>
          <w:pPr>
            <w:pStyle w:val="Contents3"/>
            <w:tabs>
              <w:tab w:val="clear" w:pos="8459"/>
              <w:tab w:val="right" w:pos="9026" w:leader="dot"/>
            </w:tabs>
            <w:rPr/>
          </w:pPr>
          <w:hyperlink w:anchor="__RefHeading___Toc2713036_653776707">
            <w:r>
              <w:rPr>
                <w:webHidden/>
                <w:rStyle w:val="IndexLink"/>
                <w:rtl w:val="true"/>
              </w:rPr>
              <w:t>منابع</w:t>
            </w:r>
            <w:r>
              <w:rPr>
                <w:rStyle w:val="IndexLink"/>
                <w:rtl w:val="true"/>
              </w:rPr>
              <w:tab/>
            </w:r>
            <w:r>
              <w:rPr>
                <w:rStyle w:val="IndexLink"/>
              </w:rPr>
              <w:t>33</w:t>
            </w:r>
          </w:hyperlink>
        </w:p>
        <w:p>
          <w:pPr>
            <w:pStyle w:val="Contents2"/>
            <w:tabs>
              <w:tab w:val="clear" w:pos="8743"/>
              <w:tab w:val="right" w:pos="9026" w:leader="dot"/>
            </w:tabs>
            <w:rPr/>
          </w:pPr>
          <w:hyperlink w:anchor="__RefHeading___Toc2713038_653776707">
            <w:r>
              <w:rPr>
                <w:webHidden/>
                <w:rStyle w:val="IndexLink"/>
                <w:rtl w:val="true"/>
              </w:rPr>
              <w:t xml:space="preserve">محتوای نامه های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مخالفان خود</w:t>
            </w:r>
            <w:r>
              <w:rPr>
                <w:rStyle w:val="IndexLink"/>
                <w:rtl w:val="true"/>
              </w:rPr>
              <w:tab/>
            </w:r>
            <w:r>
              <w:rPr>
                <w:rStyle w:val="IndexLink"/>
              </w:rPr>
              <w:t>36</w:t>
            </w:r>
          </w:hyperlink>
        </w:p>
        <w:p>
          <w:pPr>
            <w:pStyle w:val="Contents3"/>
            <w:tabs>
              <w:tab w:val="clear" w:pos="8459"/>
              <w:tab w:val="right" w:pos="9026" w:leader="dot"/>
            </w:tabs>
            <w:rPr/>
          </w:pPr>
          <w:hyperlink w:anchor="__RefHeading___Toc2713040_65377670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713042_653776707">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2713044_653776707">
            <w:r>
              <w:rPr>
                <w:webHidden/>
                <w:rStyle w:val="IndexLink"/>
                <w:rtl w:val="true"/>
              </w:rPr>
              <w:t>بیان مسئله</w:t>
            </w:r>
            <w:r>
              <w:rPr>
                <w:rStyle w:val="IndexLink"/>
                <w:rtl w:val="true"/>
              </w:rPr>
              <w:tab/>
            </w:r>
            <w:r>
              <w:rPr>
                <w:rStyle w:val="IndexLink"/>
              </w:rPr>
              <w:t>37</w:t>
            </w:r>
          </w:hyperlink>
        </w:p>
        <w:p>
          <w:pPr>
            <w:pStyle w:val="Contents3"/>
            <w:tabs>
              <w:tab w:val="clear" w:pos="8459"/>
              <w:tab w:val="right" w:pos="9026" w:leader="dot"/>
            </w:tabs>
            <w:rPr/>
          </w:pPr>
          <w:hyperlink w:anchor="__RefHeading___Toc2713046_653776707">
            <w:r>
              <w:rPr>
                <w:webHidden/>
                <w:rStyle w:val="IndexLink"/>
                <w:rtl w:val="true"/>
              </w:rPr>
              <w:t>پیشینه پژوهش</w:t>
            </w:r>
            <w:r>
              <w:rPr>
                <w:rStyle w:val="IndexLink"/>
                <w:rtl w:val="true"/>
              </w:rPr>
              <w:tab/>
            </w:r>
            <w:r>
              <w:rPr>
                <w:rStyle w:val="IndexLink"/>
              </w:rPr>
              <w:t>38</w:t>
            </w:r>
          </w:hyperlink>
        </w:p>
        <w:p>
          <w:pPr>
            <w:pStyle w:val="Contents3"/>
            <w:tabs>
              <w:tab w:val="clear" w:pos="8459"/>
              <w:tab w:val="right" w:pos="9026" w:leader="dot"/>
            </w:tabs>
            <w:rPr/>
          </w:pPr>
          <w:hyperlink w:anchor="__RefHeading___Toc2713048_653776707">
            <w:r>
              <w:rPr>
                <w:webHidden/>
                <w:rStyle w:val="IndexLink"/>
                <w:rtl w:val="true"/>
              </w:rPr>
              <w:t>معرفی روش تحلیل محتوا</w:t>
            </w:r>
            <w:r>
              <w:rPr>
                <w:rStyle w:val="IndexLink"/>
                <w:rtl w:val="true"/>
              </w:rPr>
              <w:tab/>
            </w:r>
            <w:r>
              <w:rPr>
                <w:rStyle w:val="IndexLink"/>
              </w:rPr>
              <w:t>38</w:t>
            </w:r>
          </w:hyperlink>
        </w:p>
        <w:p>
          <w:pPr>
            <w:pStyle w:val="Contents3"/>
            <w:tabs>
              <w:tab w:val="clear" w:pos="8459"/>
              <w:tab w:val="right" w:pos="9026" w:leader="dot"/>
            </w:tabs>
            <w:rPr/>
          </w:pPr>
          <w:hyperlink w:anchor="__RefHeading___Toc2713050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2713052_653776707">
            <w:r>
              <w:rPr>
                <w:webHidden/>
                <w:rStyle w:val="IndexLink"/>
                <w:rtl w:val="true"/>
              </w:rPr>
              <w:t xml:space="preserve">تحلیل محتوای نامه های امام حسین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2713054_653776707">
            <w:r>
              <w:rPr>
                <w:webHidden/>
                <w:rStyle w:val="IndexLink"/>
                <w:rtl w:val="true"/>
              </w:rPr>
              <w:t xml:space="preserve">نامه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خصوص مصادره اموال کاروان یمنی</w:t>
            </w:r>
            <w:r>
              <w:rPr>
                <w:rStyle w:val="IndexLink"/>
                <w:rtl w:val="true"/>
              </w:rPr>
              <w:tab/>
            </w:r>
            <w:r>
              <w:rPr>
                <w:rStyle w:val="IndexLink"/>
              </w:rPr>
              <w:t>41</w:t>
            </w:r>
          </w:hyperlink>
        </w:p>
        <w:p>
          <w:pPr>
            <w:pStyle w:val="Contents4"/>
            <w:tabs>
              <w:tab w:val="clear" w:pos="8176"/>
              <w:tab w:val="right" w:pos="9026" w:leader="dot"/>
            </w:tabs>
            <w:rPr/>
          </w:pPr>
          <w:hyperlink w:anchor="__RefHeading___Toc2713056_65377670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713058_653776707">
            <w:r>
              <w:rPr>
                <w:webHidden/>
                <w:rStyle w:val="IndexLink"/>
              </w:rPr>
              <w:t>1</w:t>
            </w:r>
            <w:r>
              <w:rPr>
                <w:rStyle w:val="IndexLink"/>
                <w:rtl w:val="true"/>
              </w:rPr>
              <w:t xml:space="preserve">- </w:t>
            </w:r>
            <w:r>
              <w:rPr>
                <w:rStyle w:val="IndexLink"/>
                <w:rtl w:val="true"/>
              </w:rPr>
              <w:t>تقسیم اموال عمومی برای خویشان</w:t>
            </w:r>
            <w:r>
              <w:rPr>
                <w:rStyle w:val="IndexLink"/>
                <w:rtl w:val="true"/>
              </w:rPr>
              <w:tab/>
            </w:r>
            <w:r>
              <w:rPr>
                <w:rStyle w:val="IndexLink"/>
              </w:rPr>
              <w:t>43</w:t>
            </w:r>
          </w:hyperlink>
        </w:p>
        <w:p>
          <w:pPr>
            <w:pStyle w:val="Contents4"/>
            <w:tabs>
              <w:tab w:val="clear" w:pos="8176"/>
              <w:tab w:val="right" w:pos="9026" w:leader="dot"/>
            </w:tabs>
            <w:rPr/>
          </w:pPr>
          <w:hyperlink w:anchor="__RefHeading___Toc2713060_653776707">
            <w:r>
              <w:rPr>
                <w:webHidden/>
                <w:rStyle w:val="IndexLink"/>
              </w:rPr>
              <w:t>2</w:t>
            </w:r>
            <w:r>
              <w:rPr>
                <w:rStyle w:val="IndexLink"/>
                <w:rtl w:val="true"/>
              </w:rPr>
              <w:t xml:space="preserve">- </w:t>
            </w:r>
            <w:r>
              <w:rPr>
                <w:rStyle w:val="IndexLink"/>
                <w:rtl w:val="true"/>
              </w:rPr>
              <w:t>جنگ سرد با معاویه</w:t>
            </w:r>
            <w:r>
              <w:rPr>
                <w:rStyle w:val="IndexLink"/>
                <w:rtl w:val="true"/>
              </w:rPr>
              <w:tab/>
            </w:r>
            <w:r>
              <w:rPr>
                <w:rStyle w:val="IndexLink"/>
              </w:rPr>
              <w:t>44</w:t>
            </w:r>
          </w:hyperlink>
        </w:p>
        <w:p>
          <w:pPr>
            <w:pStyle w:val="Contents4"/>
            <w:tabs>
              <w:tab w:val="clear" w:pos="8176"/>
              <w:tab w:val="right" w:pos="9026" w:leader="dot"/>
            </w:tabs>
            <w:rPr/>
          </w:pPr>
          <w:hyperlink w:anchor="__RefHeading___Toc2713062_653776707">
            <w:r>
              <w:rPr>
                <w:webHidden/>
                <w:rStyle w:val="IndexLink"/>
              </w:rPr>
              <w:t>3</w:t>
            </w:r>
            <w:r>
              <w:rPr>
                <w:rStyle w:val="IndexLink"/>
                <w:rtl w:val="true"/>
              </w:rPr>
              <w:t xml:space="preserve">- </w:t>
            </w:r>
            <w:r>
              <w:rPr>
                <w:rStyle w:val="IndexLink"/>
                <w:rtl w:val="true"/>
              </w:rPr>
              <w:t>عدم ترس از معاویه</w:t>
            </w:r>
            <w:r>
              <w:rPr>
                <w:rStyle w:val="IndexLink"/>
                <w:rtl w:val="true"/>
              </w:rPr>
              <w:tab/>
            </w:r>
            <w:r>
              <w:rPr>
                <w:rStyle w:val="IndexLink"/>
              </w:rPr>
              <w:t>44</w:t>
            </w:r>
          </w:hyperlink>
        </w:p>
        <w:p>
          <w:pPr>
            <w:pStyle w:val="Contents3"/>
            <w:tabs>
              <w:tab w:val="clear" w:pos="8459"/>
              <w:tab w:val="right" w:pos="9026" w:leader="dot"/>
            </w:tabs>
            <w:rPr/>
          </w:pPr>
          <w:hyperlink w:anchor="__RefHeading___Toc2713064_653776707">
            <w:r>
              <w:rPr>
                <w:webHidden/>
                <w:rStyle w:val="IndexLink"/>
                <w:rtl w:val="true"/>
              </w:rPr>
              <w:t>نامه به معاویه پیرامون ازدواج با کنیز</w:t>
            </w:r>
            <w:r>
              <w:rPr>
                <w:rStyle w:val="IndexLink"/>
                <w:rtl w:val="true"/>
              </w:rPr>
              <w:tab/>
            </w:r>
            <w:r>
              <w:rPr>
                <w:rStyle w:val="IndexLink"/>
              </w:rPr>
              <w:t>44</w:t>
            </w:r>
          </w:hyperlink>
        </w:p>
        <w:p>
          <w:pPr>
            <w:pStyle w:val="Contents4"/>
            <w:tabs>
              <w:tab w:val="clear" w:pos="8176"/>
              <w:tab w:val="right" w:pos="9026" w:leader="dot"/>
            </w:tabs>
            <w:rPr/>
          </w:pPr>
          <w:hyperlink w:anchor="__RefHeading___Toc2713066_653776707">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713068_653776707">
            <w:r>
              <w:rPr>
                <w:webHidden/>
                <w:rStyle w:val="IndexLink"/>
              </w:rPr>
              <w:t>1</w:t>
            </w:r>
            <w:r>
              <w:rPr>
                <w:rStyle w:val="IndexLink"/>
                <w:rtl w:val="true"/>
              </w:rPr>
              <w:t xml:space="preserve">- </w:t>
            </w:r>
            <w:r>
              <w:rPr>
                <w:rStyle w:val="IndexLink"/>
                <w:rtl w:val="true"/>
              </w:rPr>
              <w:t>مذمت معاویه در خصوص پای بندی به عهد جاهلی</w:t>
            </w:r>
            <w:r>
              <w:rPr>
                <w:rStyle w:val="IndexLink"/>
                <w:rtl w:val="true"/>
              </w:rPr>
              <w:tab/>
            </w:r>
            <w:r>
              <w:rPr>
                <w:rStyle w:val="IndexLink"/>
              </w:rPr>
              <w:t>45</w:t>
            </w:r>
          </w:hyperlink>
        </w:p>
        <w:p>
          <w:pPr>
            <w:pStyle w:val="Contents4"/>
            <w:tabs>
              <w:tab w:val="clear" w:pos="8176"/>
              <w:tab w:val="right" w:pos="9026" w:leader="dot"/>
            </w:tabs>
            <w:rPr/>
          </w:pPr>
          <w:hyperlink w:anchor="__RefHeading___Toc2713070_653776707">
            <w:r>
              <w:rPr>
                <w:webHidden/>
                <w:rStyle w:val="IndexLink"/>
              </w:rPr>
              <w:t>2</w:t>
            </w:r>
            <w:r>
              <w:rPr>
                <w:rStyle w:val="IndexLink"/>
                <w:rtl w:val="true"/>
              </w:rPr>
              <w:t xml:space="preserve">- </w:t>
            </w:r>
            <w:r>
              <w:rPr>
                <w:rStyle w:val="IndexLink"/>
                <w:rtl w:val="true"/>
              </w:rPr>
              <w:t>معاویه و فاصله با ارزش ها</w:t>
            </w:r>
            <w:r>
              <w:rPr>
                <w:rStyle w:val="IndexLink"/>
                <w:rtl w:val="true"/>
              </w:rPr>
              <w:tab/>
            </w:r>
            <w:r>
              <w:rPr>
                <w:rStyle w:val="IndexLink"/>
              </w:rPr>
              <w:t>45</w:t>
            </w:r>
          </w:hyperlink>
        </w:p>
        <w:p>
          <w:pPr>
            <w:pStyle w:val="Contents4"/>
            <w:tabs>
              <w:tab w:val="clear" w:pos="8176"/>
              <w:tab w:val="right" w:pos="9026" w:leader="dot"/>
            </w:tabs>
            <w:rPr/>
          </w:pPr>
          <w:hyperlink w:anchor="__RefHeading___Toc2713072_653776707">
            <w:r>
              <w:rPr>
                <w:webHidden/>
                <w:rStyle w:val="IndexLink"/>
              </w:rPr>
              <w:t>3</w:t>
            </w:r>
            <w:r>
              <w:rPr>
                <w:rStyle w:val="IndexLink"/>
                <w:rtl w:val="true"/>
              </w:rPr>
              <w:t xml:space="preserve">- </w:t>
            </w:r>
            <w:r>
              <w:rPr>
                <w:rStyle w:val="IndexLink"/>
                <w:rtl w:val="true"/>
              </w:rPr>
              <w:t>ملامت و سرزنش معاویه</w:t>
            </w:r>
            <w:r>
              <w:rPr>
                <w:rStyle w:val="IndexLink"/>
                <w:rtl w:val="true"/>
              </w:rPr>
              <w:tab/>
            </w:r>
            <w:r>
              <w:rPr>
                <w:rStyle w:val="IndexLink"/>
              </w:rPr>
              <w:t>45</w:t>
            </w:r>
          </w:hyperlink>
        </w:p>
        <w:p>
          <w:pPr>
            <w:pStyle w:val="Contents4"/>
            <w:tabs>
              <w:tab w:val="clear" w:pos="8176"/>
              <w:tab w:val="right" w:pos="9026" w:leader="dot"/>
            </w:tabs>
            <w:rPr/>
          </w:pPr>
          <w:hyperlink w:anchor="__RefHeading___Toc2713074_653776707">
            <w:r>
              <w:rPr>
                <w:webHidden/>
                <w:rStyle w:val="IndexLink"/>
              </w:rPr>
              <w:t>4</w:t>
            </w:r>
            <w:r>
              <w:rPr>
                <w:rStyle w:val="IndexLink"/>
                <w:rtl w:val="true"/>
              </w:rPr>
              <w:t xml:space="preserve">- </w:t>
            </w:r>
            <w:r>
              <w:rPr>
                <w:rStyle w:val="IndexLink"/>
                <w:rtl w:val="true"/>
              </w:rPr>
              <w:t>پاداش آزادکردن برده</w:t>
            </w:r>
            <w:r>
              <w:rPr>
                <w:rStyle w:val="IndexLink"/>
                <w:rtl w:val="true"/>
              </w:rPr>
              <w:tab/>
            </w:r>
            <w:r>
              <w:rPr>
                <w:rStyle w:val="IndexLink"/>
              </w:rPr>
              <w:t>46</w:t>
            </w:r>
          </w:hyperlink>
        </w:p>
        <w:p>
          <w:pPr>
            <w:pStyle w:val="Contents3"/>
            <w:tabs>
              <w:tab w:val="clear" w:pos="8459"/>
              <w:tab w:val="right" w:pos="9026" w:leader="dot"/>
            </w:tabs>
            <w:rPr/>
          </w:pPr>
          <w:hyperlink w:anchor="__RefHeading___Toc2713076_653776707">
            <w:r>
              <w:rPr>
                <w:webHidden/>
                <w:rStyle w:val="IndexLink"/>
                <w:rtl w:val="true"/>
              </w:rPr>
              <w:t>نامه به معاویه در اعتراض به او</w:t>
            </w:r>
            <w:r>
              <w:rPr>
                <w:rStyle w:val="IndexLink"/>
                <w:rtl w:val="true"/>
              </w:rPr>
              <w:tab/>
            </w:r>
            <w:r>
              <w:rPr>
                <w:rStyle w:val="IndexLink"/>
              </w:rPr>
              <w:t>46</w:t>
            </w:r>
          </w:hyperlink>
        </w:p>
        <w:p>
          <w:pPr>
            <w:pStyle w:val="Contents4"/>
            <w:tabs>
              <w:tab w:val="clear" w:pos="8176"/>
              <w:tab w:val="right" w:pos="9026" w:leader="dot"/>
            </w:tabs>
            <w:rPr/>
          </w:pPr>
          <w:hyperlink w:anchor="__RefHeading___Toc2713078_65377670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713080_653776707">
            <w:r>
              <w:rPr>
                <w:webHidden/>
                <w:rStyle w:val="IndexLink"/>
              </w:rPr>
              <w:t>1</w:t>
            </w:r>
            <w:r>
              <w:rPr>
                <w:rStyle w:val="IndexLink"/>
                <w:rtl w:val="true"/>
              </w:rPr>
              <w:t xml:space="preserve">- </w:t>
            </w:r>
            <w:r>
              <w:rPr>
                <w:rStyle w:val="IndexLink"/>
                <w:rtl w:val="true"/>
              </w:rPr>
              <w:t>تصریح به عدم مقابله نظامی</w:t>
            </w:r>
            <w:r>
              <w:rPr>
                <w:rStyle w:val="IndexLink"/>
                <w:rtl w:val="true"/>
              </w:rPr>
              <w:tab/>
            </w:r>
            <w:r>
              <w:rPr>
                <w:rStyle w:val="IndexLink"/>
              </w:rPr>
              <w:t>46</w:t>
            </w:r>
          </w:hyperlink>
        </w:p>
        <w:p>
          <w:pPr>
            <w:pStyle w:val="Contents4"/>
            <w:tabs>
              <w:tab w:val="clear" w:pos="8176"/>
              <w:tab w:val="right" w:pos="9026" w:leader="dot"/>
            </w:tabs>
            <w:rPr/>
          </w:pPr>
          <w:hyperlink w:anchor="__RefHeading___Toc2713082_653776707">
            <w:r>
              <w:rPr>
                <w:webHidden/>
                <w:rStyle w:val="IndexLink"/>
              </w:rPr>
              <w:t>2</w:t>
            </w:r>
            <w:r>
              <w:rPr>
                <w:rStyle w:val="IndexLink"/>
                <w:rtl w:val="true"/>
              </w:rPr>
              <w:t xml:space="preserve">- </w:t>
            </w:r>
            <w:r>
              <w:rPr>
                <w:rStyle w:val="IndexLink"/>
                <w:rtl w:val="true"/>
              </w:rPr>
              <w:t>بیان جنایات معاویه</w:t>
            </w:r>
            <w:r>
              <w:rPr>
                <w:rStyle w:val="IndexLink"/>
                <w:rtl w:val="true"/>
              </w:rPr>
              <w:tab/>
            </w:r>
            <w:r>
              <w:rPr>
                <w:rStyle w:val="IndexLink"/>
              </w:rPr>
              <w:t>47</w:t>
            </w:r>
          </w:hyperlink>
        </w:p>
        <w:p>
          <w:pPr>
            <w:pStyle w:val="Contents4"/>
            <w:tabs>
              <w:tab w:val="clear" w:pos="8176"/>
              <w:tab w:val="right" w:pos="9026" w:leader="dot"/>
            </w:tabs>
            <w:rPr/>
          </w:pPr>
          <w:hyperlink w:anchor="__RefHeading___Toc2713084_653776707">
            <w:r>
              <w:rPr>
                <w:webHidden/>
                <w:rStyle w:val="IndexLink"/>
              </w:rPr>
              <w:t>3</w:t>
            </w:r>
            <w:r>
              <w:rPr>
                <w:rStyle w:val="IndexLink"/>
                <w:rtl w:val="true"/>
              </w:rPr>
              <w:t xml:space="preserve">- </w:t>
            </w:r>
            <w:r>
              <w:rPr>
                <w:rStyle w:val="IndexLink"/>
                <w:rtl w:val="true"/>
              </w:rPr>
              <w:t>معاویه فتنه بزرگ است</w:t>
            </w:r>
            <w:r>
              <w:rPr>
                <w:rStyle w:val="IndexLink"/>
                <w:rtl w:val="true"/>
              </w:rPr>
              <w:tab/>
            </w:r>
            <w:r>
              <w:rPr>
                <w:rStyle w:val="IndexLink"/>
              </w:rPr>
              <w:t>48</w:t>
            </w:r>
          </w:hyperlink>
        </w:p>
        <w:p>
          <w:pPr>
            <w:pStyle w:val="Contents4"/>
            <w:tabs>
              <w:tab w:val="clear" w:pos="8176"/>
              <w:tab w:val="right" w:pos="9026" w:leader="dot"/>
            </w:tabs>
            <w:rPr/>
          </w:pPr>
          <w:hyperlink w:anchor="__RefHeading___Toc2713086_653776707">
            <w:r>
              <w:rPr>
                <w:webHidden/>
                <w:rStyle w:val="IndexLink"/>
              </w:rPr>
              <w:t>4</w:t>
            </w:r>
            <w:r>
              <w:rPr>
                <w:rStyle w:val="IndexLink"/>
                <w:rtl w:val="true"/>
              </w:rPr>
              <w:t xml:space="preserve">- </w:t>
            </w:r>
            <w:r>
              <w:rPr>
                <w:rStyle w:val="IndexLink"/>
                <w:rtl w:val="true"/>
              </w:rPr>
              <w:t>معرفی یزید بن معاویه به مردم</w:t>
            </w:r>
            <w:r>
              <w:rPr>
                <w:rStyle w:val="IndexLink"/>
                <w:rtl w:val="true"/>
              </w:rPr>
              <w:tab/>
            </w:r>
            <w:r>
              <w:rPr>
                <w:rStyle w:val="IndexLink"/>
              </w:rPr>
              <w:t>49</w:t>
            </w:r>
          </w:hyperlink>
        </w:p>
        <w:p>
          <w:pPr>
            <w:pStyle w:val="Contents4"/>
            <w:tabs>
              <w:tab w:val="clear" w:pos="8176"/>
              <w:tab w:val="right" w:pos="9026" w:leader="dot"/>
            </w:tabs>
            <w:rPr/>
          </w:pPr>
          <w:hyperlink w:anchor="__RefHeading___Toc2713088_653776707">
            <w:r>
              <w:rPr>
                <w:webHidden/>
                <w:rStyle w:val="IndexLink"/>
              </w:rPr>
              <w:t>5</w:t>
            </w:r>
            <w:r>
              <w:rPr>
                <w:rStyle w:val="IndexLink"/>
                <w:rtl w:val="true"/>
              </w:rPr>
              <w:t xml:space="preserve">- </w:t>
            </w:r>
            <w:r>
              <w:rPr>
                <w:rStyle w:val="IndexLink"/>
                <w:rtl w:val="true"/>
              </w:rPr>
              <w:t>امین نبودن یزید به دلیل شراب خواری</w:t>
            </w:r>
            <w:r>
              <w:rPr>
                <w:rStyle w:val="IndexLink"/>
                <w:rtl w:val="true"/>
              </w:rPr>
              <w:tab/>
            </w:r>
            <w:r>
              <w:rPr>
                <w:rStyle w:val="IndexLink"/>
              </w:rPr>
              <w:t>49</w:t>
            </w:r>
          </w:hyperlink>
        </w:p>
        <w:p>
          <w:pPr>
            <w:pStyle w:val="Contents3"/>
            <w:tabs>
              <w:tab w:val="clear" w:pos="8459"/>
              <w:tab w:val="right" w:pos="9026" w:leader="dot"/>
            </w:tabs>
            <w:rPr/>
          </w:pPr>
          <w:hyperlink w:anchor="__RefHeading___Toc2713090_653776707">
            <w:r>
              <w:rPr>
                <w:webHidden/>
                <w:rStyle w:val="IndexLink"/>
                <w:rtl w:val="true"/>
              </w:rPr>
              <w:t>نامه به یزید بن معاویه</w:t>
            </w:r>
            <w:r>
              <w:rPr>
                <w:rStyle w:val="IndexLink"/>
                <w:rtl w:val="true"/>
              </w:rPr>
              <w:tab/>
            </w:r>
            <w:r>
              <w:rPr>
                <w:rStyle w:val="IndexLink"/>
              </w:rPr>
              <w:t>49</w:t>
            </w:r>
          </w:hyperlink>
        </w:p>
        <w:p>
          <w:pPr>
            <w:pStyle w:val="Contents3"/>
            <w:tabs>
              <w:tab w:val="clear" w:pos="8459"/>
              <w:tab w:val="right" w:pos="9026" w:leader="dot"/>
            </w:tabs>
            <w:rPr/>
          </w:pPr>
          <w:hyperlink w:anchor="__RefHeading___Toc2713092_653776707">
            <w:r>
              <w:rPr>
                <w:webHidden/>
                <w:rStyle w:val="IndexLink"/>
                <w:rtl w:val="true"/>
              </w:rPr>
              <w:t>نامه به عبدالله عمر بن سعید، والی مکه</w:t>
            </w:r>
            <w:r>
              <w:rPr>
                <w:rStyle w:val="IndexLink"/>
                <w:rtl w:val="true"/>
              </w:rPr>
              <w:tab/>
            </w:r>
            <w:r>
              <w:rPr>
                <w:rStyle w:val="IndexLink"/>
              </w:rPr>
              <w:t>50</w:t>
            </w:r>
          </w:hyperlink>
        </w:p>
        <w:p>
          <w:pPr>
            <w:pStyle w:val="Contents3"/>
            <w:tabs>
              <w:tab w:val="clear" w:pos="8459"/>
              <w:tab w:val="right" w:pos="9026" w:leader="dot"/>
            </w:tabs>
            <w:rPr/>
          </w:pPr>
          <w:hyperlink w:anchor="__RefHeading___Toc2713094_653776707">
            <w:r>
              <w:rPr>
                <w:webHidden/>
                <w:rStyle w:val="IndexLink"/>
                <w:rtl w:val="true"/>
              </w:rPr>
              <w:t>نتیجه</w:t>
            </w:r>
            <w:r>
              <w:rPr>
                <w:rStyle w:val="IndexLink"/>
                <w:rtl w:val="true"/>
              </w:rPr>
              <w:tab/>
            </w:r>
            <w:r>
              <w:rPr>
                <w:rStyle w:val="IndexLink"/>
              </w:rPr>
              <w:t>51</w:t>
            </w:r>
          </w:hyperlink>
        </w:p>
        <w:p>
          <w:pPr>
            <w:pStyle w:val="Contents3"/>
            <w:tabs>
              <w:tab w:val="clear" w:pos="8459"/>
              <w:tab w:val="right" w:pos="9026" w:leader="dot"/>
            </w:tabs>
            <w:rPr/>
          </w:pPr>
          <w:hyperlink w:anchor="__RefHeading___Toc2713096_653776707">
            <w:r>
              <w:rPr>
                <w:webHidden/>
                <w:rStyle w:val="IndexLink"/>
                <w:rtl w:val="true"/>
              </w:rPr>
              <w:t>منابع</w:t>
            </w:r>
            <w:r>
              <w:rPr>
                <w:rStyle w:val="IndexLink"/>
                <w:rtl w:val="true"/>
              </w:rPr>
              <w:tab/>
            </w:r>
            <w:r>
              <w:rPr>
                <w:rStyle w:val="IndexLink"/>
              </w:rPr>
              <w:t>52</w:t>
            </w:r>
          </w:hyperlink>
        </w:p>
        <w:p>
          <w:pPr>
            <w:pStyle w:val="Contents2"/>
            <w:tabs>
              <w:tab w:val="clear" w:pos="8743"/>
              <w:tab w:val="right" w:pos="9026" w:leader="dot"/>
            </w:tabs>
            <w:rPr/>
          </w:pPr>
          <w:hyperlink w:anchor="__RefHeading___Toc2713098_653776707">
            <w:r>
              <w:rPr>
                <w:webHidden/>
                <w:rStyle w:val="IndexLink"/>
                <w:rtl w:val="true"/>
              </w:rPr>
              <w:t>ریشه یابی علل ناصبی گری و دشمنی اهالی شام با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2713100_65377670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713102_653776707">
            <w:r>
              <w:rPr>
                <w:webHidden/>
                <w:rStyle w:val="IndexLink"/>
                <w:rtl w:val="true"/>
              </w:rPr>
              <w:t>مقدمه</w:t>
            </w:r>
            <w:r>
              <w:rPr>
                <w:rStyle w:val="IndexLink"/>
                <w:rtl w:val="true"/>
              </w:rPr>
              <w:tab/>
            </w:r>
            <w:r>
              <w:rPr>
                <w:rStyle w:val="IndexLink"/>
              </w:rPr>
              <w:t>55</w:t>
            </w:r>
          </w:hyperlink>
        </w:p>
        <w:p>
          <w:pPr>
            <w:pStyle w:val="Contents3"/>
            <w:tabs>
              <w:tab w:val="clear" w:pos="8459"/>
              <w:tab w:val="right" w:pos="9026" w:leader="dot"/>
            </w:tabs>
            <w:rPr/>
          </w:pPr>
          <w:hyperlink w:anchor="__RefHeading___Toc2713104_653776707">
            <w:r>
              <w:rPr>
                <w:webHidden/>
                <w:rStyle w:val="IndexLink"/>
                <w:rtl w:val="true"/>
              </w:rPr>
              <w:t>تحلیل واژگان کلیدی</w:t>
            </w:r>
            <w:r>
              <w:rPr>
                <w:rStyle w:val="IndexLink"/>
                <w:rtl w:val="true"/>
              </w:rPr>
              <w:tab/>
            </w:r>
            <w:r>
              <w:rPr>
                <w:rStyle w:val="IndexLink"/>
              </w:rPr>
              <w:t>56</w:t>
            </w:r>
          </w:hyperlink>
        </w:p>
        <w:p>
          <w:pPr>
            <w:pStyle w:val="Contents3"/>
            <w:tabs>
              <w:tab w:val="clear" w:pos="8459"/>
              <w:tab w:val="right" w:pos="9026" w:leader="dot"/>
            </w:tabs>
            <w:rPr/>
          </w:pPr>
          <w:hyperlink w:anchor="__RefHeading___Toc2713106_653776707">
            <w:r>
              <w:rPr>
                <w:webHidden/>
                <w:rStyle w:val="IndexLink"/>
                <w:rtl w:val="true"/>
              </w:rPr>
              <w:t>بررسی دلایل و ریشه های ناصبی گری مردم شام</w:t>
            </w:r>
            <w:r>
              <w:rPr>
                <w:rStyle w:val="IndexLink"/>
                <w:rtl w:val="true"/>
              </w:rPr>
              <w:tab/>
            </w:r>
            <w:r>
              <w:rPr>
                <w:rStyle w:val="IndexLink"/>
              </w:rPr>
              <w:t>57</w:t>
            </w:r>
          </w:hyperlink>
        </w:p>
        <w:p>
          <w:pPr>
            <w:pStyle w:val="Contents4"/>
            <w:tabs>
              <w:tab w:val="clear" w:pos="8176"/>
              <w:tab w:val="right" w:pos="9026" w:leader="dot"/>
            </w:tabs>
            <w:rPr/>
          </w:pPr>
          <w:hyperlink w:anchor="__RefHeading___Toc2713108_653776707">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713110_653776707">
            <w:r>
              <w:rPr>
                <w:webHidden/>
                <w:rStyle w:val="IndexLink"/>
              </w:rPr>
              <w:t>1</w:t>
            </w:r>
            <w:r>
              <w:rPr>
                <w:rStyle w:val="IndexLink"/>
                <w:rtl w:val="true"/>
              </w:rPr>
              <w:t xml:space="preserve">. </w:t>
            </w:r>
            <w:r>
              <w:rPr>
                <w:rStyle w:val="IndexLink"/>
                <w:rtl w:val="true"/>
              </w:rPr>
              <w:t>عوامل خارجی</w:t>
            </w:r>
            <w:r>
              <w:rPr>
                <w:rStyle w:val="IndexLink"/>
                <w:rtl w:val="true"/>
              </w:rPr>
              <w:tab/>
            </w:r>
            <w:r>
              <w:rPr>
                <w:rStyle w:val="IndexLink"/>
              </w:rPr>
              <w:t>57</w:t>
            </w:r>
          </w:hyperlink>
        </w:p>
        <w:p>
          <w:pPr>
            <w:pStyle w:val="Contents5"/>
            <w:tabs>
              <w:tab w:val="clear" w:pos="7892"/>
              <w:tab w:val="right" w:pos="9026" w:leader="dot"/>
            </w:tabs>
            <w:rPr/>
          </w:pPr>
          <w:hyperlink w:anchor="__RefHeading___Toc2713112_65377670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713114_653776707">
            <w:r>
              <w:rPr>
                <w:webHidden/>
                <w:rStyle w:val="IndexLink"/>
              </w:rPr>
              <w:t>1.1</w:t>
            </w:r>
            <w:r>
              <w:rPr>
                <w:rStyle w:val="IndexLink"/>
                <w:rtl w:val="true"/>
              </w:rPr>
              <w:t xml:space="preserve">. </w:t>
            </w:r>
            <w:r>
              <w:rPr>
                <w:rStyle w:val="IndexLink"/>
                <w:rtl w:val="true"/>
              </w:rPr>
              <w:t xml:space="preserve">تلقی دشمنی با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منزله قرائت رسمی از اسلام</w:t>
            </w:r>
            <w:r>
              <w:rPr>
                <w:rStyle w:val="IndexLink"/>
                <w:rtl w:val="true"/>
              </w:rPr>
              <w:tab/>
            </w:r>
            <w:r>
              <w:rPr>
                <w:rStyle w:val="IndexLink"/>
              </w:rPr>
              <w:t>57</w:t>
            </w:r>
          </w:hyperlink>
        </w:p>
        <w:p>
          <w:pPr>
            <w:pStyle w:val="Contents6"/>
            <w:tabs>
              <w:tab w:val="clear" w:pos="7609"/>
              <w:tab w:val="right" w:pos="9026" w:leader="dot"/>
            </w:tabs>
            <w:rPr/>
          </w:pPr>
          <w:hyperlink w:anchor="__RefHeading___Toc2713116_653776707">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2713118_653776707">
            <w:r>
              <w:rPr>
                <w:webHidden/>
                <w:rStyle w:val="IndexLink"/>
              </w:rPr>
              <w:t>1.1.1</w:t>
            </w:r>
            <w:r>
              <w:rPr>
                <w:rStyle w:val="IndexLink"/>
                <w:rtl w:val="true"/>
              </w:rPr>
              <w:t xml:space="preserve">. </w:t>
            </w:r>
            <w:r>
              <w:rPr>
                <w:rStyle w:val="IndexLink"/>
                <w:rtl w:val="true"/>
              </w:rPr>
              <w:t>تاریخچه ضدیت شامیان با بنی هاشم</w:t>
            </w:r>
            <w:r>
              <w:rPr>
                <w:rStyle w:val="IndexLink"/>
                <w:rtl w:val="true"/>
              </w:rPr>
              <w:tab/>
            </w:r>
            <w:r>
              <w:rPr>
                <w:rStyle w:val="IndexLink"/>
              </w:rPr>
              <w:t>57</w:t>
            </w:r>
          </w:hyperlink>
        </w:p>
        <w:p>
          <w:pPr>
            <w:pStyle w:val="Contents6"/>
            <w:tabs>
              <w:tab w:val="clear" w:pos="7609"/>
              <w:tab w:val="right" w:pos="9026" w:leader="dot"/>
            </w:tabs>
            <w:rPr/>
          </w:pPr>
          <w:hyperlink w:anchor="__RefHeading___Toc2713120_653776707">
            <w:r>
              <w:rPr>
                <w:webHidden/>
                <w:rStyle w:val="IndexLink"/>
              </w:rPr>
              <w:t>1.1.2</w:t>
            </w:r>
            <w:r>
              <w:rPr>
                <w:rStyle w:val="IndexLink"/>
                <w:rtl w:val="true"/>
              </w:rPr>
              <w:t xml:space="preserve">. </w:t>
            </w:r>
            <w:r>
              <w:rPr>
                <w:rStyle w:val="IndexLink"/>
                <w:rtl w:val="true"/>
              </w:rPr>
              <w:t xml:space="preserve">حضور صحابه منتقد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شام</w:t>
            </w:r>
            <w:r>
              <w:rPr>
                <w:rStyle w:val="IndexLink"/>
                <w:rtl w:val="true"/>
              </w:rPr>
              <w:tab/>
            </w:r>
            <w:r>
              <w:rPr>
                <w:rStyle w:val="IndexLink"/>
              </w:rPr>
              <w:t>62</w:t>
            </w:r>
          </w:hyperlink>
        </w:p>
        <w:p>
          <w:pPr>
            <w:pStyle w:val="Contents5"/>
            <w:tabs>
              <w:tab w:val="clear" w:pos="7892"/>
              <w:tab w:val="right" w:pos="9026" w:leader="dot"/>
            </w:tabs>
            <w:rPr/>
          </w:pPr>
          <w:hyperlink w:anchor="__RefHeading___Toc2713122_653776707">
            <w:r>
              <w:rPr>
                <w:webHidden/>
                <w:rStyle w:val="IndexLink"/>
              </w:rPr>
              <w:t>1.2</w:t>
            </w:r>
            <w:r>
              <w:rPr>
                <w:rStyle w:val="IndexLink"/>
                <w:rtl w:val="true"/>
              </w:rPr>
              <w:t xml:space="preserve">. </w:t>
            </w:r>
            <w:r>
              <w:rPr>
                <w:rStyle w:val="IndexLink"/>
                <w:rtl w:val="true"/>
              </w:rPr>
              <w:t>گسترش عقیده به جبر</w:t>
            </w:r>
            <w:r>
              <w:rPr>
                <w:rStyle w:val="IndexLink"/>
                <w:rtl w:val="true"/>
              </w:rPr>
              <w:tab/>
            </w:r>
            <w:r>
              <w:rPr>
                <w:rStyle w:val="IndexLink"/>
              </w:rPr>
              <w:t>63</w:t>
            </w:r>
          </w:hyperlink>
        </w:p>
        <w:p>
          <w:pPr>
            <w:pStyle w:val="Contents5"/>
            <w:tabs>
              <w:tab w:val="clear" w:pos="7892"/>
              <w:tab w:val="right" w:pos="9026" w:leader="dot"/>
            </w:tabs>
            <w:rPr/>
          </w:pPr>
          <w:hyperlink w:anchor="__RefHeading___Toc2713124_653776707">
            <w:r>
              <w:rPr>
                <w:webHidden/>
                <w:rStyle w:val="IndexLink"/>
              </w:rPr>
              <w:t>1.3</w:t>
            </w:r>
            <w:r>
              <w:rPr>
                <w:rStyle w:val="IndexLink"/>
                <w:rtl w:val="true"/>
              </w:rPr>
              <w:t xml:space="preserve">. </w:t>
            </w:r>
            <w:r>
              <w:rPr>
                <w:rStyle w:val="IndexLink"/>
                <w:rtl w:val="true"/>
              </w:rPr>
              <w:t>دور نگه داشتن شامیان از عقاید غیراموی</w:t>
            </w:r>
            <w:r>
              <w:rPr>
                <w:rStyle w:val="IndexLink"/>
                <w:rtl w:val="true"/>
              </w:rPr>
              <w:tab/>
            </w:r>
            <w:r>
              <w:rPr>
                <w:rStyle w:val="IndexLink"/>
              </w:rPr>
              <w:t>65</w:t>
            </w:r>
          </w:hyperlink>
        </w:p>
        <w:p>
          <w:pPr>
            <w:pStyle w:val="Contents5"/>
            <w:tabs>
              <w:tab w:val="clear" w:pos="7892"/>
              <w:tab w:val="right" w:pos="9026" w:leader="dot"/>
            </w:tabs>
            <w:rPr/>
          </w:pPr>
          <w:hyperlink w:anchor="__RefHeading___Toc2713126_653776707">
            <w:r>
              <w:rPr>
                <w:webHidden/>
                <w:rStyle w:val="IndexLink"/>
              </w:rPr>
              <w:t>1.4</w:t>
            </w:r>
            <w:r>
              <w:rPr>
                <w:rStyle w:val="IndexLink"/>
                <w:rtl w:val="true"/>
              </w:rPr>
              <w:t xml:space="preserve">. </w:t>
            </w:r>
            <w:r>
              <w:rPr>
                <w:rStyle w:val="IndexLink"/>
                <w:rtl w:val="true"/>
              </w:rPr>
              <w:t>سرکوب شدید صداهای مخالف</w:t>
            </w:r>
            <w:r>
              <w:rPr>
                <w:rStyle w:val="IndexLink"/>
                <w:rtl w:val="true"/>
              </w:rPr>
              <w:tab/>
            </w:r>
            <w:r>
              <w:rPr>
                <w:rStyle w:val="IndexLink"/>
              </w:rPr>
              <w:t>65</w:t>
            </w:r>
          </w:hyperlink>
        </w:p>
        <w:p>
          <w:pPr>
            <w:pStyle w:val="Contents4"/>
            <w:tabs>
              <w:tab w:val="clear" w:pos="8176"/>
              <w:tab w:val="right" w:pos="9026" w:leader="dot"/>
            </w:tabs>
            <w:rPr/>
          </w:pPr>
          <w:hyperlink w:anchor="__RefHeading___Toc2713128_653776707">
            <w:r>
              <w:rPr>
                <w:webHidden/>
                <w:rStyle w:val="IndexLink"/>
              </w:rPr>
              <w:t>2</w:t>
            </w:r>
            <w:r>
              <w:rPr>
                <w:rStyle w:val="IndexLink"/>
                <w:rtl w:val="true"/>
              </w:rPr>
              <w:t xml:space="preserve">. </w:t>
            </w:r>
            <w:r>
              <w:rPr>
                <w:rStyle w:val="IndexLink"/>
                <w:rtl w:val="true"/>
              </w:rPr>
              <w:t>عوامل داخلی</w:t>
            </w:r>
            <w:r>
              <w:rPr>
                <w:rStyle w:val="IndexLink"/>
                <w:rtl w:val="true"/>
              </w:rPr>
              <w:tab/>
            </w:r>
            <w:r>
              <w:rPr>
                <w:rStyle w:val="IndexLink"/>
              </w:rPr>
              <w:t>67</w:t>
            </w:r>
          </w:hyperlink>
        </w:p>
        <w:p>
          <w:pPr>
            <w:pStyle w:val="Contents5"/>
            <w:tabs>
              <w:tab w:val="clear" w:pos="7892"/>
              <w:tab w:val="right" w:pos="9026" w:leader="dot"/>
            </w:tabs>
            <w:rPr/>
          </w:pPr>
          <w:hyperlink w:anchor="__RefHeading___Toc2713130_653776707">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713132_653776707">
            <w:r>
              <w:rPr>
                <w:webHidden/>
                <w:rStyle w:val="IndexLink"/>
              </w:rPr>
              <w:t>2.1</w:t>
            </w:r>
            <w:r>
              <w:rPr>
                <w:rStyle w:val="IndexLink"/>
                <w:rtl w:val="true"/>
              </w:rPr>
              <w:t xml:space="preserve">. </w:t>
            </w:r>
            <w:r>
              <w:rPr>
                <w:rStyle w:val="IndexLink"/>
                <w:rtl w:val="true"/>
              </w:rPr>
              <w:t>فرمان برداری و سرسختی فوق العاده</w:t>
            </w:r>
            <w:r>
              <w:rPr>
                <w:rStyle w:val="IndexLink"/>
                <w:rtl w:val="true"/>
              </w:rPr>
              <w:tab/>
            </w:r>
            <w:r>
              <w:rPr>
                <w:rStyle w:val="IndexLink"/>
              </w:rPr>
              <w:t>67</w:t>
            </w:r>
          </w:hyperlink>
        </w:p>
        <w:p>
          <w:pPr>
            <w:pStyle w:val="Contents5"/>
            <w:tabs>
              <w:tab w:val="clear" w:pos="7892"/>
              <w:tab w:val="right" w:pos="9026" w:leader="dot"/>
            </w:tabs>
            <w:rPr/>
          </w:pPr>
          <w:hyperlink w:anchor="__RefHeading___Toc2713134_653776707">
            <w:r>
              <w:rPr>
                <w:webHidden/>
                <w:rStyle w:val="IndexLink"/>
              </w:rPr>
              <w:t>2.2</w:t>
            </w:r>
            <w:r>
              <w:rPr>
                <w:rStyle w:val="IndexLink"/>
                <w:rtl w:val="true"/>
              </w:rPr>
              <w:t xml:space="preserve">. </w:t>
            </w:r>
            <w:r>
              <w:rPr>
                <w:rStyle w:val="IndexLink"/>
                <w:rtl w:val="true"/>
              </w:rPr>
              <w:t>زودباوری بسیار</w:t>
            </w:r>
            <w:r>
              <w:rPr>
                <w:rStyle w:val="IndexLink"/>
                <w:rtl w:val="true"/>
              </w:rPr>
              <w:tab/>
            </w:r>
            <w:r>
              <w:rPr>
                <w:rStyle w:val="IndexLink"/>
              </w:rPr>
              <w:t>70</w:t>
            </w:r>
          </w:hyperlink>
        </w:p>
        <w:p>
          <w:pPr>
            <w:pStyle w:val="Contents5"/>
            <w:tabs>
              <w:tab w:val="clear" w:pos="7892"/>
              <w:tab w:val="right" w:pos="9026" w:leader="dot"/>
            </w:tabs>
            <w:rPr/>
          </w:pPr>
          <w:hyperlink w:anchor="__RefHeading___Toc2713136_653776707">
            <w:r>
              <w:rPr>
                <w:webHidden/>
                <w:rStyle w:val="IndexLink"/>
              </w:rPr>
              <w:t>2.3</w:t>
            </w:r>
            <w:r>
              <w:rPr>
                <w:rStyle w:val="IndexLink"/>
                <w:rtl w:val="true"/>
              </w:rPr>
              <w:t xml:space="preserve">. </w:t>
            </w:r>
            <w:r>
              <w:rPr>
                <w:rStyle w:val="IndexLink"/>
                <w:rtl w:val="true"/>
              </w:rPr>
              <w:t>خشونت و قساوت زیاد</w:t>
            </w:r>
            <w:r>
              <w:rPr>
                <w:rStyle w:val="IndexLink"/>
                <w:rtl w:val="true"/>
              </w:rPr>
              <w:tab/>
            </w:r>
            <w:r>
              <w:rPr>
                <w:rStyle w:val="IndexLink"/>
              </w:rPr>
              <w:t>70</w:t>
            </w:r>
          </w:hyperlink>
        </w:p>
        <w:p>
          <w:pPr>
            <w:pStyle w:val="Contents3"/>
            <w:tabs>
              <w:tab w:val="clear" w:pos="8459"/>
              <w:tab w:val="right" w:pos="9026" w:leader="dot"/>
            </w:tabs>
            <w:rPr/>
          </w:pPr>
          <w:hyperlink w:anchor="__RefHeading___Toc2713138_653776707">
            <w:r>
              <w:rPr>
                <w:webHidden/>
                <w:rStyle w:val="IndexLink"/>
                <w:rtl w:val="true"/>
              </w:rPr>
              <w:t>نتیجه</w:t>
            </w:r>
            <w:r>
              <w:rPr>
                <w:rStyle w:val="IndexLink"/>
                <w:rtl w:val="true"/>
              </w:rPr>
              <w:tab/>
            </w:r>
            <w:r>
              <w:rPr>
                <w:rStyle w:val="IndexLink"/>
              </w:rPr>
              <w:t>71</w:t>
            </w:r>
          </w:hyperlink>
        </w:p>
        <w:p>
          <w:pPr>
            <w:pStyle w:val="Contents3"/>
            <w:tabs>
              <w:tab w:val="clear" w:pos="8459"/>
              <w:tab w:val="right" w:pos="9026" w:leader="dot"/>
            </w:tabs>
            <w:rPr/>
          </w:pPr>
          <w:hyperlink w:anchor="__RefHeading___Toc2713140_653776707">
            <w:r>
              <w:rPr>
                <w:webHidden/>
                <w:rStyle w:val="IndexLink"/>
                <w:rtl w:val="true"/>
              </w:rPr>
              <w:t>منابع</w:t>
            </w:r>
            <w:r>
              <w:rPr>
                <w:rStyle w:val="IndexLink"/>
                <w:rtl w:val="true"/>
              </w:rPr>
              <w:tab/>
            </w:r>
            <w:r>
              <w:rPr>
                <w:rStyle w:val="IndexLink"/>
              </w:rPr>
              <w:t>73</w:t>
            </w:r>
          </w:hyperlink>
        </w:p>
        <w:p>
          <w:pPr>
            <w:pStyle w:val="Contents2"/>
            <w:tabs>
              <w:tab w:val="clear" w:pos="8743"/>
              <w:tab w:val="right" w:pos="9026" w:leader="dot"/>
            </w:tabs>
            <w:rPr/>
          </w:pPr>
          <w:hyperlink w:anchor="__RefHeading___Toc2713142_653776707">
            <w:r>
              <w:rPr>
                <w:webHidden/>
                <w:rStyle w:val="IndexLink"/>
                <w:rtl w:val="true"/>
              </w:rPr>
              <w:t xml:space="preserve">هویت های شش گانه در واقعه طف سال </w:t>
            </w:r>
            <w:r>
              <w:rPr>
                <w:rStyle w:val="IndexLink"/>
              </w:rPr>
              <w:t>61</w:t>
            </w:r>
            <w:r>
              <w:rPr>
                <w:rStyle w:val="IndexLink"/>
                <w:rtl w:val="true"/>
              </w:rPr>
              <w:t xml:space="preserve"> </w:t>
            </w:r>
            <w:r>
              <w:rPr>
                <w:rStyle w:val="IndexLink"/>
                <w:rtl w:val="true"/>
              </w:rPr>
              <w:t>هجری</w:t>
            </w:r>
            <w:r>
              <w:rPr>
                <w:rStyle w:val="IndexLink"/>
                <w:rtl w:val="true"/>
              </w:rPr>
              <w:tab/>
            </w:r>
            <w:r>
              <w:rPr>
                <w:rStyle w:val="IndexLink"/>
              </w:rPr>
              <w:t>78</w:t>
            </w:r>
          </w:hyperlink>
        </w:p>
        <w:p>
          <w:pPr>
            <w:pStyle w:val="Contents3"/>
            <w:tabs>
              <w:tab w:val="clear" w:pos="8459"/>
              <w:tab w:val="right" w:pos="9026" w:leader="dot"/>
            </w:tabs>
            <w:rPr/>
          </w:pPr>
          <w:hyperlink w:anchor="__RefHeading___Toc2713144_653776707">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713146_653776707">
            <w:r>
              <w:rPr>
                <w:webHidden/>
                <w:rStyle w:val="IndexLink"/>
                <w:rtl w:val="true"/>
              </w:rPr>
              <w:t>مقدمه</w:t>
            </w:r>
            <w:r>
              <w:rPr>
                <w:rStyle w:val="IndexLink"/>
                <w:rtl w:val="true"/>
              </w:rPr>
              <w:tab/>
            </w:r>
            <w:r>
              <w:rPr>
                <w:rStyle w:val="IndexLink"/>
              </w:rPr>
              <w:t>79</w:t>
            </w:r>
          </w:hyperlink>
        </w:p>
        <w:p>
          <w:pPr>
            <w:pStyle w:val="Contents3"/>
            <w:tabs>
              <w:tab w:val="clear" w:pos="8459"/>
              <w:tab w:val="right" w:pos="9026" w:leader="dot"/>
            </w:tabs>
            <w:rPr/>
          </w:pPr>
          <w:hyperlink w:anchor="__RefHeading___Toc2713148_653776707">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 xml:space="preserve">) </w:t>
            </w:r>
            <w:r>
              <w:rPr>
                <w:rStyle w:val="IndexLink"/>
                <w:rtl w:val="true"/>
              </w:rPr>
              <w:t>معلّم تمام انسان ها</w:t>
            </w:r>
            <w:r>
              <w:rPr>
                <w:rStyle w:val="IndexLink"/>
                <w:rtl w:val="true"/>
              </w:rPr>
              <w:tab/>
            </w:r>
            <w:r>
              <w:rPr>
                <w:rStyle w:val="IndexLink"/>
              </w:rPr>
              <w:t>81</w:t>
            </w:r>
          </w:hyperlink>
        </w:p>
        <w:p>
          <w:pPr>
            <w:pStyle w:val="Contents4"/>
            <w:tabs>
              <w:tab w:val="clear" w:pos="8176"/>
              <w:tab w:val="right" w:pos="9026" w:leader="dot"/>
            </w:tabs>
            <w:rPr/>
          </w:pPr>
          <w:hyperlink w:anchor="__RefHeading___Toc2713150_653776707">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713152_653776707">
            <w:r>
              <w:rPr>
                <w:webHidden/>
                <w:rStyle w:val="IndexLink"/>
              </w:rPr>
              <w:t>1</w:t>
            </w:r>
            <w:r>
              <w:rPr>
                <w:rStyle w:val="IndexLink"/>
                <w:rtl w:val="true"/>
              </w:rPr>
              <w:t>-</w:t>
            </w:r>
            <w:r>
              <w:rPr>
                <w:rStyle w:val="IndexLink"/>
                <w:rtl w:val="true"/>
              </w:rPr>
              <w:t>بُعد مصونیت</w:t>
            </w:r>
            <w:r>
              <w:rPr>
                <w:rStyle w:val="IndexLink"/>
                <w:rtl w:val="true"/>
              </w:rPr>
              <w:tab/>
            </w:r>
            <w:r>
              <w:rPr>
                <w:rStyle w:val="IndexLink"/>
              </w:rPr>
              <w:t>82</w:t>
            </w:r>
          </w:hyperlink>
        </w:p>
        <w:p>
          <w:pPr>
            <w:pStyle w:val="Contents4"/>
            <w:tabs>
              <w:tab w:val="clear" w:pos="8176"/>
              <w:tab w:val="right" w:pos="9026" w:leader="dot"/>
            </w:tabs>
            <w:rPr/>
          </w:pPr>
          <w:hyperlink w:anchor="__RefHeading___Toc2713154_653776707">
            <w:r>
              <w:rPr>
                <w:webHidden/>
                <w:rStyle w:val="IndexLink"/>
              </w:rPr>
              <w:t>2</w:t>
            </w:r>
            <w:r>
              <w:rPr>
                <w:rStyle w:val="IndexLink"/>
                <w:rtl w:val="true"/>
              </w:rPr>
              <w:t xml:space="preserve">- </w:t>
            </w:r>
            <w:r>
              <w:rPr>
                <w:rStyle w:val="IndexLink"/>
                <w:rtl w:val="true"/>
              </w:rPr>
              <w:t>بُعد موجودیت و احساس حضور</w:t>
            </w:r>
            <w:r>
              <w:rPr>
                <w:rStyle w:val="IndexLink"/>
                <w:rtl w:val="true"/>
              </w:rPr>
              <w:tab/>
            </w:r>
            <w:r>
              <w:rPr>
                <w:rStyle w:val="IndexLink"/>
              </w:rPr>
              <w:t>83</w:t>
            </w:r>
          </w:hyperlink>
        </w:p>
        <w:p>
          <w:pPr>
            <w:pStyle w:val="Contents4"/>
            <w:tabs>
              <w:tab w:val="clear" w:pos="8176"/>
              <w:tab w:val="right" w:pos="9026" w:leader="dot"/>
            </w:tabs>
            <w:rPr/>
          </w:pPr>
          <w:hyperlink w:anchor="__RefHeading___Toc2713156_653776707">
            <w:r>
              <w:rPr>
                <w:webHidden/>
                <w:rStyle w:val="IndexLink"/>
              </w:rPr>
              <w:t>3</w:t>
            </w:r>
            <w:r>
              <w:rPr>
                <w:rStyle w:val="IndexLink"/>
                <w:rtl w:val="true"/>
              </w:rPr>
              <w:t xml:space="preserve">- </w:t>
            </w:r>
            <w:r>
              <w:rPr>
                <w:rStyle w:val="IndexLink"/>
                <w:rtl w:val="true"/>
              </w:rPr>
              <w:t>بُعد مشروعیت</w:t>
            </w:r>
            <w:r>
              <w:rPr>
                <w:rStyle w:val="IndexLink"/>
                <w:rtl w:val="true"/>
              </w:rPr>
              <w:tab/>
            </w:r>
            <w:r>
              <w:rPr>
                <w:rStyle w:val="IndexLink"/>
              </w:rPr>
              <w:t>83</w:t>
            </w:r>
          </w:hyperlink>
        </w:p>
        <w:p>
          <w:pPr>
            <w:pStyle w:val="Contents3"/>
            <w:tabs>
              <w:tab w:val="clear" w:pos="8459"/>
              <w:tab w:val="right" w:pos="9026" w:leader="dot"/>
            </w:tabs>
            <w:rPr/>
          </w:pPr>
          <w:hyperlink w:anchor="__RefHeading___Toc2713158_653776707">
            <w:r>
              <w:rPr>
                <w:webHidden/>
                <w:rStyle w:val="IndexLink"/>
                <w:rtl w:val="true"/>
              </w:rPr>
              <w:t>ظهور جوهره ها در کربلا</w:t>
            </w:r>
            <w:r>
              <w:rPr>
                <w:rStyle w:val="IndexLink"/>
                <w:rtl w:val="true"/>
              </w:rPr>
              <w:tab/>
            </w:r>
            <w:r>
              <w:rPr>
                <w:rStyle w:val="IndexLink"/>
              </w:rPr>
              <w:t>83</w:t>
            </w:r>
          </w:hyperlink>
        </w:p>
        <w:p>
          <w:pPr>
            <w:pStyle w:val="Contents4"/>
            <w:tabs>
              <w:tab w:val="clear" w:pos="8176"/>
              <w:tab w:val="right" w:pos="9026" w:leader="dot"/>
            </w:tabs>
            <w:rPr/>
          </w:pPr>
          <w:hyperlink w:anchor="__RefHeading___Toc2713160_65377670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713162_653776707">
            <w:r>
              <w:rPr>
                <w:webHidden/>
                <w:rStyle w:val="IndexLink"/>
              </w:rPr>
              <w:t>1</w:t>
            </w:r>
            <w:r>
              <w:rPr>
                <w:rStyle w:val="IndexLink"/>
                <w:rtl w:val="true"/>
              </w:rPr>
              <w:t xml:space="preserve">- </w:t>
            </w:r>
            <w:r>
              <w:rPr>
                <w:rStyle w:val="IndexLink"/>
                <w:rtl w:val="true"/>
              </w:rPr>
              <w:t>هویت همراه</w:t>
            </w:r>
            <w:r>
              <w:rPr>
                <w:rStyle w:val="IndexLink"/>
                <w:rtl w:val="true"/>
              </w:rPr>
              <w:tab/>
            </w:r>
            <w:r>
              <w:rPr>
                <w:rStyle w:val="IndexLink"/>
              </w:rPr>
              <w:t>83</w:t>
            </w:r>
          </w:hyperlink>
        </w:p>
        <w:p>
          <w:pPr>
            <w:pStyle w:val="Contents4"/>
            <w:tabs>
              <w:tab w:val="clear" w:pos="8176"/>
              <w:tab w:val="right" w:pos="9026" w:leader="dot"/>
            </w:tabs>
            <w:rPr/>
          </w:pPr>
          <w:hyperlink w:anchor="__RefHeading___Toc2713164_653776707">
            <w:r>
              <w:rPr>
                <w:webHidden/>
                <w:rStyle w:val="IndexLink"/>
              </w:rPr>
              <w:t>2</w:t>
            </w:r>
            <w:r>
              <w:rPr>
                <w:rStyle w:val="IndexLink"/>
                <w:rtl w:val="true"/>
              </w:rPr>
              <w:t>-</w:t>
            </w:r>
            <w:r>
              <w:rPr>
                <w:rStyle w:val="IndexLink"/>
                <w:rtl w:val="true"/>
              </w:rPr>
              <w:t>هویت منتظر</w:t>
            </w:r>
            <w:r>
              <w:rPr>
                <w:rStyle w:val="IndexLink"/>
                <w:rtl w:val="true"/>
              </w:rPr>
              <w:tab/>
            </w:r>
            <w:r>
              <w:rPr>
                <w:rStyle w:val="IndexLink"/>
              </w:rPr>
              <w:t>84</w:t>
            </w:r>
          </w:hyperlink>
        </w:p>
        <w:p>
          <w:pPr>
            <w:pStyle w:val="Contents4"/>
            <w:tabs>
              <w:tab w:val="clear" w:pos="8176"/>
              <w:tab w:val="right" w:pos="9026" w:leader="dot"/>
            </w:tabs>
            <w:rPr/>
          </w:pPr>
          <w:hyperlink w:anchor="__RefHeading___Toc2713166_653776707">
            <w:r>
              <w:rPr>
                <w:webHidden/>
                <w:rStyle w:val="IndexLink"/>
              </w:rPr>
              <w:t>3</w:t>
            </w:r>
            <w:r>
              <w:rPr>
                <w:rStyle w:val="IndexLink"/>
                <w:rtl w:val="true"/>
              </w:rPr>
              <w:t xml:space="preserve">- </w:t>
            </w:r>
            <w:r>
              <w:rPr>
                <w:rStyle w:val="IndexLink"/>
                <w:rtl w:val="true"/>
              </w:rPr>
              <w:t>هویت تشنه</w:t>
            </w:r>
            <w:r>
              <w:rPr>
                <w:rStyle w:val="IndexLink"/>
                <w:rtl w:val="true"/>
              </w:rPr>
              <w:tab/>
            </w:r>
            <w:r>
              <w:rPr>
                <w:rStyle w:val="IndexLink"/>
              </w:rPr>
              <w:t>85</w:t>
            </w:r>
          </w:hyperlink>
        </w:p>
        <w:p>
          <w:pPr>
            <w:pStyle w:val="Contents4"/>
            <w:tabs>
              <w:tab w:val="clear" w:pos="8176"/>
              <w:tab w:val="right" w:pos="9026" w:leader="dot"/>
            </w:tabs>
            <w:rPr/>
          </w:pPr>
          <w:hyperlink w:anchor="__RefHeading___Toc2713168_653776707">
            <w:r>
              <w:rPr>
                <w:webHidden/>
                <w:rStyle w:val="IndexLink"/>
              </w:rPr>
              <w:t>4</w:t>
            </w:r>
            <w:r>
              <w:rPr>
                <w:rStyle w:val="IndexLink"/>
                <w:rtl w:val="true"/>
              </w:rPr>
              <w:t>-</w:t>
            </w:r>
            <w:r>
              <w:rPr>
                <w:rStyle w:val="IndexLink"/>
                <w:rtl w:val="true"/>
              </w:rPr>
              <w:t>هویت منتقم</w:t>
            </w:r>
            <w:r>
              <w:rPr>
                <w:rStyle w:val="IndexLink"/>
                <w:rtl w:val="true"/>
              </w:rPr>
              <w:tab/>
            </w:r>
            <w:r>
              <w:rPr>
                <w:rStyle w:val="IndexLink"/>
              </w:rPr>
              <w:t>86</w:t>
            </w:r>
          </w:hyperlink>
        </w:p>
        <w:p>
          <w:pPr>
            <w:pStyle w:val="Contents4"/>
            <w:tabs>
              <w:tab w:val="clear" w:pos="8176"/>
              <w:tab w:val="right" w:pos="9026" w:leader="dot"/>
            </w:tabs>
            <w:rPr/>
          </w:pPr>
          <w:hyperlink w:anchor="__RefHeading___Toc2713170_653776707">
            <w:r>
              <w:rPr>
                <w:webHidden/>
                <w:rStyle w:val="IndexLink"/>
              </w:rPr>
              <w:t>5</w:t>
            </w:r>
            <w:r>
              <w:rPr>
                <w:rStyle w:val="IndexLink"/>
                <w:rtl w:val="true"/>
              </w:rPr>
              <w:t>-</w:t>
            </w:r>
            <w:r>
              <w:rPr>
                <w:rStyle w:val="IndexLink"/>
                <w:rtl w:val="true"/>
              </w:rPr>
              <w:t>هویت پیرو، عاشق و مرید</w:t>
            </w:r>
            <w:r>
              <w:rPr>
                <w:rStyle w:val="IndexLink"/>
                <w:rtl w:val="true"/>
              </w:rPr>
              <w:tab/>
            </w:r>
            <w:r>
              <w:rPr>
                <w:rStyle w:val="IndexLink"/>
              </w:rPr>
              <w:t>86</w:t>
            </w:r>
          </w:hyperlink>
        </w:p>
        <w:p>
          <w:pPr>
            <w:pStyle w:val="Contents4"/>
            <w:tabs>
              <w:tab w:val="clear" w:pos="8176"/>
              <w:tab w:val="right" w:pos="9026" w:leader="dot"/>
            </w:tabs>
            <w:rPr/>
          </w:pPr>
          <w:hyperlink w:anchor="__RefHeading___Toc2713172_653776707">
            <w:r>
              <w:rPr>
                <w:webHidden/>
                <w:rStyle w:val="IndexLink"/>
              </w:rPr>
              <w:t>6</w:t>
            </w:r>
            <w:r>
              <w:rPr>
                <w:rStyle w:val="IndexLink"/>
                <w:rtl w:val="true"/>
              </w:rPr>
              <w:t xml:space="preserve">- </w:t>
            </w:r>
            <w:r>
              <w:rPr>
                <w:rStyle w:val="IndexLink"/>
                <w:rtl w:val="true"/>
              </w:rPr>
              <w:t>هویت کور</w:t>
            </w:r>
            <w:r>
              <w:rPr>
                <w:rStyle w:val="IndexLink"/>
                <w:rtl w:val="true"/>
              </w:rPr>
              <w:tab/>
            </w:r>
            <w:r>
              <w:rPr>
                <w:rStyle w:val="IndexLink"/>
              </w:rPr>
              <w:t>87</w:t>
            </w:r>
          </w:hyperlink>
        </w:p>
        <w:p>
          <w:pPr>
            <w:pStyle w:val="Contents3"/>
            <w:tabs>
              <w:tab w:val="clear" w:pos="8459"/>
              <w:tab w:val="right" w:pos="9026" w:leader="dot"/>
            </w:tabs>
            <w:rPr/>
          </w:pPr>
          <w:hyperlink w:anchor="__RefHeading___Toc2713174_653776707">
            <w:r>
              <w:rPr>
                <w:webHidden/>
                <w:rStyle w:val="IndexLink"/>
                <w:rtl w:val="true"/>
              </w:rPr>
              <w:t>بازنمایی امر قدسی در نمادهای مناسکی اربعین</w:t>
            </w:r>
            <w:r>
              <w:rPr>
                <w:rStyle w:val="IndexLink"/>
                <w:rtl w:val="true"/>
              </w:rPr>
              <w:tab/>
            </w:r>
            <w:r>
              <w:rPr>
                <w:rStyle w:val="IndexLink"/>
              </w:rPr>
              <w:t>88</w:t>
            </w:r>
          </w:hyperlink>
        </w:p>
        <w:p>
          <w:pPr>
            <w:pStyle w:val="Contents3"/>
            <w:tabs>
              <w:tab w:val="clear" w:pos="8459"/>
              <w:tab w:val="right" w:pos="9026" w:leader="dot"/>
            </w:tabs>
            <w:rPr/>
          </w:pPr>
          <w:hyperlink w:anchor="__RefHeading___Toc2713176_653776707">
            <w:r>
              <w:rPr>
                <w:webHidden/>
                <w:rStyle w:val="IndexLink"/>
                <w:rtl w:val="true"/>
              </w:rPr>
              <w:t>طرح مسئله</w:t>
            </w:r>
            <w:r>
              <w:rPr>
                <w:rStyle w:val="IndexLink"/>
                <w:rtl w:val="true"/>
              </w:rPr>
              <w:tab/>
            </w:r>
            <w:r>
              <w:rPr>
                <w:rStyle w:val="IndexLink"/>
              </w:rPr>
              <w:t>89</w:t>
            </w:r>
          </w:hyperlink>
        </w:p>
        <w:p>
          <w:pPr>
            <w:pStyle w:val="Contents3"/>
            <w:tabs>
              <w:tab w:val="clear" w:pos="8459"/>
              <w:tab w:val="right" w:pos="9026" w:leader="dot"/>
            </w:tabs>
            <w:rPr/>
          </w:pPr>
          <w:hyperlink w:anchor="__RefHeading___Toc2713178_653776707">
            <w:r>
              <w:rPr>
                <w:webHidden/>
                <w:rStyle w:val="IndexLink"/>
                <w:rtl w:val="true"/>
              </w:rPr>
              <w:t>چارچوب نظری</w:t>
            </w:r>
            <w:r>
              <w:rPr>
                <w:rStyle w:val="IndexLink"/>
                <w:rtl w:val="true"/>
              </w:rPr>
              <w:tab/>
            </w:r>
            <w:r>
              <w:rPr>
                <w:rStyle w:val="IndexLink"/>
              </w:rPr>
              <w:t>90</w:t>
            </w:r>
          </w:hyperlink>
        </w:p>
        <w:p>
          <w:pPr>
            <w:pStyle w:val="Contents3"/>
            <w:tabs>
              <w:tab w:val="clear" w:pos="8459"/>
              <w:tab w:val="right" w:pos="9026" w:leader="dot"/>
            </w:tabs>
            <w:rPr/>
          </w:pPr>
          <w:hyperlink w:anchor="__RefHeading___Toc2713180_653776707">
            <w:r>
              <w:rPr>
                <w:webHidden/>
                <w:rStyle w:val="IndexLink"/>
                <w:rtl w:val="true"/>
              </w:rPr>
              <w:t>روش پژوهش</w:t>
            </w:r>
            <w:r>
              <w:rPr>
                <w:rStyle w:val="IndexLink"/>
                <w:rtl w:val="true"/>
              </w:rPr>
              <w:tab/>
            </w:r>
            <w:r>
              <w:rPr>
                <w:rStyle w:val="IndexLink"/>
              </w:rPr>
              <w:t>92</w:t>
            </w:r>
          </w:hyperlink>
        </w:p>
        <w:p>
          <w:pPr>
            <w:pStyle w:val="Contents3"/>
            <w:tabs>
              <w:tab w:val="clear" w:pos="8459"/>
              <w:tab w:val="right" w:pos="9026" w:leader="dot"/>
            </w:tabs>
            <w:rPr/>
          </w:pPr>
          <w:hyperlink w:anchor="__RefHeading___Toc2713182_653776707">
            <w:r>
              <w:rPr>
                <w:webHidden/>
                <w:rStyle w:val="IndexLink"/>
                <w:rtl w:val="true"/>
              </w:rPr>
              <w:t>یافته های میدانی</w:t>
            </w:r>
            <w:r>
              <w:rPr>
                <w:rStyle w:val="IndexLink"/>
                <w:rtl w:val="true"/>
              </w:rPr>
              <w:tab/>
            </w:r>
            <w:r>
              <w:rPr>
                <w:rStyle w:val="IndexLink"/>
              </w:rPr>
              <w:t>93</w:t>
            </w:r>
          </w:hyperlink>
        </w:p>
        <w:p>
          <w:pPr>
            <w:pStyle w:val="Contents4"/>
            <w:tabs>
              <w:tab w:val="clear" w:pos="8176"/>
              <w:tab w:val="right" w:pos="9026" w:leader="dot"/>
            </w:tabs>
            <w:rPr/>
          </w:pPr>
          <w:hyperlink w:anchor="__RefHeading___Toc2713184_653776707">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713186_653776707">
            <w:r>
              <w:rPr>
                <w:webHidden/>
                <w:rStyle w:val="IndexLink"/>
              </w:rPr>
              <w:t>1</w:t>
            </w:r>
            <w:r>
              <w:rPr>
                <w:rStyle w:val="IndexLink"/>
                <w:rtl w:val="true"/>
              </w:rPr>
              <w:t>-</w:t>
            </w:r>
            <w:r>
              <w:rPr>
                <w:rStyle w:val="IndexLink"/>
                <w:rtl w:val="true"/>
              </w:rPr>
              <w:t>پرچم</w:t>
            </w:r>
            <w:r>
              <w:rPr>
                <w:rStyle w:val="IndexLink"/>
                <w:rtl w:val="true"/>
              </w:rPr>
              <w:tab/>
            </w:r>
            <w:r>
              <w:rPr>
                <w:rStyle w:val="IndexLink"/>
              </w:rPr>
              <w:t>93</w:t>
            </w:r>
          </w:hyperlink>
        </w:p>
        <w:p>
          <w:pPr>
            <w:pStyle w:val="Contents4"/>
            <w:tabs>
              <w:tab w:val="clear" w:pos="8176"/>
              <w:tab w:val="right" w:pos="9026" w:leader="dot"/>
            </w:tabs>
            <w:rPr/>
          </w:pPr>
          <w:hyperlink w:anchor="__RefHeading___Toc2713188_653776707">
            <w:r>
              <w:rPr>
                <w:webHidden/>
                <w:rStyle w:val="IndexLink"/>
              </w:rPr>
              <w:t>2</w:t>
            </w:r>
            <w:r>
              <w:rPr>
                <w:rStyle w:val="IndexLink"/>
                <w:rtl w:val="true"/>
              </w:rPr>
              <w:t>-</w:t>
            </w:r>
            <w:r>
              <w:rPr>
                <w:rStyle w:val="IndexLink"/>
                <w:rtl w:val="true"/>
              </w:rPr>
              <w:t>کتیبه، پارچه نوشته، بنر</w:t>
            </w:r>
            <w:r>
              <w:rPr>
                <w:rStyle w:val="IndexLink"/>
                <w:rtl w:val="true"/>
              </w:rPr>
              <w:tab/>
            </w:r>
            <w:r>
              <w:rPr>
                <w:rStyle w:val="IndexLink"/>
              </w:rPr>
              <w:t>97</w:t>
            </w:r>
          </w:hyperlink>
        </w:p>
        <w:p>
          <w:pPr>
            <w:pStyle w:val="Contents4"/>
            <w:tabs>
              <w:tab w:val="clear" w:pos="8176"/>
              <w:tab w:val="right" w:pos="9026" w:leader="dot"/>
            </w:tabs>
            <w:rPr/>
          </w:pPr>
          <w:hyperlink w:anchor="__RefHeading___Toc2713190_653776707">
            <w:r>
              <w:rPr>
                <w:webHidden/>
                <w:rStyle w:val="IndexLink"/>
              </w:rPr>
              <w:t>3</w:t>
            </w:r>
            <w:r>
              <w:rPr>
                <w:rStyle w:val="IndexLink"/>
                <w:rtl w:val="true"/>
              </w:rPr>
              <w:t>-</w:t>
            </w:r>
            <w:r>
              <w:rPr>
                <w:rStyle w:val="IndexLink"/>
                <w:rtl w:val="true"/>
              </w:rPr>
              <w:t>سربند</w:t>
            </w:r>
            <w:r>
              <w:rPr>
                <w:rStyle w:val="IndexLink"/>
                <w:rtl w:val="true"/>
              </w:rPr>
              <w:tab/>
            </w:r>
            <w:r>
              <w:rPr>
                <w:rStyle w:val="IndexLink"/>
              </w:rPr>
              <w:t>98</w:t>
            </w:r>
          </w:hyperlink>
        </w:p>
        <w:p>
          <w:pPr>
            <w:pStyle w:val="Contents4"/>
            <w:tabs>
              <w:tab w:val="clear" w:pos="8176"/>
              <w:tab w:val="right" w:pos="9026" w:leader="dot"/>
            </w:tabs>
            <w:rPr/>
          </w:pPr>
          <w:hyperlink w:anchor="__RefHeading___Toc2713192_653776707">
            <w:r>
              <w:rPr>
                <w:webHidden/>
                <w:rStyle w:val="IndexLink"/>
              </w:rPr>
              <w:t>4</w:t>
            </w:r>
            <w:r>
              <w:rPr>
                <w:rStyle w:val="IndexLink"/>
                <w:rtl w:val="true"/>
              </w:rPr>
              <w:t>-</w:t>
            </w:r>
            <w:r>
              <w:rPr>
                <w:rStyle w:val="IndexLink"/>
                <w:rtl w:val="true"/>
              </w:rPr>
              <w:t>کوله</w:t>
            </w:r>
            <w:r>
              <w:rPr>
                <w:rStyle w:val="IndexLink"/>
                <w:rtl w:val="true"/>
              </w:rPr>
              <w:tab/>
            </w:r>
            <w:r>
              <w:rPr>
                <w:rStyle w:val="IndexLink"/>
              </w:rPr>
              <w:t>99</w:t>
            </w:r>
          </w:hyperlink>
        </w:p>
        <w:p>
          <w:pPr>
            <w:pStyle w:val="Contents4"/>
            <w:tabs>
              <w:tab w:val="clear" w:pos="8176"/>
              <w:tab w:val="right" w:pos="9026" w:leader="dot"/>
            </w:tabs>
            <w:rPr/>
          </w:pPr>
          <w:hyperlink w:anchor="__RefHeading___Toc2713194_653776707">
            <w:r>
              <w:rPr>
                <w:webHidden/>
                <w:rStyle w:val="IndexLink"/>
              </w:rPr>
              <w:t>5</w:t>
            </w:r>
            <w:r>
              <w:rPr>
                <w:rStyle w:val="IndexLink"/>
                <w:rtl w:val="true"/>
              </w:rPr>
              <w:t xml:space="preserve">- </w:t>
            </w:r>
            <w:r>
              <w:rPr>
                <w:rStyle w:val="IndexLink"/>
                <w:rtl w:val="true"/>
              </w:rPr>
              <w:t>گهواره علی اصغر، ضریح یا صحن، پنجۀ فلزی، پیکره</w:t>
            </w:r>
            <w:r>
              <w:rPr>
                <w:rStyle w:val="IndexLink"/>
                <w:rtl w:val="true"/>
              </w:rPr>
              <w:tab/>
            </w:r>
            <w:r>
              <w:rPr>
                <w:rStyle w:val="IndexLink"/>
              </w:rPr>
              <w:t>100</w:t>
            </w:r>
          </w:hyperlink>
        </w:p>
        <w:p>
          <w:pPr>
            <w:pStyle w:val="Contents4"/>
            <w:tabs>
              <w:tab w:val="clear" w:pos="8176"/>
              <w:tab w:val="right" w:pos="9026" w:leader="dot"/>
            </w:tabs>
            <w:rPr/>
          </w:pPr>
          <w:hyperlink w:anchor="__RefHeading___Toc2713196_653776707">
            <w:r>
              <w:rPr>
                <w:webHidden/>
                <w:rStyle w:val="IndexLink"/>
              </w:rPr>
              <w:t>6</w:t>
            </w:r>
            <w:r>
              <w:rPr>
                <w:rStyle w:val="IndexLink"/>
                <w:rtl w:val="true"/>
              </w:rPr>
              <w:t xml:space="preserve">- </w:t>
            </w:r>
            <w:r>
              <w:rPr>
                <w:rStyle w:val="IndexLink"/>
                <w:rtl w:val="true"/>
              </w:rPr>
              <w:t>چفیه و عبا</w:t>
            </w:r>
            <w:r>
              <w:rPr>
                <w:rStyle w:val="IndexLink"/>
                <w:rtl w:val="true"/>
              </w:rPr>
              <w:tab/>
            </w:r>
            <w:r>
              <w:rPr>
                <w:rStyle w:val="IndexLink"/>
              </w:rPr>
              <w:t>102</w:t>
            </w:r>
          </w:hyperlink>
        </w:p>
        <w:p>
          <w:pPr>
            <w:pStyle w:val="Contents4"/>
            <w:tabs>
              <w:tab w:val="clear" w:pos="8176"/>
              <w:tab w:val="right" w:pos="9026" w:leader="dot"/>
            </w:tabs>
            <w:rPr/>
          </w:pPr>
          <w:hyperlink w:anchor="__RefHeading___Toc2713198_653776707">
            <w:r>
              <w:rPr>
                <w:webHidden/>
                <w:rStyle w:val="IndexLink"/>
              </w:rPr>
              <w:t>7</w:t>
            </w:r>
            <w:r>
              <w:rPr>
                <w:rStyle w:val="IndexLink"/>
                <w:rtl w:val="true"/>
              </w:rPr>
              <w:t xml:space="preserve">- </w:t>
            </w:r>
            <w:r>
              <w:rPr>
                <w:rStyle w:val="IndexLink"/>
                <w:rtl w:val="true"/>
              </w:rPr>
              <w:t>تربت</w:t>
            </w:r>
            <w:r>
              <w:rPr>
                <w:rStyle w:val="IndexLink"/>
                <w:rtl w:val="true"/>
              </w:rPr>
              <w:tab/>
            </w:r>
            <w:r>
              <w:rPr>
                <w:rStyle w:val="IndexLink"/>
              </w:rPr>
              <w:t>103</w:t>
            </w:r>
          </w:hyperlink>
        </w:p>
        <w:p>
          <w:pPr>
            <w:pStyle w:val="Contents4"/>
            <w:tabs>
              <w:tab w:val="clear" w:pos="8176"/>
              <w:tab w:val="right" w:pos="9026" w:leader="dot"/>
            </w:tabs>
            <w:rPr/>
          </w:pPr>
          <w:hyperlink w:anchor="__RefHeading___Toc2713200_653776707">
            <w:r>
              <w:rPr>
                <w:webHidden/>
                <w:rStyle w:val="IndexLink"/>
              </w:rPr>
              <w:t>8</w:t>
            </w:r>
            <w:r>
              <w:rPr>
                <w:rStyle w:val="IndexLink"/>
                <w:rtl w:val="true"/>
              </w:rPr>
              <w:t xml:space="preserve">- </w:t>
            </w:r>
            <w:r>
              <w:rPr>
                <w:rStyle w:val="IndexLink"/>
                <w:rtl w:val="true"/>
              </w:rPr>
              <w:t>پارچه متبرک</w:t>
            </w:r>
            <w:r>
              <w:rPr>
                <w:rStyle w:val="IndexLink"/>
                <w:rtl w:val="true"/>
              </w:rPr>
              <w:tab/>
            </w:r>
            <w:r>
              <w:rPr>
                <w:rStyle w:val="IndexLink"/>
              </w:rPr>
              <w:t>104</w:t>
            </w:r>
          </w:hyperlink>
        </w:p>
        <w:p>
          <w:pPr>
            <w:pStyle w:val="Contents3"/>
            <w:tabs>
              <w:tab w:val="clear" w:pos="8459"/>
              <w:tab w:val="right" w:pos="9026" w:leader="dot"/>
            </w:tabs>
            <w:rPr/>
          </w:pPr>
          <w:hyperlink w:anchor="__RefHeading___Toc2713202_653776707">
            <w:r>
              <w:rPr>
                <w:webHidden/>
                <w:rStyle w:val="IndexLink"/>
                <w:rtl w:val="true"/>
              </w:rPr>
              <w:t>نتیجه</w:t>
            </w:r>
            <w:r>
              <w:rPr>
                <w:rStyle w:val="IndexLink"/>
                <w:rtl w:val="true"/>
              </w:rPr>
              <w:tab/>
            </w:r>
            <w:r>
              <w:rPr>
                <w:rStyle w:val="IndexLink"/>
              </w:rPr>
              <w:t>106</w:t>
            </w:r>
          </w:hyperlink>
        </w:p>
        <w:p>
          <w:pPr>
            <w:pStyle w:val="Contents3"/>
            <w:tabs>
              <w:tab w:val="clear" w:pos="8459"/>
              <w:tab w:val="right" w:pos="9026" w:leader="dot"/>
            </w:tabs>
            <w:rPr/>
          </w:pPr>
          <w:hyperlink w:anchor="__RefHeading___Toc2713204_653776707">
            <w:r>
              <w:rPr>
                <w:webHidden/>
                <w:rStyle w:val="IndexLink"/>
                <w:rtl w:val="true"/>
              </w:rPr>
              <w:t>منابع</w:t>
            </w:r>
            <w:r>
              <w:rPr>
                <w:rStyle w:val="IndexLink"/>
                <w:rtl w:val="true"/>
              </w:rPr>
              <w:tab/>
            </w:r>
            <w:r>
              <w:rPr>
                <w:rStyle w:val="IndexLink"/>
              </w:rPr>
              <w:t>113</w:t>
            </w:r>
          </w:hyperlink>
        </w:p>
        <w:p>
          <w:pPr>
            <w:pStyle w:val="Contents2"/>
            <w:tabs>
              <w:tab w:val="clear" w:pos="8743"/>
              <w:tab w:val="right" w:pos="9026" w:leader="dot"/>
            </w:tabs>
            <w:rPr/>
          </w:pPr>
          <w:hyperlink w:anchor="__RefHeading___Toc2713206_653776707">
            <w:r>
              <w:rPr>
                <w:webHidden/>
                <w:rStyle w:val="IndexLink"/>
                <w:rtl w:val="true"/>
              </w:rPr>
              <w:t xml:space="preserve">تحریفات عزاداری امام حسین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2713208_653776707">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713210_653776707">
            <w:r>
              <w:rPr>
                <w:webHidden/>
                <w:rStyle w:val="IndexLink"/>
                <w:rtl w:val="true"/>
              </w:rPr>
              <w:t>مقدمه</w:t>
            </w:r>
            <w:r>
              <w:rPr>
                <w:rStyle w:val="IndexLink"/>
                <w:rtl w:val="true"/>
              </w:rPr>
              <w:tab/>
            </w:r>
            <w:r>
              <w:rPr>
                <w:rStyle w:val="IndexLink"/>
              </w:rPr>
              <w:t>115</w:t>
            </w:r>
          </w:hyperlink>
        </w:p>
        <w:p>
          <w:pPr>
            <w:pStyle w:val="Contents4"/>
            <w:tabs>
              <w:tab w:val="clear" w:pos="8176"/>
              <w:tab w:val="right" w:pos="9026" w:leader="dot"/>
            </w:tabs>
            <w:rPr/>
          </w:pPr>
          <w:hyperlink w:anchor="__RefHeading___Toc2713212_65377670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713214_653776707">
            <w:r>
              <w:rPr>
                <w:webHidden/>
                <w:rStyle w:val="IndexLink"/>
              </w:rPr>
              <w:t>1</w:t>
            </w:r>
            <w:r>
              <w:rPr>
                <w:rStyle w:val="IndexLink"/>
                <w:rtl w:val="true"/>
              </w:rPr>
              <w:t xml:space="preserve">- </w:t>
            </w:r>
            <w:r>
              <w:rPr>
                <w:rStyle w:val="IndexLink"/>
                <w:rtl w:val="true"/>
              </w:rPr>
              <w:t>مفهوم عزاداری</w:t>
            </w:r>
            <w:r>
              <w:rPr>
                <w:rStyle w:val="IndexLink"/>
                <w:rtl w:val="true"/>
              </w:rPr>
              <w:tab/>
            </w:r>
            <w:r>
              <w:rPr>
                <w:rStyle w:val="IndexLink"/>
              </w:rPr>
              <w:t>116</w:t>
            </w:r>
          </w:hyperlink>
        </w:p>
        <w:p>
          <w:pPr>
            <w:pStyle w:val="Contents4"/>
            <w:tabs>
              <w:tab w:val="clear" w:pos="8176"/>
              <w:tab w:val="right" w:pos="9026" w:leader="dot"/>
            </w:tabs>
            <w:rPr/>
          </w:pPr>
          <w:hyperlink w:anchor="__RefHeading___Toc2713216_653776707">
            <w:r>
              <w:rPr>
                <w:webHidden/>
                <w:rStyle w:val="IndexLink"/>
              </w:rPr>
              <w:t>2</w:t>
            </w:r>
            <w:r>
              <w:rPr>
                <w:rStyle w:val="IndexLink"/>
                <w:rtl w:val="true"/>
              </w:rPr>
              <w:t xml:space="preserve">- </w:t>
            </w:r>
            <w:r>
              <w:rPr>
                <w:rStyle w:val="IndexLink"/>
                <w:rtl w:val="true"/>
              </w:rPr>
              <w:t>جایگاه عزاداری در آیات و روایات</w:t>
            </w:r>
            <w:r>
              <w:rPr>
                <w:rStyle w:val="IndexLink"/>
                <w:rtl w:val="true"/>
              </w:rPr>
              <w:tab/>
            </w:r>
            <w:r>
              <w:rPr>
                <w:rStyle w:val="IndexLink"/>
              </w:rPr>
              <w:t>116</w:t>
            </w:r>
          </w:hyperlink>
        </w:p>
        <w:p>
          <w:pPr>
            <w:pStyle w:val="Contents4"/>
            <w:tabs>
              <w:tab w:val="clear" w:pos="8176"/>
              <w:tab w:val="right" w:pos="9026" w:leader="dot"/>
            </w:tabs>
            <w:rPr/>
          </w:pPr>
          <w:hyperlink w:anchor="__RefHeading___Toc2713218_653776707">
            <w:r>
              <w:rPr>
                <w:webHidden/>
                <w:rStyle w:val="IndexLink"/>
              </w:rPr>
              <w:t>3</w:t>
            </w:r>
            <w:r>
              <w:rPr>
                <w:rStyle w:val="IndexLink"/>
                <w:rtl w:val="true"/>
              </w:rPr>
              <w:t xml:space="preserve">- </w:t>
            </w:r>
            <w:r>
              <w:rPr>
                <w:rStyle w:val="IndexLink"/>
                <w:rtl w:val="true"/>
              </w:rPr>
              <w:t xml:space="preserve">انواع انحراف در عزاداری امام حسین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5"/>
            <w:tabs>
              <w:tab w:val="clear" w:pos="7892"/>
              <w:tab w:val="right" w:pos="9026" w:leader="dot"/>
            </w:tabs>
            <w:rPr/>
          </w:pPr>
          <w:hyperlink w:anchor="__RefHeading___Toc2713220_653776707">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713222_653776707">
            <w:r>
              <w:rPr>
                <w:webHidden/>
                <w:rStyle w:val="IndexLink"/>
              </w:rPr>
              <w:t>3-1</w:t>
            </w:r>
            <w:r>
              <w:rPr>
                <w:rStyle w:val="IndexLink"/>
                <w:rtl w:val="true"/>
              </w:rPr>
              <w:t xml:space="preserve">- </w:t>
            </w:r>
            <w:r>
              <w:rPr>
                <w:rStyle w:val="IndexLink"/>
                <w:rtl w:val="true"/>
              </w:rPr>
              <w:t>انحراف در محتوا و مضامین</w:t>
            </w:r>
            <w:r>
              <w:rPr>
                <w:rStyle w:val="IndexLink"/>
                <w:rtl w:val="true"/>
              </w:rPr>
              <w:tab/>
            </w:r>
            <w:r>
              <w:rPr>
                <w:rStyle w:val="IndexLink"/>
              </w:rPr>
              <w:t>119</w:t>
            </w:r>
          </w:hyperlink>
        </w:p>
        <w:p>
          <w:pPr>
            <w:pStyle w:val="Contents6"/>
            <w:tabs>
              <w:tab w:val="clear" w:pos="7609"/>
              <w:tab w:val="right" w:pos="9026" w:leader="dot"/>
            </w:tabs>
            <w:rPr/>
          </w:pPr>
          <w:hyperlink w:anchor="__RefHeading___Toc2713224_653776707">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2713226_653776707">
            <w:r>
              <w:rPr>
                <w:webHidden/>
                <w:rStyle w:val="IndexLink"/>
              </w:rPr>
              <w:t>3-1-1</w:t>
            </w:r>
            <w:r>
              <w:rPr>
                <w:rStyle w:val="IndexLink"/>
                <w:rtl w:val="true"/>
              </w:rPr>
              <w:t xml:space="preserve">- </w:t>
            </w:r>
            <w:r>
              <w:rPr>
                <w:rStyle w:val="IndexLink"/>
                <w:rtl w:val="true"/>
              </w:rPr>
              <w:t>نقل مطالب و وقایع غیرمستند در عزاداری</w:t>
            </w:r>
            <w:r>
              <w:rPr>
                <w:rStyle w:val="IndexLink"/>
                <w:rtl w:val="true"/>
              </w:rPr>
              <w:tab/>
            </w:r>
            <w:r>
              <w:rPr>
                <w:rStyle w:val="IndexLink"/>
              </w:rPr>
              <w:t>119</w:t>
            </w:r>
          </w:hyperlink>
        </w:p>
        <w:p>
          <w:pPr>
            <w:pStyle w:val="Contents6"/>
            <w:tabs>
              <w:tab w:val="clear" w:pos="7609"/>
              <w:tab w:val="right" w:pos="9026" w:leader="dot"/>
            </w:tabs>
            <w:rPr/>
          </w:pPr>
          <w:hyperlink w:anchor="__RefHeading___Toc2713228_653776707">
            <w:r>
              <w:rPr>
                <w:webHidden/>
                <w:rStyle w:val="IndexLink"/>
              </w:rPr>
              <w:t>3-1-2</w:t>
            </w:r>
            <w:r>
              <w:rPr>
                <w:rStyle w:val="IndexLink"/>
                <w:rtl w:val="true"/>
              </w:rPr>
              <w:t xml:space="preserve">- </w:t>
            </w:r>
            <w:r>
              <w:rPr>
                <w:rStyle w:val="IndexLink"/>
                <w:rtl w:val="true"/>
              </w:rPr>
              <w:t>غلو و اغراق در بیان وقایع عاشورا</w:t>
            </w:r>
            <w:r>
              <w:rPr>
                <w:rStyle w:val="IndexLink"/>
                <w:rtl w:val="true"/>
              </w:rPr>
              <w:tab/>
            </w:r>
            <w:r>
              <w:rPr>
                <w:rStyle w:val="IndexLink"/>
              </w:rPr>
              <w:t>120</w:t>
            </w:r>
          </w:hyperlink>
        </w:p>
        <w:p>
          <w:pPr>
            <w:pStyle w:val="Contents6"/>
            <w:tabs>
              <w:tab w:val="clear" w:pos="7609"/>
              <w:tab w:val="right" w:pos="9026" w:leader="dot"/>
            </w:tabs>
            <w:rPr/>
          </w:pPr>
          <w:hyperlink w:anchor="__RefHeading___Toc2713230_653776707">
            <w:r>
              <w:rPr>
                <w:webHidden/>
                <w:rStyle w:val="IndexLink"/>
              </w:rPr>
              <w:t>3-1-3</w:t>
            </w:r>
            <w:r>
              <w:rPr>
                <w:rStyle w:val="IndexLink"/>
                <w:rtl w:val="true"/>
              </w:rPr>
              <w:t xml:space="preserve">- </w:t>
            </w:r>
            <w:r>
              <w:rPr>
                <w:rStyle w:val="IndexLink"/>
                <w:rtl w:val="true"/>
              </w:rPr>
              <w:t>افراط در وصف زیبایی ظاهری بنی هاشم</w:t>
            </w:r>
            <w:r>
              <w:rPr>
                <w:rStyle w:val="IndexLink"/>
                <w:rtl w:val="true"/>
              </w:rPr>
              <w:tab/>
            </w:r>
            <w:r>
              <w:rPr>
                <w:rStyle w:val="IndexLink"/>
              </w:rPr>
              <w:t>121</w:t>
            </w:r>
          </w:hyperlink>
        </w:p>
        <w:p>
          <w:pPr>
            <w:pStyle w:val="Contents6"/>
            <w:tabs>
              <w:tab w:val="clear" w:pos="7609"/>
              <w:tab w:val="right" w:pos="9026" w:leader="dot"/>
            </w:tabs>
            <w:rPr/>
          </w:pPr>
          <w:hyperlink w:anchor="__RefHeading___Toc2713232_653776707">
            <w:r>
              <w:rPr>
                <w:webHidden/>
                <w:rStyle w:val="IndexLink"/>
              </w:rPr>
              <w:t>3-1-4</w:t>
            </w:r>
            <w:r>
              <w:rPr>
                <w:rStyle w:val="IndexLink"/>
                <w:rtl w:val="true"/>
              </w:rPr>
              <w:t xml:space="preserve">- </w:t>
            </w:r>
            <w:r>
              <w:rPr>
                <w:rStyle w:val="IndexLink"/>
                <w:rtl w:val="true"/>
              </w:rPr>
              <w:t>گزارش های ذلت بار</w:t>
            </w:r>
            <w:r>
              <w:rPr>
                <w:rStyle w:val="IndexLink"/>
                <w:rtl w:val="true"/>
              </w:rPr>
              <w:tab/>
            </w:r>
            <w:r>
              <w:rPr>
                <w:rStyle w:val="IndexLink"/>
              </w:rPr>
              <w:t>122</w:t>
            </w:r>
          </w:hyperlink>
        </w:p>
        <w:p>
          <w:pPr>
            <w:pStyle w:val="Contents5"/>
            <w:tabs>
              <w:tab w:val="clear" w:pos="7892"/>
              <w:tab w:val="right" w:pos="9026" w:leader="dot"/>
            </w:tabs>
            <w:rPr/>
          </w:pPr>
          <w:hyperlink w:anchor="__RefHeading___Toc2713234_653776707">
            <w:r>
              <w:rPr>
                <w:webHidden/>
                <w:rStyle w:val="IndexLink"/>
              </w:rPr>
              <w:t>3-2</w:t>
            </w:r>
            <w:r>
              <w:rPr>
                <w:rStyle w:val="IndexLink"/>
                <w:rtl w:val="true"/>
              </w:rPr>
              <w:t xml:space="preserve">- </w:t>
            </w:r>
            <w:r>
              <w:rPr>
                <w:rStyle w:val="IndexLink"/>
                <w:rtl w:val="true"/>
              </w:rPr>
              <w:t>انحراف در کردار و رفتار</w:t>
            </w:r>
            <w:r>
              <w:rPr>
                <w:rStyle w:val="IndexLink"/>
                <w:rtl w:val="true"/>
              </w:rPr>
              <w:tab/>
            </w:r>
            <w:r>
              <w:rPr>
                <w:rStyle w:val="IndexLink"/>
              </w:rPr>
              <w:t>123</w:t>
            </w:r>
          </w:hyperlink>
        </w:p>
        <w:p>
          <w:pPr>
            <w:pStyle w:val="Contents6"/>
            <w:tabs>
              <w:tab w:val="clear" w:pos="7609"/>
              <w:tab w:val="right" w:pos="9026" w:leader="dot"/>
            </w:tabs>
            <w:rPr/>
          </w:pPr>
          <w:hyperlink w:anchor="__RefHeading___Toc2713236_653776707">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2713238_653776707">
            <w:r>
              <w:rPr>
                <w:webHidden/>
                <w:rStyle w:val="IndexLink"/>
              </w:rPr>
              <w:t>3-2-1</w:t>
            </w:r>
            <w:r>
              <w:rPr>
                <w:rStyle w:val="IndexLink"/>
                <w:rtl w:val="true"/>
              </w:rPr>
              <w:t xml:space="preserve">- </w:t>
            </w:r>
            <w:r>
              <w:rPr>
                <w:rStyle w:val="IndexLink"/>
                <w:rtl w:val="true"/>
              </w:rPr>
              <w:t>قمه زنی</w:t>
            </w:r>
            <w:r>
              <w:rPr>
                <w:rStyle w:val="IndexLink"/>
                <w:rtl w:val="true"/>
              </w:rPr>
              <w:tab/>
            </w:r>
            <w:r>
              <w:rPr>
                <w:rStyle w:val="IndexLink"/>
              </w:rPr>
              <w:t>123</w:t>
            </w:r>
          </w:hyperlink>
        </w:p>
        <w:p>
          <w:pPr>
            <w:pStyle w:val="Contents6"/>
            <w:tabs>
              <w:tab w:val="clear" w:pos="7609"/>
              <w:tab w:val="right" w:pos="9026" w:leader="dot"/>
            </w:tabs>
            <w:rPr/>
          </w:pPr>
          <w:hyperlink w:anchor="__RefHeading___Toc2713240_653776707">
            <w:r>
              <w:rPr>
                <w:webHidden/>
                <w:rStyle w:val="IndexLink"/>
              </w:rPr>
              <w:t>3-2-2</w:t>
            </w:r>
            <w:r>
              <w:rPr>
                <w:rStyle w:val="IndexLink"/>
                <w:rtl w:val="true"/>
              </w:rPr>
              <w:t xml:space="preserve">- </w:t>
            </w:r>
            <w:r>
              <w:rPr>
                <w:rStyle w:val="IndexLink"/>
                <w:rtl w:val="true"/>
              </w:rPr>
              <w:t>غنا و ابتذال در عزاداری</w:t>
            </w:r>
            <w:r>
              <w:rPr>
                <w:rStyle w:val="IndexLink"/>
                <w:rtl w:val="true"/>
              </w:rPr>
              <w:tab/>
            </w:r>
            <w:r>
              <w:rPr>
                <w:rStyle w:val="IndexLink"/>
              </w:rPr>
              <w:t>124</w:t>
            </w:r>
          </w:hyperlink>
        </w:p>
        <w:p>
          <w:pPr>
            <w:pStyle w:val="Contents6"/>
            <w:tabs>
              <w:tab w:val="clear" w:pos="7609"/>
              <w:tab w:val="right" w:pos="9026" w:leader="dot"/>
            </w:tabs>
            <w:rPr/>
          </w:pPr>
          <w:hyperlink w:anchor="__RefHeading___Toc2713242_653776707">
            <w:r>
              <w:rPr>
                <w:webHidden/>
                <w:rStyle w:val="IndexLink"/>
              </w:rPr>
              <w:t>3-2-3</w:t>
            </w:r>
            <w:r>
              <w:rPr>
                <w:rStyle w:val="IndexLink"/>
                <w:rtl w:val="true"/>
              </w:rPr>
              <w:t xml:space="preserve">- </w:t>
            </w:r>
            <w:r>
              <w:rPr>
                <w:rStyle w:val="IndexLink"/>
                <w:rtl w:val="true"/>
              </w:rPr>
              <w:t>بی نظمی و سلب آسایش عمومی</w:t>
            </w:r>
            <w:r>
              <w:rPr>
                <w:rStyle w:val="IndexLink"/>
                <w:rtl w:val="true"/>
              </w:rPr>
              <w:tab/>
            </w:r>
            <w:r>
              <w:rPr>
                <w:rStyle w:val="IndexLink"/>
              </w:rPr>
              <w:t>125</w:t>
            </w:r>
          </w:hyperlink>
        </w:p>
        <w:p>
          <w:pPr>
            <w:pStyle w:val="Contents6"/>
            <w:tabs>
              <w:tab w:val="clear" w:pos="7609"/>
              <w:tab w:val="right" w:pos="9026" w:leader="dot"/>
            </w:tabs>
            <w:rPr/>
          </w:pPr>
          <w:hyperlink w:anchor="__RefHeading___Toc2713244_653776707">
            <w:r>
              <w:rPr>
                <w:webHidden/>
                <w:rStyle w:val="IndexLink"/>
              </w:rPr>
              <w:t>3-2-4</w:t>
            </w:r>
            <w:r>
              <w:rPr>
                <w:rStyle w:val="IndexLink"/>
                <w:rtl w:val="true"/>
              </w:rPr>
              <w:t xml:space="preserve">- </w:t>
            </w:r>
            <w:r>
              <w:rPr>
                <w:rStyle w:val="IndexLink"/>
                <w:rtl w:val="true"/>
              </w:rPr>
              <w:t>سوء استفاده های مالی</w:t>
            </w:r>
            <w:r>
              <w:rPr>
                <w:rStyle w:val="IndexLink"/>
                <w:rtl w:val="true"/>
              </w:rPr>
              <w:tab/>
            </w:r>
            <w:r>
              <w:rPr>
                <w:rStyle w:val="IndexLink"/>
              </w:rPr>
              <w:t>126</w:t>
            </w:r>
          </w:hyperlink>
        </w:p>
        <w:p>
          <w:pPr>
            <w:pStyle w:val="Contents3"/>
            <w:tabs>
              <w:tab w:val="clear" w:pos="8459"/>
              <w:tab w:val="right" w:pos="9026" w:leader="dot"/>
            </w:tabs>
            <w:rPr/>
          </w:pPr>
          <w:hyperlink w:anchor="__RefHeading___Toc2713246_653776707">
            <w:r>
              <w:rPr>
                <w:webHidden/>
                <w:rStyle w:val="IndexLink"/>
                <w:rtl w:val="true"/>
              </w:rPr>
              <w:t>نتیجه</w:t>
            </w:r>
            <w:r>
              <w:rPr>
                <w:rStyle w:val="IndexLink"/>
                <w:rtl w:val="true"/>
              </w:rPr>
              <w:tab/>
            </w:r>
            <w:r>
              <w:rPr>
                <w:rStyle w:val="IndexLink"/>
              </w:rPr>
              <w:t>126</w:t>
            </w:r>
          </w:hyperlink>
        </w:p>
        <w:p>
          <w:pPr>
            <w:pStyle w:val="Contents3"/>
            <w:tabs>
              <w:tab w:val="clear" w:pos="8459"/>
              <w:tab w:val="right" w:pos="9026" w:leader="dot"/>
            </w:tabs>
            <w:rPr/>
          </w:pPr>
          <w:hyperlink w:anchor="__RefHeading___Toc2713248_653776707">
            <w:r>
              <w:rPr>
                <w:webHidden/>
                <w:rStyle w:val="IndexLink"/>
                <w:rtl w:val="true"/>
              </w:rPr>
              <w:t>منابع</w:t>
            </w:r>
            <w:r>
              <w:rPr>
                <w:rStyle w:val="IndexLink"/>
                <w:rtl w:val="true"/>
              </w:rPr>
              <w:tab/>
            </w:r>
            <w:r>
              <w:rPr>
                <w:rStyle w:val="IndexLink"/>
              </w:rPr>
              <w:t>128</w:t>
            </w:r>
          </w:hyperlink>
        </w:p>
        <w:p>
          <w:pPr>
            <w:pStyle w:val="Contents2"/>
            <w:tabs>
              <w:tab w:val="clear" w:pos="8743"/>
              <w:tab w:val="right" w:pos="9026" w:leader="dot"/>
            </w:tabs>
            <w:rPr/>
          </w:pPr>
          <w:hyperlink w:anchor="__RefHeading___Toc2713250_653776707">
            <w:r>
              <w:rPr>
                <w:webHidden/>
                <w:rStyle w:val="IndexLink"/>
                <w:rtl w:val="true"/>
              </w:rPr>
              <w:t>نکته هایی از معارف حسینی</w:t>
            </w:r>
            <w:r>
              <w:rPr>
                <w:rStyle w:val="IndexLink"/>
                <w:rtl w:val="true"/>
              </w:rPr>
              <w:tab/>
            </w:r>
            <w:r>
              <w:rPr>
                <w:rStyle w:val="IndexLink"/>
              </w:rPr>
              <w:t>130</w:t>
            </w:r>
          </w:hyperlink>
        </w:p>
        <w:p>
          <w:pPr>
            <w:pStyle w:val="Contents3"/>
            <w:tabs>
              <w:tab w:val="clear" w:pos="8459"/>
              <w:tab w:val="right" w:pos="9026" w:leader="dot"/>
            </w:tabs>
            <w:rPr/>
          </w:pPr>
          <w:hyperlink w:anchor="__RefHeading___Toc2713252_653776707">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713254_653776707">
            <w:r>
              <w:rPr>
                <w:webHidden/>
                <w:rStyle w:val="IndexLink"/>
                <w:rtl w:val="true"/>
              </w:rPr>
              <w:t>مردان قبیله بنی اسد، بدن های مطهر شهدای کربلا را به خاک سپردند</w:t>
            </w:r>
            <w:r>
              <w:rPr>
                <w:rStyle w:val="IndexLink"/>
                <w:rtl w:val="true"/>
              </w:rPr>
              <w:tab/>
            </w:r>
            <w:r>
              <w:rPr>
                <w:rStyle w:val="IndexLink"/>
              </w:rPr>
              <w:t>130</w:t>
            </w:r>
          </w:hyperlink>
        </w:p>
        <w:p>
          <w:pPr>
            <w:pStyle w:val="Contents3"/>
            <w:tabs>
              <w:tab w:val="clear" w:pos="8459"/>
              <w:tab w:val="right" w:pos="9026" w:leader="dot"/>
            </w:tabs>
            <w:rPr/>
          </w:pPr>
          <w:hyperlink w:anchor="__RefHeading___Toc2713256_653776707">
            <w:r>
              <w:rPr>
                <w:webHidden/>
                <w:rStyle w:val="IndexLink"/>
                <w:rtl w:val="true"/>
              </w:rPr>
              <w:t>سرهایی که بعد از شهادت، از بدن جدا شدند</w:t>
            </w:r>
            <w:r>
              <w:rPr>
                <w:rStyle w:val="IndexLink"/>
                <w:rtl w:val="true"/>
              </w:rPr>
              <w:tab/>
            </w:r>
            <w:r>
              <w:rPr>
                <w:rStyle w:val="IndexLink"/>
              </w:rPr>
              <w:t>130</w:t>
            </w:r>
          </w:hyperlink>
        </w:p>
        <w:p>
          <w:pPr>
            <w:pStyle w:val="Contents3"/>
            <w:tabs>
              <w:tab w:val="clear" w:pos="8459"/>
              <w:tab w:val="right" w:pos="9026" w:leader="dot"/>
            </w:tabs>
            <w:rPr/>
          </w:pPr>
          <w:hyperlink w:anchor="__RefHeading___Toc2713258_653776707">
            <w:r>
              <w:rPr>
                <w:webHidden/>
                <w:rStyle w:val="IndexLink"/>
                <w:rtl w:val="true"/>
              </w:rPr>
              <w:t xml:space="preserve">کسانی که داوطلبانه به سپاه امام </w:t>
            </w:r>
            <w:r>
              <w:rPr>
                <w:rStyle w:val="IndexLink"/>
                <w:rtl w:val="true"/>
              </w:rPr>
              <w:t>(</w:t>
            </w:r>
            <w:r>
              <w:rPr>
                <w:rStyle w:val="IndexLink"/>
                <w:rtl w:val="true"/>
              </w:rPr>
              <w:t>علیه السلام</w:t>
            </w:r>
            <w:r>
              <w:rPr>
                <w:rStyle w:val="IndexLink"/>
                <w:rtl w:val="true"/>
              </w:rPr>
              <w:t xml:space="preserve">) </w:t>
            </w:r>
            <w:r>
              <w:rPr>
                <w:rStyle w:val="IndexLink"/>
                <w:rtl w:val="true"/>
              </w:rPr>
              <w:t>پیوستند</w:t>
            </w:r>
            <w:r>
              <w:rPr>
                <w:rStyle w:val="IndexLink"/>
                <w:rtl w:val="true"/>
              </w:rPr>
              <w:tab/>
            </w:r>
            <w:r>
              <w:rPr>
                <w:rStyle w:val="IndexLink"/>
              </w:rPr>
              <w:t>131</w:t>
            </w:r>
          </w:hyperlink>
        </w:p>
        <w:p>
          <w:pPr>
            <w:pStyle w:val="Contents3"/>
            <w:tabs>
              <w:tab w:val="clear" w:pos="8459"/>
              <w:tab w:val="right" w:pos="9026" w:leader="dot"/>
            </w:tabs>
            <w:rPr/>
          </w:pPr>
          <w:hyperlink w:anchor="__RefHeading___Toc2713260_653776707">
            <w:r>
              <w:rPr>
                <w:webHidden/>
                <w:rStyle w:val="IndexLink"/>
                <w:rtl w:val="true"/>
              </w:rPr>
              <w:t xml:space="preserve">اصحاب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که در رکاب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شهادت رسیدند</w:t>
            </w:r>
            <w:r>
              <w:rPr>
                <w:rStyle w:val="IndexLink"/>
                <w:rtl w:val="true"/>
              </w:rPr>
              <w:tab/>
            </w:r>
            <w:r>
              <w:rPr>
                <w:rStyle w:val="IndexLink"/>
              </w:rPr>
              <w:t>131</w:t>
            </w:r>
          </w:hyperlink>
        </w:p>
        <w:p>
          <w:pPr>
            <w:pStyle w:val="Contents3"/>
            <w:tabs>
              <w:tab w:val="clear" w:pos="8459"/>
              <w:tab w:val="right" w:pos="9026" w:leader="dot"/>
            </w:tabs>
            <w:rPr/>
          </w:pPr>
          <w:hyperlink w:anchor="__RefHeading___Toc2713262_653776707">
            <w:r>
              <w:rPr>
                <w:webHidden/>
                <w:rStyle w:val="IndexLink"/>
                <w:rtl w:val="true"/>
              </w:rPr>
              <w:t>غلامانی که در روز عاشورا شهید شدند</w:t>
            </w:r>
            <w:r>
              <w:rPr>
                <w:rStyle w:val="IndexLink"/>
                <w:rtl w:val="true"/>
              </w:rPr>
              <w:tab/>
            </w:r>
            <w:r>
              <w:rPr>
                <w:rStyle w:val="IndexLink"/>
              </w:rPr>
              <w:t>131</w:t>
            </w:r>
          </w:hyperlink>
        </w:p>
        <w:p>
          <w:pPr>
            <w:pStyle w:val="Contents3"/>
            <w:tabs>
              <w:tab w:val="clear" w:pos="8459"/>
              <w:tab w:val="right" w:pos="9026" w:leader="dot"/>
            </w:tabs>
            <w:rPr/>
          </w:pPr>
          <w:hyperlink w:anchor="__RefHeading___Toc2713264_653776707">
            <w:r>
              <w:rPr>
                <w:webHidden/>
                <w:rStyle w:val="IndexLink"/>
                <w:rtl w:val="true"/>
              </w:rPr>
              <w:t xml:space="preserve">کسانی که روز عاشورا بعد از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شهادت رسیدند</w:t>
            </w:r>
            <w:r>
              <w:rPr>
                <w:rStyle w:val="IndexLink"/>
                <w:rtl w:val="true"/>
              </w:rPr>
              <w:tab/>
            </w:r>
            <w:r>
              <w:rPr>
                <w:rStyle w:val="IndexLink"/>
              </w:rPr>
              <w:t>132</w:t>
            </w:r>
          </w:hyperlink>
        </w:p>
        <w:p>
          <w:pPr>
            <w:pStyle w:val="Contents3"/>
            <w:tabs>
              <w:tab w:val="clear" w:pos="8459"/>
              <w:tab w:val="right" w:pos="9026" w:leader="dot"/>
            </w:tabs>
            <w:rPr/>
          </w:pPr>
          <w:hyperlink w:anchor="__RefHeading___Toc2713266_653776707">
            <w:r>
              <w:rPr>
                <w:webHidden/>
                <w:rStyle w:val="IndexLink"/>
                <w:rtl w:val="true"/>
              </w:rPr>
              <w:t>کسانی که بر اثر جراحات وارده در جنگ عاشورا، پس از آن واقعه شهید شدند</w:t>
            </w:r>
            <w:r>
              <w:rPr>
                <w:rStyle w:val="IndexLink"/>
                <w:rtl w:val="true"/>
              </w:rPr>
              <w:tab/>
            </w:r>
            <w:r>
              <w:rPr>
                <w:rStyle w:val="IndexLink"/>
              </w:rPr>
              <w:t>132</w:t>
            </w:r>
          </w:hyperlink>
        </w:p>
        <w:p>
          <w:pPr>
            <w:pStyle w:val="Contents3"/>
            <w:tabs>
              <w:tab w:val="clear" w:pos="8459"/>
              <w:tab w:val="right" w:pos="9026" w:leader="dot"/>
            </w:tabs>
            <w:rPr/>
          </w:pPr>
          <w:hyperlink w:anchor="__RefHeading___Toc2713268_653776707">
            <w:r>
              <w:rPr>
                <w:webHidden/>
                <w:rStyle w:val="IndexLink"/>
                <w:rtl w:val="true"/>
              </w:rPr>
              <w:t>کسانی که در عاشورا، به همراه پدرشان شهید شدند</w:t>
            </w:r>
            <w:r>
              <w:rPr>
                <w:rStyle w:val="IndexLink"/>
                <w:rtl w:val="true"/>
              </w:rPr>
              <w:tab/>
            </w:r>
            <w:r>
              <w:rPr>
                <w:rStyle w:val="IndexLink"/>
              </w:rPr>
              <w:t>132</w:t>
            </w:r>
          </w:hyperlink>
        </w:p>
        <w:p>
          <w:pPr>
            <w:pStyle w:val="Contents3"/>
            <w:tabs>
              <w:tab w:val="clear" w:pos="8459"/>
              <w:tab w:val="right" w:pos="9026" w:leader="dot"/>
            </w:tabs>
            <w:rPr/>
          </w:pPr>
          <w:hyperlink w:anchor="__RefHeading___Toc2713270_653776707">
            <w:r>
              <w:rPr>
                <w:webHidden/>
                <w:rStyle w:val="IndexLink"/>
                <w:rtl w:val="true"/>
              </w:rPr>
              <w:t>برادرانی که در روز عاشورا شهید شدند</w:t>
            </w:r>
            <w:r>
              <w:rPr>
                <w:rStyle w:val="IndexLink"/>
                <w:rtl w:val="true"/>
              </w:rPr>
              <w:tab/>
            </w:r>
            <w:r>
              <w:rPr>
                <w:rStyle w:val="IndexLink"/>
              </w:rPr>
              <w:t>133</w:t>
            </w:r>
          </w:hyperlink>
        </w:p>
        <w:p>
          <w:pPr>
            <w:pStyle w:val="Contents3"/>
            <w:tabs>
              <w:tab w:val="clear" w:pos="8459"/>
              <w:tab w:val="right" w:pos="9026" w:leader="dot"/>
            </w:tabs>
            <w:rPr/>
          </w:pPr>
          <w:hyperlink w:anchor="__RefHeading___Toc2713272_653776707">
            <w:r>
              <w:rPr>
                <w:webHidden/>
                <w:rStyle w:val="IndexLink"/>
                <w:rtl w:val="true"/>
              </w:rPr>
              <w:t>کسانی که در کربلا شهید شدند و مادرشان در خیمه بود</w:t>
            </w:r>
            <w:r>
              <w:rPr>
                <w:rStyle w:val="IndexLink"/>
                <w:rtl w:val="true"/>
              </w:rPr>
              <w:tab/>
            </w:r>
            <w:r>
              <w:rPr>
                <w:rStyle w:val="IndexLink"/>
              </w:rPr>
              <w:t>133</w:t>
            </w:r>
          </w:hyperlink>
        </w:p>
        <w:p>
          <w:pPr>
            <w:pStyle w:val="Contents2"/>
            <w:tabs>
              <w:tab w:val="clear" w:pos="8743"/>
              <w:tab w:val="right" w:pos="9026" w:leader="dot"/>
            </w:tabs>
            <w:rPr/>
          </w:pPr>
          <w:hyperlink w:anchor="__RefHeading___Toc2713274_653776707">
            <w:r>
              <w:rPr>
                <w:webHidden/>
                <w:rStyle w:val="IndexLink"/>
                <w:rtl w:val="true"/>
              </w:rPr>
              <w:t>معرفی کتاب</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89_87475"/>
      <w:bookmarkStart w:id="1" w:name="pg8689_87475"/>
      <w:bookmarkEnd w:id="1"/>
    </w:p>
    <w:p>
      <w:pPr>
        <w:pStyle w:val="Heading2"/>
        <w:numPr>
          <w:ilvl w:val="1"/>
          <w:numId w:val="1"/>
        </w:numPr>
        <w:rPr/>
      </w:pPr>
      <w:bookmarkStart w:id="2" w:name="pg8689_87475"/>
      <w:bookmarkStart w:id="3" w:name="__RefHeading___Toc271300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ششم،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3004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689_87479"/>
    </w:p>
    <w:p>
      <w:pPr>
        <w:pStyle w:val="Heading2"/>
        <w:numPr>
          <w:ilvl w:val="1"/>
          <w:numId w:val="1"/>
        </w:numPr>
        <w:rPr/>
      </w:pPr>
      <w:bookmarkStart w:id="8" w:name="__RefHeading___Toc2713006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بررسی تطبیقی سوگواره های حسینی محتشم کاشانی و سیدحیدر حلی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دكتر حیدر محلاتی، علی حسن زاده</w:t>
      </w:r>
    </w:p>
    <w:p>
      <w:pPr>
        <w:pStyle w:val="BookText"/>
        <w:rPr/>
      </w:pPr>
      <w:r>
        <w:rPr>
          <w:rFonts w:ascii="IRNazanin" w:hAnsi="IRNazanin" w:eastAsia="IRNazanin"/>
          <w:color w:val="111111"/>
          <w:sz w:val="28"/>
          <w:sz w:val="28"/>
          <w:szCs w:val="28"/>
          <w:rtl w:val="true"/>
          <w:lang w:bidi="fa-IR"/>
        </w:rPr>
        <w:t xml:space="preserve">محتوای نامه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دکتر سیده سوسن فخرایی، حسین نامور</w:t>
      </w:r>
    </w:p>
    <w:p>
      <w:pPr>
        <w:pStyle w:val="BookText"/>
        <w:rPr/>
      </w:pPr>
      <w:r>
        <w:rPr>
          <w:rFonts w:ascii="IRNazanin" w:hAnsi="IRNazanin" w:eastAsia="IRNazanin"/>
          <w:color w:val="111111"/>
          <w:sz w:val="28"/>
          <w:sz w:val="28"/>
          <w:szCs w:val="28"/>
          <w:rtl w:val="true"/>
          <w:lang w:bidi="fa-IR"/>
        </w:rPr>
        <w:t>ریشه یابی علل ناصبی گری و دشمنی اهالی شام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محمدجعفر میلان نورانی، مجید سرکوبی</w:t>
      </w:r>
    </w:p>
    <w:p>
      <w:pPr>
        <w:pStyle w:val="BookText"/>
        <w:rPr/>
      </w:pPr>
      <w:r>
        <w:rPr>
          <w:rFonts w:ascii="IRNazanin" w:hAnsi="IRNazanin" w:eastAsia="IRNazanin"/>
          <w:color w:val="111111"/>
          <w:sz w:val="28"/>
          <w:sz w:val="28"/>
          <w:szCs w:val="28"/>
          <w:rtl w:val="true"/>
          <w:lang w:bidi="fa-IR"/>
        </w:rPr>
        <w:t xml:space="preserve">هویت های شش گانه در واقعه طف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دکترحسین خنیفر</w:t>
      </w:r>
    </w:p>
    <w:p>
      <w:pPr>
        <w:pStyle w:val="BookText"/>
        <w:rPr/>
      </w:pPr>
      <w:r>
        <w:rPr>
          <w:rFonts w:ascii="IRNazanin" w:hAnsi="IRNazanin" w:eastAsia="IRNazanin"/>
          <w:color w:val="111111"/>
          <w:sz w:val="28"/>
          <w:sz w:val="28"/>
          <w:szCs w:val="28"/>
          <w:rtl w:val="true"/>
          <w:lang w:bidi="fa-IR"/>
        </w:rPr>
        <w:t>بازنمایی امر قدسی در نمادهای مناسکی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نسیم کاهیرده، عفت دماوندی</w:t>
      </w:r>
    </w:p>
    <w:p>
      <w:pPr>
        <w:pStyle w:val="BookText"/>
        <w:rPr/>
      </w:pPr>
      <w:r>
        <w:rPr>
          <w:rFonts w:ascii="IRNazanin" w:hAnsi="IRNazanin" w:eastAsia="IRNazanin"/>
          <w:color w:val="111111"/>
          <w:sz w:val="28"/>
          <w:sz w:val="28"/>
          <w:szCs w:val="28"/>
          <w:rtl w:val="true"/>
          <w:lang w:bidi="fa-IR"/>
        </w:rPr>
        <w:t>تحریفات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مرضیه پوررجبی، آزاده ابراهیمی فخاری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89_87481"/>
      <w:bookmarkStart w:id="11" w:name="pg8689_87481"/>
      <w:bookmarkEnd w:id="11"/>
    </w:p>
    <w:p>
      <w:pPr>
        <w:pStyle w:val="Heading2"/>
        <w:numPr>
          <w:ilvl w:val="1"/>
          <w:numId w:val="1"/>
        </w:numPr>
        <w:rPr/>
      </w:pPr>
      <w:bookmarkStart w:id="12" w:name="pg8689_87481"/>
      <w:bookmarkStart w:id="13" w:name="__RefHeading___Toc2713008_653776707"/>
      <w:bookmarkStart w:id="14" w:name="_Toc4"/>
      <w:bookmarkEnd w:id="12"/>
      <w:bookmarkEnd w:id="13"/>
      <w:r>
        <w:rPr>
          <w:rtl w:val="true"/>
        </w:rPr>
        <w:t>بررسی تطبیقی سوگواره های حسینی محتشم کاشانی و سیدحیدر حلی</w:t>
      </w:r>
      <w:bookmarkEnd w:id="14"/>
    </w:p>
    <w:p>
      <w:pPr>
        <w:pStyle w:val="Heading3"/>
        <w:numPr>
          <w:ilvl w:val="2"/>
          <w:numId w:val="1"/>
        </w:numPr>
        <w:rPr/>
      </w:pPr>
      <w:bookmarkStart w:id="15" w:name="__RefHeading___Toc2713010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دكتر حیدر محلاتی</w:t>
      </w:r>
      <w:r>
        <w:rPr>
          <w:rStyle w:val="FootnoteAnchor"/>
          <w:rtl w:val="true"/>
        </w:rPr>
        <w:footnoteReference w:id="2"/>
      </w:r>
      <w:r>
        <w:rPr>
          <w:rFonts w:ascii="IRNazanin" w:hAnsi="IRNazanin" w:eastAsia="IRNazanin"/>
          <w:color w:val="111111"/>
          <w:sz w:val="28"/>
          <w:sz w:val="28"/>
          <w:szCs w:val="28"/>
          <w:rtl w:val="true"/>
          <w:lang w:bidi="fa-IR"/>
        </w:rPr>
        <w:t>علی حسن زاده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11/01/1400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19/04/1400</w:t>
      </w:r>
    </w:p>
    <w:p>
      <w:pPr>
        <w:pStyle w:val="BookText"/>
        <w:rPr/>
      </w:pPr>
      <w:r>
        <w:rPr>
          <w:rFonts w:ascii="IRNazanin" w:hAnsi="IRNazanin" w:eastAsia="IRNazanin"/>
          <w:color w:val="111111"/>
          <w:sz w:val="28"/>
          <w:sz w:val="28"/>
          <w:szCs w:val="28"/>
          <w:rtl w:val="true"/>
          <w:lang w:bidi="fa-IR"/>
        </w:rPr>
        <w:t>چکیده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از حماسی ترین رویدادهای تاریخی است که در ادبیات ملت های مختلف تأثیر بسیار عمیقی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 و عربی در قرون مختلف، این واقعۀ پر شور را از جنبه های گوناگون مورد بررسی قرار داده و درس های عبرت آموزی از آن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این رویداد مهم تاریخی بیشتر در مرثیه سرایی نمود یافته و شاعرانی با این رویکرد شهرۀ آفاق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rtl w:val="true"/>
          <w:lang w:bidi="fa-IR"/>
        </w:rPr>
        <w:t>(</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حیدر حلی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مشهورترین شاعران مرثیه سرا در ادبیات فارسی و عربی هستند که مشترکات فراوانی در به نظم کشیدن واقعۀ طف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حوزۀ ادبیات تطبیقی، با استفاده ازروش توصیفی تحلیلی، موضوعات و دیدگاه های مشترک این دو شاعر را در </w:t>
      </w:r>
      <w:bookmarkStart w:id="17" w:name="pg8689_87482"/>
    </w:p>
    <w:p>
      <w:pPr>
        <w:pStyle w:val="BookText"/>
        <w:rPr/>
      </w:pPr>
      <w:bookmarkEnd w:id="17"/>
      <w:r>
        <w:rPr>
          <w:rFonts w:ascii="IRNazanin" w:hAnsi="IRNazanin" w:eastAsia="IRNazanin"/>
          <w:color w:val="111111"/>
          <w:sz w:val="28"/>
          <w:sz w:val="28"/>
          <w:szCs w:val="28"/>
          <w:rtl w:val="true"/>
          <w:lang w:bidi="fa-IR"/>
        </w:rPr>
        <w:t>موضوع سوگ نامه های حسینی با ذکر شواهد شعری بررسی کرده تا ویژگی ها و تمایزات هر یک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بررسی اشعار رثایی این دو شاعر به دست می آید حاکی از تعهد دینی، عاطفۀ سرشار و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نشانه های شاخصی از هم متمایز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مرثیه سرایی، محتشم کاشانی، سید حیدر حلی، ادبیات تطبیقی</w:t>
      </w:r>
      <w:r>
        <w:rPr>
          <w:rFonts w:eastAsia="IRNazanin" w:cs="IRNazanin"/>
          <w:color w:val="111111"/>
          <w:sz w:val="28"/>
          <w:szCs w:val="28"/>
          <w:rtl w:val="true"/>
          <w:lang w:bidi="fa-IR"/>
        </w:rPr>
        <w:t>.</w:t>
      </w:r>
    </w:p>
    <w:p>
      <w:pPr>
        <w:pStyle w:val="Heading3"/>
        <w:numPr>
          <w:ilvl w:val="2"/>
          <w:numId w:val="1"/>
        </w:numPr>
        <w:rPr/>
      </w:pPr>
      <w:bookmarkStart w:id="18" w:name="__RefHeading___Toc2713012_653776707"/>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ادبیات تطبیقی در مطالعات علوم انسانی و اجتماعی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چنانچه هدف مقدس وگران سنگ باشد در حوزۀ اعتقادات و باورهای دینی دو چندان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 در حوزۀ ادبیات و به ویژه در زمینۀ شعر منجر به کشف نقاط مشترک فراوانی می شود که در میراث ادبی و هنری اقوام مختلف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اشتراکات و عمق بخشیدن به دستاوردهای ادبی شاعران از اهمیت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اشعار فارسی و عربی و بیان مشترکات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درک متقابل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 ترین مشترکات ادبی بین زبان فارسی و عربی سوگواره های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شعر مضامین مشترک فراوانی دارد که بررسی و پژوهش در این زمینه برای یافتن اهداف مشترک میراث فرهنگی دو زبان، بسیار ضروری و مهم است</w:t>
      </w:r>
      <w:r>
        <w:rPr>
          <w:rFonts w:eastAsia="IRNazanin" w:cs="IRNazanin"/>
          <w:color w:val="111111"/>
          <w:sz w:val="28"/>
          <w:szCs w:val="28"/>
          <w:rtl w:val="true"/>
          <w:lang w:bidi="fa-IR"/>
        </w:rPr>
        <w:t>.</w:t>
      </w:r>
    </w:p>
    <w:p>
      <w:pPr>
        <w:pStyle w:val="Heading3"/>
        <w:numPr>
          <w:ilvl w:val="2"/>
          <w:numId w:val="1"/>
        </w:numPr>
        <w:rPr/>
      </w:pPr>
      <w:bookmarkStart w:id="20" w:name="__RefHeading___Toc2713014_653776707"/>
      <w:bookmarkStart w:id="21" w:name="_Toc7"/>
      <w:bookmarkEnd w:id="20"/>
      <w:r>
        <w:rPr>
          <w:rtl w:val="true"/>
        </w:rPr>
        <w:t>بیان مسئله</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مرثیه سرایی و سوگواره های شعری از جمله انواع ادبی به شمار می روند کهاحساسات قلبی انسان را به صادق ترین وجه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بیان هنری همواره از تشبیه، تصویرسازی و تحریک عاطفی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شخص مورد رثا جایگاه شایسته ای در میان مردم داشته باشد، اثرگذاری شعر بسیار بالا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قداست و ارزش والایی که دارد به عنوان مهم ترین هدف رثایی در </w:t>
      </w:r>
      <w:bookmarkStart w:id="22" w:name="pg8689_87483"/>
    </w:p>
    <w:p>
      <w:pPr>
        <w:pStyle w:val="BookText"/>
        <w:rPr/>
      </w:pPr>
      <w:bookmarkEnd w:id="22"/>
      <w:r>
        <w:rPr>
          <w:rFonts w:ascii="IRNazanin" w:hAnsi="IRNazanin" w:eastAsia="IRNazanin"/>
          <w:color w:val="111111"/>
          <w:sz w:val="28"/>
          <w:sz w:val="28"/>
          <w:szCs w:val="28"/>
          <w:rtl w:val="true"/>
          <w:lang w:bidi="fa-IR"/>
        </w:rPr>
        <w:t>اشعار فارسی و عربی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بی شماری از زمان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 الهام گرفتن از شخصیت ایشان به مرثیه سرایی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کاشانی شاعر قرن دهم و سید حیدر حلی شاعر قرن سیزدهم دو چهرۀ سرشناس ادبیات فارسی و عربی به شمار می آیند که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مشترکات و تفاوت های این دو شاعر از نظر نظم سوگواره های حسینی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جستار در پی پاسخ به دو سؤال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اشتراکات موضوعی این دو شاعر در خصوص واقعۀ کربلا کدامند؟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شاعر در نظم سوگواره های حسینی از چه شیوه های بیانی و آرایه های بلاغی مشترک بهره بردند؟</w:t>
      </w:r>
    </w:p>
    <w:p>
      <w:pPr>
        <w:pStyle w:val="BookText"/>
        <w:rPr/>
      </w:pPr>
      <w:r>
        <w:rPr>
          <w:rFonts w:ascii="IRNazanin" w:hAnsi="IRNazanin" w:eastAsia="IRNazanin"/>
          <w:color w:val="111111"/>
          <w:sz w:val="28"/>
          <w:sz w:val="28"/>
          <w:szCs w:val="28"/>
          <w:rtl w:val="true"/>
          <w:lang w:bidi="fa-IR"/>
        </w:rPr>
        <w:t>با توجه به مطالعات اولیۀ و بر اساس سؤال های فوق می توان دو فرضیه را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توجه به ابعاد معنوی و روحانی واقعۀ طف و تصویرسازی حماسی این رویداد به دور از تصنع و تکلف شاعرانه از جمله اشتراکات موضوعی این دو شاعر به شمار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تمثیلات و استفاده از شیوه های خطابی و بهره مند شدن از اوزان آهنگین در شعر این دو شاعر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اولیه این پژوهش با بررسی دیوان های شعری دو شاعر مذکور،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شناسایی مشترکات شعری و آشنا شدن با تفاوت های این دو شاعر از روش توصیفی تحلیلی بهره برداری شده است</w:t>
      </w:r>
      <w:r>
        <w:rPr>
          <w:rFonts w:eastAsia="IRNazanin" w:cs="IRNazanin"/>
          <w:color w:val="111111"/>
          <w:sz w:val="28"/>
          <w:szCs w:val="28"/>
          <w:rtl w:val="true"/>
          <w:lang w:bidi="fa-IR"/>
        </w:rPr>
        <w:t>.</w:t>
      </w:r>
    </w:p>
    <w:p>
      <w:pPr>
        <w:pStyle w:val="Heading3"/>
        <w:numPr>
          <w:ilvl w:val="2"/>
          <w:numId w:val="1"/>
        </w:numPr>
        <w:rPr/>
      </w:pPr>
      <w:bookmarkStart w:id="23" w:name="__RefHeading___Toc2713016_653776707"/>
      <w:bookmarkStart w:id="24" w:name="_Toc8"/>
      <w:bookmarkEnd w:id="23"/>
      <w:r>
        <w:rPr>
          <w:rtl w:val="true"/>
        </w:rPr>
        <w:t>اهداف پژوهش</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اهداف مهم این پژوهش، نشان دادن میزان اثرپذیری شاعران فارسی و عربی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قیام تاریخی پیامدها و آثار مهمی بر جای گذاشته که نشانه های آن در میراث مکتوب شعری بسیار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عنوان مهم ترین رسانۀ مؤثر در افکار عمومی، در زندگی فردی و اجتماعی مردم از جایگاه ویژه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ماندگاری مرثیه های حسینی محتشم کاشانی و حلی و ثبت آن در حافظۀ مردم، نشانگر </w:t>
      </w:r>
      <w:bookmarkStart w:id="25" w:name="pg8689_87484"/>
    </w:p>
    <w:p>
      <w:pPr>
        <w:pStyle w:val="BookText"/>
        <w:rPr/>
      </w:pPr>
      <w:bookmarkEnd w:id="25"/>
      <w:r>
        <w:rPr>
          <w:rFonts w:ascii="IRNazanin" w:hAnsi="IRNazanin" w:eastAsia="IRNazanin"/>
          <w:color w:val="111111"/>
          <w:sz w:val="28"/>
          <w:sz w:val="28"/>
          <w:szCs w:val="28"/>
          <w:rtl w:val="true"/>
          <w:lang w:bidi="fa-IR"/>
        </w:rPr>
        <w:t>عمق علاقۀ مردم به مضامین و محتوای آهنگین این مرثیه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آشنا شدن با شیوه های بیانی دو شاعر در تصویرسازی وقایع کربلا و بیان ویژگی های فنی و هنری آن است</w:t>
      </w:r>
      <w:r>
        <w:rPr>
          <w:rFonts w:eastAsia="IRNazanin" w:cs="IRNazanin"/>
          <w:color w:val="111111"/>
          <w:sz w:val="28"/>
          <w:szCs w:val="28"/>
          <w:rtl w:val="true"/>
          <w:lang w:bidi="fa-IR"/>
        </w:rPr>
        <w:t>.</w:t>
      </w:r>
    </w:p>
    <w:p>
      <w:pPr>
        <w:pStyle w:val="Heading3"/>
        <w:numPr>
          <w:ilvl w:val="2"/>
          <w:numId w:val="1"/>
        </w:numPr>
        <w:rPr/>
      </w:pPr>
      <w:bookmarkStart w:id="26" w:name="__RefHeading___Toc2713018_653776707"/>
      <w:bookmarkStart w:id="27" w:name="_Toc9"/>
      <w:bookmarkEnd w:id="26"/>
      <w:r>
        <w:rPr>
          <w:rtl w:val="true"/>
        </w:rPr>
        <w:t>پیشینۀ پژوهش</w:t>
      </w:r>
      <w:bookmarkEnd w:id="27"/>
    </w:p>
    <w:p>
      <w:pPr>
        <w:pStyle w:val="BookText"/>
        <w:rPr/>
      </w:pPr>
      <w:r>
        <w:rPr>
          <w:rFonts w:ascii="IRNazanin" w:hAnsi="IRNazanin" w:eastAsia="IRNazanin"/>
          <w:color w:val="111111"/>
          <w:sz w:val="28"/>
          <w:sz w:val="28"/>
          <w:szCs w:val="28"/>
          <w:rtl w:val="true"/>
          <w:lang w:bidi="fa-IR"/>
        </w:rPr>
        <w:t xml:space="preserve">با توجه به بررسی های انجام شده، کتاب و مقاله ای با این موضوع و محتوا یافت نشد؛ اما پژوهش های مشابهی وجود دارد که درباره محتشم کاشانی و دیگر شاعران عرب زبان صورت گرفته، از جمله این پژوهش ها می توان به دو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مقایسه ای مرثیۀ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محتشم کاشانی و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یوسف لاطف</w:t>
      </w:r>
      <w:r>
        <w:rPr>
          <w:rStyle w:val="FootnoteAnchor"/>
          <w:rtl w:val="true"/>
        </w:rPr>
        <w:footnoteReference w:id="4"/>
      </w:r>
      <w:r>
        <w:rPr>
          <w:rFonts w:ascii="IRNazanin" w:hAnsi="IRNazanin" w:eastAsia="IRNazanin"/>
          <w:color w:val="111111"/>
          <w:sz w:val="28"/>
          <w:sz w:val="28"/>
          <w:szCs w:val="28"/>
          <w:rtl w:val="true"/>
          <w:lang w:bidi="fa-IR"/>
        </w:rPr>
        <w:t xml:space="preserve">و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مفهومی قصیدۀ سید مهدی بحرالعلوم ومقایسۀ آن با ترکیب بند محتشم کاشانی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28" w:name="__RefHeading___Toc2713020_653776707"/>
      <w:bookmarkStart w:id="29" w:name="_Toc10"/>
      <w:bookmarkEnd w:id="28"/>
      <w:r>
        <w:rPr>
          <w:rtl w:val="true"/>
        </w:rPr>
        <w:t>بحث</w:t>
      </w:r>
      <w:bookmarkEnd w:id="29"/>
    </w:p>
    <w:p>
      <w:pPr>
        <w:pStyle w:val="BookText"/>
        <w:rPr/>
      </w:pPr>
      <w:r>
        <w:rPr>
          <w:rFonts w:ascii="IRNazanin" w:hAnsi="IRNazanin" w:eastAsia="IRNazanin"/>
          <w:color w:val="111111"/>
          <w:sz w:val="28"/>
          <w:sz w:val="28"/>
          <w:szCs w:val="28"/>
          <w:rtl w:val="true"/>
          <w:lang w:bidi="fa-IR"/>
        </w:rPr>
        <w:t>شمس الشعرا مولانا کمال الدین علی معروف به محتشم کاشانی از شاعران پر آوازۀ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او بسیار مشهور بود و عمر خود را به سرودن مدایح و مراثی خاندان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کرد،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شاعر باعث توجه پادشاهان صفوی به ویژه شاه طهماسب شد و مورد احترام آنان قرار گرفت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به جا مانده از محتشم که نشان از پرکاری و قریحۀ شاعری وی است در پنج کتاب شعر و دو کتاب نثر گردآوری شده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اشعار دوران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اشعار دوران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اشعار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در نظم و نثر 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ترین سوگواره های محتشم، ترکیب بندی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است که در رثای شهیدان کربلا سروده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مرثیه موجب شهرت وی شده و مابقی اشعارش به تبع از این مرثیه به شهرت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سلاست و روانی کلام محتشم در این ترکیب بند و دوری وی از هرگونه تصنع و تکلف منجر به گرایش مردم به این شعر زیبا و جاودانگی این اثر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قریشی زاده،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خلوص نیت و عشق واقعی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در ماندگاری و جاودانگی این شعر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این ترکیب بند به ادبیات عرب نیز سرایت داشته و سید مهدی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ومحدث نامدار عصر خود به تقلید از این شعر محتشم پرداخته و قصیده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الاثنی عشر فی رثاء سادات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به زبان عربی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علی رغم اشتراکات فراوان موضوعی و ساختاری، تطابق کاملی با قصیدۀ محتشم نداشته به همین خاطر تمایزها و تفاوت های قابل ملاحظه ای با شعر مذکور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دوم این پژوهش تطبیقی سید حیدر بن سلیمان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خود را در دو سالگی از دست داد و در کنف عموی خود پرورش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به حفظ اشعار عربی پرداخت و در نوجوانی به نظم قصاید سترگ همت گماشت و در محافل ادبی مورد توجه شاعران صاحب نام در عصر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حلی در قصیده سرایی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نثر نیز صاحب قلم بود و بیانی منحصر به فرد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حلی در نظم اشعار ولایی همانند محتشم یک رویکرد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تلاش خود را در ترویج مناقب خاندان نبوت مبذول داشته و در این راه قصاید مشهوری بر سر زبان ها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رسا بودن مفاهیم و مضامین اشعار حلی موجب حفظ بسیاری از این اشعار توسط مردم شده و این یکی از نکته های مشترک این شاعر با محتشم کاشانی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سید حیدر حلی آثار ارزشمندی به جا مانده که مهم ترین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سید حیدر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دیگر وی کتاب العقد المفصل فی نعت قبیله المجد المؤثل است که یک جُنگ ادبی بوده و دارای مطالب بسیار مهم تاریخی و تراثی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پس ازعمری تلاش خالصانه در مدح و رثای </w:t>
      </w:r>
      <w:bookmarkStart w:id="30" w:name="pg8689_87486"/>
    </w:p>
    <w:p>
      <w:pPr>
        <w:pStyle w:val="BookText"/>
        <w:rPr/>
      </w:pPr>
      <w:bookmarkEnd w:id="30"/>
      <w:r>
        <w:rPr>
          <w:rFonts w:ascii="IRNazanin" w:hAnsi="IRNazanin" w:eastAsia="IRNazanin"/>
          <w:color w:val="111111"/>
          <w:sz w:val="28"/>
          <w:sz w:val="28"/>
          <w:szCs w:val="28"/>
          <w:rtl w:val="true"/>
          <w:lang w:bidi="fa-IR"/>
        </w:rPr>
        <w:t xml:space="preserve">خاندان نبوت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دار فانی را وداع گفت و در شهر نجف به 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کاشانی و سید حیدر حلی در مضامین و موضوعات مختلف شعری مانند مدح، وصف، غزل و دیگر گونه های شعری قصاید بسیار زیبایی سرودند که به طور اعم از تفاوت های قابل توجهی برخوردار هستند؛ اما این دو شاعر در موضوع رثاء و به ویژه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مشترک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ها هم در ساختار و هم در محتوا و مضامین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در مرثیه سرایی حسینی به ویژه در ترکیب بندهای جاودانه اش از اصولی پیروی می کند که در غالب این نوع اشعار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محتوایی، تسلسل رویدادها، تأمل در نظم و ویرایش شعر، عمق احساسات عاطفی، بیان موضوعات ارزشی در قالب داستانی و استفاده از آرایه های بلاغی از قبیل صنایع لفظی و ادبی از جمله اصولی است که محتشم در سرودن سوگواره های حسینی بدان پای 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حلی نیز خصوصیات عمومی فوق را در اشعار رثایی خود به کار برده و غالب اشعار مذهبی ایشان با همان ویژگی های مذکور قابل شناسایی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موضوعات با پیروی از یک تسلسل منطقی و بیان فاجعۀ طف به شیوۀ داستانی با حفظ معیارهای ارزشی و اعتقادی از جمله مواردی هستند که سید حیدر حلی بدان توجه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موارد فوق، برای ویرایش اشعار خود اهمیت فراوانی قائل بود تاجایی که این قصاید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حولیات بدین معنا است که شاعر در چند ماهو گاه در یک سال به نظم و ویرایش قصیدۀ خود مشغول می شده تا قصیده از هرگونه اضافات تهی گردد و سپس به سمع عموم رسانده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31" w:name="__RefHeading___Toc2713022_653776707"/>
      <w:bookmarkStart w:id="32" w:name="_Toc11"/>
      <w:bookmarkEnd w:id="31"/>
      <w:r>
        <w:rPr>
          <w:rtl w:val="true"/>
        </w:rPr>
        <w:t>نکات مشترک دو شاعر در مرثیه سرایی حسینی</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مرثیه های محتشم و حلی علاوه بر خصوصیات مشترک کلی که پیش از این بیان شد، دارای موارد اشتراکی فراوانی هستند که در بیشتر مرثیه های حسینی این دو شاعر قابل </w:t>
      </w:r>
      <w:bookmarkStart w:id="33" w:name="pg8689_87487"/>
    </w:p>
    <w:p>
      <w:pPr>
        <w:pStyle w:val="BookText"/>
        <w:rPr/>
      </w:pPr>
      <w:bookmarkEnd w:id="33"/>
      <w:r>
        <w:rPr>
          <w:rFonts w:ascii="IRNazanin" w:hAnsi="IRNazanin" w:eastAsia="IRNazanin"/>
          <w:color w:val="111111"/>
          <w:sz w:val="28"/>
          <w:sz w:val="28"/>
          <w:szCs w:val="28"/>
          <w:rtl w:val="true"/>
          <w:lang w:bidi="fa-IR"/>
        </w:rPr>
        <w:t>مشاهده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مشترکات عبارتند از</w:t>
      </w:r>
      <w:r>
        <w:rPr>
          <w:rFonts w:eastAsia="IRNazanin" w:cs="IRNazanin"/>
          <w:color w:val="111111"/>
          <w:sz w:val="28"/>
          <w:szCs w:val="28"/>
          <w:rtl w:val="true"/>
          <w:lang w:bidi="fa-IR"/>
        </w:rPr>
        <w:t>:</w:t>
      </w:r>
    </w:p>
    <w:p>
      <w:pPr>
        <w:pStyle w:val="Heading3"/>
        <w:numPr>
          <w:ilvl w:val="2"/>
          <w:numId w:val="1"/>
        </w:numPr>
        <w:rPr/>
      </w:pPr>
      <w:bookmarkStart w:id="34" w:name="__RefHeading___Toc2713024_653776707"/>
      <w:bookmarkStart w:id="35" w:name="_Toc12"/>
      <w:bookmarkEnd w:id="34"/>
      <w:r>
        <w:rPr>
          <w:rtl w:val="true"/>
        </w:rPr>
        <w:t xml:space="preserve">توسّل جستن به امام حسین </w:t>
      </w:r>
      <w:r>
        <w:rPr>
          <w:rtl w:val="true"/>
        </w:rPr>
        <w:t>(</w:t>
      </w:r>
      <w:r>
        <w:rPr>
          <w:rtl w:val="true"/>
        </w:rPr>
        <w:t>علیه السلام</w:t>
      </w:r>
      <w:r>
        <w:rPr>
          <w:rtl w:val="true"/>
        </w:rPr>
        <w:t>)</w:t>
      </w:r>
      <w:bookmarkEnd w:id="35"/>
    </w:p>
    <w:p>
      <w:pPr>
        <w:pStyle w:val="BookText"/>
        <w:rPr/>
      </w:pP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باورهای دینی شیعی یکی از راه های استجابت دعا و روا شدن حاجت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دعاهای مأثور همواره با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مدد جستن از خاندان وی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خداوند از ره گذر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مایۀ رستگاری و به جز این مایۀ هلاک و تباهی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الله بنا أفلح، و مَن دعاه بغیرنا هلك و استهلك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با بیان مقام اولیاء خدا، آنان را خزانه داران علم و نگهبانان دین و جانشینان حقیقی پروردگار متعال در زمین و پاكترین مردم و وسیلۀ نجات در آخرت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أطائب أهل بیته الذین اخترتهم لأمرك، وجعلتهم خَزَنه علمِك، وحَفَظَه دینك، وخُلفاءك فی أرضك، وحُججَك علی عبادك، وطهّرتهم من الرجس والدّنَسِ تطهیراً بإرادتك، وجعلتهم الوسیله الیك، والمسلك الی جَنّتك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اینگفتۀ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نص صریح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تطهیر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الرِّجسَ اَهلَ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مائده،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کاشانی با پیروی از این اصل، اشعار خود را با توسل به خاندان نبوت آغاز می کند و برای اجابت دعا و برآورده شدن حاجت خود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عبد الله اینک تشنۀ ابر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پی یک قطره پویان بر لب بحر سخاست</w:t>
      </w:r>
    </w:p>
    <w:p>
      <w:pPr>
        <w:pStyle w:val="BookText"/>
        <w:rPr/>
      </w:pPr>
      <w:r>
        <w:rPr>
          <w:rFonts w:ascii="IRNazanin" w:hAnsi="IRNazanin" w:eastAsia="IRNazanin"/>
          <w:color w:val="111111"/>
          <w:sz w:val="28"/>
          <w:sz w:val="28"/>
          <w:szCs w:val="28"/>
          <w:rtl w:val="true"/>
          <w:lang w:bidi="fa-IR"/>
        </w:rPr>
        <w:t xml:space="preserve">یا ولی الله گدای آستانت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عجز ونیاز استاده بی برگ ونواست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از درماندگی دست دعا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قبول توست حاصل آنچه او را مدعاست </w:t>
      </w:r>
    </w:p>
    <w:p>
      <w:pPr>
        <w:pStyle w:val="BookText"/>
        <w:rPr/>
      </w:pPr>
      <w:r>
        <w:rPr>
          <w:rFonts w:ascii="IRNazanin" w:hAnsi="IRNazanin" w:eastAsia="IRNazanin"/>
          <w:color w:val="111111"/>
          <w:sz w:val="28"/>
          <w:sz w:val="28"/>
          <w:szCs w:val="28"/>
          <w:rtl w:val="true"/>
          <w:lang w:bidi="fa-IR"/>
        </w:rPr>
        <w:t xml:space="preserve">از هوای نفس عصیان دوست هرچند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بزم گناه وراکب رخش خطاست</w:t>
      </w:r>
    </w:p>
    <w:p>
      <w:pPr>
        <w:pStyle w:val="BookText"/>
        <w:rPr/>
      </w:pPr>
      <w:r>
        <w:rPr>
          <w:rFonts w:ascii="IRNazanin" w:hAnsi="IRNazanin" w:eastAsia="IRNazanin"/>
          <w:color w:val="111111"/>
          <w:sz w:val="28"/>
          <w:sz w:val="28"/>
          <w:szCs w:val="28"/>
          <w:rtl w:val="true"/>
          <w:lang w:bidi="fa-IR"/>
        </w:rPr>
        <w:t xml:space="preserve">چون غبار آلود دشت کربلا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عصیان گر ز دامانش بیفشانی رواست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حیدر حلی نیز همین رویه را دنبال می کند، واصل، توسل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می دهد تا بر مشکلات روزگار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معیشتی سید حیدر حلی چندان مساعد نبود و همیشه کمبودهای مالی و مادی دغدغۀ خاطرش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نیز چنین وضعیتی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شاعر در انعکاس فقر خود مشترک هستند و معمولاً این بیان دردمندانه پس از توسل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همانند محتشم حاجت خود را پس از توسل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خداوند متعال، تنها پناهگاه وکمک رسان معرفی می کند و از ایشان جهت رفع نیازهایش کمک می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اُعوّد منكَ غیرَ 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کیفَ لا أرجوكَ فی کُلِّ مُعضلِ</w:t>
      </w:r>
    </w:p>
    <w:p>
      <w:pPr>
        <w:pStyle w:val="BookText"/>
        <w:rPr/>
      </w:pPr>
      <w:r>
        <w:rPr>
          <w:rFonts w:ascii="Amiri" w:hAnsi="Amiri" w:eastAsia="Amiri" w:cs="Amiri"/>
          <w:color w:val="111111"/>
          <w:sz w:val="28"/>
          <w:sz w:val="28"/>
          <w:szCs w:val="28"/>
          <w:rtl w:val="true"/>
          <w:lang w:bidi="ar-SA"/>
        </w:rPr>
        <w:t xml:space="preserve">وإیّاكَ فی عتبی اُطیلُ جراءةً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فی کل الامور مؤمّلی</w:t>
      </w:r>
    </w:p>
    <w:p>
      <w:pPr>
        <w:pStyle w:val="BookText"/>
        <w:rPr/>
      </w:pPr>
      <w:r>
        <w:rPr>
          <w:rFonts w:ascii="Amiri" w:hAnsi="Amiri" w:eastAsia="Amiri" w:cs="Amiri"/>
          <w:color w:val="111111"/>
          <w:sz w:val="28"/>
          <w:sz w:val="28"/>
          <w:szCs w:val="28"/>
          <w:rtl w:val="true"/>
          <w:lang w:bidi="ar-SA"/>
        </w:rPr>
        <w:t xml:space="preserve">وأنّكَ بعدَ اللهِ للمُرتجی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اتکالی بل علیه مُعوّلی</w:t>
      </w:r>
    </w:p>
    <w:p>
      <w:pPr>
        <w:pStyle w:val="BookText"/>
        <w:rPr/>
      </w:pPr>
      <w:r>
        <w:rPr>
          <w:rFonts w:ascii="Amiri" w:hAnsi="Amiri" w:eastAsia="Amiri" w:cs="Amiri"/>
          <w:color w:val="111111"/>
          <w:sz w:val="28"/>
          <w:sz w:val="28"/>
          <w:szCs w:val="28"/>
          <w:rtl w:val="true"/>
          <w:lang w:bidi="ar-SA"/>
        </w:rPr>
        <w:t xml:space="preserve">ومذ سدّ أبواب الرجا دونَ مقصدی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بعتبی منكَ بابَ التفضّلِ</w:t>
      </w:r>
    </w:p>
    <w:p>
      <w:pPr>
        <w:pStyle w:val="BookText"/>
        <w:rPr/>
      </w:pPr>
      <w:r>
        <w:rPr>
          <w:rFonts w:ascii="Amiri" w:hAnsi="Amiri" w:eastAsia="Amiri" w:cs="Amiri"/>
          <w:color w:val="111111"/>
          <w:sz w:val="28"/>
          <w:sz w:val="28"/>
          <w:szCs w:val="28"/>
          <w:rtl w:val="true"/>
          <w:lang w:bidi="ar-SA"/>
        </w:rPr>
        <w:t xml:space="preserve">أأصدرُ ضمآناً وقد جئتُ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رجائیَ من جدواكَ أعذبَ مَنهلِ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بیان سید حیدر حلی در توسل جستن همانند محتشم کاشانی یک شیوۀ خطابی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شاعر،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مستقیم و بی واسطه مورد خطاب قرار می دهند و از هرگونه مقدمه چینی و تمهیدات اولیه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نشانگر تعلق خاطر و محبت صمیمانۀ دو شاعر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غالب مرثیه های حسینی قابل مشاهده است</w:t>
      </w:r>
      <w:r>
        <w:rPr>
          <w:rFonts w:eastAsia="IRNazanin" w:cs="IRNazanin"/>
          <w:color w:val="111111"/>
          <w:sz w:val="28"/>
          <w:szCs w:val="28"/>
          <w:rtl w:val="true"/>
          <w:lang w:bidi="fa-IR"/>
        </w:rPr>
        <w:t xml:space="preserve">. </w:t>
      </w:r>
      <w:bookmarkStart w:id="36" w:name="pg8689_87489"/>
    </w:p>
    <w:p>
      <w:pPr>
        <w:pStyle w:val="Heading3"/>
        <w:numPr>
          <w:ilvl w:val="2"/>
          <w:numId w:val="1"/>
        </w:numPr>
        <w:rPr/>
      </w:pPr>
      <w:bookmarkStart w:id="37" w:name="__RefHeading___Toc2713026_653776707"/>
      <w:bookmarkStart w:id="38" w:name="_Toc13"/>
      <w:bookmarkEnd w:id="36"/>
      <w:bookmarkEnd w:id="37"/>
      <w:r>
        <w:rPr>
          <w:rtl w:val="true"/>
        </w:rPr>
        <w:t>گریستن فرشتگان در سوگ امام حسین</w:t>
      </w:r>
      <w:bookmarkEnd w:id="38"/>
    </w:p>
    <w:p>
      <w:pPr>
        <w:pStyle w:val="BookText"/>
        <w:rPr/>
      </w:pPr>
      <w:r>
        <w:rPr>
          <w:rFonts w:ascii="IRNazanin" w:hAnsi="IRNazanin" w:eastAsia="IRNazanin"/>
          <w:color w:val="111111"/>
          <w:sz w:val="28"/>
          <w:sz w:val="28"/>
          <w:szCs w:val="28"/>
          <w:rtl w:val="true"/>
          <w:lang w:bidi="fa-IR"/>
        </w:rPr>
        <w:t>واقعه طف که منجر به شهادت امام حسین و یارانش شده، آنچنان سخت و سهمگین بود که دل هر انسان آزاده ای را به درد می آورد و غم و غصه را به اوج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 دو شاعر این مصیبت جانکاه نه تنها انسانهای روی زمین را به گریه و شیون واداشته بلکه فرشتگان و ملائک آسمان نیز از غصه این فاجعه به گریه وزاری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 ضمن بیان رستاخیز ملائک در عصر عاشورا و توصیف غلتیدن آنها در کارزار اشک و خون ، صحنه شهادت امام ها را به مؤثرترین شکل ممکن تصویرسازی میکند و با استفاده از آرایه های بلاغی بسیار زیبا بیشترین اثر را در ذهن مخاطب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آوایی واژه ها تناسب تمثیلات و تشبیهات، روانی وزن و گیرایی قافیه را یک جا میتوان در این سه بیت زیبا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 کز دست چرخ فتنه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افتاد آن سرو سر افراز</w:t>
      </w:r>
    </w:p>
    <w:p>
      <w:pPr>
        <w:pStyle w:val="BookText"/>
        <w:rPr/>
      </w:pPr>
      <w:r>
        <w:rPr>
          <w:rFonts w:ascii="IRNazanin" w:hAnsi="IRNazanin" w:eastAsia="IRNazanin"/>
          <w:color w:val="111111"/>
          <w:sz w:val="28"/>
          <w:sz w:val="28"/>
          <w:szCs w:val="28"/>
          <w:rtl w:val="true"/>
          <w:lang w:bidi="fa-IR"/>
        </w:rPr>
        <w:t xml:space="preserve">غبار از عرصۀ غبرا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از گنبد خضرا بر آمد</w:t>
      </w:r>
    </w:p>
    <w:p>
      <w:pPr>
        <w:pStyle w:val="BookText"/>
        <w:rPr/>
      </w:pPr>
      <w:r>
        <w:rPr>
          <w:rFonts w:ascii="IRNazanin" w:hAnsi="IRNazanin" w:eastAsia="IRNazanin"/>
          <w:color w:val="111111"/>
          <w:sz w:val="28"/>
          <w:sz w:val="28"/>
          <w:szCs w:val="28"/>
          <w:rtl w:val="true"/>
          <w:lang w:bidi="fa-IR"/>
        </w:rPr>
        <w:t xml:space="preserve">ملایک بی خود از گردون 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کشتگان در خون فتادند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مرثیه های سید حیدر حلی نیز ذکر شده و شاعر به عظمت مصیبت و اهمیت آن در زمین و آسمان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 زیر، شاعر بر خلاف محتشم کاشانی از آرایه های کمتری استفاده کرده و گریستن ملائک را با بیان بسیار ساده اما آهنگین به تصویر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فَبعَینی اسودّ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لِرُزءِ مُدرکةِ الصیاحِ</w:t>
      </w:r>
    </w:p>
    <w:p>
      <w:pPr>
        <w:pStyle w:val="BookText"/>
        <w:rPr/>
      </w:pPr>
      <w:r>
        <w:rPr>
          <w:rFonts w:ascii="Amiri" w:hAnsi="Amiri" w:eastAsia="Amiri" w:cs="Amiri"/>
          <w:color w:val="111111"/>
          <w:sz w:val="28"/>
          <w:sz w:val="28"/>
          <w:szCs w:val="28"/>
          <w:rtl w:val="true"/>
          <w:lang w:bidi="ar-SA"/>
        </w:rPr>
        <w:t xml:space="preserve">وتجاوبت فوقَ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الملائكِ بالنیاحِ</w:t>
      </w:r>
    </w:p>
    <w:p>
      <w:pPr>
        <w:pStyle w:val="BookText"/>
        <w:rPr/>
      </w:pPr>
      <w:r>
        <w:rPr>
          <w:rFonts w:ascii="Amiri" w:hAnsi="Amiri" w:eastAsia="Amiri" w:cs="Amiri"/>
          <w:color w:val="111111"/>
          <w:sz w:val="28"/>
          <w:sz w:val="28"/>
          <w:szCs w:val="28"/>
          <w:rtl w:val="true"/>
          <w:lang w:bidi="ar-SA"/>
        </w:rPr>
        <w:t xml:space="preserve">جَزعاً لیومٍ فیه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الفسادُ علی الصلاحِ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شاعر به اهداف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چگونه توسط فساد بنی امیه به خاک وخون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 روشن و گویا هدف قیام خود را اصلاح امور </w:t>
      </w:r>
      <w:bookmarkStart w:id="39" w:name="pg8689_87490"/>
    </w:p>
    <w:p>
      <w:pPr>
        <w:pStyle w:val="BookText"/>
        <w:rPr/>
      </w:pPr>
      <w:bookmarkEnd w:id="39"/>
      <w:r>
        <w:rPr>
          <w:rFonts w:ascii="IRNazanin" w:hAnsi="IRNazanin" w:eastAsia="IRNazanin"/>
          <w:color w:val="111111"/>
          <w:sz w:val="28"/>
          <w:sz w:val="28"/>
          <w:szCs w:val="28"/>
          <w:rtl w:val="true"/>
          <w:lang w:bidi="fa-IR"/>
        </w:rPr>
        <w:t>عنوان می کند، نه افساد و آشوب و شورش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أخرج أشراً ولابطراً ولامفسداً ولاظالماً وانما خرجت لطلب الاصلاح فی أمّة جدی صلی الله علیه وآله أرید أن آمر بالمعروف وأنهی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1983:44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گریستن عالمیان بر مصیبت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محتشم و حلی به وضوح دیده شده و نشانگر اهمیت این مسأله نزد دو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از منظر عاطفۀ راستین و در قالب تصویرهای جانبخش و پویا به مخاطب عرضه شود، واکنش چشمگیری از سوی مخاطب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محتشم و حلی با درک این موضوع سعی در جاودانگی و ماندگاری شعرشان در ذهن مخاطبان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دو شاعر در تحقق این هدف موفق بودند، چون این اشعار در قالب یک سرودۀ مردم پسند تصویری تنظیم شده و به جاودانگی رسیده است</w:t>
      </w:r>
      <w:r>
        <w:rPr>
          <w:rFonts w:eastAsia="IRNazanin" w:cs="IRNazanin"/>
          <w:color w:val="111111"/>
          <w:sz w:val="28"/>
          <w:szCs w:val="28"/>
          <w:rtl w:val="true"/>
          <w:lang w:bidi="fa-IR"/>
        </w:rPr>
        <w:t>.</w:t>
      </w:r>
    </w:p>
    <w:p>
      <w:pPr>
        <w:pStyle w:val="Heading3"/>
        <w:numPr>
          <w:ilvl w:val="2"/>
          <w:numId w:val="1"/>
        </w:numPr>
        <w:rPr/>
      </w:pPr>
      <w:bookmarkStart w:id="40" w:name="__RefHeading___Toc2713028_653776707"/>
      <w:bookmarkStart w:id="41" w:name="_Toc14"/>
      <w:bookmarkEnd w:id="40"/>
      <w:r>
        <w:rPr>
          <w:rtl w:val="true"/>
        </w:rPr>
        <w:t>توصیف تشنگی و سوز عطش در صحرای کربلا</w:t>
      </w:r>
      <w:bookmarkEnd w:id="41"/>
    </w:p>
    <w:p>
      <w:pPr>
        <w:pStyle w:val="BookText"/>
        <w:rPr/>
      </w:pPr>
      <w:r>
        <w:rPr>
          <w:rFonts w:ascii="IRNazanin" w:hAnsi="IRNazanin" w:eastAsia="IRNazanin"/>
          <w:color w:val="111111"/>
          <w:sz w:val="28"/>
          <w:sz w:val="28"/>
          <w:szCs w:val="28"/>
          <w:rtl w:val="true"/>
          <w:lang w:bidi="fa-IR"/>
        </w:rPr>
        <w:t xml:space="preserve">رفتار لشکریان بنی امیه در ممانعت از آب رساندن به یاران و همراهان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بسیار حزن انگیزی را پدید آورد که گاه توصیف آن ناممکن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کودکان و خردسالانی که در کاروان کربلا در پی جرعۀ آب به تکاپو افتادند و تلاش مردان این کاروان برای سیراب کردن تشنگان تصویری را به نمایش می گذارد که در باور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 و سید حیدر حلی این وضعیت حزن انگیز را به خوبی درک کردند و نیک می دانستند که بیان این تصویر دردناک نه تنها بر اثرگذاری شعر می افزاید بلکه ماندگاری آن را نیز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تشنگی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به تصویر می کشد که تمامی احساسات و عواطف قلبی مخاطب را به چالش می کشد و خلق و خوی انسانی را مورد سؤال قرار می دهد که چگونه این رفتارهای ضد بشری بر مهمانان روا می گرددو چگونه آدمیان با این خصلت های ددمنشانه، خود را انسان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دیو ودد همه سیراب ومی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ز قحط آب سلیمان کربلا </w:t>
      </w:r>
    </w:p>
    <w:p>
      <w:pPr>
        <w:pStyle w:val="BookText"/>
        <w:rPr/>
      </w:pPr>
      <w:r>
        <w:rPr>
          <w:rFonts w:ascii="IRNazanin" w:hAnsi="IRNazanin" w:eastAsia="IRNazanin"/>
          <w:color w:val="111111"/>
          <w:sz w:val="28"/>
          <w:sz w:val="28"/>
          <w:szCs w:val="28"/>
          <w:rtl w:val="true"/>
          <w:lang w:bidi="fa-IR"/>
        </w:rPr>
        <w:t xml:space="preserve">زان تشنگان هنوز به عیوق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العطش ز بیابان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سه بیت شاعر توانسته پیام مظلومیت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بیان کند و در مقابل نگون بختی، اشقیاء را آشکارا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با توانمندی شاعرانۀ خود و با به کارگیری فنون اغراق و مبالغه، عطش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اوج آسمان ها می رساند تا تمامی جهانیان پی به عمق واقعۀ کربلا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لاطف،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حلی نیز به این موضوع پرداخته و در چند قصیده تشنگی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بیانی جان سوز تشنه لبان دشت کربلا را رهپویانی دانسته که در گرمای سوزناک عراق آبی جز مرگ نیافتند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فَثوَت بأفئدةٍ صَوادٍ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 یبلُّ سوی الردی أحشاءَها</w:t>
      </w:r>
    </w:p>
    <w:p>
      <w:pPr>
        <w:pStyle w:val="BookText"/>
        <w:rPr/>
      </w:pPr>
      <w:r>
        <w:rPr>
          <w:rFonts w:ascii="Amiri" w:hAnsi="Amiri" w:eastAsia="Amiri" w:cs="Amiri"/>
          <w:color w:val="111111"/>
          <w:sz w:val="28"/>
          <w:sz w:val="28"/>
          <w:szCs w:val="28"/>
          <w:rtl w:val="true"/>
          <w:lang w:bidi="ar-SA"/>
        </w:rPr>
        <w:t xml:space="preserve">تغلی الهواجرُ من هَجیرِ غَلیلها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کان یوقدُ حرُّهُ رمضاءَها</w:t>
      </w:r>
    </w:p>
    <w:p>
      <w:pPr>
        <w:pStyle w:val="BookText"/>
        <w:rPr/>
      </w:pPr>
      <w:r>
        <w:rPr>
          <w:rFonts w:ascii="Amiri" w:hAnsi="Amiri" w:eastAsia="Amiri" w:cs="Amiri"/>
          <w:color w:val="111111"/>
          <w:sz w:val="28"/>
          <w:sz w:val="28"/>
          <w:szCs w:val="28"/>
          <w:rtl w:val="true"/>
          <w:lang w:bidi="ar-SA"/>
        </w:rPr>
        <w:t xml:space="preserve">ما حالُ صائمةِ الجوانحِ أفطرَت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وهل تروی الدما إظماءَها</w:t>
      </w:r>
    </w:p>
    <w:p>
      <w:pPr>
        <w:pStyle w:val="BookText"/>
        <w:rPr/>
      </w:pPr>
      <w:r>
        <w:rPr>
          <w:rFonts w:ascii="Amiri" w:hAnsi="Amiri" w:eastAsia="Amiri" w:cs="Amiri"/>
          <w:color w:val="111111"/>
          <w:sz w:val="28"/>
          <w:sz w:val="28"/>
          <w:szCs w:val="28"/>
          <w:rtl w:val="true"/>
          <w:lang w:bidi="ar-SA"/>
        </w:rPr>
        <w:t xml:space="preserve">وأراكَ تُنشیء یا غمامُ علی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 وتروی من حیاكَ ظِماءَها</w:t>
      </w:r>
    </w:p>
    <w:p>
      <w:pPr>
        <w:pStyle w:val="BookText"/>
        <w:rPr/>
      </w:pPr>
      <w:r>
        <w:rPr>
          <w:rFonts w:ascii="Amiri" w:hAnsi="Amiri" w:eastAsia="Amiri" w:cs="Amiri"/>
          <w:color w:val="111111"/>
          <w:sz w:val="28"/>
          <w:sz w:val="28"/>
          <w:szCs w:val="28"/>
          <w:rtl w:val="true"/>
          <w:lang w:bidi="ar-SA"/>
        </w:rPr>
        <w:t xml:space="preserve">وقلوبُ أبناء النبی تفطّرت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 بقَفرٍ أرمضت أشلاءَها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شاعر در بیت چهارم از ضمیر غایب به ضمیر مخاطب، ذهن مستمع و خواننده را به تکاپو فرا خوانده تا از یکنواختی ملال آور و طولانی شدن آهنگ شعر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گریزهای لطیف و شگردهای فنی شاعر، روانی و سلاست خاصی به شعر بخشیده و این روانی در کنار تکرار واژه های مترادفابر و باران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بیشتری یافته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تصویرهای دو شاعر ابتکارها و نوآوری های ملموسی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شاعر تلاش کردند عمق فاجعۀ کربلا را با نشان دادن ابعاد انسانی و عاطفی آن به منصه ظهور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تصویرها جان بخشیدند و شعر را از حالت واژگانی صرف خارج و به وضعیت تفاعل و پویایی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عاطفی دو شاعر 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برجستۀ این احساسات همان حزن و اندوه زائدالوصفی است که در سراسر ابیات خود را نمایان می سازد</w:t>
      </w:r>
      <w:r>
        <w:rPr>
          <w:rFonts w:eastAsia="IRNazanin" w:cs="IRNazanin"/>
          <w:color w:val="111111"/>
          <w:sz w:val="28"/>
          <w:szCs w:val="28"/>
          <w:rtl w:val="true"/>
          <w:lang w:bidi="fa-IR"/>
        </w:rPr>
        <w:t xml:space="preserve">. </w:t>
      </w:r>
      <w:bookmarkStart w:id="42" w:name="pg8689_87492"/>
    </w:p>
    <w:p>
      <w:pPr>
        <w:pStyle w:val="Heading3"/>
        <w:numPr>
          <w:ilvl w:val="2"/>
          <w:numId w:val="1"/>
        </w:numPr>
        <w:rPr/>
      </w:pPr>
      <w:bookmarkStart w:id="43" w:name="__RefHeading___Toc2713030_653776707"/>
      <w:bookmarkStart w:id="44" w:name="_Toc15"/>
      <w:bookmarkEnd w:id="42"/>
      <w:bookmarkEnd w:id="43"/>
      <w:r>
        <w:rPr>
          <w:rtl w:val="true"/>
        </w:rPr>
        <w:t>با کاروان اسیران کربلا</w:t>
      </w:r>
      <w:bookmarkEnd w:id="44"/>
    </w:p>
    <w:p>
      <w:pPr>
        <w:pStyle w:val="BookText"/>
        <w:rPr/>
      </w:pPr>
      <w:r>
        <w:rPr>
          <w:rFonts w:ascii="IRNazanin" w:hAnsi="IRNazanin" w:eastAsia="IRNazanin"/>
          <w:color w:val="111111"/>
          <w:sz w:val="28"/>
          <w:sz w:val="28"/>
          <w:szCs w:val="28"/>
          <w:rtl w:val="true"/>
          <w:lang w:bidi="fa-IR"/>
        </w:rPr>
        <w:t>رویدادهای دامنه دار فاجعۀ طف در زمان خود متوقف نشد و همواره طیف گسترده ای از پیام ها و پیامدها، به ویژه صحنه های تکان دهندۀ اسارت زنان و کودکان و رفتارهای دور از انسانیت کارگزاران ستمگر اموی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ابعاد انسانی و اجتماعی این رخداد عظیم بسیار مهم و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جنگ صحنه هایی را به نمایش گذاشت که لبریز از درد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کشتار و طرز رفتار لشکریان اموی نشان از کینه های دیرینه ای داشت که در کربلا برملا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پردازی و تصویرسازی این صحنه های جانکاه در قالب شعر و سرودن چکامه های منعکس کنندۀ این مصیبت ها دامنۀ واقعه و ابعاد گستردۀ آن را به وضوح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 و سید حیدر حلی روی این بخش از فاجعۀ کربلا تأکید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 این دو شاعر اندوهی را مجسم می کند که زمان و مکان را درنوردیده و گذشته و حال را یکیدیده تا همواره این اندوه زنده و پابرجا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کاشانی در یکی از مرثیه های حسینی خود فریاد کاروانیان عاشورا را از مشاهدۀ شهیدان کربلا به تصویر می کشد، گویی بند بند این شعر از غصه و اندوه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عادی نبود بلکه در شش جهت جغرافیایی سر به فلک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نه تنها زمینیان را به تکاپو واداشت بلکه فرشتگان هفت آسمان را نیز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روز رستاخیز و شاید فراتر از آن است چون این فاجعه شور قیامت را نیز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حربگاه چون ره آن کاروان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ونشور وواهمه را در گمان فتاد</w:t>
      </w:r>
    </w:p>
    <w:p>
      <w:pPr>
        <w:pStyle w:val="BookText"/>
        <w:rPr/>
      </w:pPr>
      <w:r>
        <w:rPr>
          <w:rFonts w:ascii="IRNazanin" w:hAnsi="IRNazanin" w:eastAsia="IRNazanin"/>
          <w:color w:val="111111"/>
          <w:sz w:val="28"/>
          <w:sz w:val="28"/>
          <w:szCs w:val="28"/>
          <w:rtl w:val="true"/>
          <w:lang w:bidi="fa-IR"/>
        </w:rPr>
        <w:t xml:space="preserve">هم بانگ نوحه غلغله در شش جهت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بر ملایک هفت آسمان فتاد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که بود آهویی از دشت پا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بود طایری از آشیان فتاد </w:t>
      </w:r>
    </w:p>
    <w:p>
      <w:pPr>
        <w:pStyle w:val="BookText"/>
        <w:rPr/>
      </w:pPr>
      <w:r>
        <w:rPr>
          <w:rFonts w:ascii="IRNazanin" w:hAnsi="IRNazanin" w:eastAsia="IRNazanin"/>
          <w:color w:val="111111"/>
          <w:sz w:val="28"/>
          <w:sz w:val="28"/>
          <w:szCs w:val="28"/>
          <w:rtl w:val="true"/>
          <w:lang w:bidi="fa-IR"/>
        </w:rPr>
        <w:t xml:space="preserve">شد وحشتی که شور قیامت ز یاد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اهل بیت بر آن کشتگان 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چینش واژگان در ابیات فوق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چینش که استادانه پی ریزی شده نوعی هم آوایی، تداعی معانی و ایماج های پیاپی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آوایی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ترادف معنایی بین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تسلسل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دوم و دیگر صنایع بدیع لفظی و معنوی به کار رفته در ابیات، گیرایی و آراستگی خاصی به شعر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 در ابیاتی دیگر فرشتگان آسمانی را خادمان خاندان نبوت دانسته با این توصیف که مقام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محترم شمرده شود هرچند مردمان دنیا طلب از این اصل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ناشایست کوفیان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نه تنها اشک ملائک را درآورده بلکه عرق شرمساری بر جبین آنان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خیمه ای که گیسوی حورش طناب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سرنگون ز باد مخالف حباب وار</w:t>
      </w:r>
    </w:p>
    <w:p>
      <w:pPr>
        <w:pStyle w:val="BookText"/>
        <w:rPr/>
      </w:pPr>
      <w:r>
        <w:rPr>
          <w:rFonts w:ascii="IRNazanin" w:hAnsi="IRNazanin" w:eastAsia="IRNazanin"/>
          <w:color w:val="111111"/>
          <w:sz w:val="28"/>
          <w:sz w:val="28"/>
          <w:szCs w:val="28"/>
          <w:rtl w:val="true"/>
          <w:lang w:bidi="fa-IR"/>
        </w:rPr>
        <w:t xml:space="preserve">جمعی که پاس محملشان داشت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بی عماری محمل شتر سوار</w:t>
      </w:r>
    </w:p>
    <w:p>
      <w:pPr>
        <w:pStyle w:val="BookText"/>
        <w:rPr/>
      </w:pPr>
      <w:r>
        <w:rPr>
          <w:rFonts w:ascii="IRNazanin" w:hAnsi="IRNazanin" w:eastAsia="IRNazanin"/>
          <w:color w:val="111111"/>
          <w:sz w:val="28"/>
          <w:sz w:val="28"/>
          <w:szCs w:val="28"/>
          <w:rtl w:val="true"/>
          <w:lang w:bidi="fa-IR"/>
        </w:rPr>
        <w:t xml:space="preserve">با آن که سر زد این عمل از امّت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ز روح نبی گشت شرمسار</w:t>
      </w:r>
    </w:p>
    <w:p>
      <w:pPr>
        <w:pStyle w:val="BookText"/>
        <w:rPr/>
      </w:pPr>
      <w:r>
        <w:rPr>
          <w:rFonts w:ascii="IRNazanin" w:hAnsi="IRNazanin" w:eastAsia="IRNazanin"/>
          <w:color w:val="111111"/>
          <w:sz w:val="28"/>
          <w:sz w:val="28"/>
          <w:szCs w:val="28"/>
          <w:rtl w:val="true"/>
          <w:lang w:bidi="fa-IR"/>
        </w:rPr>
        <w:t xml:space="preserve">وآنگه ز کوفه خیل الم رو به شام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عقل گفت قیامت قیام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تصویرسازی های شاعر آنچنان گویا و اثرگذار است که قبح رفتارهای لشکریان ظلم را بی پرده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خیمه ای که از گیسوی حوریان بافته شده تصویری بسیار زیبا و لطیف است که با هزار افسوس توسط باد مخالف و هوای نفسانی کوفیان </w:t>
      </w:r>
    </w:p>
    <w:p>
      <w:pPr>
        <w:pStyle w:val="BookText"/>
        <w:rPr/>
      </w:pPr>
      <w:r>
        <w:rPr>
          <w:rFonts w:ascii="IRNazanin" w:hAnsi="IRNazanin" w:eastAsia="IRNazanin"/>
          <w:color w:val="111111"/>
          <w:sz w:val="28"/>
          <w:sz w:val="28"/>
          <w:szCs w:val="28"/>
          <w:rtl w:val="true"/>
          <w:lang w:bidi="fa-IR"/>
        </w:rPr>
        <w:t>سرنگون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تصور کرد کاروانی را که حضرت جبرئیل ساربان آن است، بی هودج و محمل در بیابان های داغ کربلا به حرکت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باور شاعر در برابر این رفتار غیرانسانی اموی ها در حیرت فرو رفته است؛ چون هر انسان خدا باوری که سرشت پاک خود را به لذت های فناشدنی دنیا نیالوده است، این گونهرفتارهای ناشایست با خاندان نبوت را خلاف شرع، عرف و ادب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ذکر یک نکتۀ بلاغی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چهارم دو استعارۀ زیبا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این دو استعاره در خاتمۀ یک تصویر دراماتیک، کنجکاوی مخاطب را به چالش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 ظریف بین این دو استعاره وجود دارد، گویی نشانگر یک نوع واکنش در برابر یک کنش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بیت چهارم فزونی غصه های کاروان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استعارۀ اول به اوج رسانده است و این باعث شد عقل انسان لب به سخن بگشاید و برپایی قیامت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تشبیه ها و استعاره ها در شعر سید حیدر حلی نیز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قصیده ای سوزناک مصیبت های بازماندگان واقعۀ کربلا را با ذکر جزئیات به تصویر می کشد، گویی شاعر به عینه شاهد آن وقایع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ملائک بر گرد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کارزار سخت جلوه ای از جلوه های پر تماشای شعر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ابیات زیر از وحشت زنان پرده نشینی سخن می گوید که در تمام عمر در حریم ایمان مصون بوده، اما حرمت شکنی کوفیان باعث سرگردانی وآوارگی آنان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وحائراتٍ أطارَ القومُ أعیُنَها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 غداةَ علیها خِدرَها هجموا</w:t>
      </w:r>
    </w:p>
    <w:p>
      <w:pPr>
        <w:pStyle w:val="BookText"/>
        <w:rPr/>
      </w:pPr>
      <w:r>
        <w:rPr>
          <w:rFonts w:ascii="Amiri" w:hAnsi="Amiri" w:eastAsia="Amiri" w:cs="Amiri"/>
          <w:color w:val="111111"/>
          <w:sz w:val="28"/>
          <w:sz w:val="28"/>
          <w:szCs w:val="28"/>
          <w:rtl w:val="true"/>
          <w:lang w:bidi="ar-SA"/>
        </w:rPr>
        <w:t xml:space="preserve">کانت بحیثُ علیها قومُها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أرضُهُ مِن عِزّهم حرمُ</w:t>
      </w:r>
    </w:p>
    <w:p>
      <w:pPr>
        <w:pStyle w:val="BookText"/>
        <w:rPr/>
      </w:pPr>
      <w:r>
        <w:rPr>
          <w:rFonts w:ascii="Amiri" w:hAnsi="Amiri" w:eastAsia="Amiri" w:cs="Amiri"/>
          <w:color w:val="111111"/>
          <w:sz w:val="28"/>
          <w:sz w:val="28"/>
          <w:szCs w:val="28"/>
          <w:rtl w:val="true"/>
          <w:lang w:bidi="ar-SA"/>
        </w:rPr>
        <w:t xml:space="preserve">یکادُ مِن هیبةٍ أن لایطوفَ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الملائك لولا أنّهم خَدَمُ</w:t>
      </w:r>
    </w:p>
    <w:p>
      <w:pPr>
        <w:pStyle w:val="BookText"/>
        <w:rPr/>
      </w:pPr>
      <w:r>
        <w:rPr>
          <w:rFonts w:ascii="Amiri" w:hAnsi="Amiri" w:eastAsia="Amiri" w:cs="Amiri"/>
          <w:color w:val="111111"/>
          <w:sz w:val="28"/>
          <w:sz w:val="28"/>
          <w:szCs w:val="28"/>
          <w:rtl w:val="true"/>
          <w:lang w:bidi="ar-SA"/>
        </w:rPr>
        <w:t xml:space="preserve">فغُودِرَت بینَ أیدی القومِ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 ولیسَ لها مَن فیه تَعتَصمُ</w:t>
      </w:r>
    </w:p>
    <w:p>
      <w:pPr>
        <w:pStyle w:val="BookText"/>
        <w:rPr/>
      </w:pPr>
      <w:r>
        <w:rPr>
          <w:rFonts w:ascii="Amiri" w:hAnsi="Amiri" w:eastAsia="Amiri" w:cs="Amiri"/>
          <w:color w:val="111111"/>
          <w:sz w:val="28"/>
          <w:sz w:val="28"/>
          <w:szCs w:val="28"/>
          <w:rtl w:val="true"/>
          <w:lang w:bidi="ar-SA"/>
        </w:rPr>
        <w:t xml:space="preserve">نعَم لوَت جیدَها بالعتبِ هاتفةً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بقومها وحشاها ملؤهُ ضَرَمُ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مشاهده می شود شاعر با یک استعاره، توصیف دلهرۀ زنانمصیبت دیده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چشمان زنان را بسان پرندگانی دانسته که به خاطر وحشت به پرواز درآمده اند و این یک توصیف بسیار دقیقی است؛ چون پریدن پرندگان ناشی از شوک ناگهانی و ترس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زنان خاندان نبوت دچار آن شدند نیز به خاطر حملۀ ناگهانی به خیمه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وصف دقیق، شاعر در ابیات فوق به یک مقایسۀ مهمی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بین گذشتۀ سراسر عزت وکرامت این خاندان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حالی که از بی حرمتی و عهدشکنی امویان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از نگاه شاعر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شاعر می خواهد این پیام را برساند که امویان بر خلاف ادعاهای دروغین خود مبنی بر مسلمان بودن، ثابت کردند که با دین اسلام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دیرینه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همین اوصاف و مضامین در شعر محتشم کاشانی دیده شده و این امر نشانگر آن است که این دو شاعر از این همه جفا و بی مهری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شدند، جفا به فرزندان پیامبری که کانون مهر و محبت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حلی در یک قصیدۀ بائیه، موضوع اسارت خاندان نبوت را از زاویه ای دیگر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شاعر به شجاعت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امویان اشاره می کند و با یک توصیف زیبا و دقیق، این دلاوری ها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 ذیل که با پرسشی انکاری آغاز می شود، شاعر طلوع و غروب خورشید را به دلیل پنهان شدن زیر ابرهای غبار آلود جنگ در طول روز زیر سؤال می برد و این اشاره ای است به ادامۀ نبرد تا تحقق آرمان های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أتُشرِقُ الشمسُ و لا عَینُها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بالنَّقعِ تَعمَی قَبلَ أن تَغرُباو</w:t>
      </w:r>
    </w:p>
    <w:p>
      <w:pPr>
        <w:pStyle w:val="BookText"/>
        <w:rPr/>
      </w:pPr>
      <w:r>
        <w:rPr>
          <w:rFonts w:ascii="Amiri" w:hAnsi="Amiri" w:eastAsia="Amiri" w:cs="Amiri"/>
          <w:color w:val="111111"/>
          <w:sz w:val="28"/>
          <w:sz w:val="28"/>
          <w:szCs w:val="28"/>
          <w:rtl w:val="true"/>
          <w:lang w:bidi="ar-SA"/>
        </w:rPr>
        <w:t xml:space="preserve">هی لَکُم فی السَّبی کَم لاحَظَت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مَصونةً لم تَبدُ قَبلَ السِّبا</w:t>
      </w:r>
    </w:p>
    <w:p>
      <w:pPr>
        <w:pStyle w:val="BookText"/>
        <w:rPr/>
      </w:pPr>
      <w:r>
        <w:rPr>
          <w:rFonts w:ascii="Amiri" w:hAnsi="Amiri" w:eastAsia="Amiri" w:cs="Amiri"/>
          <w:color w:val="111111"/>
          <w:sz w:val="28"/>
          <w:sz w:val="28"/>
          <w:szCs w:val="28"/>
          <w:rtl w:val="true"/>
          <w:lang w:bidi="ar-SA"/>
        </w:rPr>
        <w:t xml:space="preserve">کیفَ بناتُ الوحی أعداؤکم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بالخیلِ علیها الخِبا</w:t>
      </w:r>
    </w:p>
    <w:p>
      <w:pPr>
        <w:pStyle w:val="BookText"/>
        <w:rPr/>
      </w:pPr>
      <w:r>
        <w:rPr>
          <w:rFonts w:ascii="Amiri" w:hAnsi="Amiri" w:eastAsia="Amiri" w:cs="Amiri"/>
          <w:color w:val="111111"/>
          <w:sz w:val="28"/>
          <w:sz w:val="28"/>
          <w:szCs w:val="28"/>
          <w:rtl w:val="true"/>
          <w:lang w:bidi="ar-SA"/>
        </w:rPr>
        <w:t xml:space="preserve">لقد سرَت أسری علی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موتُكِ تحتَ الظُّبی</w:t>
      </w:r>
    </w:p>
    <w:p>
      <w:pPr>
        <w:pStyle w:val="BookText"/>
        <w:rPr/>
      </w:pPr>
      <w:r>
        <w:rPr>
          <w:rFonts w:ascii="Amiri" w:hAnsi="Amiri" w:eastAsia="Amiri" w:cs="Amiri"/>
          <w:color w:val="111111"/>
          <w:sz w:val="28"/>
          <w:sz w:val="28"/>
          <w:szCs w:val="28"/>
          <w:rtl w:val="true"/>
          <w:lang w:bidi="ar-SA"/>
        </w:rPr>
        <w:t xml:space="preserve">تُساقطُ الأدمُعَ أجفانُها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کالجمرِ عن ذوبِ حشاً ألهبا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45" w:name="pg8689_87496"/>
    </w:p>
    <w:p>
      <w:pPr>
        <w:pStyle w:val="BookText"/>
        <w:rPr/>
      </w:pPr>
      <w:bookmarkEnd w:id="45"/>
      <w:r>
        <w:rPr>
          <w:rFonts w:ascii="IRNazanin" w:hAnsi="IRNazanin" w:eastAsia="IRNazanin"/>
          <w:color w:val="111111"/>
          <w:sz w:val="28"/>
          <w:sz w:val="28"/>
          <w:szCs w:val="28"/>
          <w:rtl w:val="true"/>
          <w:lang w:bidi="fa-IR"/>
        </w:rPr>
        <w:t>شاعر در این ابیات از خورشیدی سخن می گوید که شگفتی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در جنگ به خاطر غبارهای برخاسته،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زنانی را نظاره می کند که روی خورشید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بیت، غیرت و احساسات عاطفی شاعر برانگیخته می شود و منظرۀ حملۀ دشمنان با اسب های خود به خیمه ها را غیر قابل تحمل می داند، از این رو، شاعر قوم خود و به ویژه خاندان بنی هاشم را برای قیام دعوت می کند تا از حریم و حرمت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عواطف برآشفته در دو بیت اخیر به اوج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تحمل دیدن راه رفتن زنان اسیر و گریستن آنها را تاب نمی آورد و این صحنه های دلخراش را کمتر از کشتن با شمشیر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بررسی ابیات محتشم کاشانی و سید حیدر حلی در خصوص اسیران کربلا به دست می آید نشانگر اوج برآشفتن احساسات پاک دو شاعر و صداقت آنها در بیان این عواطف شورانگیز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شاعر دلسوخته و پریشان حال از وقایع دردناک کربلا هستند و از رفتارهای خشن علیه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اند، به همین خاطر باور این ها برایشان سخت شده است</w:t>
      </w:r>
      <w:r>
        <w:rPr>
          <w:rFonts w:eastAsia="IRNazanin" w:cs="IRNazanin"/>
          <w:color w:val="111111"/>
          <w:sz w:val="28"/>
          <w:szCs w:val="28"/>
          <w:rtl w:val="true"/>
          <w:lang w:bidi="fa-IR"/>
        </w:rPr>
        <w:t>.</w:t>
      </w:r>
    </w:p>
    <w:p>
      <w:pPr>
        <w:pStyle w:val="Heading3"/>
        <w:numPr>
          <w:ilvl w:val="2"/>
          <w:numId w:val="1"/>
        </w:numPr>
        <w:rPr/>
      </w:pPr>
      <w:bookmarkStart w:id="46" w:name="__RefHeading___Toc2713032_653776707"/>
      <w:bookmarkStart w:id="47" w:name="_Toc16"/>
      <w:bookmarkEnd w:id="46"/>
      <w:r>
        <w:rPr>
          <w:rtl w:val="true"/>
        </w:rPr>
        <w:t>در سرزنش زمانه و نکوهش روزگار</w:t>
      </w:r>
      <w:bookmarkEnd w:id="47"/>
    </w:p>
    <w:p>
      <w:pPr>
        <w:pStyle w:val="BookText"/>
        <w:rPr/>
      </w:pPr>
      <w:r>
        <w:rPr>
          <w:rFonts w:ascii="IRNazanin" w:hAnsi="IRNazanin" w:eastAsia="IRNazanin"/>
          <w:color w:val="111111"/>
          <w:sz w:val="28"/>
          <w:sz w:val="28"/>
          <w:szCs w:val="28"/>
          <w:rtl w:val="true"/>
          <w:lang w:bidi="fa-IR"/>
        </w:rPr>
        <w:t>یکی از دغدغه های الهام بخش شاعران مرثیه سرای حسینی تألّم و تأثّرفراوان از وقوع حادثۀ 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بیشتر آرزو می کردند که کاش چنین اتفاقی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 و روزگار بسیار ناخرسندند که ظلمی به این سنگینی در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آرزوها به حد اغراق و مبالغه می رسید و از واقعیت عالم امکان فراتر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 در سومین بند از ترکیب بند مشهور خود این آرزوها را بدین شکل مجسّم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آن زمان سرادق گردون نگون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خرگه بلند ستون بی ستون شدی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آن زمان ز آه جهان سوز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شعله برق خرمن گردون دون شدی </w:t>
      </w:r>
    </w:p>
    <w:p>
      <w:pPr>
        <w:pStyle w:val="BookText"/>
        <w:rPr/>
      </w:pPr>
      <w:r>
        <w:rPr>
          <w:rFonts w:ascii="IRNazanin" w:hAnsi="IRNazanin" w:eastAsia="IRNazanin"/>
          <w:color w:val="111111"/>
          <w:sz w:val="28"/>
          <w:sz w:val="28"/>
          <w:szCs w:val="28"/>
          <w:rtl w:val="true"/>
          <w:lang w:bidi="fa-IR"/>
        </w:rPr>
        <w:t xml:space="preserve">کاش آن زمان که این حرکت کرد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سیماب وار گوی زمین بی سکون شدی</w:t>
      </w:r>
    </w:p>
    <w:p>
      <w:pPr>
        <w:pStyle w:val="BookText"/>
        <w:rPr/>
      </w:pPr>
      <w:r>
        <w:rPr>
          <w:rFonts w:ascii="IRNazanin" w:hAnsi="IRNazanin" w:eastAsia="IRNazanin"/>
          <w:color w:val="111111"/>
          <w:sz w:val="28"/>
          <w:sz w:val="28"/>
          <w:szCs w:val="28"/>
          <w:rtl w:val="true"/>
          <w:lang w:bidi="fa-IR"/>
        </w:rPr>
        <w:t xml:space="preserve">کاش آن زمان که پیکر او شد درون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جهانیان همه از تن برون شدی</w:t>
      </w:r>
    </w:p>
    <w:p>
      <w:pPr>
        <w:pStyle w:val="BookText"/>
        <w:rPr/>
      </w:pPr>
      <w:r>
        <w:rPr>
          <w:rFonts w:ascii="IRNazanin" w:hAnsi="IRNazanin" w:eastAsia="IRNazanin"/>
          <w:color w:val="111111"/>
          <w:sz w:val="28"/>
          <w:sz w:val="28"/>
          <w:szCs w:val="28"/>
          <w:rtl w:val="true"/>
          <w:lang w:bidi="fa-IR"/>
        </w:rPr>
        <w:t xml:space="preserve">کاش آن زمان که کشتی آل نبی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تمام غرقه دریای خون شدی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بیت و به طور پیاپی نشانگر تأکید شاعر بر آرزوی تحقق خواسته های خود است، هر چند تحقق آنها امری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تکرار در علم بلاغت و به ویژه در علم معانی بیشتر متعلق به مبحث اطناب است که الفاظ و عبارت ها برای تقویت و تأکید معنی در ذهن مخاطب تکرار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شرایط پذیرش تکرار در شعر وحُسن قبول آن تنوع معانی خُرد در راستای تحقق معنای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 فوق، محتشم چند معنی جزیی در قالب یک معنی کلی به نظم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سرنگونی آسمان و زمین، آتش گرفتن خرمن دنیا، توقف حرکت زمین و سیاره های آسمان و سپس غرق شدن عالم در دریای خون همگی معانی خُردی هستند که شاعر خواستار تحقق آنها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داشتن چنین آرزوهایی محال ناشی از رنج ها و غصه های فراوان شاعر از کردۀ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روزگار را نفرین کند که چرا بهترین خلق عالم را به فنا داد؟ همین معنی در شعر حلی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ابیات زیر از لغزش روزگار و نفرین کردن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کردۀ روزگار را همانند گردبادی می داند که کوه های محکم را از جا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عَثَرَ الدهرُ و یرجو أن یُقالا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کفكَ مَن راجٍ مُحالا</w:t>
      </w:r>
    </w:p>
    <w:p>
      <w:pPr>
        <w:pStyle w:val="BookText"/>
        <w:rPr/>
      </w:pPr>
      <w:r>
        <w:rPr>
          <w:rFonts w:ascii="Amiri" w:hAnsi="Amiri" w:eastAsia="Amiri" w:cs="Amiri"/>
          <w:color w:val="111111"/>
          <w:sz w:val="28"/>
          <w:sz w:val="28"/>
          <w:szCs w:val="28"/>
          <w:rtl w:val="true"/>
          <w:lang w:bidi="ar-SA"/>
        </w:rPr>
        <w:t xml:space="preserve">أیُّ عُذرٍ لكَ فی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 مَن لَكَ قد کانوا الجبالا</w:t>
      </w:r>
    </w:p>
    <w:p>
      <w:pPr>
        <w:pStyle w:val="BookText"/>
        <w:rPr/>
      </w:pPr>
      <w:r>
        <w:rPr>
          <w:rFonts w:ascii="Amiri" w:hAnsi="Amiri" w:eastAsia="Amiri" w:cs="Amiri"/>
          <w:color w:val="111111"/>
          <w:sz w:val="28"/>
          <w:sz w:val="28"/>
          <w:szCs w:val="28"/>
          <w:rtl w:val="true"/>
          <w:lang w:bidi="ar-SA"/>
        </w:rPr>
        <w:t xml:space="preserve">نِلتَ ما نِلتَ فَدَع کُلَّ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أو فاذهب بمَن شئتَ اغتیالا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از اصلاح روزگار مأیوس و ناامید شده؛ چون این روزگار غدّار خطایی مرتکب شده که در حق هیچ یک از مردمان عالم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 نیز همانند این مفهوم و مضمون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چرخ سفله بود خطایی چنین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آفریده جفایی چنین نکرد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حلی همان گونه که گفته شد، همانند محتشم به مذمت روزگار پرداخته و از زمانۀ نابکار نالیده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ناگوار کام او را تلخ کرده و آب گوارا هم دیگر عطشش را برطرف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واقعۀ طف را یگانهرخدادی می داند که در تاریخ بشریت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ای که سراسر رنج و محنت بود و سرانجام خشم خدا را بر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نفرین زمانه که چنین ستمی را روا کرده، دور از انصاف نیست؛ چون بنا به گفتۀ شاعر، روزگار تمام توان و قدرت خود را جمع کرد تا مصیبتی سترون به نام کربلا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این روزگار عقیم دیگر مصیبتی همانند مصیبت کربلا نخواهد زایید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مِثلَ یومکُمُ بعَرصةِ 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سالفاتِ الدهرِ یومَ شُجونِ</w:t>
      </w:r>
    </w:p>
    <w:p>
      <w:pPr>
        <w:pStyle w:val="BookText"/>
        <w:rPr/>
      </w:pPr>
      <w:r>
        <w:rPr>
          <w:rFonts w:ascii="Amiri" w:hAnsi="Amiri" w:eastAsia="Amiri" w:cs="Amiri"/>
          <w:color w:val="111111"/>
          <w:sz w:val="28"/>
          <w:sz w:val="28"/>
          <w:szCs w:val="28"/>
          <w:rtl w:val="true"/>
          <w:lang w:bidi="ar-SA"/>
        </w:rPr>
        <w:t xml:space="preserve">یَومٌ أبیُّ الضیمِ صابرَ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الإلهُ لِوَقعها فی الدینِ</w:t>
      </w:r>
    </w:p>
    <w:p>
      <w:pPr>
        <w:pStyle w:val="BookText"/>
        <w:rPr/>
      </w:pPr>
      <w:r>
        <w:rPr>
          <w:rFonts w:ascii="Amiri" w:hAnsi="Amiri" w:eastAsia="Amiri" w:cs="Amiri"/>
          <w:color w:val="111111"/>
          <w:sz w:val="28"/>
          <w:sz w:val="28"/>
          <w:szCs w:val="28"/>
          <w:rtl w:val="true"/>
          <w:lang w:bidi="ar-SA"/>
        </w:rPr>
        <w:t xml:space="preserve">لا طابَ ظلُّكَ یا زمانُ ولا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مائكَ للوری بمَعینِ</w:t>
      </w:r>
    </w:p>
    <w:p>
      <w:pPr>
        <w:pStyle w:val="BookText"/>
        <w:rPr/>
      </w:pPr>
      <w:r>
        <w:rPr>
          <w:rFonts w:ascii="Amiri" w:hAnsi="Amiri" w:eastAsia="Amiri" w:cs="Amiri"/>
          <w:color w:val="111111"/>
          <w:sz w:val="28"/>
          <w:sz w:val="28"/>
          <w:szCs w:val="28"/>
          <w:rtl w:val="true"/>
          <w:lang w:bidi="ar-SA"/>
        </w:rPr>
        <w:t xml:space="preserve">فَلَقَد جَمَعتَ قِواكَ فی یومٍ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ألقحتَ اُمَّ الحادثاتِ الجَونِ</w:t>
      </w:r>
    </w:p>
    <w:p>
      <w:pPr>
        <w:pStyle w:val="BookText"/>
        <w:rPr/>
      </w:pPr>
      <w:r>
        <w:rPr>
          <w:rFonts w:ascii="Amiri" w:hAnsi="Amiri" w:eastAsia="Amiri" w:cs="Amiri"/>
          <w:color w:val="111111"/>
          <w:sz w:val="28"/>
          <w:sz w:val="28"/>
          <w:szCs w:val="28"/>
          <w:rtl w:val="true"/>
          <w:lang w:bidi="ar-SA"/>
        </w:rPr>
        <w:t xml:space="preserve">وبهِ مُذ ابتُکِرت مصیبةُ 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عُقِمَت فما لِنتاجِها مِن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شاعر برآمده از احساس عاطفی نیست بلکه شاعر معتقد است که روزگار، مصیبتی عظیم تر از واقعۀ کربلا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حادثۀ تلخ کربلا، ابعاد فرا زمانی و فرا مکانی داشته و تأثیرات شگرفی بر جریانات تاریخ گذاشته، به همین خاطر این حادثۀ تلخ را نمی توان با هیچ یک از مصیبت های روزگار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حلی بارها این دیدگاه را مطرح کرده و بر این باور تأکید داشته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وفَجائعُ الأیامِ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وغَرباً شأنُها الخَلسُ </w:t>
      </w:r>
    </w:p>
    <w:p>
      <w:pPr>
        <w:pStyle w:val="BookText"/>
        <w:rPr/>
      </w:pPr>
      <w:r>
        <w:rPr>
          <w:rFonts w:ascii="Amiri" w:hAnsi="Amiri" w:eastAsia="Amiri" w:cs="Amiri"/>
          <w:color w:val="111111"/>
          <w:sz w:val="28"/>
          <w:sz w:val="28"/>
          <w:szCs w:val="28"/>
          <w:rtl w:val="true"/>
          <w:lang w:bidi="ar-SA"/>
        </w:rPr>
        <w:t xml:space="preserve">وأجلُّها یَومُ الطفوفِ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تَصَوَّرَهُ ولا حَدسُ</w:t>
      </w:r>
    </w:p>
    <w:p>
      <w:pPr>
        <w:pStyle w:val="BookText"/>
        <w:rPr/>
      </w:pPr>
      <w:r>
        <w:rPr>
          <w:rFonts w:ascii="Amiri" w:hAnsi="Amiri" w:eastAsia="Amiri" w:cs="Amiri"/>
          <w:color w:val="111111"/>
          <w:sz w:val="28"/>
          <w:sz w:val="28"/>
          <w:szCs w:val="28"/>
          <w:rtl w:val="true"/>
          <w:lang w:bidi="ar-SA"/>
        </w:rPr>
        <w:t xml:space="preserve">واسوَدَّ مَشرِقُها و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بالنقعِ حتّی ماتتِ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سید حیدر حلی بدی های روزگار همواره در حال گشت وگذارند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ازشرق تا غرب سرگرم از پای درآوردن ناگهانی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 همه را از دم تیغ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واقعۀ طف که در حدس و گمان نمی گنجد، عظیم ترین رویداد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غبار آن جنگ، مشرق و مغرب سیاه و تیره گشت گویی خورشید از بین رفت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شاعر این اقدام روزگار منجر به کشته شدن بهترین انسان های دنیا شده و اگر روزگار، خوب را از بد تشخیص می داد هرگز مرتکب چنین کشتار ظالمانه ای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حلی در شعری دیگر، روزگار را در روز عاشورا بسان شخصی کور دانسته که با ستون های سر راه خود همواره برخورد می کرده و درگیر می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مَشَی الدهرُ یَومَ الطفِّ أعمی فَلَم 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عِماداً لَها الا و فیه تَعَثَّرا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محتشم کاشانی نیز این نگاه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خوشی از این روزگار بد کردار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حیدر حلی روزگار را کور دانست محتشم کاشانی روزگار را غافل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غفلت روزگار به شریعت و دین آسیب رسانده و باعث ظلم و ستم در حق خاندان نبوت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چرخ غافلی که چه بیداد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کین چها درین ستم آباد کرده ای</w:t>
      </w:r>
    </w:p>
    <w:p>
      <w:pPr>
        <w:pStyle w:val="BookText"/>
        <w:rPr/>
      </w:pPr>
      <w:r>
        <w:rPr>
          <w:rFonts w:ascii="IRNazanin" w:hAnsi="IRNazanin" w:eastAsia="IRNazanin"/>
          <w:color w:val="111111"/>
          <w:sz w:val="28"/>
          <w:sz w:val="28"/>
          <w:szCs w:val="28"/>
          <w:rtl w:val="true"/>
          <w:lang w:bidi="fa-IR"/>
        </w:rPr>
        <w:t xml:space="preserve">بر طعنت این بس است که با عترت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کرده خصم وتو امداد کرده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شاعر از مصیبت هایی که روزگار بر سر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قلبی آکنده از عواطف پاک و احساسات سوزناک رنج های خود را از این روزگار </w:t>
      </w:r>
      <w:bookmarkStart w:id="48" w:name="pg8689_87500"/>
    </w:p>
    <w:p>
      <w:pPr>
        <w:pStyle w:val="BookText"/>
        <w:rPr/>
      </w:pPr>
      <w:bookmarkEnd w:id="48"/>
      <w:r>
        <w:rPr>
          <w:rFonts w:ascii="IRNazanin" w:hAnsi="IRNazanin" w:eastAsia="IRNazanin"/>
          <w:color w:val="111111"/>
          <w:sz w:val="28"/>
          <w:sz w:val="28"/>
          <w:szCs w:val="28"/>
          <w:rtl w:val="true"/>
          <w:lang w:bidi="fa-IR"/>
        </w:rPr>
        <w:t>ناپاک ابراز داشته و همواره زمانۀ حقیقت کُش بد کُنش رانکوهیده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شاعر آرزو داشتند رفتار روزگار با خاندان نبوت رفتاری شایسته و درخور احترام باشد، که این 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افسوس بی پایان در مرثیه های حسینی این دو شاعر مشهود است</w:t>
      </w:r>
      <w:r>
        <w:rPr>
          <w:rFonts w:eastAsia="IRNazanin" w:cs="IRNazanin"/>
          <w:color w:val="111111"/>
          <w:sz w:val="28"/>
          <w:szCs w:val="28"/>
          <w:rtl w:val="true"/>
          <w:lang w:bidi="fa-IR"/>
        </w:rPr>
        <w:t>.</w:t>
      </w:r>
    </w:p>
    <w:p>
      <w:pPr>
        <w:pStyle w:val="Heading3"/>
        <w:numPr>
          <w:ilvl w:val="2"/>
          <w:numId w:val="1"/>
        </w:numPr>
        <w:rPr/>
      </w:pPr>
      <w:bookmarkStart w:id="49" w:name="__RefHeading___Toc2713034_653776707"/>
      <w:bookmarkStart w:id="50" w:name="_Toc17"/>
      <w:bookmarkEnd w:id="49"/>
      <w:r>
        <w:rPr>
          <w:rtl w:val="true"/>
        </w:rPr>
        <w:t>نتیجه</w:t>
      </w:r>
      <w:bookmarkEnd w:id="50"/>
    </w:p>
    <w:p>
      <w:pPr>
        <w:pStyle w:val="BookText"/>
        <w:rPr/>
      </w:pPr>
      <w:r>
        <w:rPr>
          <w:rFonts w:ascii="IRNazanin" w:hAnsi="IRNazanin" w:eastAsia="IRNazanin"/>
          <w:color w:val="111111"/>
          <w:sz w:val="28"/>
          <w:sz w:val="28"/>
          <w:szCs w:val="28"/>
          <w:rtl w:val="true"/>
          <w:lang w:bidi="fa-IR"/>
        </w:rPr>
        <w:t>با بررسی تطبیقی سوگواره های حسینی محتشم کاشانی و سید حیدر حلی چند نكتۀ مهم حاصل شد، كه به شرح زیر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مشترک دو شاعر در اشعار رثایی خود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گریستن فرشتگان در سوگ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تشنگی و سوز عطش در صحرای کربلا، وصف کاروان اسیران کربلا، سرزنش زمانه و نکوهش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شاعر در نشان دادن احساسات پاک در بیان عواطف شورانگیز بسیار موفق عمل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محتشم کاشانی و سید حیدر حلی به ابعاد معنوی و روحانی واقعۀ طف بسیار مشهود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شعر، دقت در نظم، گسترۀ موضوعات، تسلسل رخدادها، بها دادن به موضوعات ارزشی، سرایش در قالب داستان و به کارگیری آرایه های بلاغی از دیگر مشترکات ساختاری و محتوایی مرثیه های حسینی دو شاعر به شمار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و عشق واقعی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ماندگاری و جاودانگی مرثیه های دو شاعر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و تکلف در شعر دو شاعر بسیار کم رنگ است و بیشتر اشعار بانظمی خود جوش و برخاسته از نهاد و طبع دو شاعر سروده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های بلاغی به کار رفته در اشعار محتشم بیش از حلی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در هم آوایی واژه ها، تناسب تمثیلات و استفاده از اوزان آهنگین از برتری محسوسی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سید حیدر حلی با به کارگیری شیوه های خطابی در تصویرسازی ها تحرک و پویایی خاصی به اشعارش بخشیده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اشعار محتشم بیشتر ساده و قابل فهم برای عامۀ مردم است، در حالی که شاعر حلی از واژگان سترگ و کهن استفاده می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اشعار محتشم و حلی میان مردم نشانۀ ارتباط عاطفی و تعامل ذهنی با اشعار آهنگین و اثرگذار این دو شاعر است</w:t>
      </w:r>
      <w:r>
        <w:rPr>
          <w:rFonts w:eastAsia="IRNazanin" w:cs="IRNazanin"/>
          <w:color w:val="111111"/>
          <w:sz w:val="28"/>
          <w:szCs w:val="28"/>
          <w:rtl w:val="true"/>
          <w:lang w:bidi="fa-IR"/>
        </w:rPr>
        <w:t xml:space="preserve">. </w:t>
      </w:r>
      <w:bookmarkStart w:id="51" w:name="pg8689_87502"/>
    </w:p>
    <w:p>
      <w:pPr>
        <w:pStyle w:val="Heading3"/>
        <w:numPr>
          <w:ilvl w:val="2"/>
          <w:numId w:val="1"/>
        </w:numPr>
        <w:rPr/>
      </w:pPr>
      <w:bookmarkStart w:id="52" w:name="__RefHeading___Toc2713036_653776707"/>
      <w:bookmarkStart w:id="53" w:name="_Toc18"/>
      <w:bookmarkEnd w:id="51"/>
      <w:bookmarkEnd w:id="52"/>
      <w:r>
        <w:rPr>
          <w:rtl w:val="true"/>
        </w:rPr>
        <w:t>منابع</w:t>
      </w:r>
      <w:bookmarkEnd w:id="5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كریم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الحسین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صحیفة سجادیه،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 بزرگ تهرانی، محمد محسن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الذریعه إلی تصانیف الشیعه،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بویه لنگرودی، عبد العلی و نرگس انصاری و همکاران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مفهومی قصیدۀ سید مهدی بحر العلوم ومقایسۀ آن با ترکیب بند محتشم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کاوش نامۀ ادبیات تطبیقی، شمارۀ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حقیقت، عبدالرفیع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شاعران زبان پارسی، تهران، شرکت مؤلفان و مترجمان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حیدر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السید حیدر الحلی، تحقیق دکتر مُضر سلیمان الحلی، بیروت، شرکه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خیاط، جلال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الشعر العراقی الحدیث مرحله وتطور، بیروت، دار الرائد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شبّر، جواد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أدب الطف، بیروت، مؤسسه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طباطبائی، عبدالعزیز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الاثنی عشر فی رثاء سادات البشر للسید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تراثنا،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 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قریشی زاده، عبد الرضا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زیبایی شناسی در ترکیب بند محتشم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نشریۀ ادبستان فرهنگ وهنر،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کاشانی، میر تقی الدین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الاشعار و زبده الافکار، تحقیق عبد العلی ادیب برومند و محمد حسین نصیری کهنویی، تهران، میراث مکتوب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لاطف، یوسف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مقایسه ای مرثیۀ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محتشم کاشانی و 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مطالعات ادبیات تطبیقی، شماره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تحقیق محمد باقر بهبودی، بیروت، 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محتشم کاشانی،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محتشم کاشانی، تصحیح و مقدمه اکبر بهداروند، تهران، انتشارات نگاه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البابلیات، نجف، مطبعه الزهراء</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8689_87505"/>
      <w:bookmarkStart w:id="55" w:name="pg8689_87505"/>
      <w:bookmarkEnd w:id="55"/>
    </w:p>
    <w:p>
      <w:pPr>
        <w:pStyle w:val="Heading2"/>
        <w:numPr>
          <w:ilvl w:val="1"/>
          <w:numId w:val="1"/>
        </w:numPr>
        <w:rPr/>
      </w:pPr>
      <w:bookmarkStart w:id="56" w:name="pg8689_87505"/>
      <w:bookmarkStart w:id="57" w:name="__RefHeading___Toc2713038_653776707"/>
      <w:bookmarkStart w:id="58" w:name="_Toc19"/>
      <w:bookmarkEnd w:id="56"/>
      <w:bookmarkEnd w:id="57"/>
      <w:r>
        <w:rPr>
          <w:rtl w:val="true"/>
        </w:rPr>
        <w:t xml:space="preserve">محتوای نامه های امام حسین </w:t>
      </w:r>
      <w:r>
        <w:rPr>
          <w:rtl w:val="true"/>
        </w:rPr>
        <w:t>(</w:t>
      </w:r>
      <w:r>
        <w:rPr>
          <w:rtl w:val="true"/>
        </w:rPr>
        <w:t>علیه السلام</w:t>
      </w:r>
      <w:r>
        <w:rPr>
          <w:rtl w:val="true"/>
        </w:rPr>
        <w:t xml:space="preserve">) </w:t>
      </w:r>
      <w:r>
        <w:rPr>
          <w:rtl w:val="true"/>
        </w:rPr>
        <w:t>به مخالفان خود</w:t>
      </w:r>
      <w:bookmarkEnd w:id="58"/>
    </w:p>
    <w:p>
      <w:pPr>
        <w:pStyle w:val="Heading3"/>
        <w:numPr>
          <w:ilvl w:val="2"/>
          <w:numId w:val="1"/>
        </w:numPr>
        <w:rPr/>
      </w:pPr>
      <w:bookmarkStart w:id="59" w:name="__RefHeading___Toc2713040_653776707"/>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دکتر سیده سوسن فخرایی</w:t>
      </w:r>
      <w:r>
        <w:rPr>
          <w:rStyle w:val="FootnoteAnchor"/>
          <w:rtl w:val="true"/>
        </w:rPr>
        <w:footnoteReference w:id="6"/>
      </w:r>
      <w:r>
        <w:rPr>
          <w:rFonts w:ascii="IRNazanin" w:hAnsi="IRNazanin" w:eastAsia="IRNazanin"/>
          <w:color w:val="111111"/>
          <w:sz w:val="28"/>
          <w:sz w:val="28"/>
          <w:szCs w:val="28"/>
          <w:rtl w:val="true"/>
          <w:lang w:bidi="fa-IR"/>
        </w:rPr>
        <w:t>حسین نامور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14/03/1400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18/06/1400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نامه هایی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افراد مختلف نوشته از مکاتبات مهم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این نامه ها، حاوی نکات برجسته از 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بنی امیه و تصریح غصبی بودن امارت آنان، هشدار به حکام جور برای عدم انحراف از سنت نبوی، حمایت جدی از صحابی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اوصاف رذیله آل ابی سفیان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روش تحلیل محتوا و با هدف رسیدن به زوایای مختلف دیدگاه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خود نسبت به مخالفان، برشمردن ابعاد مختلف شخصیتی ایشان، معرفی انحرافات دستگاه بنی امیه، چرایی وجوب جهاد و بررسی دلیل مخالفت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امیه انجام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مکاتبات، بنی امیه، تحلیل محتوا، معاویه، عاشورا، یزید</w:t>
      </w:r>
      <w:r>
        <w:rPr>
          <w:rFonts w:eastAsia="IRNazanin" w:cs="IRNazanin"/>
          <w:color w:val="111111"/>
          <w:sz w:val="28"/>
          <w:szCs w:val="28"/>
          <w:rtl w:val="true"/>
          <w:lang w:bidi="fa-IR"/>
        </w:rPr>
        <w:t xml:space="preserve">. </w:t>
      </w:r>
      <w:bookmarkStart w:id="61" w:name="pg8689_87506"/>
    </w:p>
    <w:p>
      <w:pPr>
        <w:pStyle w:val="Heading3"/>
        <w:numPr>
          <w:ilvl w:val="2"/>
          <w:numId w:val="1"/>
        </w:numPr>
        <w:rPr/>
      </w:pPr>
      <w:bookmarkStart w:id="62" w:name="__RefHeading___Toc2713042_653776707"/>
      <w:bookmarkStart w:id="63" w:name="_Toc21"/>
      <w:bookmarkEnd w:id="61"/>
      <w:bookmarkEnd w:id="62"/>
      <w:r>
        <w:rPr>
          <w:rtl w:val="true"/>
        </w:rPr>
        <w:t>مقدمه</w:t>
      </w:r>
      <w:bookmarkEnd w:id="63"/>
    </w:p>
    <w:p>
      <w:pPr>
        <w:pStyle w:val="BookText"/>
        <w:rPr/>
      </w:pPr>
      <w:r>
        <w:rPr>
          <w:rFonts w:ascii="IRNazanin" w:hAnsi="IRNazanin" w:eastAsia="IRNazanin"/>
          <w:color w:val="111111"/>
          <w:sz w:val="28"/>
          <w:sz w:val="28"/>
          <w:szCs w:val="28"/>
          <w:rtl w:val="true"/>
          <w:lang w:bidi="fa-IR"/>
        </w:rPr>
        <w:t xml:space="preserve">درباره نامه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گوناگونی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پژوهش ها به زوایای مختلف این مکاتبات پرداخته و اهداف آنها را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به مخالفان اصلی و قسم خورده و شناخته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بررسی علت مقابله ایشان با مخالفین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مکتوبات در بررسی ها از ارزش و اعتبار بالایی برخوردار بوده و دلیل اصلی آن نیز منحصر بودن راه ارتباطی بین اقوام، طوایف، حکومت ها و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ها نگرش افراد از جمله نویسنده و به اعتبار وی، شناخت کافی از گیرنده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موافقان و مخالفانی داشته است که به وسیله نامه نسبت به انتقال منویات خود اقدام کرده و نامه های قابل توجه و ارزشمندی از ایشان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اصلی این پژوهش، بررسی محتوای نامه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سایرین بوده که منحصراً مکاتبات با مخالفین ایشان مورد بررسی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 آوری و شناسایی نامه ها به کتاب مکاتیب الائمه مرحوم آیت الله علی احمدی میانجی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جلد سوم آن به نامه های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مجموعه ای از نامه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عیناً و بدون تحلیل آورده است، مراجعه شده؛ ضمن اینکه از منابع دیگر نیز برای استخراج نامه ها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وصیت نامه ها در حکم نامه نبود؛ ولی در این جستار از آنها با عنوان ابزار ارتباطی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فقره از نامه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مورد تحلیل و بررسی قرار گرفته استکه صرفاً مشمول مخالفین حضرت می شود</w:t>
      </w:r>
      <w:r>
        <w:rPr>
          <w:rFonts w:eastAsia="IRNazanin" w:cs="IRNazanin"/>
          <w:color w:val="111111"/>
          <w:sz w:val="28"/>
          <w:szCs w:val="28"/>
          <w:rtl w:val="true"/>
          <w:lang w:bidi="fa-IR"/>
        </w:rPr>
        <w:t>.</w:t>
      </w:r>
    </w:p>
    <w:p>
      <w:pPr>
        <w:pStyle w:val="Heading3"/>
        <w:numPr>
          <w:ilvl w:val="2"/>
          <w:numId w:val="1"/>
        </w:numPr>
        <w:rPr/>
      </w:pPr>
      <w:bookmarkStart w:id="64" w:name="__RefHeading___Toc2713044_653776707"/>
      <w:bookmarkStart w:id="65" w:name="_Toc22"/>
      <w:bookmarkEnd w:id="64"/>
      <w:r>
        <w:rPr>
          <w:rtl w:val="true"/>
        </w:rPr>
        <w:t>بیان مسئله</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اسناد رسمی برای تحلیل هستند و با دستیابی به متن اصلی نامه ها، می توان به مواضع ایشان در حوزه های مختلف اعتقادی و رفتاری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مکاتبات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و به لحاظ محتوایی واکاوی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صورت گرفته ضمن اینکه گیرنده نامه، منصب و مقام </w:t>
      </w:r>
      <w:bookmarkStart w:id="66" w:name="pg8689_87507"/>
    </w:p>
    <w:p>
      <w:pPr>
        <w:pStyle w:val="BookText"/>
        <w:rPr/>
      </w:pPr>
      <w:bookmarkEnd w:id="66"/>
      <w:r>
        <w:rPr>
          <w:rFonts w:ascii="IRNazanin" w:hAnsi="IRNazanin" w:eastAsia="IRNazanin"/>
          <w:color w:val="111111"/>
          <w:sz w:val="28"/>
          <w:sz w:val="28"/>
          <w:szCs w:val="28"/>
          <w:rtl w:val="true"/>
          <w:lang w:bidi="fa-IR"/>
        </w:rPr>
        <w:t xml:space="preserve">مخاطبین مشخص می شود، نوع 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حساس نیز مورد ارزیابی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به دنبال پاسخ به این پرسش است که محتوای نامه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و به دنبال آن دو سوال فرعی، نامه نگاری در صدر اسلام از چه جایگاهی برخوردار بوده است؟ و محتوای نامه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موضوعاتی را دنبال می کند؟، نیز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اهداف زیر را دنبال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نوع مکاتبات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محتوایی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حوادث و جریانات قبل از حرکت بزرگ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شیوه 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دستگاه جور و ظلم بنی امیه به کار می بردند</w:t>
      </w:r>
      <w:r>
        <w:rPr>
          <w:rFonts w:eastAsia="IRNazanin" w:cs="IRNazanin"/>
          <w:color w:val="111111"/>
          <w:sz w:val="28"/>
          <w:szCs w:val="28"/>
          <w:rtl w:val="true"/>
          <w:lang w:bidi="fa-IR"/>
        </w:rPr>
        <w:t>.</w:t>
      </w:r>
    </w:p>
    <w:p>
      <w:pPr>
        <w:pStyle w:val="Heading3"/>
        <w:numPr>
          <w:ilvl w:val="2"/>
          <w:numId w:val="1"/>
        </w:numPr>
        <w:rPr/>
      </w:pPr>
      <w:bookmarkStart w:id="67" w:name="__RefHeading___Toc2713046_653776707"/>
      <w:bookmarkStart w:id="68" w:name="_Toc23"/>
      <w:bookmarkEnd w:id="67"/>
      <w:r>
        <w:rPr>
          <w:rtl w:val="true"/>
        </w:rPr>
        <w:t>پیشینه پژوهش</w:t>
      </w:r>
      <w:bookmarkEnd w:id="68"/>
    </w:p>
    <w:p>
      <w:pPr>
        <w:pStyle w:val="BookText"/>
        <w:rPr/>
      </w:pPr>
      <w:r>
        <w:rPr>
          <w:rFonts w:ascii="IRNazanin" w:hAnsi="IRNazanin" w:eastAsia="IRNazanin"/>
          <w:color w:val="111111"/>
          <w:sz w:val="28"/>
          <w:sz w:val="28"/>
          <w:szCs w:val="28"/>
          <w:rtl w:val="true"/>
          <w:lang w:bidi="fa-IR"/>
        </w:rPr>
        <w:t>از آنجایی که پژوهش حاضر به تحلیل و بررسی محتوایی نامه ها پرداخته، فاقد پیشینه دانشگاهی و حوزوی تحقیقی است و به جز مقالات متفرقه عمومی، تا به حال به شکل مدون و تجمیعی مورد بررسی و تحلیل قرار نگرفتهو هر محققی به طور جداگانه به یکی از نامه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مختلفی آمده است که می توان به جلد سوم کتاب مکاتیب الائمه آیت الله احمدی میانجی اشاره کرد؛ در کتاب رسائل الائمه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معادن الحکمه فی مکاتیب الائمه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تعدادی از نامه ها درج شده است؛ اما در سایر مقالات و تحقیقات علمی مرتبط با این موضوع، کار پژوهشی انجام نشده است</w:t>
      </w:r>
      <w:r>
        <w:rPr>
          <w:rFonts w:eastAsia="IRNazanin" w:cs="IRNazanin"/>
          <w:color w:val="111111"/>
          <w:sz w:val="28"/>
          <w:szCs w:val="28"/>
          <w:rtl w:val="true"/>
          <w:lang w:bidi="fa-IR"/>
        </w:rPr>
        <w:t>.</w:t>
      </w:r>
    </w:p>
    <w:p>
      <w:pPr>
        <w:pStyle w:val="Heading3"/>
        <w:numPr>
          <w:ilvl w:val="2"/>
          <w:numId w:val="1"/>
        </w:numPr>
        <w:rPr/>
      </w:pPr>
      <w:bookmarkStart w:id="69" w:name="__RefHeading___Toc2713048_653776707"/>
      <w:bookmarkStart w:id="70" w:name="_Toc24"/>
      <w:bookmarkEnd w:id="69"/>
      <w:r>
        <w:rPr>
          <w:rtl w:val="true"/>
        </w:rPr>
        <w:t>معرفی روش تحلیل محتوا</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نظرانی مانند برنارد برسون، پیتر اسلندر، ویمر، دومینک و هولستوی از جمله نویسندگانی هستند که نظریاتی در باب تحلیل محتوا مطرح کرده اند و ماحصل تحلیل ها ی خود را، با معیارهای ذیل و در تقسیم بندی کاربردهای آن در نظر داشته اند</w:t>
      </w:r>
      <w:r>
        <w:rPr>
          <w:rFonts w:eastAsia="IRNazanin" w:cs="IRNazanin"/>
          <w:color w:val="111111"/>
          <w:sz w:val="28"/>
          <w:szCs w:val="28"/>
          <w:rtl w:val="true"/>
          <w:lang w:bidi="fa-IR"/>
        </w:rPr>
        <w:t xml:space="preserve">. </w:t>
      </w:r>
      <w:bookmarkStart w:id="71" w:name="pg8689_87508"/>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سطح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تعداد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موردپژوهی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دوره 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مقطع زمانی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روندپژوهی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تقسیم بندی، تحلیل محتوا به یکی از این کاربردها محدود نمی شود؛ بلکه ترکیبی از آنها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حاضر توصیفی بوده و در نتیجه گیری نیز از روش استنباطی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از چند منبع مختلف استفاده شده است و با توجه به تعمیم آن به لحاظ تأثیرگذاری جریان قیام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و مرتبط بودن باظلم ستیزی و آزادی خواهی که سرشت بشریت است، در این تحقیق می توان از همه کاربردهای تحلیلی فوق الذکر استفاده کرد</w:t>
      </w:r>
      <w:r>
        <w:rPr>
          <w:rFonts w:eastAsia="IRNazanin" w:cs="IRNazanin"/>
          <w:color w:val="111111"/>
          <w:sz w:val="28"/>
          <w:szCs w:val="28"/>
          <w:rtl w:val="true"/>
          <w:lang w:bidi="fa-IR"/>
        </w:rPr>
        <w:t>.</w:t>
      </w:r>
    </w:p>
    <w:p>
      <w:pPr>
        <w:pStyle w:val="Heading3"/>
        <w:numPr>
          <w:ilvl w:val="2"/>
          <w:numId w:val="1"/>
        </w:numPr>
        <w:rPr/>
      </w:pPr>
      <w:bookmarkStart w:id="72" w:name="__RefHeading___Toc2713050_653776707"/>
      <w:bookmarkStart w:id="73" w:name="_Toc25"/>
      <w:bookmarkEnd w:id="72"/>
      <w:r>
        <w:rPr>
          <w:rtl w:val="true"/>
        </w:rPr>
        <w:t xml:space="preserve">امام حسین </w:t>
      </w:r>
      <w:r>
        <w:rPr>
          <w:rtl w:val="true"/>
        </w:rPr>
        <w:t>(</w:t>
      </w:r>
      <w:r>
        <w:rPr>
          <w:rtl w:val="true"/>
        </w:rPr>
        <w:t>علیه السلام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روایات متعدد، در سوم شعبان سال چهارم هجرت در مدینه النبی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 ایشان،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پیامبران الهی و پدر ارجمندش با نام پرآوازه مولا امیرالمؤمنین،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خیرالنساء، بضعه رسول الله،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فوق را تأیید کرده است که با تطبیق میلادی،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خورشیدی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عقبه گران قدر در جامعه عربی آن روز افضل انسان ها بوده است؛ ضمن اینکه امام سوم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چهارده معصوم و از اصحاب کساء بوده و به سید جوانان اهل بهشت نیز ملقب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حائری مازندرانی،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را شبیر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نام پسر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حائری مازندرانی،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سنین کودکی و از دست دادن سایه پرمهر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مادر بزرگوار و پدرش حیدر کرار، در رکاب برادرش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4" w:name="pg8689_87509"/>
    </w:p>
    <w:p>
      <w:pPr>
        <w:pStyle w:val="BookText"/>
        <w:rPr/>
      </w:pPr>
      <w:bookmarkEnd w:id="74"/>
      <w:r>
        <w:rPr>
          <w:rFonts w:ascii="IRNazanin" w:hAnsi="IRNazanin" w:eastAsia="IRNazanin"/>
          <w:color w:val="111111"/>
          <w:sz w:val="28"/>
          <w:sz w:val="28"/>
          <w:szCs w:val="28"/>
          <w:rtl w:val="true"/>
          <w:lang w:bidi="fa-IR"/>
        </w:rPr>
        <w:t>زندگی کرد و همواره تابع فرامین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عهدنامه امضا کرده بود، هر دوی این بزرگواران تا زمان زنده بودن معاویه، از حکومت فاصله گرفته و تکالیف غیرسیاسی امامت مسلمین را برعهده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برادرش، از سوی اهالی کوفه به قیام دعوت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وی تا مرگ معاویه صبر پیشه کرد و هیچ وقت معاویه را به رسمیت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معاویه و معرفی یزید بن معاویه به عنوان خلیفه،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وی برخاست و از بدعهدی معاویه به مسلمین هشدار داد و در همه محافل و مجالس، مخالفت خود را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برای اخذ بیعت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تحرکات ایذایی نمود و نقشه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و مکه به والیان خود ابلاغ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بی شمار کوفیان راهی عراق شد؛ دستگاه بنی امیه نیز متقابلاً با اعزام عبیدالله بن زیاد به کوفه و جمع آوری قشون بی حد به مقابله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صحرایی گرم و سوزان پرداخت و در یک رویارویی غیرمتوازن و نابرابر، در روز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و فرزندانش پس از مقاومت بسیار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عظیم در تاریخ ماندگار و مبنای همه حرکت های آزادی بخش جهان شد؛ ضمن اینکه دستگاه حکومتی بنی امیه تحت تأثیر همین جریان، دائماً ناپایدار بود تا اینکه منقرض شد</w:t>
      </w:r>
      <w:r>
        <w:rPr>
          <w:rFonts w:eastAsia="IRNazanin" w:cs="IRNazanin"/>
          <w:color w:val="111111"/>
          <w:sz w:val="28"/>
          <w:szCs w:val="28"/>
          <w:rtl w:val="true"/>
          <w:lang w:bidi="fa-IR"/>
        </w:rPr>
        <w:t>.</w:t>
      </w:r>
    </w:p>
    <w:p>
      <w:pPr>
        <w:pStyle w:val="Heading3"/>
        <w:numPr>
          <w:ilvl w:val="2"/>
          <w:numId w:val="1"/>
        </w:numPr>
        <w:rPr/>
      </w:pPr>
      <w:bookmarkStart w:id="75" w:name="__RefHeading___Toc2713052_653776707"/>
      <w:bookmarkStart w:id="76" w:name="_Toc26"/>
      <w:bookmarkEnd w:id="75"/>
      <w:r>
        <w:rPr>
          <w:rtl w:val="true"/>
        </w:rPr>
        <w:t xml:space="preserve">تحلیل محتوای نامه های امام حسین </w:t>
      </w:r>
      <w:r>
        <w:rPr>
          <w:rtl w:val="true"/>
        </w:rPr>
        <w:t>(</w:t>
      </w:r>
      <w:r>
        <w:rPr>
          <w:rtl w:val="true"/>
        </w:rPr>
        <w:t>علیه السلام</w:t>
      </w:r>
      <w:r>
        <w:rPr>
          <w:rtl w:val="true"/>
        </w:rPr>
        <w:t>)</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ارزشمند و ماندگار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مکاتباتی است که به مخاطبان خود می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ها حاوی درس هایی می باشد که الگوی اعتقادی و رفتاری همه بشر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زندگی پُرفراز و نشیب خود نوشته است که اکثر این نامه ها پیرامون بسترسازی قیام عاشورا بوده و در بین نامه ها، بخشی را به دوستان و تعدادی را به مخالفان خود نگاشتهاست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نامه های آن حضرت که مورد بحث این پژوهش می باشد، نامه هایی است که به معاویه بن ابی سفیان، والی شام یا به تعبیر آن والی، خلیفه بلامنازع اسلام و فرزند وی یزید بن معاویه و سعید بن عاص، </w:t>
      </w:r>
      <w:bookmarkStart w:id="77" w:name="pg8689_87510"/>
    </w:p>
    <w:p>
      <w:pPr>
        <w:pStyle w:val="BookText"/>
        <w:rPr/>
      </w:pPr>
      <w:bookmarkEnd w:id="77"/>
      <w:r>
        <w:rPr>
          <w:rFonts w:ascii="IRNazanin" w:hAnsi="IRNazanin" w:eastAsia="IRNazanin"/>
          <w:color w:val="111111"/>
          <w:sz w:val="28"/>
          <w:sz w:val="28"/>
          <w:szCs w:val="28"/>
          <w:rtl w:val="true"/>
          <w:lang w:bidi="fa-IR"/>
        </w:rPr>
        <w:t>فرماندار مکه نوشته است که بسط مفاهیم نامه با توجه به منابع کثیری که به آنها پرداخته اند از جذابیت ویژه ای برخوردار است و هدف این مقاله نیز بررسی محتوای این مکاتبات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مطیع برادر خود بود و سابقه ای از مداخله در جریانات سیاسی در این دوره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موجود است به بعد از شهادت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جدول ذیل، جهت گیری ها و نکات برجسته مدنظر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59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42" o:detectmouseclick="t"/>
                <v:stroke color="#3465a4" joinstyle="round" endcap="flat"/>
                <w10:wrap type="none"/>
              </v:shape>
            </w:pict>
          </mc:Fallback>
        </mc:AlternateContent>
      </w:r>
    </w:p>
    <w:p>
      <w:pPr>
        <w:pStyle w:val="Heading3"/>
        <w:numPr>
          <w:ilvl w:val="2"/>
          <w:numId w:val="1"/>
        </w:numPr>
        <w:rPr/>
      </w:pPr>
      <w:bookmarkStart w:id="78" w:name="__RefHeading___Toc2713054_653776707"/>
      <w:bookmarkStart w:id="79" w:name="_Toc27"/>
      <w:bookmarkEnd w:id="78"/>
      <w:r>
        <w:rPr>
          <w:rtl w:val="true"/>
        </w:rPr>
        <w:t xml:space="preserve">نامه امام </w:t>
      </w:r>
      <w:r>
        <w:rPr>
          <w:rtl w:val="true"/>
        </w:rPr>
        <w:t>(</w:t>
      </w:r>
      <w:r>
        <w:rPr>
          <w:rtl w:val="true"/>
        </w:rPr>
        <w:t>علیه السلام</w:t>
      </w:r>
      <w:r>
        <w:rPr>
          <w:rtl w:val="true"/>
        </w:rPr>
        <w:t xml:space="preserve">) </w:t>
      </w:r>
      <w:r>
        <w:rPr>
          <w:rtl w:val="true"/>
        </w:rPr>
        <w:t>در خصوص مصادره اموال کاروان یمنی</w:t>
      </w:r>
      <w:bookmarkEnd w:id="79"/>
    </w:p>
    <w:p>
      <w:pPr>
        <w:pStyle w:val="Heading4"/>
        <w:numPr>
          <w:ilvl w:val="3"/>
          <w:numId w:val="1"/>
        </w:numPr>
        <w:rPr/>
      </w:pPr>
      <w:bookmarkStart w:id="80" w:name="__RefHeading___Toc2713056_653776707"/>
      <w:bookmarkStart w:id="81" w:name="_Toc28"/>
      <w:bookmarkEnd w:id="80"/>
      <w:r>
        <w:rPr>
          <w:rtl w:val="true"/>
        </w:rPr>
        <w:t>اشاره</w:t>
      </w:r>
      <w:bookmarkEnd w:id="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معاویه بن ابی سفیان در خصوص توقف کاروان یمنی که اموالی را اعم از زیور آلات و عطریات به دمشق می برد، چند نکته را مطرح می کند که در محتوای نامه، دو پیام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غصبی بودن حکومت معاویه و مشروعیت نداشتن حکومت </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دستگاه خلافت بنی امیه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تمدن اسلام از نظر جریان سیاسی به دو دوره بزرگ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اسلام تا سقوط عباسیان در بغداد و استیلای مغولان بر ممالک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سیاسی اسلام و پس از آن سقوط حکومت عثمانی ها و اجتماع مسلمانان در تحت حاکمیت شیعیان صفوی</w:t>
      </w:r>
    </w:p>
    <w:p>
      <w:pPr>
        <w:pStyle w:val="BookText"/>
        <w:rPr/>
      </w:pPr>
      <w:r>
        <w:rPr>
          <w:rFonts w:ascii="IRNazanin" w:hAnsi="IRNazanin" w:eastAsia="IRNazanin"/>
          <w:color w:val="111111"/>
          <w:sz w:val="28"/>
          <w:sz w:val="28"/>
          <w:szCs w:val="28"/>
          <w:rtl w:val="true"/>
          <w:lang w:bidi="fa-IR"/>
        </w:rPr>
        <w:t xml:space="preserve">بحث اصلی در این خصوص، بررسی دوره اول می باشد که تا انقراض بنی امیه به طول انجامیده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دوره خلفای راشدین بر مسلمانان حکومت می کردند و همه اقوام و طوایف با هر رنگ و نژادی زیر یک پرچم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آنان، دین و ایمان و جهاد بوده و طبقات مردم را از روی سوابق دینی آنان درجه بندی می کردند؛ طبقاتی چون مهاجران، انصار، اهل بدر و اهل قادسیه از شهرت بیشتریبرخوردار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تاریخ، مبنای سیاست، عدالت و تقوی بوده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همین مطلب را به عنوان عدم ذی حق بودن معاویه در تصرف و تملک اموال مسلمین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فاقد حکومت رسمی بوده و از طرفی اخلاق مدارترین شخصیت عالم اسلام است، کاروانی را متوقف و کالاهای آن را مصادره می نماید؟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جرجی زیدان معتقد است بنی امیه از قتل عثمان بن عفان سوء استفاده کردند و خلافت را برای خود مصادره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نشان می دهد که معاویه اولین نفر از بنی امیه است که ملاحظه جامعه ی اسلامی را ننموده و در یک کودتا به این اقدام مبادرت ورزیده است و غصبی بودن حکومت وی و عدم مشروعیت آن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4705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الصله و ادلب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آورده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معاویه دیدگاه خوبی نداشته و حتی در یک جریان، وی را نفرین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اشبع الله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شکمش را سیر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هر تحلیل گری می تواند به عمق رذالت معاویه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شخصیت نمی تواند در نگاه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پس از مرگ عثمان، علی رغم اینکه جامعه اسلامی با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و ایشان را خلیفه مسلمین شمردند، </w:t>
      </w:r>
      <w:bookmarkStart w:id="82" w:name="pg8689_87512"/>
    </w:p>
    <w:p>
      <w:pPr>
        <w:pStyle w:val="BookText"/>
        <w:rPr/>
      </w:pPr>
      <w:bookmarkEnd w:id="82"/>
      <w:r>
        <w:rPr>
          <w:rFonts w:ascii="IRNazanin" w:hAnsi="IRNazanin" w:eastAsia="IRNazanin"/>
          <w:color w:val="111111"/>
          <w:sz w:val="28"/>
          <w:sz w:val="28"/>
          <w:szCs w:val="28"/>
          <w:rtl w:val="true"/>
          <w:lang w:bidi="fa-IR"/>
        </w:rPr>
        <w:t>با خلیفه برحق مسلمین بیعت نکرد و خود را محق به سرپرستی مردم مسلمان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صفین، مقابل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که این خود شروعی برای غصب کردن مسند خلافت بود و سپس با فرزند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پرداخت و در یک جریان سازی، وی رامجبور به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شاهد و ناظر همه این اتفاقات بود؛ ازاین رو مقبولیت و مشروعیت حکومت معاویه را برنتابید و خود را محق به اجرای فرامین الهی دانست و خلیفه غیرقانونی شام را غاصب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تصاحب کاروان یمن، به معاویه و همه اهل عالم اعلام می کند که صاحب اصلی این کاروان کسی است که جانشین به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اوست که می تواند در آن دخل و تصرف کند</w:t>
      </w:r>
      <w:r>
        <w:rPr>
          <w:rFonts w:eastAsia="IRNazanin" w:cs="IRNazanin"/>
          <w:color w:val="111111"/>
          <w:sz w:val="28"/>
          <w:szCs w:val="28"/>
          <w:rtl w:val="true"/>
          <w:lang w:bidi="fa-IR"/>
        </w:rPr>
        <w:t>.</w:t>
      </w:r>
    </w:p>
    <w:p>
      <w:pPr>
        <w:pStyle w:val="Heading4"/>
        <w:numPr>
          <w:ilvl w:val="3"/>
          <w:numId w:val="1"/>
        </w:numPr>
        <w:rPr/>
      </w:pPr>
      <w:bookmarkStart w:id="83" w:name="__RefHeading___Toc2713058_653776707"/>
      <w:bookmarkStart w:id="84" w:name="_Toc29"/>
      <w:bookmarkEnd w:id="83"/>
      <w:r>
        <w:rPr/>
        <w:t>1</w:t>
      </w:r>
      <w:r>
        <w:rPr>
          <w:rtl w:val="true"/>
        </w:rPr>
        <w:t xml:space="preserve">- </w:t>
      </w:r>
      <w:r>
        <w:rPr>
          <w:rtl w:val="true"/>
        </w:rPr>
        <w:t>تقسیم اموال عمومی برای خویشان</w:t>
      </w:r>
      <w:bookmarkEnd w:id="84"/>
    </w:p>
    <w:p>
      <w:pPr>
        <w:pStyle w:val="BookText"/>
        <w:rPr/>
      </w:pPr>
      <w:r>
        <w:rPr>
          <w:rFonts w:ascii="IRNazanin" w:hAnsi="IRNazanin" w:eastAsia="IRNazanin"/>
          <w:color w:val="111111"/>
          <w:sz w:val="28"/>
          <w:sz w:val="28"/>
          <w:szCs w:val="28"/>
          <w:rtl w:val="true"/>
          <w:lang w:bidi="fa-IR"/>
        </w:rPr>
        <w:t xml:space="preserve">در این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ای ظریف اشاره می کند و آن اینکه شما اموال مردم را به نفع فرزندان پدرت مصادره خواهی کرد و یا اینکه از این محل، فرزندان پدرت را 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چند نکته در ذهن شکل می گیرد و آن اینکه حکومت بنی امیه و در رأس آن معاویه، حقوق عامه مردم را ملاحظه نکرده و چیزی که برایشان مهم است فقط بستگان و اقربای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خلیفه سوم نیز تقویت کرده بود که موجب شد معاویه به تقلید از وی این کار را انجام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المال در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و همه مسلمانان در این خزانه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بیت المال در زمان ابی بکر، خلیفه اول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بن خطاب، محلی از مسجد را برای بیت المال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این دو خلیفه، رعایت حقوق عامه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مجدداً تقسیم بیت المال به نحو صحیح آن بین مسلمانان احیا گردید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محلی را که به عنوان بیت المال تعیین کرده بود، پس از تقسیم، جارو می نمود و در آن نماز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85" w:name="pg8689_87513"/>
    </w:p>
    <w:p>
      <w:pPr>
        <w:pStyle w:val="Heading4"/>
        <w:numPr>
          <w:ilvl w:val="3"/>
          <w:numId w:val="1"/>
        </w:numPr>
        <w:rPr/>
      </w:pPr>
      <w:bookmarkStart w:id="86" w:name="__RefHeading___Toc2713060_653776707"/>
      <w:bookmarkStart w:id="87" w:name="_Toc30"/>
      <w:bookmarkEnd w:id="85"/>
      <w:bookmarkEnd w:id="86"/>
      <w:r>
        <w:rPr/>
        <w:t>2</w:t>
      </w:r>
      <w:r>
        <w:rPr>
          <w:rtl w:val="true"/>
        </w:rPr>
        <w:t xml:space="preserve">- </w:t>
      </w:r>
      <w:r>
        <w:rPr>
          <w:rtl w:val="true"/>
        </w:rPr>
        <w:t>جنگ سرد با معاویه</w:t>
      </w:r>
      <w:bookmarkEnd w:id="87"/>
    </w:p>
    <w:p>
      <w:pPr>
        <w:pStyle w:val="BookText"/>
        <w:rPr/>
      </w:pPr>
      <w:r>
        <w:rPr>
          <w:rFonts w:ascii="IRNazanin" w:hAnsi="IRNazanin" w:eastAsia="IRNazanin"/>
          <w:color w:val="111111"/>
          <w:sz w:val="28"/>
          <w:sz w:val="28"/>
          <w:szCs w:val="28"/>
          <w:rtl w:val="true"/>
          <w:lang w:bidi="fa-IR"/>
        </w:rPr>
        <w:t xml:space="preserve">انعقاد عهدنامه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جای بحث دارد چرا که معاویه آن را نقض عهد کرده و به نحوی باطل شده بود؛ با این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اخلاقاً به آن پای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سازی های سیاسی بیشتر به صورت سرد اتفاق می افتاد و در تاریخ، درگیری و نزاع نظامی 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گزارش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 مهم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نگه داشتن قافله ای بود که از یمن به سمت دمشق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می خواست به همه مسلمانان اعلام کند که سر سازش با معاویه ندارد و اگر جایی مصلحت ببیند، مقابله خواهد کرد؛ هر چند قصد درگیری نظامی با معاویه را نداشته است</w:t>
      </w:r>
      <w:r>
        <w:rPr>
          <w:rFonts w:eastAsia="IRNazanin" w:cs="IRNazanin"/>
          <w:color w:val="111111"/>
          <w:sz w:val="28"/>
          <w:szCs w:val="28"/>
          <w:rtl w:val="true"/>
          <w:lang w:bidi="fa-IR"/>
        </w:rPr>
        <w:t>.</w:t>
      </w:r>
    </w:p>
    <w:p>
      <w:pPr>
        <w:pStyle w:val="Heading4"/>
        <w:numPr>
          <w:ilvl w:val="3"/>
          <w:numId w:val="1"/>
        </w:numPr>
        <w:rPr/>
      </w:pPr>
      <w:bookmarkStart w:id="88" w:name="__RefHeading___Toc2713062_653776707"/>
      <w:bookmarkStart w:id="89" w:name="_Toc31"/>
      <w:bookmarkEnd w:id="88"/>
      <w:r>
        <w:rPr/>
        <w:t>3</w:t>
      </w:r>
      <w:r>
        <w:rPr>
          <w:rtl w:val="true"/>
        </w:rPr>
        <w:t xml:space="preserve">- </w:t>
      </w:r>
      <w:r>
        <w:rPr>
          <w:rtl w:val="true"/>
        </w:rPr>
        <w:t>عدم ترس از معاویه</w:t>
      </w:r>
      <w:bookmarkEnd w:id="89"/>
    </w:p>
    <w:p>
      <w:pPr>
        <w:pStyle w:val="BookText"/>
        <w:rPr/>
      </w:pPr>
      <w:r>
        <w:rPr>
          <w:rFonts w:ascii="IRNazanin" w:hAnsi="IRNazanin" w:eastAsia="IRNazanin"/>
          <w:color w:val="111111"/>
          <w:sz w:val="28"/>
          <w:sz w:val="28"/>
          <w:szCs w:val="28"/>
          <w:rtl w:val="true"/>
          <w:lang w:bidi="fa-IR"/>
        </w:rPr>
        <w:t>معاویه بعد از جریان حکمیت، خود را خلیفه مسلمانان نامید و مردم شام نیز از او به عنوان خلیفه یاد می کردند؛ بر همین اساس، از قدرت پادشاهی برخوردار شده بود و عملاً تاخت و تازهای فراوانی برای جلب سایر ملل انجام می داد و بسیاری از بزرگان آن روز بدون اجازه معاویه جرأت هیچ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بعد از تصاحب قافله، نامه ای به معاویه می نویسد و از توقف کاروان و مصادره اموال آن به نفع مسلمین به وی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این اقدام نشان می دهد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تقابل نظامی با معاویه داشته باشد، واهمه و اضطرابی برای این کار ندارد؛ لیکن به تعهد برادر بزرگوارش پای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توقف قافله، هشدارباش آشکار و قدرتمندیاست که به معاویه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خود می داند که نمی تواند به مقابله با منطق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Heading3"/>
        <w:numPr>
          <w:ilvl w:val="2"/>
          <w:numId w:val="1"/>
        </w:numPr>
        <w:rPr/>
      </w:pPr>
      <w:bookmarkStart w:id="90" w:name="__RefHeading___Toc2713064_653776707"/>
      <w:bookmarkStart w:id="91" w:name="_Toc32"/>
      <w:bookmarkEnd w:id="90"/>
      <w:r>
        <w:rPr>
          <w:rtl w:val="true"/>
        </w:rPr>
        <w:t>نامه به معاویه پیرامون ازدواج با کنیز</w:t>
      </w:r>
      <w:bookmarkEnd w:id="91"/>
    </w:p>
    <w:p>
      <w:pPr>
        <w:pStyle w:val="Heading4"/>
        <w:numPr>
          <w:ilvl w:val="3"/>
          <w:numId w:val="1"/>
        </w:numPr>
        <w:rPr/>
      </w:pPr>
      <w:bookmarkStart w:id="92" w:name="__RefHeading___Toc2713066_653776707"/>
      <w:bookmarkStart w:id="93" w:name="_Toc33"/>
      <w:bookmarkEnd w:id="92"/>
      <w:r>
        <w:rPr>
          <w:rtl w:val="true"/>
        </w:rPr>
        <w:t>اشاره</w:t>
      </w:r>
      <w:bookmarkEnd w:id="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ایراد معاویه در خصوص ازدواج با کنیز خود می پردازد و معاویه بیش از آنکه توانسته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عتاب قرار دهد، خود با ادله زیبای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خارج می شود و قافیه ای را که خود شروع کرده،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چند </w:t>
      </w:r>
      <w:bookmarkStart w:id="94" w:name="pg8689_87514"/>
    </w:p>
    <w:p>
      <w:pPr>
        <w:pStyle w:val="BookText"/>
        <w:rPr/>
      </w:pPr>
      <w:bookmarkEnd w:id="94"/>
      <w:r>
        <w:rPr>
          <w:rFonts w:ascii="IRNazanin" w:hAnsi="IRNazanin" w:eastAsia="IRNazanin"/>
          <w:color w:val="111111"/>
          <w:sz w:val="28"/>
          <w:sz w:val="28"/>
          <w:szCs w:val="28"/>
          <w:rtl w:val="true"/>
          <w:lang w:bidi="fa-IR"/>
        </w:rPr>
        <w:t>نکته اشاره می کند</w:t>
      </w:r>
      <w:r>
        <w:rPr>
          <w:rFonts w:eastAsia="IRNazanin" w:cs="IRNazanin"/>
          <w:color w:val="111111"/>
          <w:sz w:val="28"/>
          <w:szCs w:val="28"/>
          <w:rtl w:val="true"/>
          <w:lang w:bidi="fa-IR"/>
        </w:rPr>
        <w:t>:</w:t>
      </w:r>
    </w:p>
    <w:p>
      <w:pPr>
        <w:pStyle w:val="Heading4"/>
        <w:numPr>
          <w:ilvl w:val="3"/>
          <w:numId w:val="1"/>
        </w:numPr>
        <w:rPr/>
      </w:pPr>
      <w:bookmarkStart w:id="95" w:name="__RefHeading___Toc2713068_653776707"/>
      <w:bookmarkStart w:id="96" w:name="_Toc34"/>
      <w:bookmarkEnd w:id="95"/>
      <w:r>
        <w:rPr/>
        <w:t>1</w:t>
      </w:r>
      <w:r>
        <w:rPr>
          <w:rtl w:val="true"/>
        </w:rPr>
        <w:t xml:space="preserve">- </w:t>
      </w:r>
      <w:r>
        <w:rPr>
          <w:rtl w:val="true"/>
        </w:rPr>
        <w:t>مذمت معاویه در خصوص پای بندی به عهد جاهلی</w:t>
      </w:r>
      <w:bookmarkEnd w:id="96"/>
    </w:p>
    <w:p>
      <w:pPr>
        <w:pStyle w:val="BookText"/>
        <w:rPr/>
      </w:pPr>
      <w:r>
        <w:rPr>
          <w:rFonts w:ascii="IRNazanin" w:hAnsi="IRNazanin" w:eastAsia="IRNazanin"/>
          <w:color w:val="111111"/>
          <w:sz w:val="28"/>
          <w:sz w:val="28"/>
          <w:szCs w:val="28"/>
          <w:rtl w:val="true"/>
          <w:lang w:bidi="fa-IR"/>
        </w:rPr>
        <w:t>معاویه در هنگام زمامداری بیشتر شبیه پادشاهان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سعد بن مالک در هنگام بیعت با معاویه در مسجد کوفه به کار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به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نگفتی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صورتی بود که ما تو را امیر کرده باشیم؛ در حالی که خود بدین کار پریده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همه تلاش خود را معطوف به بازگشت مردم به سنت جاهلیت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وی این بود که تعصب عربیت، قومیت و ملیت عربی را که اسلام نفی کرده بود،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معاویه درخصوص اینکه نباید با کنیز خود ازدواج کند، تذکر می دهد و می گوید که این کار طبق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کنیز آزادکرده خود ازدواج نموده است و برتری انسان ها به شرافتی است که خدا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زنده کردن سنت جاهلیت به نحوی تلاش می کرد که بتواند آثار اصلی رسالت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تبعیض در حکومت وی به جایی رسید که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عرب وجود دارد، غیرعرب هر که هست، حق امامت جماعتندارد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4"/>
        <w:numPr>
          <w:ilvl w:val="3"/>
          <w:numId w:val="1"/>
        </w:numPr>
        <w:rPr/>
      </w:pPr>
      <w:bookmarkStart w:id="97" w:name="__RefHeading___Toc2713070_653776707"/>
      <w:bookmarkStart w:id="98" w:name="_Toc35"/>
      <w:bookmarkEnd w:id="97"/>
      <w:r>
        <w:rPr/>
        <w:t>2</w:t>
      </w:r>
      <w:r>
        <w:rPr>
          <w:rtl w:val="true"/>
        </w:rPr>
        <w:t xml:space="preserve">- </w:t>
      </w:r>
      <w:r>
        <w:rPr>
          <w:rtl w:val="true"/>
        </w:rPr>
        <w:t>معاویه و فاصله با ارزش ها</w:t>
      </w:r>
      <w:bookmarkEnd w:id="9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به معاویه گوشزد کرده است که قریشی بودن ارزش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طایفه ای از اعراب بود که چند شاخه شده بود و به واسطه نفوذ در میان اعراب، وابسته بودن به آن یک افتخار بود و موجب فخر به دیگران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ارزش فقط در پیوند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مهم تر اینکه اثبات نسبت بنی امیه با قریش و خویشاوندی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تردید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این انتساب به قریش را موجب فضیلت نمی داند</w:t>
      </w:r>
      <w:r>
        <w:rPr>
          <w:rFonts w:eastAsia="IRNazanin" w:cs="IRNazanin"/>
          <w:color w:val="111111"/>
          <w:sz w:val="28"/>
          <w:szCs w:val="28"/>
          <w:rtl w:val="true"/>
          <w:lang w:bidi="fa-IR"/>
        </w:rPr>
        <w:t>.</w:t>
      </w:r>
    </w:p>
    <w:p>
      <w:pPr>
        <w:pStyle w:val="Heading4"/>
        <w:numPr>
          <w:ilvl w:val="3"/>
          <w:numId w:val="1"/>
        </w:numPr>
        <w:rPr/>
      </w:pPr>
      <w:bookmarkStart w:id="99" w:name="__RefHeading___Toc2713072_653776707"/>
      <w:bookmarkStart w:id="100" w:name="_Toc36"/>
      <w:bookmarkEnd w:id="99"/>
      <w:r>
        <w:rPr/>
        <w:t>3</w:t>
      </w:r>
      <w:r>
        <w:rPr>
          <w:rtl w:val="true"/>
        </w:rPr>
        <w:t xml:space="preserve">- </w:t>
      </w:r>
      <w:r>
        <w:rPr>
          <w:rtl w:val="true"/>
        </w:rPr>
        <w:t>ملامت و سرزنش معاویه</w:t>
      </w:r>
      <w:bookmarkEnd w:id="10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خود را از ملامت معاویه تبرئه و با ادله محکم، مندرجات نامه وی </w:t>
      </w:r>
      <w:bookmarkStart w:id="101" w:name="pg8689_87515"/>
    </w:p>
    <w:p>
      <w:pPr>
        <w:pStyle w:val="BookText"/>
        <w:rPr/>
      </w:pPr>
      <w:bookmarkEnd w:id="101"/>
      <w:r>
        <w:rPr>
          <w:rFonts w:ascii="IRNazanin" w:hAnsi="IRNazanin" w:eastAsia="IRNazanin"/>
          <w:color w:val="111111"/>
          <w:sz w:val="28"/>
          <w:sz w:val="28"/>
          <w:szCs w:val="28"/>
          <w:rtl w:val="true"/>
          <w:lang w:bidi="fa-IR"/>
        </w:rPr>
        <w:t>را مردود می داند؛ از طرف دیگر موجبات ملامت و سرزنش وی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سرزنش را در گناه کردن می داند؛ حال آنکه ازدواج با یک فرد آزاد مسلمان گناه نیست؛ این ازدواج،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دیدگاه معاویه مبنی بر رسوم جاهلی است و هیچ جایگاهی در دین اسلام ندارد</w:t>
      </w:r>
      <w:r>
        <w:rPr>
          <w:rFonts w:eastAsia="IRNazanin" w:cs="IRNazanin"/>
          <w:color w:val="111111"/>
          <w:sz w:val="28"/>
          <w:szCs w:val="28"/>
          <w:rtl w:val="true"/>
          <w:lang w:bidi="fa-IR"/>
        </w:rPr>
        <w:t>.</w:t>
      </w:r>
    </w:p>
    <w:p>
      <w:pPr>
        <w:pStyle w:val="Heading4"/>
        <w:numPr>
          <w:ilvl w:val="3"/>
          <w:numId w:val="1"/>
        </w:numPr>
        <w:rPr/>
      </w:pPr>
      <w:bookmarkStart w:id="102" w:name="__RefHeading___Toc2713074_653776707"/>
      <w:bookmarkStart w:id="103" w:name="_Toc37"/>
      <w:bookmarkEnd w:id="102"/>
      <w:r>
        <w:rPr/>
        <w:t>4</w:t>
      </w:r>
      <w:r>
        <w:rPr>
          <w:rtl w:val="true"/>
        </w:rPr>
        <w:t xml:space="preserve">- </w:t>
      </w:r>
      <w:r>
        <w:rPr>
          <w:rtl w:val="true"/>
        </w:rPr>
        <w:t>پاداش آزادکردن برده</w:t>
      </w:r>
      <w:bookmarkEnd w:id="103"/>
    </w:p>
    <w:p>
      <w:pPr>
        <w:pStyle w:val="BookText"/>
        <w:rPr/>
      </w:pPr>
      <w:r>
        <w:rPr>
          <w:rFonts w:ascii="IRNazanin" w:hAnsi="IRNazanin" w:eastAsia="IRNazanin"/>
          <w:color w:val="111111"/>
          <w:sz w:val="28"/>
          <w:sz w:val="28"/>
          <w:szCs w:val="28"/>
          <w:rtl w:val="true"/>
          <w:lang w:bidi="fa-IR"/>
        </w:rPr>
        <w:t xml:space="preserve">از آنجایی که معاویه خلافت را به پادشاهی تبدیل کرده و در دربارش حشم و خدم جمع کرده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این موضوع مهم که خداوند برای آزادکردن کنیز به انسان پاداش می دهد را به وی متذکر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من بود که به موجب امری که خداوند در آن پاداش می دهد،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ابی نعیم،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را بازگو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04" w:name="__RefHeading___Toc2713076_653776707"/>
      <w:bookmarkStart w:id="105" w:name="_Toc38"/>
      <w:bookmarkEnd w:id="104"/>
      <w:r>
        <w:rPr>
          <w:rtl w:val="true"/>
        </w:rPr>
        <w:t>نامه به معاویه در اعتراض به او</w:t>
      </w:r>
      <w:bookmarkEnd w:id="105"/>
    </w:p>
    <w:p>
      <w:pPr>
        <w:pStyle w:val="Heading4"/>
        <w:numPr>
          <w:ilvl w:val="3"/>
          <w:numId w:val="1"/>
        </w:numPr>
        <w:rPr/>
      </w:pPr>
      <w:bookmarkStart w:id="106" w:name="__RefHeading___Toc2713078_653776707"/>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جنایات معاویه و کشتن صحابی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نکات مهمی را به او تذکر می دهد؛ خداست که کار خیر و شر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شما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انجام دادم که به آن سزاراوار نیستیم؛ درحالی که این تشخیص در حیطه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هدایتگر همه، خداست و اوست که می داند چه چیزی خیر است و یا غیر آن و مطلب عنوان شده در تخصص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ادبیات در عهد معاویه به آسانی از سوی هرکسی ادا نمی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عهدی که با پروردگار بسته است و جز او راهنمایی نمی داند، این مطلب را بیان می کند</w:t>
      </w:r>
      <w:r>
        <w:rPr>
          <w:rFonts w:eastAsia="IRNazanin" w:cs="IRNazanin"/>
          <w:color w:val="111111"/>
          <w:sz w:val="28"/>
          <w:szCs w:val="28"/>
          <w:rtl w:val="true"/>
          <w:lang w:bidi="fa-IR"/>
        </w:rPr>
        <w:t>.</w:t>
      </w:r>
    </w:p>
    <w:p>
      <w:pPr>
        <w:pStyle w:val="Heading4"/>
        <w:numPr>
          <w:ilvl w:val="3"/>
          <w:numId w:val="1"/>
        </w:numPr>
        <w:rPr/>
      </w:pPr>
      <w:bookmarkStart w:id="108" w:name="__RefHeading___Toc2713080_653776707"/>
      <w:bookmarkStart w:id="109" w:name="_Toc40"/>
      <w:bookmarkEnd w:id="108"/>
      <w:r>
        <w:rPr/>
        <w:t>1</w:t>
      </w:r>
      <w:r>
        <w:rPr>
          <w:rtl w:val="true"/>
        </w:rPr>
        <w:t xml:space="preserve">- </w:t>
      </w:r>
      <w:r>
        <w:rPr>
          <w:rtl w:val="true"/>
        </w:rPr>
        <w:t>تصریح به عدم مقابله نظامی</w:t>
      </w:r>
      <w:bookmarkEnd w:id="10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از من به تو رسیده، صحت ندارد و دستگاه بنی امیه را چاپلوسان و سخن چینان و فتنه انگیزان احاطه کرده است؛ درحالی که خود می دانی اقدامات من برای تهاجم نظامی علیه حکومت ناحق شما نیست؛ هرچند از اینکه با تو </w:t>
      </w:r>
      <w:bookmarkStart w:id="110" w:name="pg8689_87516"/>
    </w:p>
    <w:p>
      <w:pPr>
        <w:pStyle w:val="BookText"/>
        <w:rPr/>
      </w:pPr>
      <w:bookmarkEnd w:id="110"/>
      <w:r>
        <w:rPr>
          <w:rFonts w:ascii="IRNazanin" w:hAnsi="IRNazanin" w:eastAsia="IRNazanin"/>
          <w:color w:val="111111"/>
          <w:sz w:val="28"/>
          <w:sz w:val="28"/>
          <w:szCs w:val="28"/>
          <w:rtl w:val="true"/>
          <w:lang w:bidi="fa-IR"/>
        </w:rPr>
        <w:t>نمی جنگم از خدای خود بیم دارم و گمان ندارم که خدا راضی باشد که من قیام و حرکتی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نیک می داند که گروهی ملحد و حزبی ستم پیشه بر مردم مسلمان حکومت می کنند و راهنمایی ایشان شیاطین هستند و بیان این مطالبِ کذب جز از این گروه بر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111" w:name="__RefHeading___Toc2713082_653776707"/>
      <w:bookmarkStart w:id="112" w:name="_Toc41"/>
      <w:bookmarkEnd w:id="111"/>
      <w:r>
        <w:rPr/>
        <w:t>2</w:t>
      </w:r>
      <w:r>
        <w:rPr>
          <w:rtl w:val="true"/>
        </w:rPr>
        <w:t xml:space="preserve">- </w:t>
      </w:r>
      <w:r>
        <w:rPr>
          <w:rtl w:val="true"/>
        </w:rPr>
        <w:t>بیان جنایات معاویه</w:t>
      </w:r>
      <w:bookmarkEnd w:id="112"/>
    </w:p>
    <w:p>
      <w:pPr>
        <w:pStyle w:val="BookText"/>
        <w:rPr/>
      </w:pPr>
      <w:r>
        <w:rPr>
          <w:rFonts w:ascii="IRNazanin" w:hAnsi="IRNazanin" w:eastAsia="IRNazanin"/>
          <w:color w:val="111111"/>
          <w:sz w:val="28"/>
          <w:sz w:val="28"/>
          <w:szCs w:val="28"/>
          <w:rtl w:val="true"/>
          <w:lang w:bidi="fa-IR"/>
        </w:rPr>
        <w:t xml:space="preserve">در این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روشنگری مردم و بیان جنایت های معاویه، اسامیافرادی را که نزد مردم جایگاه معنوی ویژه ای دارند و از سوی معاویه مورد خشم و ستم قرار گرفته بودند، ذکر می کند تا همگان بر کُنه و ذات ستمگر خلیفه نامشروع شام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حجر بن عدی را کشته ای که دارای چند خصلت ارزنده بود؛ اهل نماز و عبادت و با ظلم و بدعت مخالف بود و در راه خدا از هیچ ملامتی باک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به صورت اعتقادی اعم از نظری و عملی اشاره می کند و از وی شخصیتی را به تصویر می کشد که نشان دهد معاویه یک مرد خدادوست و خداترس را به شهادت رسانده و در این خصوص عملاً رشته مسلمانی خود را پاره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عمر بن حمق که صحابی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کثرت عبادت چهره اش زرد شده بود را به اتهام علی دوستی و بازگویی اوصاف برحق ما کشته ای و این اعمال را در حالتی انجام داده ای که با به جاآوردن قسم به آنها امان داده بودی و حرمت سوگند به خدا را از بین برده و امان دادن به عنوان یک شیوه مسلمانی و مردانگی را زیر پا نهاده ای و رشته دیگر مسلمانی خود را از هم گسسته نموده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شکنی معاویه مرتبط است، خطاب به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زیاد بن سمیه را برادر خود خوانده ای، حال آنکه ایشان در رختخواب ثقیف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به زیبایی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مشمول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فرزند پدر خود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فقر اجداد معاویه نیز می پردازد که معاش خود را با همراهی کاروان های یمن و شام در تابستان و زمستان تأمین </w:t>
      </w:r>
      <w:bookmarkStart w:id="113" w:name="pg8689_87517"/>
    </w:p>
    <w:p>
      <w:pPr>
        <w:pStyle w:val="BookText"/>
        <w:rPr/>
      </w:pPr>
      <w:bookmarkEnd w:id="113"/>
      <w:r>
        <w:rPr>
          <w:rFonts w:ascii="IRNazanin" w:hAnsi="IRNazanin" w:eastAsia="IRNazanin"/>
          <w:color w:val="111111"/>
          <w:sz w:val="28"/>
          <w:sz w:val="28"/>
          <w:szCs w:val="28"/>
          <w:rtl w:val="true"/>
          <w:lang w:bidi="fa-IR"/>
        </w:rPr>
        <w:t xml:space="preserve">می کردند و با آمدن دیناسلام، بی نیاز شدند و گروه گروه مردم برای مناسک حج به مکه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إِیلافِهِمْ رِحْلَةَ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موهبت بهره بردید</w:t>
      </w:r>
      <w:r>
        <w:rPr>
          <w:rFonts w:eastAsia="IRNazanin" w:cs="IRNazanin"/>
          <w:color w:val="111111"/>
          <w:sz w:val="28"/>
          <w:szCs w:val="28"/>
          <w:rtl w:val="true"/>
          <w:lang w:bidi="fa-IR"/>
        </w:rPr>
        <w:t>.</w:t>
      </w:r>
    </w:p>
    <w:p>
      <w:pPr>
        <w:pStyle w:val="Heading4"/>
        <w:numPr>
          <w:ilvl w:val="3"/>
          <w:numId w:val="1"/>
        </w:numPr>
        <w:rPr/>
      </w:pPr>
      <w:bookmarkStart w:id="114" w:name="__RefHeading___Toc2713084_653776707"/>
      <w:bookmarkStart w:id="115" w:name="_Toc42"/>
      <w:bookmarkEnd w:id="114"/>
      <w:r>
        <w:rPr/>
        <w:t>3</w:t>
      </w:r>
      <w:r>
        <w:rPr>
          <w:rtl w:val="true"/>
        </w:rPr>
        <w:t xml:space="preserve">- </w:t>
      </w:r>
      <w:r>
        <w:rPr>
          <w:rtl w:val="true"/>
        </w:rPr>
        <w:t>معاویه فتنه بزرگ است</w:t>
      </w:r>
      <w:bookmarkEnd w:id="11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به فتنه بودن معاویه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فتنه ای را عظیم تر از حکومت تو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معاویه نمی جنگد، در این بخش از نامه نیز افسوس می خورد که اگر نجنگم، باید در مقابل خداوند بزرگ استغفار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نامه، از مکر معاویه به خدا پناه می برد و امیدواری می طلبد که به ایشان آسیبی نرسد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مرکب جهل و ضلالت سوار شدی و از اینکه به تعهدات خود عمل نمی کنی، مسروری و حرص بر نقض عهد و پیمان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خودش سوگند یاد می کند که معاویه در هیچ زمانی به عهد و پیمان وفادار نخواهد بود و چه بسا به عدم تعهد وی به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این است که جرم این بزرگان قوم و واجدین صلاحیت دینی که معاویه کشته، ارادت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اینکه از ما به نیکی یاد می کرده اند، موجب خشم و ستم تو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نامه به چند مطلب حساس و مهم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 کند که معاویه می بایست آماده قصاص شود و تفاوتی نمی کند در این دنیا یا روز واپسین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و درشت اعمال معاویه نزد خدا محفوظ است و دفتر خدا هیچ تر و خشکی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درستی می داند که با سوء ظن نسبت به دیگران آنان را دستگیر می کنی؛ درحالی که هیچ اطمینانی به جرم آنان نداری وبه صرف متهم بودن به قتل آنها مبادرت می کنی؛ حال آ ن که تا جرم کسی محرز نشده است، قتل و کیفر وی محکوم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یزید را نکوهش کرده است و شارب الخمر بودن و سگ بازی وی را تصریح می کند و می گوید که این موجود چه شرافتی داشته که از مردم مسلمان برای او </w:t>
      </w:r>
      <w:bookmarkStart w:id="116" w:name="pg8689_87518"/>
    </w:p>
    <w:p>
      <w:pPr>
        <w:pStyle w:val="BookText"/>
        <w:rPr/>
      </w:pPr>
      <w:bookmarkEnd w:id="116"/>
      <w:r>
        <w:rPr>
          <w:rFonts w:ascii="IRNazanin" w:hAnsi="IRNazanin" w:eastAsia="IRNazanin"/>
          <w:color w:val="111111"/>
          <w:sz w:val="28"/>
          <w:sz w:val="28"/>
          <w:szCs w:val="28"/>
          <w:rtl w:val="true"/>
          <w:lang w:bidi="fa-IR"/>
        </w:rPr>
        <w:t>بیعت گرفته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مسلمین را که امانت الهی بود، تخریب نمودی و مردم مسلمان را فریب دادی و فکر کردی به سود رسیده ای؛ حال آن که نفست به خسران رفت و جز زیان نصیبی نداشته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خود را افراد جاهل و نادان قرار دادی و به مشورت آنان زندگی و آخرت خود را پایمال نمودی و نسبت به افراد متقی و پرهیزکار ستم روا داشتی و در نظر مردم به خوار کردن آنها اقدام نمودی</w:t>
      </w:r>
      <w:r>
        <w:rPr>
          <w:rFonts w:eastAsia="IRNazanin" w:cs="IRNazanin"/>
          <w:color w:val="111111"/>
          <w:sz w:val="28"/>
          <w:szCs w:val="28"/>
          <w:rtl w:val="true"/>
          <w:lang w:bidi="fa-IR"/>
        </w:rPr>
        <w:t>.</w:t>
      </w:r>
    </w:p>
    <w:p>
      <w:pPr>
        <w:pStyle w:val="Heading4"/>
        <w:numPr>
          <w:ilvl w:val="3"/>
          <w:numId w:val="1"/>
        </w:numPr>
        <w:rPr/>
      </w:pPr>
      <w:bookmarkStart w:id="117" w:name="__RefHeading___Toc2713086_653776707"/>
      <w:bookmarkStart w:id="118" w:name="_Toc43"/>
      <w:bookmarkEnd w:id="117"/>
      <w:r>
        <w:rPr/>
        <w:t>4</w:t>
      </w:r>
      <w:r>
        <w:rPr>
          <w:rtl w:val="true"/>
        </w:rPr>
        <w:t xml:space="preserve">- </w:t>
      </w:r>
      <w:r>
        <w:rPr>
          <w:rtl w:val="true"/>
        </w:rPr>
        <w:t>معرفی یزید بن معاویه به مردم</w:t>
      </w:r>
      <w:bookmarkEnd w:id="118"/>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مستقل به شخصیت یزید بن معاویه می پردازد تا همه عالم این عنصری را که معاویه برخلاف تعهد خود به زعامت مردم برگزیده و از مسلمانان برایش به اجبار بیعت گرفته است،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روش اولیاءالله هدایت و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نامه ضمن بیان اوصاف زشت فرزند معاویه، به وی تذکر می دهد که به امانت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کرده و مردم را نابود نموده است</w:t>
      </w:r>
      <w:r>
        <w:rPr>
          <w:rFonts w:eastAsia="IRNazanin" w:cs="IRNazanin"/>
          <w:color w:val="111111"/>
          <w:sz w:val="28"/>
          <w:szCs w:val="28"/>
          <w:rtl w:val="true"/>
          <w:lang w:bidi="fa-IR"/>
        </w:rPr>
        <w:t>.</w:t>
      </w:r>
    </w:p>
    <w:p>
      <w:pPr>
        <w:pStyle w:val="Heading4"/>
        <w:numPr>
          <w:ilvl w:val="3"/>
          <w:numId w:val="1"/>
        </w:numPr>
        <w:rPr/>
      </w:pPr>
      <w:bookmarkStart w:id="119" w:name="__RefHeading___Toc2713088_653776707"/>
      <w:bookmarkStart w:id="120" w:name="_Toc44"/>
      <w:bookmarkEnd w:id="119"/>
      <w:r>
        <w:rPr/>
        <w:t>5</w:t>
      </w:r>
      <w:r>
        <w:rPr>
          <w:rtl w:val="true"/>
        </w:rPr>
        <w:t xml:space="preserve">- </w:t>
      </w:r>
      <w:r>
        <w:rPr>
          <w:rtl w:val="true"/>
        </w:rPr>
        <w:t>امین نبودن یزید به دلیل شراب خواری</w:t>
      </w:r>
      <w:bookmarkEnd w:id="120"/>
    </w:p>
    <w:p>
      <w:pPr>
        <w:pStyle w:val="BookText"/>
        <w:rPr/>
      </w:pPr>
      <w:r>
        <w:rPr>
          <w:rFonts w:ascii="IRNazanin" w:hAnsi="IRNazanin" w:eastAsia="IRNazanin"/>
          <w:color w:val="111111"/>
          <w:sz w:val="28"/>
          <w:sz w:val="28"/>
          <w:szCs w:val="28"/>
          <w:rtl w:val="true"/>
          <w:lang w:bidi="fa-IR"/>
        </w:rPr>
        <w:t xml:space="preserve">در این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هوشیار می کند که بدانید معاویه فرزند شراب خوارش را که فاسق است و شرارت خواهد کرد، به جانشینی برگزیدهاست و زمام رهبری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چنین فردی سپرده و به تعهد خود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انتظار دارید اسلامی که با خون دل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رشادت های صحابی آن به عالم معرفی شده است، به دست چنین شخصی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نامه هم به عاقبت شوم ستمگران اشاره می کند و معاویه را از عذاب الهی مصون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 فرماید که والی باید امین و درستکار باشد؛ حال آنکه این شخص به دلایل پیش گفته، نمی تواند والی مردم باشد و شرایط آن را ندارد</w:t>
      </w:r>
      <w:r>
        <w:rPr>
          <w:rFonts w:eastAsia="IRNazanin" w:cs="IRNazanin"/>
          <w:color w:val="111111"/>
          <w:sz w:val="28"/>
          <w:szCs w:val="28"/>
          <w:rtl w:val="true"/>
          <w:lang w:bidi="fa-IR"/>
        </w:rPr>
        <w:t>.</w:t>
      </w:r>
    </w:p>
    <w:p>
      <w:pPr>
        <w:pStyle w:val="Heading3"/>
        <w:numPr>
          <w:ilvl w:val="2"/>
          <w:numId w:val="1"/>
        </w:numPr>
        <w:rPr/>
      </w:pPr>
      <w:bookmarkStart w:id="121" w:name="__RefHeading___Toc2713090_653776707"/>
      <w:bookmarkStart w:id="122" w:name="_Toc45"/>
      <w:bookmarkEnd w:id="121"/>
      <w:r>
        <w:rPr>
          <w:rtl w:val="true"/>
        </w:rPr>
        <w:t>نامه به یزید بن معاویه</w:t>
      </w:r>
      <w:bookmarkEnd w:id="1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معاویه نامه ای را به عبدالله بن عباس و یا عمر بن سعید، حاکم مدینه </w:t>
      </w:r>
      <w:bookmarkStart w:id="123" w:name="pg8689_87519"/>
    </w:p>
    <w:p>
      <w:pPr>
        <w:pStyle w:val="BookText"/>
        <w:rPr/>
      </w:pPr>
      <w:bookmarkEnd w:id="123"/>
      <w:r>
        <w:rPr>
          <w:rFonts w:ascii="IRNazanin" w:hAnsi="IRNazanin" w:eastAsia="IRNazanin"/>
          <w:color w:val="111111"/>
          <w:sz w:val="28"/>
          <w:sz w:val="28"/>
          <w:szCs w:val="28"/>
          <w:rtl w:val="true"/>
          <w:lang w:bidi="fa-IR"/>
        </w:rPr>
        <w:t>می فرستد تا آن را در مراسم حج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نامه، تسلیم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مدینه با روش مسالمت آمیز و فریبنده ای بود که به طبع شاعری یزید آراسته شده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آیه ای از قرآن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كَذَّبُوكَ فَقُلْ لِی عَمَلِی وَ لَكُمْ عَمَلُكُمْ أَنْتُمْ بَرِیئُونَ مِمَّا أَعْمَلُ وَ أَنَا بَرِی ءٌ مِمَّا تَعْمَلُونَ؛ اگر کفار تو را تکذیب کردند، بگو عمل من برای من و عمل شما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آنچه من انجام می دهم بیزارید و من نیز از آنچه شما انجام می دهید بیزارم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آیه، به صراحت به کفر یزید اشاره کرده و صلح و سازش با کفار را مردود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این آیه نیز درخصوص کفار است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تو خدای ما و یک سال ما خدای تو را بپرستیم و آیه نازل می شود که هرکس برای خودش امور خود را پیگیری نماید و سازش بین من و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24" w:name="__RefHeading___Toc2713092_653776707"/>
      <w:bookmarkStart w:id="125" w:name="_Toc46"/>
      <w:bookmarkEnd w:id="124"/>
      <w:r>
        <w:rPr>
          <w:rtl w:val="true"/>
        </w:rPr>
        <w:t>نامه به عبدالله عمر بن سعید، والی مکه</w:t>
      </w:r>
      <w:bookmarkEnd w:id="125"/>
    </w:p>
    <w:p>
      <w:pPr>
        <w:pStyle w:val="BookText"/>
        <w:rPr/>
      </w:pPr>
      <w:r>
        <w:rPr>
          <w:rFonts w:ascii="IRNazanin" w:hAnsi="IRNazanin" w:eastAsia="IRNazanin"/>
          <w:color w:val="111111"/>
          <w:sz w:val="28"/>
          <w:sz w:val="28"/>
          <w:szCs w:val="28"/>
          <w:rtl w:val="true"/>
          <w:lang w:bidi="fa-IR"/>
        </w:rPr>
        <w:t xml:space="preserve">در این نامه فرماندار مکه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تسلیم یزید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فرماندار مکه چند نکته را متذکر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منظورت از پذیرفتن صلح و تسلیم شدن، خیر باشد و هدف حفظ من و مسلمین است، از نگاه خداوند دور نخواهد ماند و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به فرماندار مکه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دعوت مردم به سوی خداپرستی است و کجای برنامه من فتنه 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سوی خدا، عملش فتنه گری و تفرقه ایجاد کردن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حاکم مکه قصد داشت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نامه از یزید بگیرد،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امان نامه نزد خداست و از همه امان نامه ها بالاتر است؛ پس چه نیازی به امان یزید و اعوان و انصارش دارم؟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آخرت در ترسیدن از خدا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حاکم بفهماند که از یزید نترس و خداترس باش تا سعادت دنیا و آخرتت تأمین شود</w:t>
      </w:r>
      <w:r>
        <w:rPr>
          <w:rFonts w:eastAsia="IRNazanin" w:cs="IRNazanin"/>
          <w:color w:val="111111"/>
          <w:sz w:val="28"/>
          <w:szCs w:val="28"/>
          <w:rtl w:val="true"/>
          <w:lang w:bidi="fa-IR"/>
        </w:rPr>
        <w:t xml:space="preserve">. </w:t>
      </w:r>
      <w:bookmarkStart w:id="126" w:name="pg8689_87520"/>
    </w:p>
    <w:p>
      <w:pPr>
        <w:pStyle w:val="Heading3"/>
        <w:numPr>
          <w:ilvl w:val="2"/>
          <w:numId w:val="1"/>
        </w:numPr>
        <w:rPr/>
      </w:pPr>
      <w:bookmarkStart w:id="127" w:name="__RefHeading___Toc2713094_653776707"/>
      <w:bookmarkStart w:id="128" w:name="_Toc47"/>
      <w:bookmarkEnd w:id="126"/>
      <w:bookmarkEnd w:id="127"/>
      <w:r>
        <w:rPr>
          <w:rtl w:val="true"/>
        </w:rPr>
        <w:t>نتیجه</w:t>
      </w:r>
      <w:bookmarkEnd w:id="12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تلاش کرد تا در پرتو بررسی مکاتبات امام سوم شیعیان به مخالفانش به نتایج ارزنده 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نام آوری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مکتب رسالت رشد کرده و از محضر پدر بزرگوارش، شیره جانش با عدالت تقویت شده است، نمی تواند انحراف دینجدش را ببیند و ساکت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سال هایی که در خدمت برادر بزرگوارش بوده، همه زیر و بم جامعه اسلامی آن روز را شناخته و نسخه درمانی خود را به مردم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مکاتبات، به وضوح، فتنه را معرفی کرده و فتنه بزرگتری که معاویه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کرده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معرفی معاویه پرداخته و جنایت های او را برملا کرده تا در دعوت خود به همراهی عمومی، با تردید مردم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صدر اسلام به پیمان ها خیلی وفادار بودند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بدعهدی معاویه، شیرازه حکومت او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می دانند که یزید غیررسمی و نامشروع بر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برای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فراوانی قائل بودند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برشمردن اسامی کشته هایی که به دست معاویه شهید شده بودند، بی توجهی او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فسق و فجور و می گساری حساس بودند و هنوز رگه های اصلی اسلام جان داشت؛ از این رو حضرت با برشمردن صفات پست یزید، عدم ذی حقی وی را برای زمامداری امت اسلامی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مکاتبات، ضمن بیان حقوق خود و جرم و جنایات معاویه، از هدایت گری هم غافل نبود و به نحوی رسالت ارشادی خود را که ذاتی بود،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تحلیل نامه های رسای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قیام و حرکت ایشان در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این نتیجه گرفته شد که برای نجات بشریت از انحراف و آموزش آزادگی و حرّیت، راهی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بود، بهترین و تنهاترین راه رستگاری بود</w:t>
      </w:r>
      <w:r>
        <w:rPr>
          <w:rFonts w:eastAsia="IRNazanin" w:cs="IRNazanin"/>
          <w:color w:val="111111"/>
          <w:sz w:val="28"/>
          <w:szCs w:val="28"/>
          <w:rtl w:val="true"/>
          <w:lang w:bidi="fa-IR"/>
        </w:rPr>
        <w:t xml:space="preserve">. </w:t>
      </w:r>
      <w:bookmarkStart w:id="129" w:name="pg8689_87521"/>
    </w:p>
    <w:p>
      <w:pPr>
        <w:pStyle w:val="Heading3"/>
        <w:numPr>
          <w:ilvl w:val="2"/>
          <w:numId w:val="1"/>
        </w:numPr>
        <w:rPr/>
      </w:pPr>
      <w:bookmarkStart w:id="130" w:name="__RefHeading___Toc2713096_653776707"/>
      <w:bookmarkStart w:id="131" w:name="_Toc48"/>
      <w:bookmarkEnd w:id="129"/>
      <w:bookmarkEnd w:id="130"/>
      <w:r>
        <w:rPr>
          <w:rtl w:val="true"/>
        </w:rPr>
        <w:t>منابع</w:t>
      </w:r>
      <w:bookmarkEnd w:id="13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ترجمه محمود مهدوی دامغانی، تهران فرهنگ و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احمدی میانجی،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مکاتیب الائمه،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تمدن اسلامی، ترجمه جواهر العلم، تهران،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مازندرانی، ملا محمد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معالی السبطین، ترجمه رضا کوشاری، قم، انتشارات 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انوارالهدی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تحقیقاتی امیرالمؤمنین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ابن قتیبه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الامامه و السیاسه، ترجمه سید ناصر طباطبایی، تهران، ققنوس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ترجمه محمدباقر ساعدی خراسانی، تهران،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محمدحسن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ترجمه صادق حسن زاده، قم، اندیشه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غلامرضا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کوتاه به روش تحلیل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پژوهش،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ترجمه ابوالقاسم پاینده، تهران،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شهید مطهری، قم، صدرا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 ابن یعقوب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 محمدابراهیم آیتی، تهران، شرکت انتشارات علمی و فرهنگی</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8689_87523"/>
      <w:bookmarkStart w:id="133" w:name="pg8689_87523"/>
      <w:bookmarkEnd w:id="133"/>
    </w:p>
    <w:p>
      <w:pPr>
        <w:pStyle w:val="Heading2"/>
        <w:numPr>
          <w:ilvl w:val="1"/>
          <w:numId w:val="1"/>
        </w:numPr>
        <w:rPr/>
      </w:pPr>
      <w:bookmarkStart w:id="134" w:name="pg8689_87523"/>
      <w:bookmarkStart w:id="135" w:name="__RefHeading___Toc2713098_653776707"/>
      <w:bookmarkStart w:id="136" w:name="_Toc49"/>
      <w:bookmarkEnd w:id="134"/>
      <w:bookmarkEnd w:id="135"/>
      <w:r>
        <w:rPr>
          <w:rtl w:val="true"/>
        </w:rPr>
        <w:t>ریشه یابی علل ناصبی گری و دشمنی اهالی شام با اهل بیت</w:t>
      </w:r>
      <w:r>
        <w:rPr>
          <w:rtl w:val="true"/>
        </w:rPr>
        <w:t>(</w:t>
      </w:r>
      <w:r>
        <w:rPr>
          <w:rtl w:val="true"/>
        </w:rPr>
        <w:t>علیهم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136"/>
    </w:p>
    <w:p>
      <w:pPr>
        <w:pStyle w:val="Heading3"/>
        <w:numPr>
          <w:ilvl w:val="2"/>
          <w:numId w:val="1"/>
        </w:numPr>
        <w:rPr/>
      </w:pPr>
      <w:bookmarkStart w:id="137" w:name="__RefHeading___Toc2713100_653776707"/>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محمدجعفر میلان نورانی</w:t>
      </w:r>
      <w:r>
        <w:rPr>
          <w:rStyle w:val="FootnoteAnchor"/>
          <w:rtl w:val="true"/>
        </w:rPr>
        <w:footnoteReference w:id="8"/>
      </w:r>
      <w:r>
        <w:rPr>
          <w:rFonts w:ascii="IRNazanin" w:hAnsi="IRNazanin" w:eastAsia="IRNazanin"/>
          <w:color w:val="111111"/>
          <w:sz w:val="28"/>
          <w:sz w:val="28"/>
          <w:szCs w:val="28"/>
          <w:rtl w:val="true"/>
          <w:lang w:bidi="fa-IR"/>
        </w:rPr>
        <w:t>مجید سرکوبی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20/04/1400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22/07/1400</w:t>
      </w:r>
    </w:p>
    <w:p>
      <w:pPr>
        <w:pStyle w:val="BookText"/>
        <w:rPr/>
      </w:pPr>
      <w:r>
        <w:rPr>
          <w:rFonts w:ascii="IRNazanin" w:hAnsi="IRNazanin" w:eastAsia="IRNazanin"/>
          <w:color w:val="111111"/>
          <w:sz w:val="28"/>
          <w:sz w:val="28"/>
          <w:szCs w:val="28"/>
          <w:rtl w:val="true"/>
          <w:lang w:bidi="fa-IR"/>
        </w:rPr>
        <w:t>چکیده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شام در دشمنی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اولاد ایشان، جزو پیشتازترین گروه های ناصبی بوده اند که نمود بارز آن، در واقعه عاشورا و به شهادت رساندن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معلول عوامل متعددی است که برخی از آنها بیرون از محیط شام بر مردم تحمیل شده و برخی نیز جزو روحیات شامیان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خارجی می توان به اصرار امویان بر جدا ماندن مردم شام از دیگر مناطق اسلامی، گسترش عقیده به جبر و سرکوب مخالفان و از عوامل داخلی نیز می توان به سرسختی شدیدشامیان بر فرمان بنی امیه و همچنین زودباوری فوق العاده آنان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با رویکرد تاریخی</w:t>
      </w:r>
      <w:r>
        <w:rPr>
          <w:rFonts w:eastAsia="IRNazanin" w:cs="IRNazanin"/>
          <w:color w:val="111111"/>
          <w:sz w:val="28"/>
          <w:szCs w:val="28"/>
          <w:rtl w:val="true"/>
          <w:lang w:bidi="fa-IR"/>
        </w:rPr>
        <w:t xml:space="preserve">- </w:t>
      </w:r>
      <w:bookmarkStart w:id="139" w:name="pg8689_87524"/>
    </w:p>
    <w:p>
      <w:pPr>
        <w:pStyle w:val="BookText"/>
        <w:rPr/>
      </w:pPr>
      <w:bookmarkEnd w:id="139"/>
      <w:r>
        <w:rPr>
          <w:rFonts w:ascii="IRNazanin" w:hAnsi="IRNazanin" w:eastAsia="IRNazanin"/>
          <w:color w:val="111111"/>
          <w:sz w:val="28"/>
          <w:sz w:val="28"/>
          <w:szCs w:val="28"/>
          <w:rtl w:val="true"/>
          <w:lang w:bidi="fa-IR"/>
        </w:rPr>
        <w:t>تحلیلی به برشماری مؤلفه های ناصبی گری مردم شام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 ناصبی، یزید</w:t>
      </w:r>
      <w:r>
        <w:rPr>
          <w:rFonts w:eastAsia="IRNazanin" w:cs="IRNazanin"/>
          <w:color w:val="111111"/>
          <w:sz w:val="28"/>
          <w:szCs w:val="28"/>
          <w:rtl w:val="true"/>
          <w:lang w:bidi="fa-IR"/>
        </w:rPr>
        <w:t>.</w:t>
      </w:r>
    </w:p>
    <w:p>
      <w:pPr>
        <w:pStyle w:val="Heading3"/>
        <w:numPr>
          <w:ilvl w:val="2"/>
          <w:numId w:val="1"/>
        </w:numPr>
        <w:rPr/>
      </w:pPr>
      <w:bookmarkStart w:id="140" w:name="__RefHeading___Toc2713102_653776707"/>
      <w:bookmarkStart w:id="141" w:name="_Toc51"/>
      <w:bookmarkEnd w:id="140"/>
      <w:r>
        <w:rPr>
          <w:rtl w:val="true"/>
        </w:rPr>
        <w:t>مقدمه</w:t>
      </w:r>
      <w:bookmarkEnd w:id="141"/>
    </w:p>
    <w:p>
      <w:pPr>
        <w:pStyle w:val="BookText"/>
        <w:rPr/>
      </w:pPr>
      <w:r>
        <w:rPr>
          <w:rFonts w:ascii="IRNazanin" w:hAnsi="IRNazanin" w:eastAsia="IRNazanin"/>
          <w:color w:val="111111"/>
          <w:sz w:val="28"/>
          <w:sz w:val="28"/>
          <w:szCs w:val="28"/>
          <w:rtl w:val="true"/>
          <w:lang w:bidi="fa-IR"/>
        </w:rPr>
        <w:t>بعد از ظهور اسلام و غلبه یافتن آن بر شرک و ثروت اندوزی و ستمگری قریش، بزرگان این قوم و مخصوصاً امویان کینه عمیقی از اسلام و مسلمانان پیدا کرد و علی رغم اینکه ظاهراً مسلمان شده بودند، همواره درصدد بودند حقد و عداوت خود را به بدنه اصلی اسلام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نقشه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احاطه آن حضرت بر مناسبات اجتماعیسیاسی میان مسلمانان، محقق نشد؛ ولی بعد از رحلت ایشان و مخصوصاً با درگذشت خلیفه سوم، بروز عداوت و کینه در میان عناصر متعددی از مخالفان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پرچمدار قرائت رسمی و مقبول از اسلام و خلیفه رسمی و مشروع مسلمانان، در جنگ های سه گانه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می توانست با کینه ورزان به شکل های مختلف مقابله کرد ولی دست آخر خود به دست یکی از همان دشمنان داخلی، به شهادت رسید و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مخالفان آن حضرت و مخصوصاً امویان، که زخم های بسیاری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بودند، رسمیت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مناطقی که این رویکرد ضدعلوی را به خوبی پذیرفته و در خود نهادینه کرد،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همان نخستین روزهای گشوده شدن توسط مسلمانان، امویان را به عنوان نخستین مسلمانان دید و همان ها را شناخت و با آنها خو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لذاطبیعی بود که در برهه های مختلف زمان که موج ضدعلوی برمی خاست، شامیان در راس این حرکت اجتماعیسیاسی باشند؛ که اوج این دشمنی با اولاد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واقعه عاشورا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به بررسی این مساله می پردازد که چه عواملی باعث شد شامیان تا این حد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 ایشان عداوت ورزیده و فاجعه تاریخ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یاران ایشان را رقم بزنند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پیشینه تحقیق بحث مورد نظر، می توان به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معناشناسی ناصبی گری </w:t>
      </w:r>
      <w:bookmarkStart w:id="142" w:name="pg8689_87525"/>
    </w:p>
    <w:p>
      <w:pPr>
        <w:pStyle w:val="BookText"/>
        <w:rPr/>
      </w:pPr>
      <w:bookmarkEnd w:id="142"/>
      <w:r>
        <w:rPr>
          <w:rFonts w:ascii="IRNazanin" w:hAnsi="IRNazanin" w:eastAsia="IRNazanin"/>
          <w:color w:val="111111"/>
          <w:sz w:val="28"/>
          <w:sz w:val="28"/>
          <w:szCs w:val="28"/>
          <w:rtl w:val="true"/>
          <w:lang w:bidi="fa-IR"/>
        </w:rPr>
        <w:t>با تأکید بر متون امامیه تا قرن هفتم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تاریخ یعقوبی در خصوص اخبار فتوحات مصر و شام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دوگانه ایوبیان در مواجهه با شیعیان امامیه و اسماعیلیه و بازتاب آن در تاریخ نگاری مصر و شام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ریشه های تاریخی ناصبی گری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با رویکردی متفاوت به بررسی ریشه های ناصبی گری در خصوص منطقه شام و دست داشتن آنان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3"/>
        <w:numPr>
          <w:ilvl w:val="2"/>
          <w:numId w:val="1"/>
        </w:numPr>
        <w:rPr/>
      </w:pPr>
      <w:bookmarkStart w:id="143" w:name="__RefHeading___Toc2713104_653776707"/>
      <w:bookmarkStart w:id="144" w:name="_Toc52"/>
      <w:bookmarkEnd w:id="143"/>
      <w:r>
        <w:rPr>
          <w:rtl w:val="true"/>
        </w:rPr>
        <w:t>تحلیل واژگان کلیدی</w:t>
      </w:r>
      <w:bookmarkEnd w:id="14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واژه ای است که نیازمند واکاوی لغوی و اصطلاحی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کسی است که دشمنی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دینخود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ناصبی فردی است که با عداوت داشتن و بغض نسبت به آن حضرت، تدین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فریقین، نسبت به ناصبی و حد عداوت ورزی وی، دیدگاهی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هر کس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هر نحوی ایشان را دوست نداشته باشد و یا دیگری را بر او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نیز هر کس را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کرده و نسبت به ایشان بغض داشته باشد، جزو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عصفور بحرانی،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درمورد این واژه می توان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ناصبی کسی است که </w:t>
      </w:r>
      <w:bookmarkStart w:id="145" w:name="pg8689_87526"/>
    </w:p>
    <w:p>
      <w:pPr>
        <w:pStyle w:val="BookText"/>
        <w:rPr/>
      </w:pPr>
      <w:bookmarkEnd w:id="145"/>
      <w:r>
        <w:rPr>
          <w:rFonts w:ascii="IRNazanin" w:hAnsi="IRNazanin" w:eastAsia="IRNazanin"/>
          <w:color w:val="111111"/>
          <w:sz w:val="28"/>
          <w:sz w:val="28"/>
          <w:szCs w:val="28"/>
          <w:rtl w:val="true"/>
          <w:lang w:bidi="fa-IR"/>
        </w:rPr>
        <w:t xml:space="preserve">ضمن بغض ورزیدن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بغض و حقد خود را رسمیت بخشیده و رویکرد سیاسیمذهبی خود بداند و دیگر اینکه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ندارد و هر کس که در سپاه ایشان بوده و آیینه تمام نمای آن بزرگوار باشد، فرد ناصبی با همو نیز دشمنی خواهد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بعید است که یک شامی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داشته باشد ولی با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نباشد</w:t>
      </w:r>
      <w:r>
        <w:rPr>
          <w:rFonts w:eastAsia="IRNazanin" w:cs="IRNazanin"/>
          <w:color w:val="111111"/>
          <w:sz w:val="28"/>
          <w:szCs w:val="28"/>
          <w:rtl w:val="true"/>
          <w:lang w:bidi="fa-IR"/>
        </w:rPr>
        <w:t>.</w:t>
      </w:r>
    </w:p>
    <w:p>
      <w:pPr>
        <w:pStyle w:val="Heading3"/>
        <w:numPr>
          <w:ilvl w:val="2"/>
          <w:numId w:val="1"/>
        </w:numPr>
        <w:rPr/>
      </w:pPr>
      <w:bookmarkStart w:id="146" w:name="__RefHeading___Toc2713106_653776707"/>
      <w:bookmarkStart w:id="147" w:name="_Toc53"/>
      <w:bookmarkEnd w:id="146"/>
      <w:r>
        <w:rPr>
          <w:rtl w:val="true"/>
        </w:rPr>
        <w:t>بررسی دلایل و ریشه های ناصبی گری مردم شام</w:t>
      </w:r>
      <w:bookmarkEnd w:id="147"/>
    </w:p>
    <w:p>
      <w:pPr>
        <w:pStyle w:val="Heading4"/>
        <w:numPr>
          <w:ilvl w:val="3"/>
          <w:numId w:val="1"/>
        </w:numPr>
        <w:rPr/>
      </w:pPr>
      <w:bookmarkStart w:id="148" w:name="__RefHeading___Toc2713108_653776707"/>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با مطالعه سابقه شامیان و ریشه یابی علل دشمنی آنان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آن حضرت، مخصوصاً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عامل عمده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خارج از شام، بر مردم تأثیر گذاشت و عواملی که ذاتی در رفتار شامیان بود و بههمین رو، امویان نیز آنان را به خدمت خود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هر یک از این عوامل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150" w:name="__RefHeading___Toc2713110_653776707"/>
      <w:bookmarkStart w:id="151" w:name="_Toc55"/>
      <w:bookmarkEnd w:id="150"/>
      <w:r>
        <w:rPr/>
        <w:t>1</w:t>
      </w:r>
      <w:r>
        <w:rPr>
          <w:rtl w:val="true"/>
        </w:rPr>
        <w:t xml:space="preserve">. </w:t>
      </w:r>
      <w:r>
        <w:rPr>
          <w:rtl w:val="true"/>
        </w:rPr>
        <w:t>عوامل خارجی</w:t>
      </w:r>
      <w:bookmarkEnd w:id="151"/>
    </w:p>
    <w:p>
      <w:pPr>
        <w:pStyle w:val="Heading5"/>
        <w:numPr>
          <w:ilvl w:val="4"/>
          <w:numId w:val="1"/>
        </w:numPr>
        <w:rPr/>
      </w:pPr>
      <w:bookmarkStart w:id="152" w:name="__RefHeading___Toc2713112_653776707"/>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از جمله مواردی که غیرشامیان به شامیان قبولاندند تا آنان را در مقابل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ایشان مخصوصاً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می توان به اینها اشاره کرد</w:t>
      </w:r>
      <w:r>
        <w:rPr>
          <w:rFonts w:eastAsia="IRNazanin" w:cs="IRNazanin"/>
          <w:color w:val="111111"/>
          <w:sz w:val="28"/>
          <w:szCs w:val="28"/>
          <w:rtl w:val="true"/>
          <w:lang w:bidi="fa-IR"/>
        </w:rPr>
        <w:t>:</w:t>
      </w:r>
    </w:p>
    <w:p>
      <w:pPr>
        <w:pStyle w:val="Heading5"/>
        <w:numPr>
          <w:ilvl w:val="4"/>
          <w:numId w:val="1"/>
        </w:numPr>
        <w:rPr/>
      </w:pPr>
      <w:bookmarkStart w:id="154" w:name="__RefHeading___Toc2713114_653776707"/>
      <w:bookmarkStart w:id="155" w:name="_Toc57"/>
      <w:bookmarkEnd w:id="154"/>
      <w:r>
        <w:rPr/>
        <w:t>1.1</w:t>
      </w:r>
      <w:r>
        <w:rPr>
          <w:rtl w:val="true"/>
        </w:rPr>
        <w:t xml:space="preserve">. </w:t>
      </w:r>
      <w:r>
        <w:rPr>
          <w:rtl w:val="true"/>
        </w:rPr>
        <w:t xml:space="preserve">تلقی دشمنی با امام </w:t>
      </w:r>
      <w:r>
        <w:rPr>
          <w:rtl w:val="true"/>
        </w:rPr>
        <w:t>(</w:t>
      </w:r>
      <w:r>
        <w:rPr>
          <w:rtl w:val="true"/>
        </w:rPr>
        <w:t>علیه السلام</w:t>
      </w:r>
      <w:r>
        <w:rPr>
          <w:rtl w:val="true"/>
        </w:rPr>
        <w:t xml:space="preserve">) </w:t>
      </w:r>
      <w:r>
        <w:rPr>
          <w:rtl w:val="true"/>
        </w:rPr>
        <w:t>به منزله قرائت رسمی از اسلام</w:t>
      </w:r>
      <w:bookmarkEnd w:id="155"/>
    </w:p>
    <w:p>
      <w:pPr>
        <w:pStyle w:val="Heading6"/>
        <w:numPr>
          <w:ilvl w:val="5"/>
          <w:numId w:val="1"/>
        </w:numPr>
        <w:rPr/>
      </w:pPr>
      <w:bookmarkStart w:id="156" w:name="__RefHeading___Toc2713116_653776707"/>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نخستین عاملی که مردم شام را به دشمنی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ایستادن در مقابل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سوق داد، این بود که آنان صرفاً قرائتی از اسلام را دیده و شناخته بودند که امویان داعیه دار آن بوده اند لذا این مسئله نیازمند واکاوی تاریخ و برشماری مؤلفه های آن است</w:t>
      </w:r>
      <w:r>
        <w:rPr>
          <w:rFonts w:eastAsia="IRNazanin" w:cs="IRNazanin"/>
          <w:color w:val="111111"/>
          <w:sz w:val="28"/>
          <w:szCs w:val="28"/>
          <w:rtl w:val="true"/>
          <w:lang w:bidi="fa-IR"/>
        </w:rPr>
        <w:t>.</w:t>
      </w:r>
    </w:p>
    <w:p>
      <w:pPr>
        <w:pStyle w:val="Heading6"/>
        <w:numPr>
          <w:ilvl w:val="5"/>
          <w:numId w:val="1"/>
        </w:numPr>
        <w:rPr/>
      </w:pPr>
      <w:bookmarkStart w:id="158" w:name="__RefHeading___Toc2713118_653776707"/>
      <w:bookmarkStart w:id="159" w:name="_Toc59"/>
      <w:bookmarkEnd w:id="158"/>
      <w:r>
        <w:rPr/>
        <w:t>1.1.1</w:t>
      </w:r>
      <w:r>
        <w:rPr>
          <w:rtl w:val="true"/>
        </w:rPr>
        <w:t xml:space="preserve">. </w:t>
      </w:r>
      <w:r>
        <w:rPr>
          <w:rtl w:val="true"/>
        </w:rPr>
        <w:t>تاریخچه ضدیت شامیان با بنی هاشم</w:t>
      </w:r>
      <w:bookmarkEnd w:id="1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شامیان دقیقاً از 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اصطلاحیِ آن شدند و عامدا و عالما دشمنی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او را جزو رویکردهای خویش قرار دادند، دقیقاً مشخص نیست؛ ولی وقتی در تاریخ مشاهده می شود که نخستین مسلمانانی که به شام </w:t>
      </w:r>
    </w:p>
    <w:p>
      <w:pPr>
        <w:pStyle w:val="BookText"/>
        <w:rPr/>
      </w:pPr>
      <w:r>
        <w:rPr>
          <w:rFonts w:ascii="IRNazanin" w:hAnsi="IRNazanin" w:eastAsia="IRNazanin"/>
          <w:color w:val="111111"/>
          <w:sz w:val="28"/>
          <w:sz w:val="28"/>
          <w:szCs w:val="28"/>
          <w:rtl w:val="true"/>
          <w:lang w:bidi="fa-IR"/>
        </w:rPr>
        <w:t>وارد شده و آنجا را فتح کردند، امویان و همکفران آنان بودند، می توان ناصبی گری شامیان را از ریشه دارترین نصب ها در جهان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شائبه های عداوت با بنی هاشم به زمان جاهلیت نیز بی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مورخان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بن عبدشمس بن عبدمناف که مردى توانگر بود حسد آورد و خواست مانند هاشم رفتار کند و نتوانست، کسانى از قرشیان به شماتت او برخاستند و او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هاشم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مفاخره خواند، و هاشم به سبب سن و مقام خویش این را خوش نداشت اما قریش وى را ترغیب کردند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پنجاه شتر سیاه چشم مفاخره مى کنم که در دل مکه ذبح کنیم و ده سال از مکه دور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امیه بدین رضا داد و کاهن خزاعى را به داورى برگزیدند که هاشم را برتر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مقابله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شتران را بگرفت و بکشت و به کسان خورانید و امیه سوى شام رفت و ده سال آنجا بود و این نخستین عداوتی بود که میان هاشم و امیه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گفت، از همان زمانِ کینه ورزی امیه با هاشم و تبعید ده ساله وی به شام، رویکرد ناصبی 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ستیزی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سامان رشد کرد و کسانی که سال ها بعد ریاست لشکرکشی به شام را بر عهده داشتند، دودمان امیه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گزارش تاریخ نویسان، شام قبل از آنکه معاویه را به عنوان فرمانروای اسلامی بشناسد، شاهد حضور افرادی چون خالد بن ولید و یزید بن ابی سفیان برادر معاویه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این دو نفر، تأثیر مهمی در احاطه اجمالی بر رویکردهای مردم شام خواهد داشت؛ چراکه معاویه بدون زمینه سازی های برادرش یزید و همچنین خالد، کمتر موفق به برپایی امپراتوری اموی در آن منطقه می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ولید در فتح شام و ستاندن آنجا از امپراتوری روم، فرمانروا و نفر اول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اجمالاً دانست که خالد چه قرائتی از اسلام داشت و بالتبع همان را نیز به مردم شام منتقل کرد، باید گفت که وی در زمان جاهلیت کشتارهای زیادی علیه اسلام مخصوصاً در جنگ احدانجام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بزرگواری و بزرگ منشی، هنگام اسلام آوردن خالد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اعمال قبلی </w:t>
      </w:r>
    </w:p>
    <w:p>
      <w:pPr>
        <w:pStyle w:val="BookText"/>
        <w:rPr/>
      </w:pPr>
      <w:r>
        <w:rPr>
          <w:rFonts w:ascii="IRNazanin" w:hAnsi="IRNazanin" w:eastAsia="IRNazanin"/>
          <w:color w:val="111111"/>
          <w:sz w:val="28"/>
          <w:sz w:val="28"/>
          <w:szCs w:val="28"/>
          <w:rtl w:val="true"/>
          <w:lang w:bidi="fa-IR"/>
        </w:rPr>
        <w:t xml:space="preserve">فرد را پوشانده و مورد بخشش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بصری،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دو نکته اینجا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درست است که اسلام جنایات دوران جاهلی را نادیده می گیرد اما در هر حال فردی مثل خالد با این سابقه، هرگز با انسان هایی مانند ابوذر، سلمان و عمار قابل مقایسه نیست؛ چراکه این بزرگواران قبل از اسلام نیز حادثه جو نبودند و اساساً آماده پذیرش دینی الهی بودند تا خود را از جامعه شرک آلود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فرق است بین کسی که در اوج مظلومیت و غربت مسلمانان، به آنان می پیوندد و بین کسی که در روزهای استقرار و قدرت اسلام، مسلمان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دسته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خالد حتی بعد از اسلام آوردن نیز از روحیه متهورانه خود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وی یک بار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قبیله ای را بدون دلیل شرعی گردن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نیز در زمان خلافت ابوبکر اقدام به کشتن مالک بن نویره و تجاوز به همسرش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شام به دست چنین فردی فتح شود، طبیعی است که اسلامی به مردم آنجا عرضه شود که مطابق میل خالد است و مهم تر از آن، کسی که خالد را برای فتح شام می فرستد نیز مایل است تا قرائت همین شخص در منطقه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یزید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خالد در فتح شام نقش اصلی را داشت ولی در آنجا برای مدت زیادی مستقر نشد و عرصه را برای شخصیتی مثل یزید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برادر معاویه که توسط عمر به امارت شام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اقتدار و جذب مردم شام به سمت خود، دست کمی از معاویه نداشت و این ابتلا به طاعون بود که وی را زودهنگام و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ق به کام مرگ کشانید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به دستور عمر قبل از معاویه، شام بلامنازع در دست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و معاویه، برادر دیگری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در جنگ بدر به دست امیرالمؤمنین به خاک هلاکت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نگاری هایی که در جنگ صفین با معاویه داشت، این نکته را گوشزد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معاویه بداند، آن حضرت هرگز از عملکرد سابق خود پشیمان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 دقیقاً با همان روحیه به مصاف معاویه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آنها نیز، یهودیانی که به واسطه عداوت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محکوم به تبعید از حجاز شده بودند، به شام عزیمت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بصری،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دشمنان سرسخت اسلام و از مؤسسان مسجد ضرار بود، در آن منظقه زندگی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طبری نقل می کند، وقتی جنگ احد شدت گرفت و برخی مسلمانان گریختند، یکی از آنها قصد داشت به شام و به دامان یهودیان پناهنده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طایی هم که پیش از مسلمان شدن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جنگ داشت، در برهه ای از زمان به شام پناه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منطقه ای که محل اجتماع مخالفان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طبیعی است که مردم بومی آنجا نیز دشمنی با آن حضرت را در پیش گرفته و حادثه ای را همچون عاشورا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نواصبو دشمنان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ایشان، فقط در شام نبودند و در مکان های بسیاری چون مدینه با پرچم داری زبیریان و حتی در زمان خلافت امیرالمؤمنین در کوفه با رهبری خوارج نیز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اینکه زبیریان نتوانستند مانند امویان در شام، ناصبی گری را در منطقه خود نهادینه و مرسوم کنند، معلول عوامل متعددی ازجمله عمر کم دولت آنها و همچنین تفاوت مناطق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نهایتاً توانست ده سال، آن هم فقط بر منطقه مکه و اطراف آن مسلط باشد؛ ولی معاویه حدود چهل سال بر شام حکومت کرد و این زمان نیز برای گسترش افکار خود، فرصت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مردم مکه و مدینه همان قدر که زبیریان را دیدند، اسلام به قرائت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دیده بودند، ولی مردم شام درکی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معصوم ایشان نداشتند لذا به راحتی توانستند در مقابل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شده که شاخصه تفکر عثمانی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خواهی از خلیفه سوم و مقصر دانستن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عدم مشروعیت خلافت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سکوت و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عثمانی گری به قرائت شام و بصره، علاوه بر موارد فوق، سب و لعن آن حضرت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اسکافى،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نمونه، مورخان می نویسند شخصی به نام عمر بن ثابت در روزگار معاویه در آبادی ها و مناطق مختلف شام گشته و به آنها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کسی است که قصد داشت شتر پیامبر را رم داده و ایشان را به کشتن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آن حضرت را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عمر به آبادی دیگر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ثقفى کوفى،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قرائتی که ازاسلام در شام معرفی و نهادینه شد، با قرائت دیگر مسلمانان تفاوت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آن قدر در اسلام تصرف کرده بودند که حتی انس بن مالک هم که طرفدار معاویه بود، هنگامی که در دمشق مستقر شد و سیره اهالی آنجا را دید، ادعا می کرد همه احکام اسلام حتی نماز هم دستخوش تضییع و تحریف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گفته شده بنی امیه صراحتاً ناراحتی خود را از بردن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ابراز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نیز هوشمندانه همین را دریافت و وقتی که بعد از وقایع جانسوز کربلا از ایشان پرسیدند چه کسی در این نبرد شکست خورده و چه کسی پیروز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نمازتان اذان و اقامه بگویید؛ آن گاه خواهید دانست پیروز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محسن آرمین در این زمینه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بنی امیه در برخورد با مخالفان، از زور، تهدید، قساوت، حبس و حصر استفاده می کردند، جای انکار نیست؛ ولی در مواجهه با توده مردم، دو عامل عمده همراهی آنان با حکام خود را می توان تبلیغات و ایدئولوژی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 جامعه شستشوی مغزی نشود، سلطه بر آن جامعه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جامعه آگاه تر باشد، سلطه بر آن سخت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بدون شستشوی مغزی قادر به ادامه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درمورد فرعون نیز می فرماید که او جامعه خود را سبک مغز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استخفاف مذکور در آیه را اگر بتوان به زبان امروزی توضیح داد، می توان به از بین بردن جامعه مدنی و شستشوی مغزی اشاره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یکی از مؤلفه های پیروی مردم از معاویه را نام گذاری وی به خال </w:t>
      </w:r>
      <w:bookmarkStart w:id="160" w:name="pg8689_87531"/>
    </w:p>
    <w:p>
      <w:pPr>
        <w:pStyle w:val="BookText"/>
        <w:rPr/>
      </w:pPr>
      <w:bookmarkEnd w:id="160"/>
      <w:r>
        <w:rPr>
          <w:rFonts w:ascii="IRNazanin" w:hAnsi="IRNazanin" w:eastAsia="IRNazanin"/>
          <w:color w:val="111111"/>
          <w:sz w:val="28"/>
          <w:sz w:val="28"/>
          <w:szCs w:val="28"/>
          <w:rtl w:val="true"/>
          <w:lang w:bidi="fa-IR"/>
        </w:rPr>
        <w:t>المومنین و قبول آن توسط مردم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معاویه نیز بر این کار این بوده که چون وی برادر ام حبیبه، همسر رسول خداست و ازواج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مادران مؤمنان اند، لذا وی نیز دایی مؤمنان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عرف عرب چنین نبوده که اگر یک نفر به عنوان پدر قوم شناخته شود، پسر آن شخص نیز از این لقب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هیچ گاه محمد بن ابی بکر و عبدالله بن عمر که برادران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ادعا نداشتند که دایی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معاویه از این لقب در مناطق تازه مسلمان، مخصوصا در شام که اساسا اسلام را با معاویه شناخته بودند،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آرمین،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برخوردهای زاویه دار با دستورات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یزید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مشاهده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یادآوری و بزرگداشت سران مشرک قریش که در جنگ بدر توسط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مسلمانان به خاک هلاکت افتاده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صراحتاً نشان داد در مسیر همان ها قدم برمی دارد و مشکل وی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بر سر قدرت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صحرای کربلا نیز،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مقابل را استنطاق کرده و به آنان فرمود، آیا من جرمی مرتکب شده ام، آنها گفتند دلیل این رویارویی صرفاً کینه ای است که از پدرت داریم؛ بابت بلایی که بر سر اجدادمان در جنگ های صدر اسلام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الملک سپهر،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آنچه گفته شد، تاریخچه شام از زمان فتح تا زمانی که حکومت آنجا به دست یزید افتاد، مورد مطالعه قرار گرفت و فهمیده شد که ناصبی گری و دشمنی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تاچه اندازه ریشه دار و قوی است</w:t>
      </w:r>
      <w:r>
        <w:rPr>
          <w:rFonts w:eastAsia="IRNazanin" w:cs="IRNazanin"/>
          <w:color w:val="111111"/>
          <w:sz w:val="28"/>
          <w:szCs w:val="28"/>
          <w:rtl w:val="true"/>
          <w:lang w:bidi="fa-IR"/>
        </w:rPr>
        <w:t>.</w:t>
      </w:r>
    </w:p>
    <w:p>
      <w:pPr>
        <w:pStyle w:val="Heading6"/>
        <w:numPr>
          <w:ilvl w:val="5"/>
          <w:numId w:val="1"/>
        </w:numPr>
        <w:rPr/>
      </w:pPr>
      <w:bookmarkStart w:id="161" w:name="__RefHeading___Toc2713120_653776707"/>
      <w:bookmarkStart w:id="162" w:name="_Toc60"/>
      <w:bookmarkEnd w:id="161"/>
      <w:r>
        <w:rPr/>
        <w:t>1.1.2</w:t>
      </w:r>
      <w:r>
        <w:rPr>
          <w:rtl w:val="true"/>
        </w:rPr>
        <w:t xml:space="preserve">. </w:t>
      </w:r>
      <w:r>
        <w:rPr>
          <w:rtl w:val="true"/>
        </w:rPr>
        <w:t xml:space="preserve">حضور صحابه منتقد امام علی </w:t>
      </w:r>
      <w:r>
        <w:rPr>
          <w:rtl w:val="true"/>
        </w:rPr>
        <w:t>(</w:t>
      </w:r>
      <w:r>
        <w:rPr>
          <w:rtl w:val="true"/>
        </w:rPr>
        <w:t>علیه السلام</w:t>
      </w:r>
      <w:r>
        <w:rPr>
          <w:rtl w:val="true"/>
        </w:rPr>
        <w:t xml:space="preserve">) </w:t>
      </w:r>
      <w:r>
        <w:rPr>
          <w:rtl w:val="true"/>
        </w:rPr>
        <w:t>در شام</w:t>
      </w:r>
      <w:bookmarkEnd w:id="1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 این است که به موازات تبلیغات ضدعلوی و ضدحسینی یزید و دیگر حاکمان اموی، برخی از چهره های معروف اصحاب نیز در شام حضور داشتند که ضمن زاویه داشتن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ایشان، قدرت تأثیر و تبلیغ در آن منطقه را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مورخان، نام برخی از آنها را چنین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عامر بن عبدالله بن جراح، </w:t>
      </w:r>
      <w:bookmarkStart w:id="163" w:name="pg8689_87532"/>
    </w:p>
    <w:p>
      <w:pPr>
        <w:pStyle w:val="BookText"/>
        <w:rPr/>
      </w:pPr>
      <w:bookmarkEnd w:id="163"/>
      <w:r>
        <w:rPr>
          <w:rFonts w:ascii="IRNazanin" w:hAnsi="IRNazanin" w:eastAsia="IRNazanin"/>
          <w:color w:val="111111"/>
          <w:sz w:val="28"/>
          <w:sz w:val="28"/>
          <w:szCs w:val="28"/>
          <w:rtl w:val="true"/>
          <w:lang w:bidi="fa-IR"/>
        </w:rPr>
        <w:t xml:space="preserve">معاذ بن جبل انصاری، حارث بن هشام بن مغیره مخزومی، سهیل بن عمرو عامری قرشی، سعید بن عامر حذیم جمحی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عطوان،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دیده می شود، برخی از آنان، اختلاف نظر جدی ای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لذا طبیعی است که وقتی مردم یک منطقه با افرادی چون ابوعبیده، سهیل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طرف مشرکان قریش در انعقاد صلح حدیبیه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همان مجلس فرزند نومسلمان خود را با آزار فراوان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7511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عبیدالله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بن طلحه، خو بگیرند، مواضع سیاسی آنان را نیز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به موازات صحابه منتقد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های ضداموی معروفی چون بلال 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برهه کوتاهی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شام حضور داشتند ولی این افراد هیچ گاه نتوانستند در منطقه شام، همانند دیگر صحابه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این چهره ها توانستند رویکرد اهل شام را به عداوت با امام علی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و واقعه کربلا را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هایی که با زمامدارانی چون امویان و اندیشمندانی چون کعب الاحبار خو گرفته باشند، اسلام را نیز به قرائتهمان ها خواهند شناخت</w:t>
      </w:r>
      <w:r>
        <w:rPr>
          <w:rFonts w:eastAsia="IRNazanin" w:cs="IRNazanin"/>
          <w:color w:val="111111"/>
          <w:sz w:val="28"/>
          <w:szCs w:val="28"/>
          <w:rtl w:val="true"/>
          <w:lang w:bidi="fa-IR"/>
        </w:rPr>
        <w:t>.</w:t>
      </w:r>
    </w:p>
    <w:p>
      <w:pPr>
        <w:pStyle w:val="Heading5"/>
        <w:numPr>
          <w:ilvl w:val="4"/>
          <w:numId w:val="1"/>
        </w:numPr>
        <w:rPr/>
      </w:pPr>
      <w:bookmarkStart w:id="164" w:name="__RefHeading___Toc2713122_653776707"/>
      <w:bookmarkStart w:id="165" w:name="_Toc61"/>
      <w:bookmarkEnd w:id="164"/>
      <w:r>
        <w:rPr/>
        <w:t>1.2</w:t>
      </w:r>
      <w:r>
        <w:rPr>
          <w:rtl w:val="true"/>
        </w:rPr>
        <w:t xml:space="preserve">. </w:t>
      </w:r>
      <w:r>
        <w:rPr>
          <w:rtl w:val="true"/>
        </w:rPr>
        <w:t>گسترش عقیده به جبر</w:t>
      </w:r>
      <w:bookmarkEnd w:id="165"/>
    </w:p>
    <w:p>
      <w:pPr>
        <w:pStyle w:val="BookText"/>
        <w:rPr/>
      </w:pPr>
      <w:r>
        <w:rPr>
          <w:rFonts w:ascii="IRNazanin" w:hAnsi="IRNazanin" w:eastAsia="IRNazanin"/>
          <w:color w:val="111111"/>
          <w:sz w:val="28"/>
          <w:sz w:val="28"/>
          <w:szCs w:val="28"/>
          <w:rtl w:val="true"/>
          <w:lang w:bidi="fa-IR"/>
        </w:rPr>
        <w:t xml:space="preserve">از عوامل موفقیت امویان در پیشبرد اهداف خود در منطقه، ازجمله جلب رضایتشان برای به شهادت رساندن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گسترش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دائماً بین مردم این تفکر را تزریق می کرد که خلافت ما و تمام کارهایی که می کنیم، به خواست خداست و ما جرئت سرپیچی از مشیت الهی را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شام غیر از امویان قرائت دیگری از اسلام ندیده بودند تا باورهای آنان را با آن مقایسه کنند، گمان می کردند که عقیده صحیح اسلامی، همین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به اسارت گرفتن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کربلا نیز، یزید بر این نکته تأکید می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حسین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هنگام خداحافظی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لحظاتی که به ظاهر و بالاجبار </w:t>
      </w:r>
    </w:p>
    <w:p>
      <w:pPr>
        <w:pStyle w:val="BookText"/>
        <w:rPr/>
      </w:pPr>
      <w:r>
        <w:rPr>
          <w:rFonts w:ascii="IRNazanin" w:hAnsi="IRNazanin" w:eastAsia="IRNazanin"/>
          <w:color w:val="111111"/>
          <w:sz w:val="28"/>
          <w:sz w:val="28"/>
          <w:szCs w:val="28"/>
          <w:rtl w:val="true"/>
          <w:lang w:bidi="fa-IR"/>
        </w:rPr>
        <w:t xml:space="preserve">ابراز محبت و پشیمانی می کرد، باز هم ادعا داشت که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زیاد هنگام مشاهده اسرای کربلا به حضرت زینب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الکوفى،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همو در مجلس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بازتاب عمومی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گردن خودش و یزید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عقیده به جبر، صرفاً حربه امویان برای کسب مشروعیت عمومی بوده و آنها خود به چنین موضوعی معتقد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سو،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روشن گرانه ای در مقابل جبرگرایی ایستاده و آن را نقد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مثلاًوقتی که یکی از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پرسید که آیا مصاف ما با شامیان، تحت قضا و قدر خداوند بوده یا خیر؟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بین عقیده به قضا و قدر الهی و بین وجود اراده در انسان، تفاوت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هم که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علی بن الحسین به خداوند منتسب شد، امام چهارم با قاطعیت در مقابل این تفکر ایستاده و شخص یزید و پیروانش را عامل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نیز به نقد جبرگرایان برمی 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الَّذینَ أَشْرَکُوا لَوْ شاءَ اللَّهُ ما أَشْرَکْنا وَ لا آباؤُنا وَ لا حَرَّمْنا مِنْ شَیْ ءٍ کَذلِکَ کَذَّبَ الَّذینَ مِنْ قَبْلِهِمْ حَتَّى ذاقُوا بَأْسَنا قُلْ هَلْ عِنْدَکُمْ مِنْ عِلْمٍ فَتُخْرِجُوهُ لَنا إِنْ تَتَّبِعُونَ إِلاَّ الظَّنَّ وَ إِنْ أَنْتُمْ إِلاَّ تَخْرُصُون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کسانى که شرک آوردند به زودى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مى خواست، نه ما و نه پدرانمان شرک نمى آوردیم و چیزى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نمى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هم که پیش از آنان بودند،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تا عقوبت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دانشى هست که آن را براى ما آشکار کنید؟ شما جز از گمان پیروى نمى کنید و جز دروغ نمى گویید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جماعتی که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نه کار یزید، کمتر به مخالفت با یزید برخواهند خاست</w:t>
      </w:r>
      <w:r>
        <w:rPr>
          <w:rFonts w:eastAsia="IRNazanin" w:cs="IRNazanin"/>
          <w:color w:val="111111"/>
          <w:sz w:val="28"/>
          <w:szCs w:val="28"/>
          <w:rtl w:val="true"/>
          <w:lang w:bidi="fa-IR"/>
        </w:rPr>
        <w:t xml:space="preserve">. </w:t>
      </w:r>
      <w:bookmarkStart w:id="166" w:name="pg8689_87534"/>
    </w:p>
    <w:p>
      <w:pPr>
        <w:pStyle w:val="Heading5"/>
        <w:numPr>
          <w:ilvl w:val="4"/>
          <w:numId w:val="1"/>
        </w:numPr>
        <w:rPr/>
      </w:pPr>
      <w:bookmarkStart w:id="167" w:name="__RefHeading___Toc2713124_653776707"/>
      <w:bookmarkStart w:id="168" w:name="_Toc62"/>
      <w:bookmarkEnd w:id="166"/>
      <w:bookmarkEnd w:id="167"/>
      <w:r>
        <w:rPr/>
        <w:t>1.3</w:t>
      </w:r>
      <w:r>
        <w:rPr>
          <w:rtl w:val="true"/>
        </w:rPr>
        <w:t xml:space="preserve">. </w:t>
      </w:r>
      <w:r>
        <w:rPr>
          <w:rtl w:val="true"/>
        </w:rPr>
        <w:t>دور نگه داشتن شامیان از عقاید غیراموی</w:t>
      </w:r>
      <w:bookmarkEnd w:id="168"/>
    </w:p>
    <w:p>
      <w:pPr>
        <w:pStyle w:val="BookText"/>
        <w:rPr/>
      </w:pPr>
      <w:r>
        <w:rPr>
          <w:rFonts w:ascii="IRNazanin" w:hAnsi="IRNazanin" w:eastAsia="IRNazanin"/>
          <w:color w:val="111111"/>
          <w:sz w:val="28"/>
          <w:sz w:val="28"/>
          <w:szCs w:val="28"/>
          <w:rtl w:val="true"/>
          <w:lang w:bidi="fa-IR"/>
        </w:rPr>
        <w:t>عامل دیگر این بود که بنی امیه به شدت درصدد بودند تا شامیان با غیر خود معاشرت و رفت و آمد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مورخان، معاویه به یزید چنین وصیت کرد، که مردم شام را پیشاپیش خود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جان فدای توخواهند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دشمن بیم داشتی، آنها را به جنگ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ماموریت خود را به پایان رساندند، اجازه نده بیرون از شام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فوراً به خانه هایشان برگردان تا خوی بیگانگان را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یکی از مورخان می نویسد که بزرگان شام تصور می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بنی امیه، خویشاوند دیگری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داستان معروف مواجهه یک پیرمرد شامی با امام چهارم و تاثر وی از روشن گری آن حضرت، فرد مزبور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من تصور می کردم ذوی القربای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یزید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نخجوانی،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تحلیل می کند که شام از آن روز که به تصرف مسلمانان در آمد، فرمانروایانی چون خالد بن ولید و معاویه را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 نه صحبت پیغمبر را دریافته بودند و نه روش اصحاب او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صحابه رسول خدا هم که بدان سرزمین رفته و سکونت جستند، مردمانی پراکنده از یکدیگر بودند و در میان مردم نفوذی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مردم شام، کردار امویان را سنت مسلمانی می پنداشتند و چون صدها سال رژیم امپراتوران روم بر آنان حاکم بود و سیرت حکومت های دوره اسلام را عادلانه تر از حکومت های پیشین می دیدند، بر کارهای آنان صحه می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در سانسور مرگبار به سربرده و از مطالعه دیگر قرائات اسلامی محروم باشند، نتیجه کارشان چیزی جز دشمنی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کردن فرزندش در کربلا نخواهد بود</w:t>
      </w:r>
      <w:r>
        <w:rPr>
          <w:rFonts w:eastAsia="IRNazanin" w:cs="IRNazanin"/>
          <w:color w:val="111111"/>
          <w:sz w:val="28"/>
          <w:szCs w:val="28"/>
          <w:rtl w:val="true"/>
          <w:lang w:bidi="fa-IR"/>
        </w:rPr>
        <w:t>.</w:t>
      </w:r>
    </w:p>
    <w:p>
      <w:pPr>
        <w:pStyle w:val="Heading5"/>
        <w:numPr>
          <w:ilvl w:val="4"/>
          <w:numId w:val="1"/>
        </w:numPr>
        <w:rPr/>
      </w:pPr>
      <w:bookmarkStart w:id="169" w:name="__RefHeading___Toc2713126_653776707"/>
      <w:bookmarkStart w:id="170" w:name="_Toc63"/>
      <w:bookmarkEnd w:id="169"/>
      <w:r>
        <w:rPr/>
        <w:t>1.4</w:t>
      </w:r>
      <w:r>
        <w:rPr>
          <w:rtl w:val="true"/>
        </w:rPr>
        <w:t xml:space="preserve">. </w:t>
      </w:r>
      <w:r>
        <w:rPr>
          <w:rtl w:val="true"/>
        </w:rPr>
        <w:t>سرکوب شدید صداهای مخالف</w:t>
      </w:r>
      <w:bookmarkEnd w:id="1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 خارجی که تفکر ناصبی گری را در شام نهادینه کرد،دیکتاتوری شدید و خفقان فوق العاده ای بود که عناصر اموی در جهت سرکوب صداهای مخالف به </w:t>
      </w:r>
    </w:p>
    <w:p>
      <w:pPr>
        <w:pStyle w:val="BookText"/>
        <w:rPr/>
      </w:pPr>
      <w:r>
        <w:rPr>
          <w:rFonts w:ascii="IRNazanin" w:hAnsi="IRNazanin" w:eastAsia="IRNazanin"/>
          <w:color w:val="111111"/>
          <w:sz w:val="28"/>
          <w:sz w:val="28"/>
          <w:szCs w:val="28"/>
          <w:rtl w:val="true"/>
          <w:lang w:bidi="fa-IR"/>
        </w:rPr>
        <w:t>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نقل شده، وقتی یزید در اولین نطق خود به عنوان خلیفه برای مردم صحبت کرده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شخصی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دروغ گفتی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رسول خدا و اهل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یزید برای خوشایند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الکوفى،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مردم معمولی بود ولی حتی صحابه هم اگر می خواستند برخلاف میل بنی امیه حرکت کنند، به سرعت هشدار داده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مورخان می نویسند،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معروف مشاهده کرد که یزید به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حرمتی می کند، گفت که من خود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یزید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پیری خرفت نبودی، تو را می 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امویان به قدری در سرکوب مخالفان و منتقدان خود بی باک و جسور عمل می کردند که حتی عایشه نیز ملزم به بیعت با یزید شد و از ابراز مخالفت با امویان برحذر 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برخی از شامیان واقعاً به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قاصر بودند و هنگامی که از واقع مطلع شدند، انزجار خود را آشکار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باید دانست که این حرکت ها کاملاً در اقلیتبود و اساساً زیربنای شام چنین اجازه ای به افراد نمی داد که نسبت به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گری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اقدامات بنیادین بنی امیه را درجهت نهادینه کردن فرهنگ امام علی ستیزی، می توان در محورهای زیر معرفی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سب و لعن حضرت، اعلام مهدورالدم بودن کسانی که در فضل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نقل کنند، دستور به نقل فضایل عثمان و بها دادن به طرفداران وی، ترویج فضایل شیخین و شبیه سازی احادیث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 صحابه، گسترش روایات تنقیص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خواستگاری دروغین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71" w:name="pg8689_87536"/>
    </w:p>
    <w:p>
      <w:pPr>
        <w:pStyle w:val="BookText"/>
        <w:rPr/>
      </w:pPr>
      <w:bookmarkEnd w:id="171"/>
      <w:r>
        <w:rPr>
          <w:rFonts w:ascii="IRNazanin" w:hAnsi="IRNazanin" w:eastAsia="IRNazanin"/>
          <w:color w:val="111111"/>
          <w:sz w:val="28"/>
          <w:sz w:val="28"/>
          <w:szCs w:val="28"/>
          <w:rtl w:val="true"/>
          <w:lang w:bidi="fa-IR"/>
        </w:rPr>
        <w:t xml:space="preserve">دختر ابوجهل و مشرک از دنیا رفتن حضرت ابوطالب، تعقیب و شکنجه و کشتار دوستداران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تقدیم بنی امیه بر بنی هاشم و مقدس سازی سرزمین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دلایل، امویان توانسته بودند قرائت خود را در آن منطقه نهادینه کنند</w:t>
      </w:r>
      <w:r>
        <w:rPr>
          <w:rFonts w:eastAsia="IRNazanin" w:cs="IRNazanin"/>
          <w:color w:val="111111"/>
          <w:sz w:val="28"/>
          <w:szCs w:val="28"/>
          <w:rtl w:val="true"/>
          <w:lang w:bidi="fa-IR"/>
        </w:rPr>
        <w:t>.</w:t>
      </w:r>
    </w:p>
    <w:p>
      <w:pPr>
        <w:pStyle w:val="Heading4"/>
        <w:numPr>
          <w:ilvl w:val="3"/>
          <w:numId w:val="1"/>
        </w:numPr>
        <w:rPr/>
      </w:pPr>
      <w:bookmarkStart w:id="172" w:name="__RefHeading___Toc2713128_653776707"/>
      <w:bookmarkStart w:id="173" w:name="_Toc64"/>
      <w:bookmarkEnd w:id="172"/>
      <w:r>
        <w:rPr/>
        <w:t>2</w:t>
      </w:r>
      <w:r>
        <w:rPr>
          <w:rtl w:val="true"/>
        </w:rPr>
        <w:t xml:space="preserve">. </w:t>
      </w:r>
      <w:r>
        <w:rPr>
          <w:rtl w:val="true"/>
        </w:rPr>
        <w:t>عوامل داخلی</w:t>
      </w:r>
      <w:bookmarkEnd w:id="173"/>
    </w:p>
    <w:p>
      <w:pPr>
        <w:pStyle w:val="Heading5"/>
        <w:numPr>
          <w:ilvl w:val="4"/>
          <w:numId w:val="1"/>
        </w:numPr>
        <w:rPr/>
      </w:pPr>
      <w:bookmarkStart w:id="174" w:name="__RefHeading___Toc2713130_653776707"/>
      <w:bookmarkStart w:id="175" w:name="_Toc65"/>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بعد از نام بردن عوامل خارجی سوق دهنده شامیان به ناصبی گری، می توان به چند عامل داخلی این مسئله نیز اشاره کرد که در ادامه ذکر خواهند شد</w:t>
      </w:r>
      <w:r>
        <w:rPr>
          <w:rFonts w:eastAsia="IRNazanin" w:cs="IRNazanin"/>
          <w:color w:val="111111"/>
          <w:sz w:val="28"/>
          <w:szCs w:val="28"/>
          <w:rtl w:val="true"/>
          <w:lang w:bidi="fa-IR"/>
        </w:rPr>
        <w:t>.</w:t>
      </w:r>
    </w:p>
    <w:p>
      <w:pPr>
        <w:pStyle w:val="Heading5"/>
        <w:numPr>
          <w:ilvl w:val="4"/>
          <w:numId w:val="1"/>
        </w:numPr>
        <w:rPr/>
      </w:pPr>
      <w:bookmarkStart w:id="176" w:name="__RefHeading___Toc2713132_653776707"/>
      <w:bookmarkStart w:id="177" w:name="_Toc66"/>
      <w:bookmarkEnd w:id="176"/>
      <w:r>
        <w:rPr/>
        <w:t>2.1</w:t>
      </w:r>
      <w:r>
        <w:rPr>
          <w:rtl w:val="true"/>
        </w:rPr>
        <w:t xml:space="preserve">. </w:t>
      </w:r>
      <w:r>
        <w:rPr>
          <w:rtl w:val="true"/>
        </w:rPr>
        <w:t>فرمان برداری و سرسختی فوق العاده</w:t>
      </w:r>
      <w:bookmarkEnd w:id="177"/>
    </w:p>
    <w:p>
      <w:pPr>
        <w:pStyle w:val="BookText"/>
        <w:rPr/>
      </w:pPr>
      <w:r>
        <w:rPr>
          <w:rFonts w:ascii="IRNazanin" w:hAnsi="IRNazanin" w:eastAsia="IRNazanin"/>
          <w:color w:val="111111"/>
          <w:sz w:val="28"/>
          <w:sz w:val="28"/>
          <w:szCs w:val="28"/>
          <w:rtl w:val="true"/>
          <w:lang w:bidi="fa-IR"/>
        </w:rPr>
        <w:t>علاوه بر سنگ بنایی که در شام بنا نهاده و اینکه دشمنی با امام علی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عملی اسلامی به مردم القا شده بود، رویکرد خود شامیان نیز می تواند از عوامل ناصبی گری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زیر در این زمینه می توان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شَرٌّ، أَمْ أَهْلُ الرُّومِ؟فَقَالَ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الرُّومَ کَفَرُوا وَ لَمْ یُعَادُونَا، وَ إِنَ أَهْلَ الشَّامِ کَفَرُوا وَ عَادَوْنَا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رازی،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شام بدترند، یا مردم روم؟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مثبت یا منفی نداد ولی تعلیلی کرد که به خوبی گویای نظر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کفر ورزیدند ولی با ما نجنگیدند؛ ولی شامیان هم کفر ورزیدند و هم با ما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رومیان با ما نجنگیدند، نه به این معناست که بین اسلام و روم هیچ گاه جنگی صورت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جنگ موته، بهترین مثال برای نقض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رومیان با مسلمانان، از آن جهت که شیعه بوده اند، نجنگیده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به عنوان مسلمان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امویان با علویان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خاندان علی بن ابی طالب بوده اند، دشمنی ورزیده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مقدمه می توان گفت، عامل دیگری که شامیان را به دشمنان درجه یک امام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کرده بود، فرمان برداری محض از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نمودهای این فرمان برداری، در نبرد صفین و در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مردم شام آن قدر برای جان فشانی در سپاه معاویه آماده بودند،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 کرد ده نفر از یاران خود را داده و یک تن از یاران معاویه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حضرت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أَطَلَّ عَلَیْكُمْ مَنْسِرٌ مِنْ مَنَاسِرِ أَهْلِ الشَّامِ أَغْلَقَ كُلُّ رَجُلٍ مِنْكُمْ بَابَهُ وَ انْجَحَرَ انْجِحَارَ الضَّبَّةِ فِی جُحْرِهَا وَ الضَّبُعِ فِی وِجَارِهَا؛</w:t>
      </w:r>
    </w:p>
    <w:p>
      <w:pPr>
        <w:pStyle w:val="BookText"/>
        <w:rPr/>
      </w:pPr>
      <w:r>
        <w:rPr>
          <w:rFonts w:ascii="IRNazanin" w:hAnsi="IRNazanin" w:eastAsia="IRNazanin"/>
          <w:color w:val="111111"/>
          <w:sz w:val="28"/>
          <w:sz w:val="28"/>
          <w:szCs w:val="28"/>
          <w:rtl w:val="true"/>
          <w:lang w:bidi="fa-IR"/>
        </w:rPr>
        <w:t xml:space="preserve">هر وقت گروهى از سپاه شام به شما رو مى كند هر مردى از شما درخانه اش را مى بندد و چون سوسمار به لانه مى خزد و مانند كفتار به آشیانه پناه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کشته شدن عمار توسط شامیان که بنا به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بودند و در راه باطل قرار داشتنِ قاتلان وی را نشان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بصری،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نتوانست در ارادت شامیان نسبت به بنی امیه خللی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همچنین به قدری به معاویه ارادت داشتند که به دستور او یک سال تمام بر عثمان بن عفان 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کُردعلی،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تمکین عجیب آنان نسبت به شخصیت هتاک و بی قیدی مانند یزید نیز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به شهادت رساندن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زدن خانه کعبه، که جزو هولناک ترین جنایات تاریخ اسلام است، حتی سبک زندگی خود یزید نیز هیچ شباهتی با زندگی گمنام ترین صحابه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اینکه بخواهد خود را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وقتی فقط یک بار ظواهر وی را دیدند، سر به اعتراض گذاشته و واقعه حره را ایجاد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شام با اینکه همه روزه او و پرده دری هایش را می دیدند، کوچک ترین درنگی در کارهای وی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نمی توان از رویکردهای عموم اهل سنت دانست؛ چرا که دیگر بزرگان اهل سنت نسبت به شخصیت یزید و کارهای او رسما اعلام بیزاری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می توان به سخن کیاهراسی عالم سنی مذهب اشاره کرد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کاغذ کم نمی آوردم، تمام رسوایی های یزید را </w:t>
      </w:r>
    </w:p>
    <w:p>
      <w:pPr>
        <w:pStyle w:val="BookText"/>
        <w:rPr/>
      </w:pPr>
      <w:r>
        <w:rPr>
          <w:rFonts w:ascii="IRNazanin" w:hAnsi="IRNazanin" w:eastAsia="IRNazanin"/>
          <w:color w:val="111111"/>
          <w:sz w:val="28"/>
          <w:sz w:val="28"/>
          <w:szCs w:val="28"/>
          <w:rtl w:val="true"/>
          <w:lang w:bidi="fa-IR"/>
        </w:rPr>
        <w:t>افشا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وی دائماً خمر می خورد و قمار می باخت و با پلنگ ها بازی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یزید جنایات کربلا و مکهو مدینه را انجام نمی داد، همین حرکات زننده او، برای اینکه مردم شام را نسبت به مشروع دانستن حکومتش به تردید بیندازد،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برخورد با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قدری غیرانسانی و ناجوانمردانه عمل کرد که یکی از شامیان به خود جرئت داد که یکی از دختران را به عنوان کنیز،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واکنش قاطعانه و مستدل بانوان حسینی نبود، بعید نبود یزید به این درخواست غیرانسانی تن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تر آنکه مورخان نقل می کنند، در ایام شهادت عاشورا، هر سنگی را که در شام بلند می کردند، زیر آن خون تازه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واکنش مهمی در این زمینه از مردم آن سامان ثبت نشده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نیز متوجه همین نکته شده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یزید فرستادند، وی ابتدا خوشحال، ولی بعداً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می دید مردم از او و کارش منزجر شده اند و البته مردم حق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داد که در دمشق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یقیناً بر سخن خودش پایبند نبوده و صرفاً به شکل صوری آن پیشنهاد را کرده و این کار او نیز در راستای همان آرامش بخشی به التهاب عمومی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یزید توانست با این ظاهرسازی ها، مردم خود را نسبت به ابراز نارضایتی عمومی در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ساکت کند</w:t>
      </w:r>
      <w:r>
        <w:rPr>
          <w:rFonts w:eastAsia="IRNazanin" w:cs="IRNazanin"/>
          <w:color w:val="111111"/>
          <w:sz w:val="28"/>
          <w:szCs w:val="28"/>
          <w:rtl w:val="true"/>
          <w:lang w:bidi="fa-IR"/>
        </w:rPr>
        <w:t>.</w:t>
      </w:r>
      <w:bookmarkStart w:id="178" w:name="pg8689_87539"/>
    </w:p>
    <w:p>
      <w:pPr>
        <w:pStyle w:val="BookText"/>
        <w:rPr/>
      </w:pPr>
      <w:bookmarkEnd w:id="178"/>
      <w:r>
        <w:rPr>
          <w:rFonts w:ascii="IRNazanin" w:hAnsi="IRNazanin" w:eastAsia="IRNazanin"/>
          <w:color w:val="111111"/>
          <w:sz w:val="28"/>
          <w:sz w:val="28"/>
          <w:szCs w:val="28"/>
          <w:rtl w:val="true"/>
          <w:lang w:bidi="fa-IR"/>
        </w:rPr>
        <w:t>البته باید دانست که این هنجارشکنی ها و دشمنی ورزی با شعایر دین، نه تنها منحصر در یزید نبود، بلکه دیگر حاکمان اموی بعضا خیلی هتاک تر از یزید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مورخان نقل کرده اند که یکی از زمامداران اموی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بام کعبه نشسته و شراب می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بی شرمانه قرآن را هدف تیر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هرگز به مخیله یزید بن معاویه نیز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مسئله اینجاست که دلیل تنفر عموم مسلمانان از یزید،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وگرنه دیگر امویان دست کمی از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باز هم در مورد دیگر زمامداران اموی مانند ولید بن یزید نیز، اعتراض و ناراحتی مهمی در مردم شام دیده نمی شود؛ چون دوستدار و مطیع امویان بودند</w:t>
      </w:r>
      <w:r>
        <w:rPr>
          <w:rFonts w:eastAsia="IRNazanin" w:cs="IRNazanin"/>
          <w:color w:val="111111"/>
          <w:sz w:val="28"/>
          <w:szCs w:val="28"/>
          <w:rtl w:val="true"/>
          <w:lang w:bidi="fa-IR"/>
        </w:rPr>
        <w:t>.</w:t>
      </w:r>
    </w:p>
    <w:p>
      <w:pPr>
        <w:pStyle w:val="Heading5"/>
        <w:numPr>
          <w:ilvl w:val="4"/>
          <w:numId w:val="1"/>
        </w:numPr>
        <w:rPr/>
      </w:pPr>
      <w:bookmarkStart w:id="179" w:name="__RefHeading___Toc2713134_653776707"/>
      <w:bookmarkStart w:id="180" w:name="_Toc67"/>
      <w:bookmarkEnd w:id="179"/>
      <w:r>
        <w:rPr/>
        <w:t>2.2</w:t>
      </w:r>
      <w:r>
        <w:rPr>
          <w:rtl w:val="true"/>
        </w:rPr>
        <w:t xml:space="preserve">. </w:t>
      </w:r>
      <w:r>
        <w:rPr>
          <w:rtl w:val="true"/>
        </w:rPr>
        <w:t>زودباوری بسیار</w:t>
      </w:r>
      <w:bookmarkEnd w:id="180"/>
    </w:p>
    <w:p>
      <w:pPr>
        <w:pStyle w:val="BookText"/>
        <w:rPr/>
      </w:pPr>
      <w:r>
        <w:rPr>
          <w:rFonts w:ascii="IRNazanin" w:hAnsi="IRNazanin" w:eastAsia="IRNazanin"/>
          <w:color w:val="111111"/>
          <w:sz w:val="28"/>
          <w:sz w:val="28"/>
          <w:szCs w:val="28"/>
          <w:rtl w:val="true"/>
          <w:lang w:bidi="fa-IR"/>
        </w:rPr>
        <w:t>عامل داخلی دوم را می توان ساده لوحی بیش از حد شامیان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به عنوان سرباز و زیردست، از فرمانده خود معاویه تبعیت می کردند، که سخنان وی و اخلافش را به عنوان منبع مهم معرفتی نیز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نقل شده، وقتی معاویه روز چهارشنبه نمازِ جمعه گزارد، شامیان به ویاعتراض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معاویه خود معترف بود که شعور این مردم را در حدی نگه داشته که حتی فرق بین شتر نر و ماده را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5"/>
        <w:numPr>
          <w:ilvl w:val="4"/>
          <w:numId w:val="1"/>
        </w:numPr>
        <w:rPr/>
      </w:pPr>
      <w:bookmarkStart w:id="181" w:name="__RefHeading___Toc2713136_653776707"/>
      <w:bookmarkStart w:id="182" w:name="_Toc68"/>
      <w:bookmarkEnd w:id="181"/>
      <w:r>
        <w:rPr/>
        <w:t>2.3</w:t>
      </w:r>
      <w:r>
        <w:rPr>
          <w:rtl w:val="true"/>
        </w:rPr>
        <w:t xml:space="preserve">. </w:t>
      </w:r>
      <w:r>
        <w:rPr>
          <w:rtl w:val="true"/>
        </w:rPr>
        <w:t>خشونت و قساوت زیاد</w:t>
      </w:r>
      <w:bookmarkEnd w:id="18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مؤلفه های ناصبی گری شامیان می توان به این نکته تاریخی اشاره کرد که آنان از روحیه خشنی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خشونت طلب و بی رحمی که از مشاهده زنان و کودکانِ در غل و زنجیر، مسرور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نقل شده آنان هنگام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خانواده ایشان با حال اسارت به شام، مسرت خود را نشان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زعم آنها حسین بن علی مستحق </w:t>
      </w:r>
      <w:bookmarkStart w:id="183" w:name="pg8689_87540"/>
    </w:p>
    <w:p>
      <w:pPr>
        <w:pStyle w:val="BookText"/>
        <w:rPr/>
      </w:pPr>
      <w:bookmarkEnd w:id="183"/>
      <w:r>
        <w:rPr>
          <w:rFonts w:ascii="IRNazanin" w:hAnsi="IRNazanin" w:eastAsia="IRNazanin"/>
          <w:color w:val="111111"/>
          <w:sz w:val="28"/>
          <w:sz w:val="28"/>
          <w:szCs w:val="28"/>
          <w:rtl w:val="true"/>
          <w:lang w:bidi="fa-IR"/>
        </w:rPr>
        <w:t>سرکوب بود، ولی برطبق هیچ قانونی، خانواده وی و همچنین خانواده دیگر شهدای کربلا، هیچ گناهی مرتکب نشده بودند تا سزاوار چنین برخورد زننده و تحقیرآمیزی از سوی شامیان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شاید دیگر مناطق جهان اسلام کمابیش از کمک رساندن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باشند، ولی دست کم مانند شامیان به جشن و شادی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یک فرد شامی که از جسارت خود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مثلى است که حضرت به آن تمثل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اینکه این دشنام و ناسزا گفتن به ما، عادت و خویى است در اهل شام که معاویه در میان آنها سنت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عوامل خارجی و داخلی تأثیرگذار بر روی اهالی شام، می توان پیبرد که آنان چرا تا این حد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آن حضرت دشمنی و عداوت داشته و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امویان یاری رساندند</w:t>
      </w:r>
      <w:r>
        <w:rPr>
          <w:rFonts w:eastAsia="IRNazanin" w:cs="IRNazanin"/>
          <w:color w:val="111111"/>
          <w:sz w:val="28"/>
          <w:szCs w:val="28"/>
          <w:rtl w:val="true"/>
          <w:lang w:bidi="fa-IR"/>
        </w:rPr>
        <w:t>.</w:t>
      </w:r>
    </w:p>
    <w:p>
      <w:pPr>
        <w:pStyle w:val="Heading3"/>
        <w:numPr>
          <w:ilvl w:val="2"/>
          <w:numId w:val="1"/>
        </w:numPr>
        <w:rPr/>
      </w:pPr>
      <w:bookmarkStart w:id="184" w:name="__RefHeading___Toc2713138_653776707"/>
      <w:bookmarkStart w:id="185" w:name="_Toc69"/>
      <w:bookmarkEnd w:id="184"/>
      <w:r>
        <w:rPr>
          <w:rtl w:val="true"/>
        </w:rPr>
        <w:t>نتیجه</w:t>
      </w:r>
      <w:bookmarkEnd w:id="18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به بررسی عواملی پرداخته است که شامیان را به دشمنی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عوامل خارج از محیط و روحیه مردم شام بر آنها تحمیل شده بود، بخشی نیز به طور طبیعی در در سیره و اخلاق شامیان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عوامل خارجی می توان گفت که آنها از همان روزهای نخست ورود اسلام به آنجا، اسلام را با قرائت اموی و ضدعلوی شناخته بودند لذا خیلی عجیب نبود که در ادامه نیز همین قرائت را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ترویج اعتقاد به جبر بود و اینکه هر بلایی بر سر دشمنان بنی امیه می آید، خواست خداست و امویان خطایی در این زمینه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همچنین به شدت مردم شام را از صداهای مخالف دور نگه داشته و منتقدان را سریعاً ساکت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جمله عوامل داخلی یکی سرسپردگی فوق العاده شامیان نسبت به اوامر بنی امیه بود، به طوری که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کرد ده نفر از یاران خود را داده و یک تن از دوستداران معاویه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را هم می توان ساده لوحی و زودباوری بیش از حد آنان دانست؛ به طوری که خواندن نمازِ جمعه را در روز چهارشنبه، از امویان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مؤلفه نیز برخورداری از روحیه قسی و خشنی بود که از دیدن کودکان بی گناهی که در زنجیر بسته شده، ناراحت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عوامل، می توان دریافت که چرا شامیان رویکرد ضدعلوی شدیدی داشته اند</w:t>
      </w:r>
      <w:r>
        <w:rPr>
          <w:rFonts w:eastAsia="IRNazanin" w:cs="IRNazanin"/>
          <w:color w:val="111111"/>
          <w:sz w:val="28"/>
          <w:szCs w:val="28"/>
          <w:rtl w:val="true"/>
          <w:lang w:bidi="fa-IR"/>
        </w:rPr>
        <w:t xml:space="preserve">. </w:t>
      </w:r>
      <w:bookmarkStart w:id="186" w:name="pg8689_87542"/>
    </w:p>
    <w:p>
      <w:pPr>
        <w:pStyle w:val="Heading3"/>
        <w:numPr>
          <w:ilvl w:val="2"/>
          <w:numId w:val="1"/>
        </w:numPr>
        <w:rPr/>
      </w:pPr>
      <w:bookmarkStart w:id="187" w:name="__RefHeading___Toc2713140_653776707"/>
      <w:bookmarkStart w:id="188" w:name="_Toc70"/>
      <w:bookmarkEnd w:id="186"/>
      <w:bookmarkEnd w:id="187"/>
      <w:r>
        <w:rPr>
          <w:rtl w:val="true"/>
        </w:rPr>
        <w:t>منابع</w:t>
      </w:r>
      <w:bookmarkEnd w:id="18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 ترجمۀ محمدمهدی 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آرمین،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دشوار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سخنرانی در جمع انجمن اسلامی دانشجویان دانشگاه صنعتی شریف،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کانال تلگرامی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عصفور بحرانی، یوسف بن احمد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الناضرة، فی احکام العترة الطاهرة، تحقیق محمدتقی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عبدالرزاق مقرم، قم، دفتر انتشارات اسلامی وابسته به جامعۀ مدرسین حوزۀ علمیۀ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ابوالحسن علی بن محمد الجزری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ابوالحسن علی بن محمد الجزری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الصحابة؛ بیروت، دار الفکر للطباعة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اعثم الکوفی، احمد</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علی شیری،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البخاری،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تمییز الصحابة، تحقیق عادل احمد عبدالموجود و دیگران،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 ربه اندلسی مالکی،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 الفرید، بیروت، 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دینوری، عبدالله بن مسلم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بتاریخ الخلفاء، تحقیق علی شیری،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دمشقی، ابوالفداء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دارالفکر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تحقیق جمال الدین میردامادی، بیروت، دار صادر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کوفی، لوط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تحقیق محمدهادی یوسفی غروی، قم، دفتر انتشارات اسلامی وابسته به جامعۀ مدرسین حوزۀ علمیۀ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اسکافی، ابوجعفر محمد بن عبدالله</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المعیار و 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الإمام امیرالمؤمنین علی بن ابی طالب، بیروت،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هشام، ابومحمد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النبویة، تحقیق مصطفی السقا و دیگران،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ابوالحسن أحمد بن یحیی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فتوح البلدان، بیروت، دار و مكتبة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ابوالحسن احمد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انساب الاشراف، تحقیق سهیل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زرکلی، بیروت، دار الفکر للطباعة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پورامینی، محمدامین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کاروان امام حسین در شام و حرکت به سوی مدینۀ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کاروان حسینی از مدینه تا مدینه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 انتشارات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ثقفی كوفی، ابواسحاق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الغارات، تحقیق میر جلال الدین محدث ارموی، تهران، انجمن آثار ملی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خطیب 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قم، انوار الهدى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شمس الدین ابو عبدالله محمد بن احمد بن عثمان بن قایماز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تحقیق شعیب ارناؤوط و دیگران،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شمس الدین ابو عبدالله محمد بن احمد بن عثمان بن قایماز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وفیات المشاهیر و الاعلام، تحقیق عمر عبدالسلام تدمری، 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سیوطی، جلال الدین عبدالرحمان بن ابی بکر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الخلفاء، تحقیق ابراهیم صالح، دمشق، دار البشائر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رضی، ابوالحسن محمد بن حسین بن موسی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تحقیق صبحی صالح، چاپ اول، قم، نشر هجرت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رضی، ابوالحسن محمد بن حسین بن موسی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البلاغه، ترجمۀ </w:t>
      </w:r>
    </w:p>
    <w:p>
      <w:pPr>
        <w:pStyle w:val="BookText"/>
        <w:rPr/>
      </w:pPr>
      <w:r>
        <w:rPr>
          <w:rFonts w:ascii="IRNazanin" w:hAnsi="IRNazanin" w:eastAsia="IRNazanin"/>
          <w:color w:val="111111"/>
          <w:sz w:val="28"/>
          <w:sz w:val="28"/>
          <w:szCs w:val="28"/>
          <w:rtl w:val="true"/>
          <w:lang w:bidi="fa-IR"/>
        </w:rPr>
        <w:t>حسین انصاریان، چاپ دوم، قم، انتشارات آیین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شهیدی، سید جعفر</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علی بن الحسین، چاپ هفدهم،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چاپ ششم، تهران، انتشارات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تحقیق گروه مطالعات اسلامی مؤسسۀ بعثت، قم، دار الثقافه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ابوعبدالله محمد بن محمد بن نعمان عکبری بغدادی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حجج الله علی العباد، تحقیق مؤسسة آل البیت لاحیاء التراث، قم، کنگرۀ جهانی هزاره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صاحبی نخجوانی، هندوشاه بن سنجر بن عبدالله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خلفا و وزرای ایشان، ترجمۀ عباس اقبال آشتیانی، تهران، مطبعه فردین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تحقیق حمدی بن عبدالمجید سلفی، قاهره، مکتبة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طبرى، ترجمۀ ابوالقاسم پاینده، تهران، انتشارات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 چاپ اول،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 تحقیق محمد ابوالفضل ابراهیم،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عطوان، حسین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 های اسلامی در سرزمین شام در عصر اموی، ترجمۀ حمیدرضا شیخی، مشهد، بنیاد پژوهش های اسلامى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فارسى، عبدالغافر بن اسماعیل</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السیاق، تحقیق ابراهیم بن محمد صریفینى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محمودى، قم، دفتر انتشارات اسلامی وابسته به جامعۀ مدرسین حوزۀ علمیۀ قم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فیروزآبادی،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القاموس المحیط، بیروت، دار الکتب </w:t>
      </w:r>
    </w:p>
    <w:p>
      <w:pPr>
        <w:pStyle w:val="BookText"/>
        <w:rPr/>
      </w:pPr>
      <w:r>
        <w:rPr>
          <w:rFonts w:ascii="IRNazanin" w:hAnsi="IRNazanin" w:eastAsia="IRNazanin"/>
          <w:color w:val="111111"/>
          <w:sz w:val="28"/>
          <w:sz w:val="28"/>
          <w:szCs w:val="28"/>
          <w:rtl w:val="true"/>
          <w:lang w:bidi="fa-IR"/>
        </w:rPr>
        <w:t>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قسطلانی، شهاب الدین ابوالعباس احمد بن محمد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لشرح صحیح البخاری، قاهره، المطبعة الکبری الامیریة بولاق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قطب الدین راوندی، سعید بن عبدالله بن حسین بن هبةالله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تحقیق مؤسسة الامام المهدی، قم، مؤسسۀ امام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بن محمدرضا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تواریخ النبی و الآل، تحقیق ناصر باقری بیدهندی، قم، انتشارات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كُردعلی، محمد بن عبدالرزاق بن محمد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خطط الشام، دمشق، مكتبة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رازی، ابوجعفر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محمدحسین درایتی و پژوهشگران مرکز تحقیقات دار الحدیث، قم، سازمان چاپ و نشر مؤسسۀ علمی فرهنگی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لسان الملک سپهر، محمدتقی بن محمدعلی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الامام سید الشهداء الحسین، ترجمۀ سید علی جمال اشرف، قم، 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مسعودی، ابوالحسن علی بن الحسین</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تحقیق اسعد داغر، قم، دار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مقریزی، ابوالعباس تقی الدین احمد بن علی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للنبی من الاحوال و الاموال و الحفدة و المتاع، تحقیق محمد عبدالحمید النمیسی، چاپ اول، بیروت، دار الکتب العلمیة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بصری، محمد بن سعد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تحقیق محمد عبدالقادر عطا، بیروت، دار الکتب العلمیة</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8689_87547"/>
      <w:bookmarkStart w:id="190" w:name="pg8689_87547"/>
      <w:bookmarkEnd w:id="190"/>
    </w:p>
    <w:p>
      <w:pPr>
        <w:pStyle w:val="Heading2"/>
        <w:numPr>
          <w:ilvl w:val="1"/>
          <w:numId w:val="1"/>
        </w:numPr>
        <w:rPr/>
      </w:pPr>
      <w:bookmarkStart w:id="191" w:name="pg8689_87547"/>
      <w:bookmarkStart w:id="192" w:name="__RefHeading___Toc2713142_653776707"/>
      <w:bookmarkStart w:id="193" w:name="_Toc71"/>
      <w:bookmarkEnd w:id="191"/>
      <w:bookmarkEnd w:id="192"/>
      <w:r>
        <w:rPr>
          <w:rtl w:val="true"/>
        </w:rPr>
        <w:t xml:space="preserve">هویت های شش گانه در واقعه طف سال </w:t>
      </w:r>
      <w:r>
        <w:rPr/>
        <w:t>61</w:t>
      </w:r>
      <w:r>
        <w:rPr>
          <w:rtl w:val="true"/>
        </w:rPr>
        <w:t xml:space="preserve"> </w:t>
      </w:r>
      <w:r>
        <w:rPr>
          <w:rtl w:val="true"/>
        </w:rPr>
        <w:t>هجری</w:t>
      </w:r>
      <w:bookmarkEnd w:id="193"/>
    </w:p>
    <w:p>
      <w:pPr>
        <w:pStyle w:val="Heading3"/>
        <w:numPr>
          <w:ilvl w:val="2"/>
          <w:numId w:val="1"/>
        </w:numPr>
        <w:rPr/>
      </w:pPr>
      <w:bookmarkStart w:id="194" w:name="__RefHeading___Toc2713144_653776707"/>
      <w:bookmarkStart w:id="195" w:name="_Toc72"/>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دکترحسین خنیفر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14/04/1400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30/07/1400</w:t>
      </w:r>
    </w:p>
    <w:p>
      <w:pPr>
        <w:pStyle w:val="BookText"/>
        <w:rPr/>
      </w:pPr>
      <w:r>
        <w:rPr>
          <w:rFonts w:ascii="IRNazanin" w:hAnsi="IRNazanin" w:eastAsia="IRNazanin"/>
          <w:color w:val="111111"/>
          <w:sz w:val="28"/>
          <w:sz w:val="28"/>
          <w:szCs w:val="28"/>
          <w:rtl w:val="true"/>
          <w:lang w:bidi="fa-IR"/>
        </w:rPr>
        <w:t>چکیده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امتحان بزرگ، در زمان و مکان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پرده ها به کنار رفت و حقیقت و جوهره انسان ها برملا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دانشگاهی بزرگ برای همه اعصار است که واقعیت انسان بودن را در جنبه های مختلف ظلم ستیزی، آزادی طلبی و شکستن یوغ های غیر الهی و زمینی به بشریّت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ظهور حقیقت در آستانه سپیده دم خدایی تبلور پیدا می کند و نور امنیتِ شعاعِ آن از فراز تاریخ می گذرد و قرن ها را در می نوردد و تاریخ را می فشرد و هوای اندیشه انسان ها را تلالؤ می بخشد و حقیقت را بر جهازی از پرچم و قیام و شهادت ترسیم می سازد، مشاهده می کنیم که مرزها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روش تحلیلی به هویت های شش گانه، هویت های همراه، منتظر، تشنه، منتقم، پیرو و کور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هویت های شش گانه، مصونیت، مشروعیت، موجودیت</w:t>
      </w:r>
      <w:r>
        <w:rPr>
          <w:rFonts w:eastAsia="IRNazanin" w:cs="IRNazanin"/>
          <w:color w:val="111111"/>
          <w:sz w:val="28"/>
          <w:szCs w:val="28"/>
          <w:rtl w:val="true"/>
          <w:lang w:bidi="fa-IR"/>
        </w:rPr>
        <w:t xml:space="preserve">. </w:t>
      </w:r>
      <w:bookmarkStart w:id="196" w:name="pg8689_87548"/>
    </w:p>
    <w:p>
      <w:pPr>
        <w:pStyle w:val="Heading3"/>
        <w:numPr>
          <w:ilvl w:val="2"/>
          <w:numId w:val="1"/>
        </w:numPr>
        <w:rPr/>
      </w:pPr>
      <w:bookmarkStart w:id="197" w:name="__RefHeading___Toc2713146_653776707"/>
      <w:bookmarkStart w:id="198" w:name="_Toc73"/>
      <w:bookmarkEnd w:id="196"/>
      <w:bookmarkEnd w:id="197"/>
      <w:r>
        <w:rPr>
          <w:rtl w:val="true"/>
        </w:rPr>
        <w:t>مقدمه</w:t>
      </w:r>
      <w:bookmarkEnd w:id="198"/>
    </w:p>
    <w:p>
      <w:pPr>
        <w:pStyle w:val="BookText"/>
        <w:rPr/>
      </w:pPr>
      <w:r>
        <w:rPr>
          <w:rFonts w:ascii="IRNazanin" w:hAnsi="IRNazanin" w:eastAsia="IRNazanin"/>
          <w:color w:val="111111"/>
          <w:sz w:val="28"/>
          <w:sz w:val="28"/>
          <w:szCs w:val="28"/>
          <w:rtl w:val="true"/>
          <w:lang w:bidi="fa-IR"/>
        </w:rPr>
        <w:t>عاشورا امتحان بزرگ، در زمان و مکان خود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حدفاصلی بین دو دسته از آدم ها ایجاد شد؛ یک عده فرسنگ ها به جلو رفتند و از خاک تا ملکوت اوج گرفتند و عده ای دیگر سیر قهقرایی طی نموده و مصداق آیه اولئکَ کَالأنعامِ بَل هُم اَضَلّ</w:t>
      </w:r>
      <w:r>
        <w:rPr>
          <w:rStyle w:val="FootnoteAnchor"/>
          <w:rtl w:val="true"/>
        </w:rPr>
        <w:footnoteReference w:id="17"/>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وقتی لب به سخن می گشاید و محفل عاشقانه آن تعداد اندک را به تفسیر می نشیند، آنها را متصلان به حقیقت توصیف می کند؛ زیرا مقدمه یافتن حقیقت، واقع بینی و حقیقت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واقع جو نباشی، حقیقتی را درنخواهی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حقایق آشنا کرد، چون زمینه حقیقت جویی و واقع بینی را در آنها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انسان های واقع بین و حقیقت طلب هر چند اندک باشند به حد نصاب برسند، آن روز می شود از حقایق سخن گفت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آن حماسه عظیم و خصوصاً آن شب بزرگ تاریخ</w:t>
      </w:r>
      <w:r>
        <w:rPr>
          <w:rStyle w:val="FootnoteAnchor"/>
          <w:rtl w:val="true"/>
        </w:rPr>
        <w:footnoteReference w:id="19"/>
      </w:r>
      <w:r>
        <w:rPr>
          <w:rFonts w:ascii="IRNazanin" w:hAnsi="IRNazanin" w:eastAsia="IRNazanin"/>
          <w:color w:val="111111"/>
          <w:sz w:val="28"/>
          <w:sz w:val="28"/>
          <w:szCs w:val="28"/>
          <w:rtl w:val="true"/>
          <w:lang w:bidi="fa-IR"/>
        </w:rPr>
        <w:t>، عده ای در ساحل سپیده، تن شستند و در زیر بزرگترین محراب زمین، یعنی آسمان، نماز گذاردند و حماسه را اقامه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وصل به معبود بودند، آن روزبزرگ را رقم زدند، چون آن شب عظیم را پشت سرگذارده بودند چنان روزی 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بزرگ، محصول شب های بزرگ است و آنان که شب بزرگ نداشته باشند، روز بزرگ ندارند؛ چرا که انسان های بزرگ، توشه و توان خویش را از شب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انسان های بزرگ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زُهّادُ اللَیل وَ اُسُدُ النَهار؛</w:t>
      </w:r>
    </w:p>
    <w:p>
      <w:pPr>
        <w:pStyle w:val="BookText"/>
        <w:rPr/>
      </w:pPr>
      <w:r>
        <w:rPr>
          <w:rFonts w:ascii="IRNazanin" w:hAnsi="IRNazanin" w:eastAsia="IRNazanin"/>
          <w:color w:val="111111"/>
          <w:sz w:val="28"/>
          <w:sz w:val="28"/>
          <w:szCs w:val="28"/>
          <w:rtl w:val="true"/>
          <w:lang w:bidi="fa-IR"/>
        </w:rPr>
        <w:t>زاهدان شب و شیران روزند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سپیده دمان شیر باشد، یقیناً زهد شب را تجربه کرده است؛ کسی که </w:t>
      </w:r>
    </w:p>
    <w:p>
      <w:pPr>
        <w:pStyle w:val="BookText"/>
        <w:rPr/>
      </w:pPr>
      <w:r>
        <w:rPr>
          <w:rFonts w:ascii="IRNazanin" w:hAnsi="IRNazanin" w:eastAsia="IRNazanin"/>
          <w:color w:val="111111"/>
          <w:sz w:val="28"/>
          <w:sz w:val="28"/>
          <w:szCs w:val="28"/>
          <w:rtl w:val="true"/>
          <w:lang w:bidi="fa-IR"/>
        </w:rPr>
        <w:t>شبانگاهان شانه هایش بلرزد و میان خویش و معبود پل ارتباطی برقرار نماید، اشک در چشمانش بی قرار می گردد و شخص آسمانی می شود و زمین، آسمان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آدمی در کربلا برای عده ای اینگونه بود؛ چرا که در آن دگرگونی معنوی، مسیرهای سلوک را یک شبه طی کردند و از تن، جان، مال و دنیای فانی گذشته و دنیا را به سان یک منفذ و نه چشم انداز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اقتضای توحید، دل دادن به یک محبوب و یا حل شدن در یک امان را بطلبد و آن را وسیله رسیدن به محبوب اصلی، یعنی خدای تعالی قرار دهد، بینا می شود ولیکن کسی که شئون دنیایی و ارزش های مادی و زودگذر آن را هدف، قلمداد کند و آن را در عرض خدا قرار دهد، 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معنایی بود که در واقعه عاشورا، بین سپاهیان دو طرف، خود را به خوبی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واقعه و عاشقان دلداده با لمحه ای از نگاه دوست، بینایی یافتند که دارای سه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سه، افق های عارفانه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باز، انسان را محو جمال محبوب می کند و به قول حلاج در این افق فقط معشوق می ماند و بس؛ چرا که المَحَبَّهُ نارً تَحرِقُ ماسوی المحبوب</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افق دور، انسان فراتر از سطح موجود، ابعاد دورتر و وسیع تر را می بیند و جمال محبوب، او را در دنیای دیگر سیر می دهد و تا مرحله غرق در دریاهای خون، پیش می رود و این عشق عارفانه و ازلی به آرمان، عشق به هدف و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منصور حلاج به مرحله رَکعَتان فِی العِشقِ لا یَصِحَّ وُضوهُما اِلاَّ بالدَّمِ</w:t>
      </w:r>
      <w:r>
        <w:rPr>
          <w:rStyle w:val="FootnoteAnchor"/>
          <w:rtl w:val="true"/>
        </w:rPr>
        <w:footnoteReference w:id="21"/>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روشن، نوعی مکاشفه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احساس اتصال، ملاقات و چشم بصیرت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اوصاف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زیبایی از این افق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والجَنَّهُ کَمَن قَدرَآها فَهُم فِیها مُنَعَّمونَ و هُم و النَّارُ کَمَن قَدرَآها فَهُم فِیها مُعَذَّبون</w:t>
      </w:r>
      <w:r>
        <w:rPr>
          <w:rStyle w:val="FootnoteAnchor"/>
          <w:rtl w:val="true"/>
        </w:rPr>
        <w:footnoteReference w:id="22"/>
      </w:r>
      <w:r>
        <w:rPr>
          <w:rFonts w:ascii="IRNazanin" w:hAnsi="IRNazanin" w:eastAsia="IRNazanin"/>
          <w:color w:val="111111"/>
          <w:sz w:val="28"/>
          <w:sz w:val="28"/>
          <w:szCs w:val="28"/>
          <w:rtl w:val="true"/>
          <w:lang w:bidi="fa-IR"/>
        </w:rPr>
        <w:t xml:space="preserve">بهشت برای آنان چنان است که گویی آن را دیده و در نعمت های آن به </w:t>
      </w:r>
      <w:bookmarkStart w:id="199" w:name="pg8689_87550"/>
    </w:p>
    <w:p>
      <w:pPr>
        <w:pStyle w:val="BookText"/>
        <w:rPr/>
      </w:pPr>
      <w:bookmarkEnd w:id="199"/>
      <w:r>
        <w:rPr>
          <w:rFonts w:ascii="IRNazanin" w:hAnsi="IRNazanin" w:eastAsia="IRNazanin"/>
          <w:color w:val="111111"/>
          <w:sz w:val="28"/>
          <w:sz w:val="28"/>
          <w:szCs w:val="28"/>
          <w:rtl w:val="true"/>
          <w:lang w:bidi="fa-IR"/>
        </w:rPr>
        <w:t>سر می برند و جهنم را چنان باور دارند و می بینند که گویی آن را دیده و در عذابش گرفتارند</w:t>
      </w:r>
      <w:r>
        <w:rPr>
          <w:rFonts w:eastAsia="IRNazanin" w:cs="IRNazanin"/>
          <w:color w:val="111111"/>
          <w:sz w:val="28"/>
          <w:szCs w:val="28"/>
          <w:rtl w:val="true"/>
          <w:lang w:bidi="fa-IR"/>
        </w:rPr>
        <w:t>.</w:t>
      </w:r>
    </w:p>
    <w:p>
      <w:pPr>
        <w:pStyle w:val="Heading3"/>
        <w:numPr>
          <w:ilvl w:val="2"/>
          <w:numId w:val="1"/>
        </w:numPr>
        <w:rPr/>
      </w:pPr>
      <w:bookmarkStart w:id="200" w:name="__RefHeading___Toc2713148_653776707"/>
      <w:bookmarkStart w:id="201" w:name="_Toc74"/>
      <w:bookmarkEnd w:id="200"/>
      <w:r>
        <w:rPr>
          <w:rtl w:val="true"/>
        </w:rPr>
        <w:t xml:space="preserve">حسین </w:t>
      </w:r>
      <w:r>
        <w:rPr>
          <w:rtl w:val="true"/>
        </w:rPr>
        <w:t>(</w:t>
      </w:r>
      <w:r>
        <w:rPr>
          <w:rtl w:val="true"/>
        </w:rPr>
        <w:t>علیه السلام</w:t>
      </w:r>
      <w:r>
        <w:rPr>
          <w:rtl w:val="true"/>
        </w:rPr>
        <w:t xml:space="preserve">) </w:t>
      </w:r>
      <w:r>
        <w:rPr>
          <w:rtl w:val="true"/>
        </w:rPr>
        <w:t>معلّم تمام انسان ها</w:t>
      </w:r>
      <w:bookmarkEnd w:id="201"/>
    </w:p>
    <w:p>
      <w:pPr>
        <w:pStyle w:val="Heading4"/>
        <w:numPr>
          <w:ilvl w:val="3"/>
          <w:numId w:val="1"/>
        </w:numPr>
        <w:rPr/>
      </w:pPr>
      <w:bookmarkStart w:id="202" w:name="__RefHeading___Toc2713150_653776707"/>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وقتی حقیقت آدمی و آرمان اصیل او که خلیفه اللهی است ظهور کند، یک الگوی تمام عیار برای کسانی می شود که بخواهند مسیر آرمان سازی را طی کنند؛ خواه مسلمان یا غیر مسلمان برای آنان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اعجاب بزرگ را در حماسه کربلا به خوبی شاهد هستیم، با آن که فرعونیاناجساد خندان آیینه ها را به ظاهر شکستند، همچنان پس از قرن ها، زبان منصف بعضی مستشرقان از آن الهام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الهام گرفتن، چیزی جز ظهور حقیقت انسان به عنوان جانشین محبوب نیست و این درس بزرگ را در قالب یک حماسه عظیم، مولا به انسان ها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کربلا یک دانشگاه بزرگ است، شاید در حق کربلا و حماسه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اجحاف کرده باشیم؛ بلکه باید گفت دانشگاهی بزرگ برای همه اعصار که واقعیت انسان بودن انسان را در جنبه های مختلف ظلم ستیزی، آزادی طلبی و شکستن یوغ های غیر الهی و زمینی به بشریّت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عظیم انسانی به حدی است که در نگاه مستشرقان، بعد از قرآن و مراسم عظیم حج، پایه و اساس قدرت مسلمانان به شمار می آید، چنانچه در کلام وینستون از مستشرقان غربی به این واقعیّت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مادامی که مسلمانان قرآنی داشته باشند که تلاوت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ای که مراسم آن با انسجام و همدلی صورت گیرد و حسینی که یاد شود، هیچ کس قدرت تسلط و سیطره را بر آنان نخواهد داشت</w:t>
      </w:r>
      <w:r>
        <w:rPr>
          <w:rFonts w:eastAsia="IRNazanin" w:cs="IRNazanin"/>
          <w:color w:val="111111"/>
          <w:sz w:val="28"/>
          <w:szCs w:val="28"/>
          <w:rtl w:val="true"/>
          <w:lang w:bidi="fa-IR"/>
        </w:rPr>
        <w:t>.</w:t>
      </w:r>
      <w:r>
        <w:rPr>
          <w:rStyle w:val="FootnoteAnchor"/>
          <w:rtl w:val="true"/>
        </w:rPr>
        <w:footnoteReference w:id="2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منشور انقلاب خویش، بعد از اینکه با نظریه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انگلیس استعمارگر را در هندوستان زمین گیر می کند و اقتصاد آن گرگ پیر </w:t>
      </w:r>
      <w:bookmarkStart w:id="204" w:name="pg8689_87551"/>
    </w:p>
    <w:p>
      <w:pPr>
        <w:pStyle w:val="BookText"/>
        <w:rPr/>
      </w:pPr>
      <w:bookmarkEnd w:id="204"/>
      <w:r>
        <w:rPr>
          <w:rFonts w:ascii="IRNazanin" w:hAnsi="IRNazanin" w:eastAsia="IRNazanin"/>
          <w:color w:val="111111"/>
          <w:sz w:val="28"/>
          <w:sz w:val="28"/>
          <w:szCs w:val="28"/>
          <w:rtl w:val="true"/>
          <w:lang w:bidi="fa-IR"/>
        </w:rPr>
        <w:t>را به مخاطره می اندازد، اعلام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منهیچ گونه الگو و روشی از هیچ کس در دنیا برای شکست استعمار پیر برنگزیدم مگر از حسین شیعه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لذا وقتی ظهور حقیقت در آستان سپیده دم خدایی تبلور پیدا می کند و نور امنیتِ شعاعِ آن از فراز تاریخ می گذرد و قرن ها را در می نوردد و تاریخ را می فشرد و هوای اندیشه انسان ها را تلالؤ می بخشد و حقیقت را بر جهازی از پرچم و قیام و شهادت ترسیم می سازد، مشاهده می کنیم که مرزها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وینستون مستشرق، آن را حقیقتی انکارناپذیر جهت منع سلطه بر مسلمانان می شمرد و یاد حسین را قرنطینه ای بر ضد سلطه گری بر پیروانش به شمار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بولس سلامه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قیام، شکوه و عظمت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آورد تا ثابت کند هر ملتی که دنبال استقلال طلبی و رهایی است، باید ملاکش عملکرد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25"/>
      </w:r>
      <w:r>
        <w:rPr>
          <w:rFonts w:ascii="IRNazanin" w:hAnsi="IRNazanin" w:eastAsia="IRNazanin"/>
          <w:color w:val="111111"/>
          <w:sz w:val="28"/>
          <w:sz w:val="28"/>
          <w:szCs w:val="28"/>
          <w:rtl w:val="true"/>
          <w:lang w:bidi="fa-IR"/>
        </w:rPr>
        <w:t xml:space="preserve">و گاندی غیر مسلمان نیز قیام خویش را وامدار درس مولا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بُعد را می توان در یک مثلثی، ترسیم کرد که اضلاع آن بیانگر تاثیر قیام مولا اباعبد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5" w:name="__RefHeading___Toc2713152_653776707"/>
      <w:bookmarkStart w:id="206" w:name="_Toc76"/>
      <w:bookmarkEnd w:id="205"/>
      <w:r>
        <w:rPr/>
        <w:t>1</w:t>
      </w:r>
      <w:r>
        <w:rPr>
          <w:rtl w:val="true"/>
        </w:rPr>
        <w:t>-</w:t>
      </w:r>
      <w:r>
        <w:rPr>
          <w:rtl w:val="true"/>
        </w:rPr>
        <w:t>بُعد مصونیت</w:t>
      </w:r>
      <w:bookmarkEnd w:id="2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و تکریم واقعه طف و جانبازی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وفادارش مصونیت سیاسی، فرهنگی و اجتماعی مسلمانان را تضمین کرده و همسان تلاوت قرآن و مراسم حج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حدیث ثقلین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خصوص گویاترین است؛ چرا که تمسک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وتوسل به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شجره طیبه است، مصونیت مسلمانان را از هر خطر به همراه دارد و شاید یکی از علل ذلیل شدن بعضی ممالک اسلامی در قبال توطئه ها، کینه ها و فتنه ها، عدم رویکرد درست به قرآن و دوری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اکتفا به مراسم صوری حج است</w:t>
      </w:r>
      <w:r>
        <w:rPr>
          <w:rFonts w:eastAsia="IRNazanin" w:cs="IRNazanin"/>
          <w:color w:val="111111"/>
          <w:sz w:val="28"/>
          <w:szCs w:val="28"/>
          <w:rtl w:val="true"/>
          <w:lang w:bidi="fa-IR"/>
        </w:rPr>
        <w:t xml:space="preserve">. </w:t>
      </w:r>
      <w:bookmarkStart w:id="207" w:name="pg8689_87552"/>
    </w:p>
    <w:p>
      <w:pPr>
        <w:pStyle w:val="Heading4"/>
        <w:numPr>
          <w:ilvl w:val="3"/>
          <w:numId w:val="1"/>
        </w:numPr>
        <w:rPr/>
      </w:pPr>
      <w:bookmarkStart w:id="208" w:name="__RefHeading___Toc2713154_653776707"/>
      <w:bookmarkStart w:id="209" w:name="_Toc77"/>
      <w:bookmarkEnd w:id="207"/>
      <w:bookmarkEnd w:id="208"/>
      <w:r>
        <w:rPr/>
        <w:t>2</w:t>
      </w:r>
      <w:r>
        <w:rPr>
          <w:rtl w:val="true"/>
        </w:rPr>
        <w:t xml:space="preserve">- </w:t>
      </w:r>
      <w:r>
        <w:rPr>
          <w:rtl w:val="true"/>
        </w:rPr>
        <w:t>بُعد موجودیت و احساس حضور</w:t>
      </w:r>
      <w:bookmarkEnd w:id="209"/>
    </w:p>
    <w:p>
      <w:pPr>
        <w:pStyle w:val="BookText"/>
        <w:rPr/>
      </w:pPr>
      <w:r>
        <w:rPr>
          <w:rFonts w:ascii="IRNazanin" w:hAnsi="IRNazanin" w:eastAsia="IRNazanin"/>
          <w:color w:val="111111"/>
          <w:sz w:val="28"/>
          <w:sz w:val="28"/>
          <w:szCs w:val="28"/>
          <w:rtl w:val="true"/>
          <w:lang w:bidi="fa-IR"/>
        </w:rPr>
        <w:t xml:space="preserve">ملتی که پایگاه واقعی خود را طلب کند و در پی کسب جایگاه شایسته و بایسته خویش باشد، با تمسک به آرمان مولا اباعبد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راه را برافروخته، پرچم مبارزه را افراشته و موجودیت خود را اعلام می دارد</w:t>
      </w:r>
      <w:r>
        <w:rPr>
          <w:rFonts w:eastAsia="IRNazanin" w:cs="IRNazanin"/>
          <w:color w:val="111111"/>
          <w:sz w:val="28"/>
          <w:szCs w:val="28"/>
          <w:rtl w:val="true"/>
          <w:lang w:bidi="fa-IR"/>
        </w:rPr>
        <w:t>.</w:t>
      </w:r>
    </w:p>
    <w:p>
      <w:pPr>
        <w:pStyle w:val="Heading4"/>
        <w:numPr>
          <w:ilvl w:val="3"/>
          <w:numId w:val="1"/>
        </w:numPr>
        <w:rPr/>
      </w:pPr>
      <w:bookmarkStart w:id="210" w:name="__RefHeading___Toc2713156_653776707"/>
      <w:bookmarkStart w:id="211" w:name="_Toc78"/>
      <w:bookmarkEnd w:id="210"/>
      <w:r>
        <w:rPr/>
        <w:t>3</w:t>
      </w:r>
      <w:r>
        <w:rPr>
          <w:rtl w:val="true"/>
        </w:rPr>
        <w:t xml:space="preserve">- </w:t>
      </w:r>
      <w:r>
        <w:rPr>
          <w:rtl w:val="true"/>
        </w:rPr>
        <w:t>بُعد مشروعیت</w:t>
      </w:r>
      <w:bookmarkEnd w:id="211"/>
    </w:p>
    <w:p>
      <w:pPr>
        <w:pStyle w:val="BookText"/>
        <w:rPr/>
      </w:pPr>
      <w:r>
        <w:rPr>
          <w:rFonts w:ascii="IRNazanin" w:hAnsi="IRNazanin" w:eastAsia="IRNazanin"/>
          <w:color w:val="111111"/>
          <w:sz w:val="28"/>
          <w:sz w:val="28"/>
          <w:szCs w:val="28"/>
          <w:rtl w:val="true"/>
          <w:lang w:bidi="fa-IR"/>
        </w:rPr>
        <w:t xml:space="preserve">ایده گرفتن از انگیزه ظلم ستیزی و حق طلبی قیام مولا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مشروعیت قیام ها و مبارزات حق طلبانه است؛ چرا که تنها در این راه است که فریاد سلطه ستیزی به وسعت همه تاریخ طنین انداز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گاندی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می تواند زیباترین تابلوی حماسه و بهترین الگوی مبارزه با استعمار باشد</w:t>
      </w:r>
      <w:r>
        <w:rPr>
          <w:rFonts w:eastAsia="IRNazanin" w:cs="IRNazanin"/>
          <w:color w:val="111111"/>
          <w:sz w:val="28"/>
          <w:szCs w:val="28"/>
          <w:rtl w:val="true"/>
          <w:lang w:bidi="fa-IR"/>
        </w:rPr>
        <w:t>».</w:t>
      </w:r>
    </w:p>
    <w:p>
      <w:pPr>
        <w:pStyle w:val="Heading3"/>
        <w:numPr>
          <w:ilvl w:val="2"/>
          <w:numId w:val="1"/>
        </w:numPr>
        <w:rPr/>
      </w:pPr>
      <w:bookmarkStart w:id="212" w:name="__RefHeading___Toc2713158_653776707"/>
      <w:bookmarkStart w:id="213" w:name="_Toc79"/>
      <w:bookmarkEnd w:id="212"/>
      <w:r>
        <w:rPr>
          <w:rtl w:val="true"/>
        </w:rPr>
        <w:t>ظهور جوهره ها در کربلا</w:t>
      </w:r>
      <w:bookmarkEnd w:id="213"/>
    </w:p>
    <w:p>
      <w:pPr>
        <w:pStyle w:val="Heading4"/>
        <w:numPr>
          <w:ilvl w:val="3"/>
          <w:numId w:val="1"/>
        </w:numPr>
        <w:rPr/>
      </w:pPr>
      <w:bookmarkStart w:id="214" w:name="__RefHeading___Toc2713160_653776707"/>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از منظر روان شناسان، انسان ها هر یک دارای خصائص و ویژگی های فردی متمایز و مشترک هستند؛ اما عین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ویژگی، دگرگونی روزگار را تمثیل زده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تَقَلَّبُ الأحوالِ عُلِمَ جَواهِرُ الرجالِ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با سنجیدن نوع تعامل جوهره ها با حقیقت مطلق می توان آنها را به دسته های زیر تقسیم کرد</w:t>
      </w:r>
      <w:r>
        <w:rPr>
          <w:rFonts w:eastAsia="IRNazanin" w:cs="IRNazanin"/>
          <w:color w:val="111111"/>
          <w:sz w:val="28"/>
          <w:szCs w:val="28"/>
          <w:rtl w:val="true"/>
          <w:lang w:bidi="fa-IR"/>
        </w:rPr>
        <w:t>:</w:t>
      </w:r>
    </w:p>
    <w:p>
      <w:pPr>
        <w:pStyle w:val="Heading4"/>
        <w:numPr>
          <w:ilvl w:val="3"/>
          <w:numId w:val="1"/>
        </w:numPr>
        <w:rPr/>
      </w:pPr>
      <w:bookmarkStart w:id="216" w:name="__RefHeading___Toc2713162_653776707"/>
      <w:bookmarkStart w:id="217" w:name="_Toc81"/>
      <w:bookmarkEnd w:id="216"/>
      <w:r>
        <w:rPr/>
        <w:t>1</w:t>
      </w:r>
      <w:r>
        <w:rPr>
          <w:rtl w:val="true"/>
        </w:rPr>
        <w:t xml:space="preserve">- </w:t>
      </w:r>
      <w:r>
        <w:rPr>
          <w:rtl w:val="true"/>
        </w:rPr>
        <w:t>هویت همراه</w:t>
      </w:r>
      <w:bookmarkEnd w:id="217"/>
    </w:p>
    <w:p>
      <w:pPr>
        <w:pStyle w:val="BookText"/>
        <w:rPr/>
      </w:pPr>
      <w:r>
        <w:rPr>
          <w:rFonts w:ascii="IRNazanin" w:hAnsi="IRNazanin" w:eastAsia="IRNazanin"/>
          <w:color w:val="111111"/>
          <w:sz w:val="28"/>
          <w:sz w:val="28"/>
          <w:szCs w:val="28"/>
          <w:rtl w:val="true"/>
          <w:lang w:bidi="fa-IR"/>
        </w:rPr>
        <w:t xml:space="preserve">افرادی که به محض شنیدن ندا، همراه با منادی می شوند؛ به سان همراهانی که از مکّه تا بزرگترین قربانگاه تاریخ، یعنی کربلا،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رود زلال 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ابدی و ماندگار آن را می توان در بسیاری از کتاب های تاریخی و تحلیلی این واقعه مشاهده 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قوانین نظامی و جنگی، یک فرمانده به این مسئله توجه دارد که اگر تعداد افراد دشمن و وسایل نظامی آنها بیشتر از افراد خودی باشد، این مساله را به افراد خود نگوید تا </w:t>
      </w:r>
      <w:bookmarkStart w:id="218" w:name="pg8689_87553"/>
    </w:p>
    <w:p>
      <w:pPr>
        <w:pStyle w:val="BookText"/>
        <w:rPr/>
      </w:pPr>
      <w:bookmarkEnd w:id="218"/>
      <w:r>
        <w:rPr>
          <w:rFonts w:ascii="IRNazanin" w:hAnsi="IRNazanin" w:eastAsia="IRNazanin"/>
          <w:color w:val="111111"/>
          <w:sz w:val="28"/>
          <w:sz w:val="28"/>
          <w:szCs w:val="28"/>
          <w:rtl w:val="true"/>
          <w:lang w:bidi="fa-IR"/>
        </w:rPr>
        <w:t>روحیه آنها ضعیف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روحیه سربازان خود را تقویت می نماید و قدرت دشمن را ضعیف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حقیر و ضعیف می شمارد تا روحیه سربازانش تقویت شود و خود را نبازد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عمل نکرد، بلکه در شب عاشورا یاران خود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سرزمین بمانید و نروید، فردا پیش از غروب آفتاب حتی یک نفر از شما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حتی خبر قطعی شهادت آنان را صریحاً اعلام نمود؛ اما روحیه آنها نه تنها ضعیف نشد بلکه غرق شعف و شادی گشته و گفتد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پایان فراق و آغاز اوج گرفتن و فرا رسیدن هنگامه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پرده شب بدرد و تمام شود، زیرا فاصله ما با معبود یک شمشیر است و ای کاش این شمشیر فرود آید و ما را به آن عشق ازلی متصل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کشته خواهی شد و از او می خواهدکه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اللیلَ هجیرٌ و الوقتُ سکیرٌ و الطریقُ غیرُ خطیرٍ</w:t>
      </w:r>
      <w:r>
        <w:rPr>
          <w:rStyle w:val="FootnoteAnchor"/>
          <w:rtl w:val="true"/>
        </w:rPr>
        <w:footnoteReference w:id="27"/>
      </w:r>
      <w:r>
        <w:rPr>
          <w:rFonts w:ascii="IRNazanin" w:hAnsi="IRNazanin" w:eastAsia="IRNazanin"/>
          <w:color w:val="111111"/>
          <w:sz w:val="28"/>
          <w:sz w:val="28"/>
          <w:szCs w:val="28"/>
          <w:rtl w:val="true"/>
          <w:lang w:bidi="fa-IR"/>
        </w:rPr>
        <w:t>اگر مایل باشد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شما، زنده ماندن ما قیمت و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اگر تو را رها کنیم و برویم باید روز قیامت، با هر بر هم زدن پلک چشم در محضر خدا و رسول او پاسخ بدهیم</w:t>
      </w:r>
      <w:r>
        <w:rPr>
          <w:rStyle w:val="FootnoteAnchor"/>
          <w:rtl w:val="true"/>
        </w:rPr>
        <w:footnoteReference w:id="28"/>
      </w:r>
      <w:r>
        <w:rPr>
          <w:rFonts w:ascii="IRNazanin" w:hAnsi="IRNazanin" w:eastAsia="IRNazanin"/>
          <w:color w:val="111111"/>
          <w:sz w:val="28"/>
          <w:sz w:val="28"/>
          <w:szCs w:val="28"/>
          <w:rtl w:val="true"/>
          <w:lang w:bidi="fa-IR"/>
        </w:rPr>
        <w:t>گویا دیگر عبادت ما عبادت نیست و نماز و روزه ما نماز و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هویت های همراه می توان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کلثوم، رباب،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زینب، فرزندان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عبدالله عثمان و جعفر نام برد که سخنان هر کدام از آنها تا ابدیت تاریخ و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بر گونه اساطیر و مشعلی مستدام تا فراختای تحلیل ها نقش خواهد بست</w:t>
      </w:r>
      <w:r>
        <w:rPr>
          <w:rFonts w:eastAsia="IRNazanin" w:cs="IRNazanin"/>
          <w:color w:val="111111"/>
          <w:sz w:val="28"/>
          <w:szCs w:val="28"/>
          <w:rtl w:val="true"/>
          <w:lang w:bidi="fa-IR"/>
        </w:rPr>
        <w:t>.</w:t>
      </w:r>
    </w:p>
    <w:p>
      <w:pPr>
        <w:pStyle w:val="Heading4"/>
        <w:numPr>
          <w:ilvl w:val="3"/>
          <w:numId w:val="1"/>
        </w:numPr>
        <w:rPr/>
      </w:pPr>
      <w:bookmarkStart w:id="219" w:name="__RefHeading___Toc2713164_653776707"/>
      <w:bookmarkStart w:id="220" w:name="_Toc82"/>
      <w:bookmarkEnd w:id="219"/>
      <w:r>
        <w:rPr/>
        <w:t>2</w:t>
      </w:r>
      <w:r>
        <w:rPr>
          <w:rtl w:val="true"/>
        </w:rPr>
        <w:t>-</w:t>
      </w:r>
      <w:r>
        <w:rPr>
          <w:rtl w:val="true"/>
        </w:rPr>
        <w:t>هویت منتظر</w:t>
      </w:r>
      <w:bookmarkEnd w:id="2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جوهره دیگری که در کربلا خود را نشان داد، هویت منتظر و مترصد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اطراف و اکناف منتظر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مسیرهای مختلف از مکه، ذات عرق، حاجز، خزیمیه، زرود، تعلبیه، بطق عقبه، شراف، ذو جسم، بیضه، عذیب الهجانات، قصر بنی </w:t>
      </w:r>
      <w:bookmarkStart w:id="221" w:name="pg8689_87554"/>
    </w:p>
    <w:p>
      <w:pPr>
        <w:pStyle w:val="BookText"/>
        <w:rPr/>
      </w:pPr>
      <w:bookmarkEnd w:id="221"/>
      <w:r>
        <w:rPr>
          <w:rFonts w:ascii="IRNazanin" w:hAnsi="IRNazanin" w:eastAsia="IRNazanin"/>
          <w:color w:val="111111"/>
          <w:sz w:val="28"/>
          <w:sz w:val="28"/>
          <w:szCs w:val="28"/>
          <w:rtl w:val="true"/>
          <w:lang w:bidi="fa-IR"/>
        </w:rPr>
        <w:t xml:space="preserve">مقاتل و کوفه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آغاز راه را می شناختند و همراه را ارج می نهادند و در پی اتصال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آنها نافع بن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اشراف کوفه، قاری قرآن و راوی حدیث بود؛ سرداری بزرگ که در رکاب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صفین، جمل و نهروان جانبازی ها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از خیمه بیرون آمد تاصحرا و تپه های اطراف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هم از خیمه بیرون آمده بود و حضرت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همراه من می آیی؟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دیدم شما به طرف سپاه دشمن می روید، بر جان شما بیمناک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صحرا را بررسی می کردم تا ببینم فردا دشمن از کجا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خم شدید و در روی زمین در جستجوی چه هستید؟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خارهایی را که دور خیمه هاست جمع می کردم تا کودکانم که فردا بی من و شما بین خیمه های سوخته و لهیب آتش و شلاق این طرف و آن طرف خواهند دوید در حالی که خوارهای غم و اندوه در دلشان ریشه دوانده، پاهایشان اندکی از خارهای این بیابان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می گوید بسیار متأثر شدم و با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در حالی که دست چپ من در دست حضرت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است که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شب از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میان دو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خودت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قدم های حضرت افکندم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مادرم در عزایم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و تو را رها نمایم، پروردگار جهان بر من منت نهاده که در کنار شما به شهادت برسم</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222" w:name="__RefHeading___Toc2713166_653776707"/>
      <w:bookmarkStart w:id="223" w:name="_Toc83"/>
      <w:bookmarkEnd w:id="222"/>
      <w:r>
        <w:rPr/>
        <w:t>3</w:t>
      </w:r>
      <w:r>
        <w:rPr>
          <w:rtl w:val="true"/>
        </w:rPr>
        <w:t xml:space="preserve">- </w:t>
      </w:r>
      <w:r>
        <w:rPr>
          <w:rtl w:val="true"/>
        </w:rPr>
        <w:t>هویت تشنه</w:t>
      </w:r>
      <w:bookmarkEnd w:id="2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دیگری که در حماسه سراسر عارفانه کربلا خود را نشان داد، هویت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بعضی از افراد تشنه است ولیکن در آغاز دارای هدفروشنی نیستند، باید آگاه شوند و سپس سیراب گردند تا به یقین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پیام، یک حرکت و یا یک تذکر</w:t>
      </w:r>
      <w:r>
        <w:rPr>
          <w:rStyle w:val="FootnoteAnchor"/>
          <w:rtl w:val="true"/>
        </w:rPr>
        <w:footnoteReference w:id="30"/>
      </w:r>
      <w:bookmarkStart w:id="224" w:name="pg8689_87555"/>
    </w:p>
    <w:p>
      <w:pPr>
        <w:pStyle w:val="BookText"/>
        <w:rPr/>
      </w:pPr>
      <w:bookmarkEnd w:id="224"/>
      <w:r>
        <w:rPr>
          <w:rFonts w:ascii="IRNazanin" w:hAnsi="IRNazanin" w:eastAsia="IRNazanin"/>
          <w:color w:val="111111"/>
          <w:sz w:val="28"/>
          <w:sz w:val="28"/>
          <w:szCs w:val="28"/>
          <w:rtl w:val="true"/>
          <w:lang w:bidi="fa-IR"/>
        </w:rPr>
        <w:t>در شرایطی مناسب آنها را با هدف و آرمان، همسو و همساز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این ویژگی در کربلا در خصوص افرادی چون حُر و زهیر بن قین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تاریخ، زهیر حتی با منازل مسیر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تا کربلا، فاصله ای از جهت طی طریق و اطراق نداشت؛ اما در آ غاز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 گرفت و از دیدار با حضرتش دوری می گزید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عَلی دینِ عُثمانَ و هُوَ عَلی دینِ أبیه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آنگاه که مقدمات اتصال او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تشویق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عمرو فراهم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ایشان آمد و دقایقی با ایشان صحبت کرد، تحولی عجیب و شگرف در روحیه او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دریا به تلاطم افتاد و از فداکارترین یاران حقیقت طلب در واقعه عاشورا شد</w:t>
      </w:r>
      <w:r>
        <w:rPr>
          <w:rFonts w:eastAsia="IRNazanin" w:cs="IRNazanin"/>
          <w:color w:val="111111"/>
          <w:sz w:val="28"/>
          <w:szCs w:val="28"/>
          <w:rtl w:val="true"/>
          <w:lang w:bidi="fa-IR"/>
        </w:rPr>
        <w:t>.</w:t>
      </w:r>
    </w:p>
    <w:p>
      <w:pPr>
        <w:pStyle w:val="Heading4"/>
        <w:numPr>
          <w:ilvl w:val="3"/>
          <w:numId w:val="1"/>
        </w:numPr>
        <w:rPr/>
      </w:pPr>
      <w:bookmarkStart w:id="225" w:name="__RefHeading___Toc2713168_653776707"/>
      <w:bookmarkStart w:id="226" w:name="_Toc84"/>
      <w:bookmarkEnd w:id="225"/>
      <w:r>
        <w:rPr/>
        <w:t>4</w:t>
      </w:r>
      <w:r>
        <w:rPr>
          <w:rtl w:val="true"/>
        </w:rPr>
        <w:t>-</w:t>
      </w:r>
      <w:r>
        <w:rPr>
          <w:rtl w:val="true"/>
        </w:rPr>
        <w:t>هویت منتقم</w:t>
      </w:r>
      <w:bookmarkEnd w:id="226"/>
    </w:p>
    <w:p>
      <w:pPr>
        <w:pStyle w:val="BookText"/>
        <w:rPr/>
      </w:pPr>
      <w:r>
        <w:rPr>
          <w:rFonts w:ascii="IRNazanin" w:hAnsi="IRNazanin" w:eastAsia="IRNazanin"/>
          <w:color w:val="111111"/>
          <w:sz w:val="28"/>
          <w:sz w:val="28"/>
          <w:szCs w:val="28"/>
          <w:rtl w:val="true"/>
          <w:lang w:bidi="fa-IR"/>
        </w:rPr>
        <w:t>این نوع هویت شامل افرادی است که بنا به عللی از حضور در متن واقعه معذور بودند، اما بعد از رویداد عاشورا به عنوان نیروی معارض یا قدرت پنهان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در زمان واقعه یا بحبوحه انقلاب و اتفاقات امکان حضور نداشتند، اما اشتیاق حضور را در دل داشتند و بعد از واقعه، مثل آتشفشانی که خاموش بود،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قیام های پس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مانند قیام مختار ثقفی، قیام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شهدای فخّ و امثال آن است</w:t>
      </w:r>
      <w:r>
        <w:rPr>
          <w:rFonts w:eastAsia="IRNazanin" w:cs="IRNazanin"/>
          <w:color w:val="111111"/>
          <w:sz w:val="28"/>
          <w:szCs w:val="28"/>
          <w:rtl w:val="true"/>
          <w:lang w:bidi="fa-IR"/>
        </w:rPr>
        <w:t>.</w:t>
      </w:r>
    </w:p>
    <w:p>
      <w:pPr>
        <w:pStyle w:val="Heading4"/>
        <w:numPr>
          <w:ilvl w:val="3"/>
          <w:numId w:val="1"/>
        </w:numPr>
        <w:rPr/>
      </w:pPr>
      <w:bookmarkStart w:id="227" w:name="__RefHeading___Toc2713170_653776707"/>
      <w:bookmarkStart w:id="228" w:name="_Toc85"/>
      <w:bookmarkEnd w:id="227"/>
      <w:r>
        <w:rPr/>
        <w:t>5</w:t>
      </w:r>
      <w:r>
        <w:rPr>
          <w:rtl w:val="true"/>
        </w:rPr>
        <w:t>-</w:t>
      </w:r>
      <w:r>
        <w:rPr>
          <w:rtl w:val="true"/>
        </w:rPr>
        <w:t>هویت پیرو، عاشق و مرید</w:t>
      </w:r>
      <w:bookmarkEnd w:id="22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هویت یا واقعیت نهادینه انسانی، شامل افرادی است که سال ها بعد از یک جریان یا واقعه تاریخی زاده می شوند؛ امّا از لابلای نقل ها و تاریخ، حقیقت را می شناسند و به آن ارادت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عشق را درونی کرده و همواره با شجاعت از آن یاد می کنند و به صورت پیرو و عاشق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آتشین به آن حقیقت دیرین، همه وجوه زندگی، حتی اخلاق و رفتار آنها را همجنس و همسو با آن حقیقت می کند؛ به طوری که آنان تشبه و تمثل به آن را جستجو می کنند؛ مانند بسیاری از مریدان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 یا شیعیان معاصر و مخلص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w:t>
      </w:r>
      <w:bookmarkStart w:id="229" w:name="pg8689_87556"/>
    </w:p>
    <w:p>
      <w:pPr>
        <w:pStyle w:val="BookText"/>
        <w:rPr/>
      </w:pPr>
      <w:bookmarkEnd w:id="229"/>
      <w:r>
        <w:rPr>
          <w:rFonts w:ascii="IRNazanin" w:hAnsi="IRNazanin" w:eastAsia="IRNazanin"/>
          <w:color w:val="111111"/>
          <w:sz w:val="28"/>
          <w:sz w:val="28"/>
          <w:szCs w:val="28"/>
          <w:rtl w:val="true"/>
          <w:lang w:bidi="fa-IR"/>
        </w:rPr>
        <w:t>در پیروی شاخص بودند و هم در عشق، پایدار و هم مرید جاودانی راه مولا به شمار می روند</w:t>
      </w:r>
      <w:r>
        <w:rPr>
          <w:rFonts w:eastAsia="IRNazanin" w:cs="IRNazanin"/>
          <w:color w:val="111111"/>
          <w:sz w:val="28"/>
          <w:szCs w:val="28"/>
          <w:rtl w:val="true"/>
          <w:lang w:bidi="fa-IR"/>
        </w:rPr>
        <w:t>.</w:t>
      </w:r>
    </w:p>
    <w:p>
      <w:pPr>
        <w:pStyle w:val="Heading4"/>
        <w:numPr>
          <w:ilvl w:val="3"/>
          <w:numId w:val="1"/>
        </w:numPr>
        <w:rPr/>
      </w:pPr>
      <w:bookmarkStart w:id="230" w:name="__RefHeading___Toc2713172_653776707"/>
      <w:bookmarkStart w:id="231" w:name="_Toc86"/>
      <w:bookmarkEnd w:id="230"/>
      <w:r>
        <w:rPr/>
        <w:t>6</w:t>
      </w:r>
      <w:r>
        <w:rPr>
          <w:rtl w:val="true"/>
        </w:rPr>
        <w:t xml:space="preserve">- </w:t>
      </w:r>
      <w:r>
        <w:rPr>
          <w:rtl w:val="true"/>
        </w:rPr>
        <w:t>هویت کور</w:t>
      </w:r>
      <w:bookmarkEnd w:id="231"/>
    </w:p>
    <w:p>
      <w:pPr>
        <w:pStyle w:val="BookText"/>
        <w:rPr/>
      </w:pPr>
      <w:r>
        <w:rPr>
          <w:rFonts w:ascii="IRNazanin" w:hAnsi="IRNazanin" w:eastAsia="IRNazanin"/>
          <w:color w:val="111111"/>
          <w:sz w:val="28"/>
          <w:sz w:val="28"/>
          <w:szCs w:val="28"/>
          <w:rtl w:val="true"/>
          <w:lang w:bidi="fa-IR"/>
        </w:rPr>
        <w:t>این هویت شامل آن دسته از افرادی است که چراغ را می بینند، اما تاریکی را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می بینند ولی بیراهه را می پیمایند و جالب اینکه این حقیقت و تبلور آن در هیئت انسانی، هم در زمان واقعه، هم در اوج رویداد و هم پس از آن و حتی قرن ها بعد از آن همواره سطحی و نارسا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کوفه و شام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شهری است که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سعدبن وقاص در جریان تصرف ایران ساخته شد، لذا نوعی شهر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جمل به وسیله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پایتخت برگزیده شد و اکثریت مردم آن را یمانیان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خصوص کوفیان قابل ذکر است آنکه؛ بسیاری از آنان دارای فرهنگ ثابت و اراده پایدار نبودند و از جهات منفی یعنی عهدشکنی و بی وفایی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در مقاطع مختلف، مواضع متفاوتی داشته اند، گاهی موضع آنهادر دفاع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شجاعت بی نظیری، جانب علویان را تقویت کرده اند، چنانچه پایداری آنها باعث شکست ناکثین در جنگ جمل شد ولیکن در جنگ صفین و یا در کنار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کوتاه آمدند و در رویداد کربلا کاملاً عهد شکنانه عمل کردند و جالب اینکه حضور آنان در کنار هویت منتقم، مثل مختار نیز موضع دیگری از آنها را به نمایش گذاشت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کور، گاهی به هدف می زند و گاهی نیز پا بر فک خود می گذارد و با انگشت خویش دیدگان خود را از حدقه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تابلویی بسیار شیوا و گویا از حقیقت کور معاصران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نمایش گذاشته شد</w:t>
      </w:r>
      <w:r>
        <w:rPr>
          <w:rFonts w:eastAsia="IRNazanin" w:cs="IRNazanin"/>
          <w:color w:val="111111"/>
          <w:sz w:val="28"/>
          <w:szCs w:val="28"/>
          <w:rtl w:val="true"/>
          <w:lang w:bidi="fa-IR"/>
        </w:rPr>
        <w:t xml:space="preserve">. </w:t>
      </w:r>
      <w:bookmarkStart w:id="232" w:name="pg8689_87557"/>
    </w:p>
    <w:p>
      <w:pPr>
        <w:pStyle w:val="Heading3"/>
        <w:numPr>
          <w:ilvl w:val="2"/>
          <w:numId w:val="1"/>
        </w:numPr>
        <w:rPr/>
      </w:pPr>
      <w:bookmarkStart w:id="233" w:name="__RefHeading___Toc2713174_653776707"/>
      <w:bookmarkStart w:id="234" w:name="_Toc87"/>
      <w:bookmarkEnd w:id="232"/>
      <w:bookmarkEnd w:id="233"/>
      <w:r>
        <w:rPr>
          <w:rtl w:val="true"/>
        </w:rPr>
        <w:t>بازنمایی امر قدسی در نمادهای مناسکی اربعین</w:t>
      </w:r>
      <w:bookmarkEnd w:id="234"/>
    </w:p>
    <w:p>
      <w:pPr>
        <w:pStyle w:val="BookText"/>
        <w:rPr/>
      </w:pPr>
      <w:r>
        <w:rPr>
          <w:rFonts w:ascii="IRNazanin" w:hAnsi="IRNazanin" w:eastAsia="IRNazanin"/>
          <w:color w:val="111111"/>
          <w:sz w:val="28"/>
          <w:sz w:val="28"/>
          <w:szCs w:val="28"/>
          <w:rtl w:val="true"/>
          <w:lang w:bidi="fa-IR"/>
        </w:rPr>
        <w:t>نسیم کاهیرده</w:t>
      </w:r>
      <w:r>
        <w:rPr>
          <w:rStyle w:val="FootnoteAnchor"/>
          <w:rtl w:val="true"/>
        </w:rPr>
        <w:footnoteReference w:id="32"/>
      </w:r>
      <w:r>
        <w:rPr>
          <w:rFonts w:ascii="IRNazanin" w:hAnsi="IRNazanin" w:eastAsia="IRNazanin"/>
          <w:color w:val="111111"/>
          <w:sz w:val="28"/>
          <w:sz w:val="28"/>
          <w:szCs w:val="28"/>
          <w:rtl w:val="true"/>
          <w:lang w:bidi="fa-IR"/>
        </w:rPr>
        <w:t>عفت دماوندی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25/08/1400</w:t>
      </w:r>
    </w:p>
    <w:p>
      <w:pPr>
        <w:pStyle w:val="BookText"/>
        <w:rPr/>
      </w:pPr>
      <w:r>
        <w:rPr>
          <w:rFonts w:ascii="IRNazanin" w:hAnsi="IRNazanin" w:eastAsia="IRNazanin"/>
          <w:color w:val="111111"/>
          <w:sz w:val="28"/>
          <w:sz w:val="28"/>
          <w:szCs w:val="28"/>
          <w:rtl w:val="true"/>
          <w:lang w:bidi="fa-IR"/>
        </w:rPr>
        <w:t>چکیده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عزاداری عاشورا بستر ظهور یک نظام نمادین قوی است که مهم ترین نقش را در باز تولید هویت شیعی، معنابخشی به حیات شیعیان و تقویت همبستگی میان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نظر می رسد استفاده از نمادها سهم بسزایی در تبادل سریع و ماندگارتر پیام های معنوی و قدسی میان زائران و ایجاد همبستگی میان آنها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تلاش شده است تا با اتکاء به رویکرد تفسیری کلیفورد گیرتز که به خلق معنا توسط نمادها و اهمیت آنها در الگودهی و ایجاد همبستگی میان مؤمنان توجه دارد، به تفسیر نمادهای مناسکی اربعین و معانی قدسی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استفاده از روش توصیف عمیق و جمع آوری اطلاعات به وسیله مشاهده مشارکتی بر اساس </w:t>
      </w:r>
      <w:bookmarkStart w:id="235" w:name="pg8689_87558"/>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گیری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 اصلی و بررسی تصاویر شبکه اجتماعی اینستاگرام به عنوان ابزار مکمل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این مطالعه میدانی معرفی و تفسیر اپیزودهای معنایی است که توسط ابژه های نمادینی نظیر پرچم، کتیبه، پارچه نوشته، بنر، سربند، کوله، گهواره، ضریح، پنجه، پیکره، چفیه، عبا، تربت و پارچه متبرک در فضای مناسکی پیاده روی اربعین بازنمایی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عزاداری عاشورا، شیعیان، مناسک، نمادهای مقدس، دین مادی</w:t>
      </w:r>
      <w:r>
        <w:rPr>
          <w:rFonts w:eastAsia="IRNazanin" w:cs="IRNazanin"/>
          <w:color w:val="111111"/>
          <w:sz w:val="28"/>
          <w:szCs w:val="28"/>
          <w:rtl w:val="true"/>
          <w:lang w:bidi="fa-IR"/>
        </w:rPr>
        <w:t>.</w:t>
      </w:r>
    </w:p>
    <w:p>
      <w:pPr>
        <w:pStyle w:val="Heading3"/>
        <w:numPr>
          <w:ilvl w:val="2"/>
          <w:numId w:val="1"/>
        </w:numPr>
        <w:rPr/>
      </w:pPr>
      <w:bookmarkStart w:id="236" w:name="__RefHeading___Toc2713176_653776707"/>
      <w:bookmarkStart w:id="237" w:name="_Toc88"/>
      <w:bookmarkEnd w:id="236"/>
      <w:r>
        <w:rPr>
          <w:rtl w:val="true"/>
        </w:rPr>
        <w:t>طرح مسئله</w:t>
      </w:r>
      <w:bookmarkEnd w:id="23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جهانی از نمادها زندگی می کنیم و جهانی از نمادها در بین ما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فهم نماد و کشف و شهود نمادین، ما را در یک نوع جهان معنوی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نماد وجود ندارد مگر برای کسی یا جمعی که در بعضی جنبه ها هم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نمادین عالی ترین زبانی است که بشر بدان دست یافته است و زبان مذهب نیز به ویژه مذاهب سامی، سمبلیک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تشیع، مناسک عزاداری عاشورا بستر بروز و ظهور این زبان نمادین است که طی سال های اخیر ضمن گستردگی بیشتر، در شکل پیاده روی اربعین نمود تازه 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مناسک، استفاده از نمادها وجهی هویت بخش برای زائر اربعین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اصلی انتقال پیام میان مشارکت کنندگان و همچنین انعکاس آن به ناظران بیرونی این مناسک را نیز برعهده دارند؛ چرا که نمادها بیش از زبان، قدرت انتقال دهندگی پیام را دارند و از آنجا که حرکت، عنصر اصلی این مناسک است؛ این نمادها هستند که می توانند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را موجز و سریع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مواجهه زائر با نمادها در مسیر پیاده روی، مواجهه ای معنا دار از یک حس عمیق مشترک عاطفی است که دارای دو ویژگی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حس برابری که باعث می شود زائران آزادانه و فارغ از هر شأن و مقام اجتماعی و فرهنگی و ملیتی در یک حس مشترک با یکدیگر سهیم و شریک بوده و </w:t>
      </w:r>
      <w:bookmarkStart w:id="238" w:name="pg8689_87559"/>
    </w:p>
    <w:p>
      <w:pPr>
        <w:pStyle w:val="BookText"/>
        <w:rPr/>
      </w:pPr>
      <w:bookmarkEnd w:id="238"/>
      <w:r>
        <w:rPr>
          <w:rFonts w:ascii="IRNazanin" w:hAnsi="IRNazanin" w:eastAsia="IRNazanin"/>
          <w:color w:val="111111"/>
          <w:sz w:val="28"/>
          <w:sz w:val="28"/>
          <w:szCs w:val="28"/>
          <w:rtl w:val="true"/>
          <w:lang w:bidi="fa-IR"/>
        </w:rPr>
        <w:t>رابطه برقرار کنند و دیگر، حس اشتیاق مقدس و توافق ذهنی زائران با عقیده و معانی نهفته در درون نمادهای بکارگرفته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کاربرد نمادها در این آیین، افراد را هر چه بیشتر در پربار بودن و یافتن معنا یاری می کند و به وحدت احساسی هر چه بیشتر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همواره با کسانی که از نظر فکری و باورهای اعتقادی مشترک هستند، قادر به برقراری ارتباط و اشتیاق به همراهی در خصوص عقیده و باور مشترک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ظلم رفته بر معصوم به واسطه کاربرد نمادها و جاری شدن اشک و غلیان حس اندوه و افسوس از عدم حضور در چنین رویدادی، موجبات تشدید و تجدید پیمان هر چه بیشتر بر علیه دشمنان و نظام ظلم و جور حاکم بر عرصه جامعه جهانی شده و بر روح وحدت و یکپارچی و همبستگی در درون مؤمنان می 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 به زائران تجربه پیوسته ای از امر قدسی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از واقعیت امر قدسی به واسطه تأثیراتش در زندگی و دنیای آنها نمایان می شود که ایمان فرد مومن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شناخت ابژه های نمادینی که در فضای مناسکی پیاده روی اربعین مورد استفاده قرار می گیرند از این جهت اهمیت دارد که ما را به معانی مقدسی می رسانند که سوژه های مؤمن، هم زندگی معنوی و مذهبی خود را با آن سامان می دهند و هم در پی بازنمائی آن ونیز انتقالش به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بررسی این نمادها به عنوان ابژه هایی ملموس، نقش مهمی در رسیدن به یک توصیف و تحلیل واقعی از فرهنگ شیعی ای دارد که طی سال های اخیر در بستر مناسک زیارتی اربعین بروز و ظهور پیدا کرده و در حال بازتولید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مشترک که ورای ملیت زائران عمل کرده و باعث همبستگی میان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زائران ایرانی و عراقی به واسطه روابط ریشه دار تاریخی و مشترکات فرهنگی زیاد، بیش از دیگر زوار شرکت کننده، در فضای مناسکی اربعین به یکدیگرپیوند می خورند</w:t>
      </w:r>
      <w:r>
        <w:rPr>
          <w:rFonts w:eastAsia="IRNazanin" w:cs="IRNazanin"/>
          <w:color w:val="111111"/>
          <w:sz w:val="28"/>
          <w:szCs w:val="28"/>
          <w:rtl w:val="true"/>
          <w:lang w:bidi="fa-IR"/>
        </w:rPr>
        <w:t>.</w:t>
      </w:r>
    </w:p>
    <w:p>
      <w:pPr>
        <w:pStyle w:val="Heading3"/>
        <w:numPr>
          <w:ilvl w:val="2"/>
          <w:numId w:val="1"/>
        </w:numPr>
        <w:rPr/>
      </w:pPr>
      <w:bookmarkStart w:id="239" w:name="__RefHeading___Toc2713178_653776707"/>
      <w:bookmarkStart w:id="240" w:name="_Toc89"/>
      <w:bookmarkEnd w:id="239"/>
      <w:r>
        <w:rPr>
          <w:rtl w:val="true"/>
        </w:rPr>
        <w:t>چارچوب نظری</w:t>
      </w:r>
      <w:bookmarkEnd w:id="24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معنا، ارتباط نزدیکی با مفهوم نماد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از طریق نمادها منتقل می شود که ابزارهای حامل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در حقیقت، آن چیزی است که در نظام فرهنگی </w:t>
      </w:r>
    </w:p>
    <w:p>
      <w:pPr>
        <w:pStyle w:val="BookText"/>
        <w:rPr/>
      </w:pPr>
      <w:r>
        <w:rPr>
          <w:rFonts w:ascii="IRNazanin" w:hAnsi="IRNazanin" w:eastAsia="IRNazanin"/>
          <w:color w:val="111111"/>
          <w:sz w:val="28"/>
          <w:sz w:val="28"/>
          <w:szCs w:val="28"/>
          <w:rtl w:val="true"/>
          <w:lang w:bidi="fa-IR"/>
        </w:rPr>
        <w:t xml:space="preserve">جامعه و در تار و پود روابط اجتماعی تعبیه شده و از این رو، تحلیل آن نمی تواند بر اساس یک علم تجربی و در جست وجوی قوانین انجام گیرد، بلکه باید از طریق یک علم تفسیری و در جست وجوی معنا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گیرتز،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فکوهی،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اشتیاق اصلی کشف معنا از خلال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دین با نظم و نسق بخشیدن به معنی میسر می شود؛ درک نسبت و ارتباط دین با ارزش ها، همپای نیازهای رایج زندگی و آنچه پیکرۀ تجربه را شکل می بخشد، مناسک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مفاهیم، موجودات و نیروهای مذهبی در مفهوم رایج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توسط نمادها و اشیای مذهبی وجه جسمی و مادی بدان ها داده می شود و در نتیجه مؤمنان آنها را از خلال این فرآیندها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اینماهیت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خاصی به واقعیت عادی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بیانگر اشکال ظهور امر متعالی در امر اجتماعی و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چیزهایی برای صحبت کردن با آنها، تمرکز کردن بر آنها و حتی بدست گرفتن و دستکاری کردن آنها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به ما تجربه پیوسته ای از امر قدسی و نیز نشانه هایی از واقعیت امر قدسی به واسطه تأثیراتش در زندگی و دنیای ما ارائه می دهند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دین با نوید رستگاری به پیروانش برای فعالیت دینی، امید و انگیزه بیشتر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اصلی رستگاری به جا آوردن مناسک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از نظر گیرتس نوعی جهش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مناسک دینی به دوران امر قدرسی جهش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مناسک و بازگشت به زندگی عادی، تغییر می کنند و به انسان های متفاوتی تبدیل می شوند؛ مگر این که آن تجربه درست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تغییر فرد، جهان نیز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جهان، بخشی از واقعیت گسترده تری است که به طور متقابل بر دنیای درون او تأثیر می گذارند، آن را اصلاح می کند و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مجموعه ای از اعمال خشک و بی روح نیستند، بلکه از داستان ها و روایت های مقدس طراوت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41" w:name="pg8689_87561"/>
    </w:p>
    <w:p>
      <w:pPr>
        <w:pStyle w:val="Heading3"/>
        <w:numPr>
          <w:ilvl w:val="2"/>
          <w:numId w:val="1"/>
        </w:numPr>
        <w:rPr/>
      </w:pPr>
      <w:bookmarkStart w:id="242" w:name="__RefHeading___Toc2713180_653776707"/>
      <w:bookmarkStart w:id="243" w:name="_Toc90"/>
      <w:bookmarkEnd w:id="241"/>
      <w:bookmarkEnd w:id="242"/>
      <w:r>
        <w:rPr>
          <w:rtl w:val="true"/>
        </w:rPr>
        <w:t>روش پژوهش</w:t>
      </w:r>
      <w:bookmarkEnd w:id="243"/>
    </w:p>
    <w:p>
      <w:pPr>
        <w:pStyle w:val="BookText"/>
        <w:rPr/>
      </w:pPr>
      <w:r>
        <w:rPr>
          <w:rFonts w:ascii="IRNazanin" w:hAnsi="IRNazanin" w:eastAsia="IRNazanin"/>
          <w:color w:val="111111"/>
          <w:sz w:val="28"/>
          <w:sz w:val="28"/>
          <w:szCs w:val="28"/>
          <w:rtl w:val="true"/>
          <w:lang w:bidi="fa-IR"/>
        </w:rPr>
        <w:t>روش شناسی تفسیری با تمایزگذاری میان پدیده های انسانی و طبیعی، بر این اصل استوار است که موضوع جامعه شناسی دین، بعد ذهنی و معنایی صورت های تجلی یافته دین در تاریخ، جامعه و رفتار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بر خلاف الگوی اثباتی که به منشأ دین و کارکردهای آن در سطح کلان جامعه توجه دارد، به بررسی ماهیت نمادها و اعتقادات دینی و نقش آنها در معنابخشی به زندگی فردی و اجتماعی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رویکرد تفسیری کلیفورد گیرتز، از طریق بهره گیری همزمان روش توصیف مختصر و فربه، ضمن مطالعه ابژه های نمادین در فضای مناسکی پیاده روی اربعین به تفسیر معانی نهفته در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گیرتز برای نشان دادن معناداری رفتارهای فرهنگی و برخورداری آنها از معنایی فراتر از نگاه عینی و جهان شمول، انسان شناس را به روش ها و نگاه های دقیق تر و ژرف تری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دریافت دیگری را در بافتی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آن را توصیف فربه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Thick Description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برابر توصیف مختصر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Thin Description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مختصر فقط به مشاهده تجربی و ثبت داده ها با رویکردی مردم نگارانه می پردازد، در حالی که توصیف فربه، هنگامی پدید می آید که انسان شناس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تجربی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گیرتز در پاسخ به چگونگی کشف معنا، اعتقاد دارد که کنش اجتماعی در قالب نمادها بیان شده است و باید دید که نمادها چگونه معانی را بازنمایی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زاده داوری،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در واقع به دو شکل می توانند معنا را بازنمایانند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بازنمایی آگاهانه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Conscious Representation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بازنمایی نمادهای پنهان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Hidden Symbols Representation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که در اینپژوهش بازنمایی آگاهانه،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آگاهانه، چنان که از نام آن پیداست، از دلالت شئ بر یک مفهوم مشخص و به صورت شفاف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پرچم که نماد کشور به شمار می رود و معنا و مقصود آن روشن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Sherratt, 2006, p.111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آوری اطلاعات این پژوهش، مشاهده مشارکتی به عنوان روش اصلی و بررسی تصاویر و ویدئوهای منتشر شده در شبکه اجتماعی اینستاگرام به عنوان روش کمکی، </w:t>
      </w:r>
      <w:bookmarkStart w:id="244" w:name="pg8689_87562"/>
    </w:p>
    <w:p>
      <w:pPr>
        <w:pStyle w:val="BookText"/>
        <w:rPr/>
      </w:pPr>
      <w:bookmarkEnd w:id="244"/>
      <w:r>
        <w:rPr>
          <w:rFonts w:ascii="IRNazanin" w:hAnsi="IRNazanin" w:eastAsia="IRNazanin"/>
          <w:color w:val="111111"/>
          <w:sz w:val="28"/>
          <w:sz w:val="28"/>
          <w:szCs w:val="28"/>
          <w:rtl w:val="true"/>
          <w:lang w:bidi="fa-IR"/>
        </w:rPr>
        <w:t>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نحوه انتخاب نمونه ها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گیری نظری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جمع آوری داده ها برای تولید نظریه بوده است که به موجب آن تحلیل گر همزمان به جمع آوری، کدگذاری و تحلیل داده های خود می پردازد و برای اینکه نظریه خود را در حین شکل گیری تکمیل کند، تصمیم می گیرد چه داده هایی را جمع آوری و کجاها آن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پایان گرفتن کار نمونه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مرحله، داده ها شکل تکراری پیدا می کند و اطلاعات جدیدی را به محقق نمی 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245" w:name="__RefHeading___Toc2713182_653776707"/>
      <w:bookmarkStart w:id="246" w:name="_Toc91"/>
      <w:bookmarkEnd w:id="245"/>
      <w:r>
        <w:rPr>
          <w:rtl w:val="true"/>
        </w:rPr>
        <w:t>یافته های میدانی</w:t>
      </w:r>
      <w:bookmarkEnd w:id="246"/>
    </w:p>
    <w:p>
      <w:pPr>
        <w:pStyle w:val="Heading4"/>
        <w:numPr>
          <w:ilvl w:val="3"/>
          <w:numId w:val="1"/>
        </w:numPr>
        <w:rPr/>
      </w:pPr>
      <w:bookmarkStart w:id="247" w:name="__RefHeading___Toc2713184_653776707"/>
      <w:bookmarkStart w:id="248" w:name="_Toc9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مفهوم معنا، ارتباط نزدیکی با مفهوم نماد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از طریق نمادها منتقل می شود که ابزارهای حامل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حقیقت، آن چیزی است که در نظام فرهنگی جامعه و در تار و پود روابط اجتماعی تعبیه شده و از این رو، تحلیل آن نمی تواند بر اساس یک علم تجربی و در جست وجوی قوانین انجام شود، بلکه باید از طریق یک علم تفسیری و در جست وجوی معنا صورتگیرد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اشتیاق اصلی کشف معنا از خلال تجربه است؛ لذا آنچه که در ذیل این نوشتار آمده است نتایج میدانی حاصل از چنین رویکردی پژوهشی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کار نمونه گیری و ثبت تصاویر از میدان اربعین و نیز جمع آوری هدفمند تصاویر از فضای اینستاگرامی، نمونه های بدست آمده مورد بررسی قرار گرفته، تجزیه وتحلیل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جستجو در نشانه های ظاهری و بصری و سپس تعمق در این نشانه ها، معانی محوری بازنمایی شده توسط نمادهای مناسکی اربعین 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اصلی در قالب اپیزودهایی، ذیل قاب های تصویری مرتبط با آنها، دسته بندی شده اند</w:t>
      </w:r>
      <w:r>
        <w:rPr>
          <w:rFonts w:eastAsia="IRNazanin" w:cs="IRNazanin"/>
          <w:color w:val="111111"/>
          <w:sz w:val="28"/>
          <w:szCs w:val="28"/>
          <w:rtl w:val="true"/>
          <w:lang w:bidi="fa-IR"/>
        </w:rPr>
        <w:t>:</w:t>
      </w:r>
    </w:p>
    <w:p>
      <w:pPr>
        <w:pStyle w:val="Heading4"/>
        <w:numPr>
          <w:ilvl w:val="3"/>
          <w:numId w:val="1"/>
        </w:numPr>
        <w:rPr/>
      </w:pPr>
      <w:bookmarkStart w:id="249" w:name="__RefHeading___Toc2713186_653776707"/>
      <w:bookmarkStart w:id="250" w:name="_Toc93"/>
      <w:bookmarkEnd w:id="249"/>
      <w:r>
        <w:rPr/>
        <w:t>1</w:t>
      </w:r>
      <w:r>
        <w:rPr>
          <w:rtl w:val="true"/>
        </w:rPr>
        <w:t>-</w:t>
      </w:r>
      <w:r>
        <w:rPr>
          <w:rtl w:val="true"/>
        </w:rPr>
        <w:t>پرچم</w:t>
      </w:r>
      <w:bookmarkEnd w:id="25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جامعه سازمان یافته ای دارای علایم و نشانه های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توتم ها، </w:t>
      </w:r>
    </w:p>
    <w:p>
      <w:pPr>
        <w:pStyle w:val="BookText"/>
        <w:rPr/>
      </w:pPr>
      <w:r>
        <w:rPr>
          <w:rFonts w:ascii="IRNazanin" w:hAnsi="IRNazanin" w:eastAsia="IRNazanin"/>
          <w:color w:val="111111"/>
          <w:sz w:val="28"/>
          <w:sz w:val="28"/>
          <w:szCs w:val="28"/>
          <w:rtl w:val="true"/>
          <w:lang w:bidi="fa-IR"/>
        </w:rPr>
        <w:t xml:space="preserve">علم ها، کتل ها، پرچم ها که همیشه بر نوک یا قله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نوک دکل، چادر، بناها، بام ها و 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 به ترتیب کلی نشانه اعلان جنگ و گاهی علامت فرماندهی، اتحاد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سازی هندو نیز همین مفهوم را از آن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پیروزی علامت جنگ است و به تبع آن علامت عملی که در دفع نیروهای شرور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باستان پرچم فقط علامت گروه ها و رؤسا نبوده بلکه نبوغ و فضیلت آنها را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علامت پرچم و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در بادگیر جایگاه انجمن های خفیه علم می شد، ابزار بیدارباش، جنگجو یا سالک در عملیات بود، پرچم ها عملا جانشین نیاکان رؤسای قدیم این حجره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پرچم ها جانشین نیستند بلکه نیاکان را عرضه می کنند و نماینده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علم و کتل آن را روی سر خود بالا می رود، یعنی به نحویبه سوی آسمان بانگ برمی دارد و خط وصلی میان بالا و پایین؛ آسمان و زمین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ریشا دو سن ویکتور، در کتاب مواعظ و ادعیه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کتل به معنی برپایی و اهتزاز روح و نشانه انتقال مسیح به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بالا می رود، انسان آن را بالای سر خود نگه می دارد و آن را در حین نگاه به آسمان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در اهتزاز بر فراز زمین، با رمز الهی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حمایت، همراه با ارزشی می شود که علامت مشخصه فرد یا دسته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یک ارباب، یک سردار، یک رییس دولت، یک نبی، یک فرقه، یک صنف، یک حزب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نشانه مرام یا ظاهر آن کسی است که زیر آن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و گربران،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 در نبرد، اساساً نشان برپایی و تشکل به شمار می روند و تا زمانی که پرچم ها در اهتزاز بودند، از عزیمت لشکریان جلوگیری کرده و از فتح و پیروزی نوید می 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ابژه های نمادین در فضای مناسکی اربعین،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که در ذهن شیعیان، نمادی از مقابله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جبهه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پرچم همواره در اموری که نیاز به حفظ انسجام گروهی بوده، استفاده شده است؛ چرا که به نوعی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معنای اخیر به ویژه در میان عراقی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پررنگ بودن هویت عشیره ای و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بارزتری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میان اعراب، بالارفتن </w:t>
      </w:r>
    </w:p>
    <w:p>
      <w:pPr>
        <w:pStyle w:val="BookText"/>
        <w:rPr/>
      </w:pPr>
      <w:r>
        <w:rPr>
          <w:rFonts w:ascii="IRNazanin" w:hAnsi="IRNazanin" w:eastAsia="IRNazanin"/>
          <w:color w:val="111111"/>
          <w:sz w:val="28"/>
          <w:sz w:val="28"/>
          <w:szCs w:val="28"/>
          <w:rtl w:val="true"/>
          <w:lang w:bidi="fa-IR"/>
        </w:rPr>
        <w:t>پرچم به نشانه عزاداری برای مرگ یکی از اعضای عشیره هنوز هم مرسوم است؛ بنابراین، بالا بردن و حمل کردن پرچم یا علم های ابالفضل، نمادی از حضورِ علمدارِ سپاه حسین و همچنین نشانه عزاداری برای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مناسک پیاده روی اربعین، پرچم های مختلفی در طول مسیر، سردر موکب ها و توسط زائران حمل می شود، این پرچم ها علاوه بر رنگ سیاه که نشانه عزاداری است، به رنگ های مختلف از جمله رنگ سفید و سرخ هم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نشانه نمادگرایی کیهانی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خاصیت نمادین رنگ ها در فراگیری و جهان گستری آن است؛ نه فقط جهان گستری جغرافیایی بلکه در تمام سطوح، موجودیت و شناخت از جمله کیهان شناسی، روان شناسی علم باطن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رنگ ها ممکن است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سرخ ممکن است معانی مختلفی بر حسب موقعیت فرهنگی محل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رنگ ها همواره و همه جا چون پشتیبان تفکر نمادین باقی 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اسلامی نمادگریی رنک بسیار غنی است؛ در این سنت هم باوری کاهنانه در مورد رنگ سیطره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نشان از تیره بختی، شومی، ماتم و نماد اتفاق ناگوار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رنگ نور و درخشش و برعکس سیاه، علامتی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رنگ عرفانی و مظهرالله است و باقیمانده ای از آن دورادور سر تمام کسانی که خدا را شناخته اند، به شکل هاله ای نورانی که مجموع رنگ ها است،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و گربران،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پیاده روی اربعین، پرچم ها بعضا همراه با نوشته یا شمایلی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طرحی از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نگاری بیشتر جنبه عامیانه دارد و برخاسته از زیبایی شناسی، اساطیر و باورهای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دینداری عراقی ها، که نوع سنتی تری است، پرچم های حاویشمایل و نقاشی بیشتر نمود دارد و در بین زائران ایرانی، پرچم های حاوی نوشته و شعار، شعارهایی با مضمون انتظار 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شمارتر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پرچم به رنگ های مختلف از جمله پرچم رسمی کشور عراق، در محل مجموعه ای از موکب ها برافراشته شده که نماد همبستگی و اجتماع برای </w:t>
      </w:r>
    </w:p>
    <w:p>
      <w:pPr>
        <w:pStyle w:val="BookText"/>
        <w:rPr/>
      </w:pPr>
      <w:r>
        <w:rPr>
          <w:rFonts w:ascii="IRNazanin" w:hAnsi="IRNazanin" w:eastAsia="IRNazanin"/>
          <w:color w:val="111111"/>
          <w:sz w:val="28"/>
          <w:sz w:val="28"/>
          <w:szCs w:val="28"/>
          <w:rtl w:val="true"/>
          <w:lang w:bidi="fa-IR"/>
        </w:rPr>
        <w:t xml:space="preserve">انجام عملی مشترک و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عزادارای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الگوی کهن، در بنیاد و اصل خود، نمادی در جهت تحرک بخشیدن به مردم و گونه ای صف آرایی در برابر دشمن را می نمایاند و بسیج جمعی در مقابله با بیدادگری را پیش چشم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اهتزاز در آمدن تعداد زیادی پرچم به رنگ زرد در محل مجموعه ای از موکب ها، نمادی برای بانیان موکب ها و نشانۀ اعلام حضور و موجودیت عشیره های عراقی برای میزبانی از زائران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نوع پرچم های بزرگ و رنگی، بین عشیره های عرب ساکن ایران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نوع از پرچم های متحدالشکل و یک رنگ به نوعی مسیر پیاده روی را نیز تعیین می کنند که بخش عمده آنها را علاوه بر موکب دارها، مسئولین دولتی عراق نصب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عکس یک گروه کوچک از زنان با خود پرچمی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علامتی است برای اینکه افراد گروه یکدیگر را گم نکنند و نیز معنابخش به حرکت و هدف گروه؛ اینکه آنها با هدف خاصی در حال پیمودن مسیر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روی پرچم اقتدای زائران به ابالفضل و یاری خواستن از او را بازنمایی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می تواند نمایان گر این معنا نیز باشدکه زائران در پناه این پرچم در حال حرکت و طی طریق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عکس مردی جوان به تنهایی طی مسیر می کند و پرچمی کوچک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یااباصالح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 کندکه به معنای آمادگی زائر برای تلاش در راه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نمادی از هدفمند بودن حرکت زائر در مسیر پیاده روی اربعین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عکس ها، پرچم هایی با بیرق های بزرگ و حاشیه دوزی شده عراقی دیده می شود که شمایل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نقاشی یک شمشیر در کنار مضمون یامهدی در آنها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مضمون پرچم، قداست و معصومیت امام و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دلبستگی زائر به آنها را مشاهده می شود و در عکس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معنای امید به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منتقم </w:t>
      </w:r>
      <w:bookmarkStart w:id="251" w:name="pg8689_87566"/>
    </w:p>
    <w:p>
      <w:pPr>
        <w:pStyle w:val="BookText"/>
        <w:rPr/>
      </w:pPr>
      <w:bookmarkEnd w:id="251"/>
      <w:r>
        <w:rPr>
          <w:rFonts w:ascii="IRNazanin" w:hAnsi="IRNazanin" w:eastAsia="IRNazanin"/>
          <w:color w:val="111111"/>
          <w:sz w:val="28"/>
          <w:sz w:val="28"/>
          <w:szCs w:val="28"/>
          <w:rtl w:val="true"/>
          <w:lang w:bidi="fa-IR"/>
        </w:rPr>
        <w:t xml:space="preserve">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تصویر شمشیر روی پرچم و شعار 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بازنمایی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بزرگ بودن اندازه پرچم ها، نوع پارچه، رنگ و دوخت سنتی و نیز شمایل نقاشی شده روی آنها به نوعی ویژگی های خاص فرهنگ شیعیان عراقی را 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پرچم ایران و عراق؛ نمادی از وحدت در عشقی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تصاویر ثبت شده از میدان اربعین و نیز تصاویر اینستاگرامی، ترکیب پرچم عراق و ایران نیز به طور قابل توجهی به چشم می خورد که به نوعی نماد تلاش برای نزدیکی و پیوند بیشتر میان دو ملت، حول محور عشق و ارادت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البته بیشتر از سوی ایرانیان و تیپ های انقلابی نمود یافته است و وجهی سیاسی دارد؛ مثلا در نمونه های بالا، در کنار هم گذاشتنپرچم دو کشور و بالا گرفتن پرچم مشترک ایران و عراق، توسط زائر ایرانی، نمادی از تلاش ایرانیان برای سربلندی هر دو ملت است</w:t>
      </w:r>
      <w:r>
        <w:rPr>
          <w:rFonts w:eastAsia="IRNazanin" w:cs="IRNazanin"/>
          <w:color w:val="111111"/>
          <w:sz w:val="28"/>
          <w:szCs w:val="28"/>
          <w:rtl w:val="true"/>
          <w:lang w:bidi="fa-IR"/>
        </w:rPr>
        <w:t>.</w:t>
      </w:r>
    </w:p>
    <w:p>
      <w:pPr>
        <w:pStyle w:val="Heading4"/>
        <w:numPr>
          <w:ilvl w:val="3"/>
          <w:numId w:val="1"/>
        </w:numPr>
        <w:rPr/>
      </w:pPr>
      <w:bookmarkStart w:id="252" w:name="__RefHeading___Toc2713188_653776707"/>
      <w:bookmarkStart w:id="253" w:name="_Toc94"/>
      <w:bookmarkEnd w:id="252"/>
      <w:r>
        <w:rPr/>
        <w:t>2</w:t>
      </w:r>
      <w:r>
        <w:rPr>
          <w:rtl w:val="true"/>
        </w:rPr>
        <w:t>-</w:t>
      </w:r>
      <w:r>
        <w:rPr>
          <w:rtl w:val="true"/>
        </w:rPr>
        <w:t>کتیبه، پارچه نوشته، بنر</w:t>
      </w:r>
      <w:bookmarkEnd w:id="253"/>
    </w:p>
    <w:p>
      <w:pPr>
        <w:pStyle w:val="BookText"/>
        <w:rPr/>
      </w:pPr>
      <w:r>
        <w:rPr>
          <w:rFonts w:ascii="IRNazanin" w:hAnsi="IRNazanin" w:eastAsia="IRNazanin"/>
          <w:color w:val="111111"/>
          <w:sz w:val="28"/>
          <w:sz w:val="28"/>
          <w:szCs w:val="28"/>
          <w:rtl w:val="true"/>
          <w:lang w:bidi="fa-IR"/>
        </w:rPr>
        <w:t xml:space="preserve">در فرهنگ آیین های شیعی، به پارچه های سیاه و سفید که بر آنها عبارات و اشعار مذهبی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برای تزئین مکان های عزاداری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 پارچه نوشته ها و نیز بنرها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نوشته هایی از جنس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ابژه های نمادین فضای مناسکی اربعین محسوب می شوند که به ایجاد فضایی مناسب با حال عزادارن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 و مضامینی مقدس و معنوی را بازنمایی می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عکس های شماره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بر روی پارچه ها و بنرها، شمائلی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است که بر روی سر در موکب ها و نیز محیط داخلی آنها نصب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پارچه های مشکی مرغوب با گلدوزی و حاشیه دوزی و برخی پارچه های ارزان قیمت چاپی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مشکی پارچه ها، شمایلی با رنگ های سپید، سبز و طلایی را در خود جای داده اند که به نوعی نورانیت و زیبایی این شمایل مقدس را بازنمایی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های دینی را می توان کتاب مقدس عامه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سنت و </w:t>
      </w:r>
      <w:bookmarkStart w:id="254" w:name="pg8689_87567"/>
    </w:p>
    <w:p>
      <w:pPr>
        <w:pStyle w:val="BookText"/>
        <w:rPr/>
      </w:pPr>
      <w:bookmarkEnd w:id="254"/>
      <w:r>
        <w:rPr>
          <w:rFonts w:ascii="IRNazanin" w:hAnsi="IRNazanin" w:eastAsia="IRNazanin"/>
          <w:color w:val="111111"/>
          <w:sz w:val="28"/>
          <w:sz w:val="28"/>
          <w:szCs w:val="28"/>
          <w:rtl w:val="true"/>
          <w:lang w:bidi="fa-IR"/>
        </w:rPr>
        <w:t>دوران های کهن که عموم مردم بی سواد بوده اند، زبان تصویر مهمترین و اصلی ترین زبان انتقال و بیان نسبتا ماندگار باورها و معانی مذهبی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شمائل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و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طرف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دوازده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که اعتقاد شیعه به همه معصومین و پیوستگی آنها به یکدیگر را بازنمایی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صحنهرسیدن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علقمه و امتناع از نوشیدن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یادآوری تشنگی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ابعاد بزرگی روی بنر پلاستیکی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حضرت زینب از ایشان در صحنه عاشورا،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از تصویرگری ها که معمولا روی سردر اکثر موکب ها مشاهده می شود، وقایع مختلف کربلا</w:t>
      </w:r>
    </w:p>
    <w:p>
      <w:pPr>
        <w:pStyle w:val="BookText"/>
        <w:rPr/>
      </w:pPr>
      <w:r>
        <w:rPr>
          <w:rFonts w:ascii="IRNazanin" w:hAnsi="IRNazanin" w:eastAsia="IRNazanin"/>
          <w:color w:val="111111"/>
          <w:sz w:val="28"/>
          <w:sz w:val="28"/>
          <w:szCs w:val="28"/>
          <w:rtl w:val="true"/>
          <w:lang w:bidi="fa-IR"/>
        </w:rPr>
        <w:t>را بازنمایی می کنند و ضمن آن معانی و مضامین اخلاقی مانند شجاعت، گذشت، وفاداری و عشق را در ذهن زائران تداعی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موکبی متعلق به یک ارگان رسمی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یکی از بنرها، نام ارگان مربوطه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علاوه بر بنرهای حاوی تصاویر عاشورایی، تصاویری از شهدای ایرانی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شهدایی که شهادتشان با هدفی مقدس، در امتداد نهضت عاشورا و اتصال به 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موکبی کوچک و مردمی نشان داده شده است که روی کتیبه ها، نام معصومین و مضامینی دعایی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نوشته شده است که باور و توسل خاص بانیان موکب به این ذوات مقدس را نشان می دهد</w:t>
      </w:r>
      <w:r>
        <w:rPr>
          <w:rFonts w:eastAsia="IRNazanin" w:cs="IRNazanin"/>
          <w:color w:val="111111"/>
          <w:sz w:val="28"/>
          <w:szCs w:val="28"/>
          <w:rtl w:val="true"/>
          <w:lang w:bidi="fa-IR"/>
        </w:rPr>
        <w:t>.</w:t>
      </w:r>
    </w:p>
    <w:p>
      <w:pPr>
        <w:pStyle w:val="Heading4"/>
        <w:numPr>
          <w:ilvl w:val="3"/>
          <w:numId w:val="1"/>
        </w:numPr>
        <w:rPr/>
      </w:pPr>
      <w:bookmarkStart w:id="255" w:name="__RefHeading___Toc2713190_653776707"/>
      <w:bookmarkStart w:id="256" w:name="_Toc95"/>
      <w:bookmarkEnd w:id="255"/>
      <w:r>
        <w:rPr/>
        <w:t>3</w:t>
      </w:r>
      <w:r>
        <w:rPr>
          <w:rtl w:val="true"/>
        </w:rPr>
        <w:t>-</w:t>
      </w:r>
      <w:r>
        <w:rPr>
          <w:rtl w:val="true"/>
        </w:rPr>
        <w:t>سربند</w:t>
      </w:r>
      <w:bookmarkEnd w:id="25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ابژه های نمادین مهم در فضای مناسکی اربعین، سربند است، سربندهایی به رنگ سبز، سرخ و زرد که معمولا شعارهایی نظیر یاحسین، یا ابالفضل، یازهرا، لبیک یا مهدی، یا ثارالله، کلنا عباسک یا زینب، ان الحسین یجمعنا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سربند تاریخچه طولانی دارد که البته در مورد جامعه ایران بیشتر تحت تأثیر </w:t>
      </w:r>
      <w:bookmarkStart w:id="257" w:name="pg8689_87568"/>
    </w:p>
    <w:p>
      <w:pPr>
        <w:pStyle w:val="BookText"/>
        <w:rPr/>
      </w:pPr>
      <w:bookmarkEnd w:id="257"/>
      <w:r>
        <w:rPr>
          <w:rFonts w:ascii="IRNazanin" w:hAnsi="IRNazanin" w:eastAsia="IRNazanin"/>
          <w:color w:val="111111"/>
          <w:sz w:val="28"/>
          <w:sz w:val="28"/>
          <w:szCs w:val="28"/>
          <w:rtl w:val="true"/>
          <w:lang w:bidi="fa-IR"/>
        </w:rPr>
        <w:t>دوران جنگ تحمیلی و استفاده نمادین آن توسط رزمندگان است و در فضای مناسکی اربعینی هم بیشتر در بین زائران ایرانی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سربند، قدم برداشتن زائر به عنوان رزمنده اسلام و ادامه دهنده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را بازنمایی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 که با پیمودن مسیر کربلا آمادگی خود را برای زمینه سازی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یک زن جوان کاملا محجبه با سربند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کلناعباسک یازینب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استفاده از این سربند و مضمون خاص آن، معنای پای بندی به حجاب برای پاسداشت حریم حضرت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استفاده از این ابژه نمادین نشان می دهد که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موقعیت پاسداری و حفاظت از ارزش های منتسب به بانوی کربلا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مردی جوان در حال بستن سربندی مشابه برای خواهر نوجوان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یجمعنا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سربند، پیام وحدت میان عاشقان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زائر با انتخاب چنین سربندی، هم عشق خود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و هم هدفی متعالی و هویتی خاص از خود را باز 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پدری برای فرزندش سربند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والدین از سربند برای فرزندان به نوعی، امید به استمرار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آینده را نشان می دهد که در فضای مناسکی اربعین، بسیار هم متداول است</w:t>
      </w:r>
      <w:r>
        <w:rPr>
          <w:rFonts w:eastAsia="IRNazanin" w:cs="IRNazanin"/>
          <w:color w:val="111111"/>
          <w:sz w:val="28"/>
          <w:szCs w:val="28"/>
          <w:rtl w:val="true"/>
          <w:lang w:bidi="fa-IR"/>
        </w:rPr>
        <w:t>.</w:t>
      </w:r>
    </w:p>
    <w:p>
      <w:pPr>
        <w:pStyle w:val="Heading4"/>
        <w:numPr>
          <w:ilvl w:val="3"/>
          <w:numId w:val="1"/>
        </w:numPr>
        <w:rPr/>
      </w:pPr>
      <w:bookmarkStart w:id="258" w:name="__RefHeading___Toc2713192_653776707"/>
      <w:bookmarkStart w:id="259" w:name="_Toc96"/>
      <w:bookmarkEnd w:id="258"/>
      <w:r>
        <w:rPr/>
        <w:t>4</w:t>
      </w:r>
      <w:r>
        <w:rPr>
          <w:rtl w:val="true"/>
        </w:rPr>
        <w:t>-</w:t>
      </w:r>
      <w:r>
        <w:rPr>
          <w:rtl w:val="true"/>
        </w:rPr>
        <w:t>کوله</w:t>
      </w:r>
      <w:bookmarkEnd w:id="259"/>
    </w:p>
    <w:p>
      <w:pPr>
        <w:pStyle w:val="BookText"/>
        <w:rPr/>
      </w:pPr>
      <w:r>
        <w:rPr>
          <w:rFonts w:ascii="IRNazanin" w:hAnsi="IRNazanin" w:eastAsia="IRNazanin"/>
          <w:color w:val="111111"/>
          <w:sz w:val="28"/>
          <w:sz w:val="28"/>
          <w:szCs w:val="28"/>
          <w:rtl w:val="true"/>
          <w:lang w:bidi="fa-IR"/>
        </w:rPr>
        <w:t>درفضای مناسکی اربعین، کوله ها هم حامل و انتقال دهنده معانی و باورهایزائران هستند و یکی دیگر از ابژه های نمادین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نصب پرچم های کوچک، تصاویر، نگاره ها، شمایل، عبارات و شعارهایی بر روی کوله هایشان، معانی مورد نظرشان را، به سان موارد زیر، بازگو می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دو ملت ایران و عراق حول محور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چسباندن دو پرچم کوچک از دو کشور بر روی کوله پشتی یک روحانی بازنمایی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نوید دادن تداوم و استمرار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آینده که با </w:t>
      </w:r>
      <w:bookmarkStart w:id="260" w:name="pg8689_87569"/>
    </w:p>
    <w:p>
      <w:pPr>
        <w:pStyle w:val="BookText"/>
        <w:rPr/>
      </w:pPr>
      <w:bookmarkEnd w:id="260"/>
      <w:r>
        <w:rPr>
          <w:rFonts w:ascii="IRNazanin" w:hAnsi="IRNazanin" w:eastAsia="IRNazanin"/>
          <w:color w:val="111111"/>
          <w:sz w:val="28"/>
          <w:sz w:val="28"/>
          <w:szCs w:val="28"/>
          <w:rtl w:val="true"/>
          <w:lang w:bidi="fa-IR"/>
        </w:rPr>
        <w:t xml:space="preserve">چسباندن پوستری از یک کودک با روسری و سربند سبز رنگ نمادین، بازنمایی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دعوت به پیمودن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در مسیر کربلا که با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بازنمایی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 وظیفه در مورد ادای دین نسبت به شهدا و رهبر؛ شهدایی که طبق باور زائر برای حفظ دین و مقدسات الهی، جان خود را فدا نموده اند و رهبری که بار هدایت ملت شیعه را به دوش می کشد و اکنون امکان قدم برداشتن در مسیر مقدس کربلا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 نمودن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بار ظلم و ذلت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زائر با نوشتن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کوله پشتی خود، باور به این شعار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باور خود و تلاش برای ترویج این معنا را بازنمایی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به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در زمینه سازی این ظهور با نوشتن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تک قدم هایم را نذر آمدنت می کنم یا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261" w:name="__RefHeading___Toc2713194_653776707"/>
      <w:bookmarkStart w:id="262" w:name="_Toc97"/>
      <w:bookmarkEnd w:id="261"/>
      <w:r>
        <w:rPr/>
        <w:t>5</w:t>
      </w:r>
      <w:r>
        <w:rPr>
          <w:rtl w:val="true"/>
        </w:rPr>
        <w:t xml:space="preserve">- </w:t>
      </w:r>
      <w:r>
        <w:rPr>
          <w:rtl w:val="true"/>
        </w:rPr>
        <w:t>گهواره علی اصغر، ضریح یا صحن، پنجۀ فلزی، پیکره</w:t>
      </w:r>
      <w:bookmarkEnd w:id="26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ابژه های نمادین مورد استفاده در ایام عزاداری محرم، در فضای مناسکیاربعین هم اگر چه کم، ولی در برخی از موکب ها و محل های تجمع زائران اربعین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با ایجاد فضایی که یادآوری کننده صحنه هایی از عاشورا هستند، سهم مهمی در نزدیک شدن ذهن افراد به امر قدسی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علی اصغر، معصومیت طفل شش ماهه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بی گناه در کارزار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بازنمایی می کند و مؤمنین معتقد، با توسل به این وجود مقدس، حاجات خود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گهواره حضرت علی اصغر با پارچه های سبز آذین بسته شده است، تعدادی اسکناس هم در آن دیده می شود که نذر حاجتمندان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گهواره ای که با پارچه سبز آن را پوشانده اند، در مسیر زائران اربعینی قرار داده شده است که نماد گهواره علی اصغر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معمولا بریده پارچه های سبزرنگ باریکی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را به عنوان نمادی از توسل و حاجت خواهی به گهواره می بندند و نذر می کنند و یا مقداری پول نذری در آن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نوع توسل و حاجت خواهی در مورد ضریح نمادین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این واقعیت می توان گفت که برای معتقدان به یک مذهب، نمادها می توانند مجرایی باشند که از خلال آنها موجودات و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 و به عبارتی ویژگی نمادها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امر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ضریح یا صحن به عنوان نمونه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نمادین از آنجا که یادآور ضریح واقعی است، برای عامه مردم همان قداست را دارد؛ چرا که انسان ها، به چیزهایی برای صحبت کردن با آنها، تمرکز کردن بر آنها و حتی بدست گرفتن و لمس کردن آنها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نمادهابه ما تجربه پیوسته ای از امر قدسی می دهند و همچنین نشانه هایی از واقعیت امر قدسی به واسطه تأثیراتش در زندگی و دنیای ما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نمادین، صحن اساسا به محلی بستگی که با وسیله ای خاص محصور شده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در جهان سلتی، صحن هایی دایره، مستطیل و مربع، متعلق به اعصار پیشا تاریخی و یا متعلق به عصر غالیایی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کشف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صحن به صورت دایره کمیاب بوده، شاید به این دلیل که دایره نماد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نماد حد و مرزی مقدس و مکانی غیر مجاز برای عموم و غیر سالکان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1296</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پنجه فلزی که یکی از ابژه های نمادین مورد استفاده در دسته ها و هیئت های سنتی و قدیمی است در مسیر پیاده روی اربعین توسط زائری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نمادین که از جنس برنج و مس و گاه نیز ورشو و نقره است عمدتا با اذکار و اسامی پنج تن یا نام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بازنمایی می کند و هم نماد دست های قطع شده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است که مردم آن را یک شیء مقدس و وسیله توسل به پنج تن آل عبا و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پنجه در باورهای عامه، نماد قدرت اولیاء و معصومین انگاشته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فرهنگ نمادین، اسلام پنج را عدد مبارک می داند و برای این عدد رجحانی قایل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پنج پر، پنج حس، پنج نماز، </w:t>
      </w:r>
      <w:bookmarkStart w:id="263" w:name="pg8689_87571"/>
    </w:p>
    <w:p>
      <w:pPr>
        <w:pStyle w:val="BookText"/>
        <w:rPr/>
      </w:pPr>
      <w:bookmarkEnd w:id="263"/>
      <w:r>
        <w:rPr>
          <w:rFonts w:ascii="IRNazanin" w:hAnsi="IRNazanin" w:eastAsia="IRNazanin"/>
          <w:color w:val="111111"/>
          <w:sz w:val="28"/>
          <w:sz w:val="28"/>
          <w:szCs w:val="28"/>
          <w:rtl w:val="true"/>
          <w:lang w:bidi="fa-IR"/>
        </w:rPr>
        <w:t xml:space="preserve">خمس اموال، آداب حج، انواع روزه، بخش های مختلف وضو، حلالیت روز جمعه، خمس گنج و دفینه و غنیمت، پنج نسل در انتقام قبیله ای، پنج کلید قرآن مجید در رازعرفان و پنج انگشت دست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شوالیه و گربران،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پیکره یکی دیگر از ابژه های نمادینی است که در مسیر پیاده روی زیارتی اربعین در موکب های عراقی ها فراوان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پیکره هایی که مانند شمایل روی پرچم ها، یادآور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شهدای کربلا یا زنان و کودکان کاروان اسرا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پیکره ها به طور مثال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سربریده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های بریده شده از بازو، بدن های بی سر و مشک آب و جوی خون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با مشاهده چنین صحنه هایی، با مصائبی که در حادثه کربلا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رخ داده هم ذات پنداری نموده و بر مظلومیت شان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یکی از نمادهای هم ذات پنداری است، هم ذات شدن انسان با ماده ای زوال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 شدن انسان با یک جامعه یا فردی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 شدن با یک رویداد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همجنس شدن انسانی با تصویر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عرضه لباس در خیاط خانه ها هم بینندگان خود را در لباسی که پیکره بر تن دارد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پیکره انعکاس خود آنهاست و یا انعکاس فردی که بر آن تمرکز داشته اند و محور توجه بوده و رویدادی خاص بر او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اسطوره هم ذات پنداری است که به برکت وجود پیکره ها شکل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و گربران،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4"/>
        <w:numPr>
          <w:ilvl w:val="3"/>
          <w:numId w:val="1"/>
        </w:numPr>
        <w:rPr/>
      </w:pPr>
      <w:bookmarkStart w:id="264" w:name="__RefHeading___Toc2713196_653776707"/>
      <w:bookmarkStart w:id="265" w:name="_Toc98"/>
      <w:bookmarkEnd w:id="264"/>
      <w:r>
        <w:rPr/>
        <w:t>6</w:t>
      </w:r>
      <w:r>
        <w:rPr>
          <w:rtl w:val="true"/>
        </w:rPr>
        <w:t xml:space="preserve">- </w:t>
      </w:r>
      <w:r>
        <w:rPr>
          <w:rtl w:val="true"/>
        </w:rPr>
        <w:t>چفیه و عبا</w:t>
      </w:r>
      <w:bookmarkEnd w:id="2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یک نماد بیرونی از فعالیت روحانی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مرئی انسان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نماد جامه، وقتی چیزی جز یک لباس متحدالشکل بدون ارتباط با شخصیت است، می تواند علامت براندازنده واقعیت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 به ما تشخص و تایید اجتماعی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نشان دهنده تعلق به جامعه ای مشخص است؛ جامعه ای خاص که به او قداست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اسلامی تعویض آیینی جامه، نشانه عبور از جهانی به جهان دیگر است؛ اما برخی از لباس ها تغییر و تحولی عمیق را نشان </w:t>
      </w:r>
      <w:bookmarkStart w:id="266" w:name="pg8689_87572"/>
    </w:p>
    <w:p>
      <w:pPr>
        <w:pStyle w:val="BookText"/>
        <w:rPr/>
      </w:pPr>
      <w:bookmarkEnd w:id="266"/>
      <w:r>
        <w:rPr>
          <w:rFonts w:ascii="IRNazanin" w:hAnsi="IRNazanin" w:eastAsia="IRNazanin"/>
          <w:color w:val="111111"/>
          <w:sz w:val="28"/>
          <w:sz w:val="28"/>
          <w:szCs w:val="28"/>
          <w:rtl w:val="true"/>
          <w:lang w:bidi="fa-IR"/>
        </w:rPr>
        <w:t>می دهند و بار معنایی خاصی را دارا هستند؛ مانند خرقه یا عبا که وقتی به کسی اعطا می شود نشانه عبور از عالم غیر مذهبی به عالم مذهبی است و رفتن از زمین ابراهیم به ملکوت سماوات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عرفانی، سالک از دوازده عالم می گذرد، از دوازده حجاب نور و بدین گونه تغییر جامه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تعویض جامه، نماد مرحله ای درونی است که فرد بدان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روح از برای پیشروی، قدم به قدم، تا اشراقی ملکوتی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یکی از شیوه های متعددی که یک جامعه، ایده ها و ارزش های خودش و همچنین هویتش به مثابه یک جامعه را تجسم می بخشد، انتخاب نوع خاصی از پوشش به ویژه برای موقعیت های آیینی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چفیه، توسط مردان و عبای عربی توسط زنان غیر عرب را هم به نوعی می توان پوششی نمادگونه تفسیر نمود؛ چرا که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اربعینی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بازنمایی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یک دختر جوان و در عکس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مردی میانسال که ایرانی هستند، از عبا و چفیه به عنوان پوششی نمادین برای زیارت اربعین استفاده کرده اند</w:t>
      </w:r>
      <w:r>
        <w:rPr>
          <w:rFonts w:eastAsia="IRNazanin" w:cs="IRNazanin"/>
          <w:color w:val="111111"/>
          <w:sz w:val="28"/>
          <w:szCs w:val="28"/>
          <w:rtl w:val="true"/>
          <w:lang w:bidi="fa-IR"/>
        </w:rPr>
        <w:t>.</w:t>
      </w:r>
    </w:p>
    <w:p>
      <w:pPr>
        <w:pStyle w:val="Heading4"/>
        <w:numPr>
          <w:ilvl w:val="3"/>
          <w:numId w:val="1"/>
        </w:numPr>
        <w:rPr/>
      </w:pPr>
      <w:bookmarkStart w:id="267" w:name="__RefHeading___Toc2713198_653776707"/>
      <w:bookmarkStart w:id="268" w:name="_Toc99"/>
      <w:bookmarkEnd w:id="267"/>
      <w:r>
        <w:rPr/>
        <w:t>7</w:t>
      </w:r>
      <w:r>
        <w:rPr>
          <w:rtl w:val="true"/>
        </w:rPr>
        <w:t xml:space="preserve">- </w:t>
      </w:r>
      <w:r>
        <w:rPr>
          <w:rtl w:val="true"/>
        </w:rPr>
        <w:t>تربت</w:t>
      </w:r>
      <w:bookmarkEnd w:id="2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 یکی از ابژه های نمادین مهمی است که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مراجعت از کربلا به عنوان سوغات همراه خود می برد؛ گویی که این تربت مقدس نشانه ای برای اثبات زائر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مرکزیت تقدس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کربلا، یعنی جایی که هم فاجعه کربلا در آن رخ داده است و هم اینکه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آن دفن شده است، در مقوله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به نوعی تمام این باورها و مکانیسمی برای عینی سازی و ارتباط مادی با جهان قدسی کربلا و بستری برای توزیع نمادین مادی این تقدس، به زمان ها و مکان هایی غیر از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تربت به یک امر مناسکی، در بر داشتن آن از خاک کربلا، نحوه نگهداری، نحوه کاربرد و زمینه های کاربرد آن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انتهای زندگی، حضور تربت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نوزادان را با تربت بر می دارند و عده ای بعد از مرگ هم، آن را در کفن خود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برای رفع رنج و ترس از حکام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تربت </w:t>
      </w:r>
      <w:bookmarkStart w:id="269" w:name="pg8689_87573"/>
    </w:p>
    <w:p>
      <w:pPr>
        <w:pStyle w:val="BookText"/>
        <w:rPr/>
      </w:pPr>
      <w:bookmarkEnd w:id="269"/>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گفتن با دانه هایی از خاک کربلا، سبب پذیرش نماز و نیایش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بیماری ها و مشکلات،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بخاطر اهمیت قدسی تربت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خاکی که خوردنش حرام نیست، تربت است و کاملا کاربرد دارویی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هم ارز و تا حدودی برتر از حجرالاسود دانسته شده است و فرشتگان آسمانی به حرمت تقدس آن آگاه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قدسی بسیار خاصی که تربت کربلا دارد، سبب شده توانایی هایی خاصی در رفع موضوعاتی که سبب ایجاد مسئله معنا هستند،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بیماری ها و هم مشکلات بیرونی مانند فشار حکام مخالف شیعی را و در نهایت، تضمینی برای کسب معنویت و بهشتی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آداب دقیقی وجود دارد که تربت از فاصله دقیقی از خاک پیرامون قبر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برداشته شود و در شرایط خاصی نگه داشته شود، باید با شرایط خاصی به کار برده شود تا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مجموعه احادیث پیرامون تقدس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کربلا و تربت آنجا، مناسک زیارت به عنوان یکی از مهمترین راهبردهای اولیه تشیع برای گسترش ایمان شیعی و حفظ پیروان و در عین حال، اعلان مخالفت سیاسی خود با نظام حاکم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عکس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 عراقی در حال تقسیم مقداری تربت بین زائران ایرانی است و در عکس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زن زائر دیده می شود که مقداری تربت خریده و در بین سوغاتی های خود می گذارد</w:t>
      </w:r>
      <w:r>
        <w:rPr>
          <w:rFonts w:eastAsia="IRNazanin" w:cs="IRNazanin"/>
          <w:color w:val="111111"/>
          <w:sz w:val="28"/>
          <w:szCs w:val="28"/>
          <w:rtl w:val="true"/>
          <w:lang w:bidi="fa-IR"/>
        </w:rPr>
        <w:t>.</w:t>
      </w:r>
    </w:p>
    <w:p>
      <w:pPr>
        <w:pStyle w:val="Heading4"/>
        <w:numPr>
          <w:ilvl w:val="3"/>
          <w:numId w:val="1"/>
        </w:numPr>
        <w:rPr/>
      </w:pPr>
      <w:bookmarkStart w:id="270" w:name="__RefHeading___Toc2713200_653776707"/>
      <w:bookmarkStart w:id="271" w:name="_Toc100"/>
      <w:bookmarkEnd w:id="270"/>
      <w:r>
        <w:rPr/>
        <w:t>8</w:t>
      </w:r>
      <w:r>
        <w:rPr>
          <w:rtl w:val="true"/>
        </w:rPr>
        <w:t xml:space="preserve">- </w:t>
      </w:r>
      <w:r>
        <w:rPr>
          <w:rtl w:val="true"/>
        </w:rPr>
        <w:t>پارچه متبرک</w:t>
      </w:r>
      <w:bookmarkEnd w:id="27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مسیر پیاده روی اربعین مانند زوار سایر اماکن مقدس معمولا پارچه های متبرک را به عنوان شال، دستبند یا پیشانی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و یا تکه کوچکی از آن را به لباس خود وصل می کنند تا قداست این پارچه متبرک به جسم و جانشان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نمادها، تبرک به معنی انتقال نیروهای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کردن در واقع به معنای مقدس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نفس، مسح یا کلام، به عبارت دیگر نزدیک شدن به ولی الله که بالاترین شکل نیروی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و نخ نماد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نشان دادن آن چیزی هستند که مقدر می شود و یا در سرنوشت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و گربران،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کردن پارچه و بستن آن بر بدن بر همین امر حکایت دارد که فرد با استفاده از آن و با بهره از نیروی ماورایی به دنبال سرنوشتی نیکو برای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های متبرک برای تزئین گهواره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ها و علامت ها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های متبرک معمولا به رنگ سبز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رنگ سلطنتگیاهان است و سبزی آن از آب های جانبخش به دست می آید؛ همانگونه که غسل نیز تمامی مفهوم نمادین خود را به آب مدیون است، سبز بیداری آب های اولیه و بیداری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و گربران،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رنگ آب است، همانگونه که سرخ، رنگ آتش است و از همین جا است که انسان همواره به طور غریزی ارتباط این دو رنگ را مشابه چیزی از جوهر و هستی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در ارتباط با صاعقه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که آرامش بخش، تازه کننده و آهنگین است در بناهایی که نیاکانمان در صحرا و بیابان بر می افراشتند، تقدیس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سبز است و سبز برای مسلمانان نشانه سلام و سلامت و نماد تمام ثروت ها اعم از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رسول الله سبز بود، فاطمه دختش و دامادش علی و دو فرزندش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خطر زیر عبای ایشان پناه می گرفتند و از این رو است که آن را خامس آل عبا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تن در عین حال چهار ستونی هستند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این ستون ها مسجد خود را بنا کرده است و در شب بادیه نشینان پس از گذاشتن نماز شام، داستان شگفت خضر، آن سبز مرد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مولای مسافران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شگفت آور سبز، چنین به ذهن متبادر می کند که این رنگ، رازی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نماد شناختی عمیق و نهانی از اشیاء و مقدرات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نمادها که هم زنده است و هم عرفانی، زبان سبز خوانده شده است؛ سبز خصوصیتی غریب و پیچیده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تصویر ژرفا، قضا و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272" w:name="pg8689_87575"/>
    </w:p>
    <w:p>
      <w:pPr>
        <w:pStyle w:val="Heading3"/>
        <w:numPr>
          <w:ilvl w:val="2"/>
          <w:numId w:val="1"/>
        </w:numPr>
        <w:rPr/>
      </w:pPr>
      <w:bookmarkStart w:id="273" w:name="__RefHeading___Toc2713202_653776707"/>
      <w:bookmarkStart w:id="274" w:name="_Toc101"/>
      <w:bookmarkEnd w:id="272"/>
      <w:bookmarkEnd w:id="273"/>
      <w:r>
        <w:rPr>
          <w:rtl w:val="true"/>
        </w:rPr>
        <w:t>نتیجه</w:t>
      </w:r>
      <w:bookmarkEnd w:id="2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در فضای مناسکی اربعین به درون امر قدسی جهش می کنند؛ بههمین دلیل پس از مناسک و بازگشت به زندگی عبادی، تغییر می کنند و به انسان های متفاوتی تبدیل می شوند، مگر این که تجربه پیاده روی اربعین آنها درست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تغییر فرد، جهان نیز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جهان بخشی از واقعیت گسترده تری است که به طور متقابل بر دنیای درون زائر تأثیر می گذارد، آن را اصلاح می کند و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فضای مناسکی اربعین، مجموعه ای از اعمال خشک و بی روح نیست، حتی رنج در چنین فضای معنوی و قدرسی، ناخوشایند نیست و نباید از آن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این درک می رسد که چگونه درد و رنج جسمی، حس گم گشتگی و ناکامی دنیوی را به شادکامی، حس راه یافتگی و کامیابی تبدیل کند و حتی به استقبال ناملایمات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در ذهن زائر، هر آنچه که پیش از این می توانست زیان رساند، اکنون معنایی حمایت کننده و سازنده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مناسکی اربعین، به واسطه نمادها، از داستان ها و روایت های مقدرس کارزار عاشورا طراوت می گیرد؛ روایت هایی که مدام تکثیر می یابد و تجربه قدسی زائران نیز به آن افزوده می شود؛ از این روست که هر کس یک بار چنین فضای معنوی را تجربه کرده باشد، مشتاقانه در پی تکرار آن بر خواهد آمد و به همین دلیل است که سال به سال بر جمعیت زائران اربعینی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دینی و مناسک با یکدیگر در تعامل دائمی هستند و دین در هر شکل آن، بخشی از کوششی است که صرف نگهداری و غنای گنجیه معانی می شود، نکته مهم اما این است که معانی می توانند در دل نمادها ذخیره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پیاده روی زیارتی اربعین، حرکتی نمادین است که در دل آن معانی مختلفی هم در بعد عینی اربعین و ابژه ها و هم در بعد باطنی اربعین و سوژه هاوجود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شیعیان، بیشترین مشارکتشان و حتی برای عده اندکی از آنها، تنها مشارکت آیینی شان در مناسک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درک عامه شیعیان از مقدساتشان از خلال مناسک عزاداری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ایام محرم و چه درفضای پیاده روی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عواملی </w:t>
      </w:r>
    </w:p>
    <w:p>
      <w:pPr>
        <w:pStyle w:val="BookText"/>
        <w:rPr/>
      </w:pPr>
      <w:r>
        <w:rPr>
          <w:rFonts w:ascii="IRNazanin" w:hAnsi="IRNazanin" w:eastAsia="IRNazanin"/>
          <w:color w:val="111111"/>
          <w:sz w:val="28"/>
          <w:sz w:val="28"/>
          <w:szCs w:val="28"/>
          <w:rtl w:val="true"/>
          <w:lang w:bidi="fa-IR"/>
        </w:rPr>
        <w:t>از جمله نمادهای مقدس، به درون زندگی آنها تسری پیدا می کند؛ یعنی عامه شیعیان وقتی می خواهند خدا را بفهمند یا امر قدسی شان را تجربه کنند بهترین جایی که در آن این مفاهیم را تجربه می کنند، آیین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تجربه آیینی امر قدسی و شناخت نمادهای مربوط به آن، نمی توانیم درک درستی از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اطلاعات جمع آوری شده نشان می دهد که مهمترین ابژه های نمادینی که در فضای مناسکی اربعین مورد استفاده قرار می گیرند شامل پرچم، کتیبه، پارچه نوشته، بنر، سربند، کوله پشتی، گهواره علی اصغر، ضریح نمادین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پنجۀ فلزی، پیکره، تربت و پارچه متبرک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هر کدام از این ابژه های نمادین، معانی مقدس خاصی را بازنمایی می کنند که در ذهن سوژه ها زنده هستند و مدام در تجربه های قدسی نو آنها دوباره برساخت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این نمادها به لحاظ بازنمایی از معانی مقدس، نو به نو در حال تغییر هستند اما ذهن ما را در یک مسیر مشخص و خاص هدایت می کنند که تا حدی قابل توصیف و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از پرچم، کتیبه، پارچه نوشته، بنر مهمترین معانی بازنمایی شده شامل این موارد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عزای 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ارادت، توسل و اقتدا نمودن زائران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علمدارکربلا و سایر شهدا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امر قدسی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و شاهد دانستن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و باور به برپا بودن مکتب و ادامهداشتن راه آنها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حضور عشیره، قوم و ملیت های مختلف در حرکتی مقدس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سربلندی و سرافرازی زائر اربعینی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طریق زائران با یک هدف محوری 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برای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ها و پارچه نوشته ها نیز معانی مشابه را باز نمایی می کنند که بیشتر در قالب شمایل نگاری و تصویرگری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ابژه های نمادین، وقایع مختلف کربلا در کنار معانی و مضامین اخلاقی مانند شجاعت، گذشت، وفاداری و عشق بازنمایی می شود که توجه سوژه های زائر را به خود جلب می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برخی از بنرها، در کنار تصاویر عاشورایی، نام معصومین، مضامین دعایی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ذوات مقدس و نیز تصاویری از شهدای جنگ ایران و عراق و </w:t>
      </w:r>
    </w:p>
    <w:p>
      <w:pPr>
        <w:pStyle w:val="BookText"/>
        <w:rPr/>
      </w:pPr>
      <w:r>
        <w:rPr>
          <w:rFonts w:ascii="IRNazanin" w:hAnsi="IRNazanin" w:eastAsia="IRNazanin"/>
          <w:color w:val="111111"/>
          <w:sz w:val="28"/>
          <w:sz w:val="28"/>
          <w:szCs w:val="28"/>
          <w:rtl w:val="true"/>
          <w:lang w:bidi="fa-IR"/>
        </w:rPr>
        <w:t>شهدای مدافع حرم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تصاویر شهدا در موکب ها بیانگر این معنا است که این شهدا، با هدفی مقدس، در امتداد نهضت عاشورا و اتصال به 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نمونه های مربوط به سربند و کوله، که از ابژه های نمادین مهم در فضای مناسکی اربعین هستند، غالبا چنین معانی ای بازنمایی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برداشتن زائر به عنوان رزمنده اسلام و ادامه دهنده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بندی به حجاب برای پاسداشت حریم حضرت زینب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وحدت میان عاشقان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استمرار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آینده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پیمودن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در مسیر کربلا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وظیفه در مورد ادای دین نسبت به شهدا و رهبر؛ شهدایی که طبق باورزائر برای حفظ دین و مقدسات الهی، جان خود را فدا نموده اند و رهبری که بار هدایت ملت شیعه را به دوش می کشد و اکنون امکان قدم برداشتن در مسیر مقدس کربلا را ندارد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نمودن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بار ظلم و ذلت نرفتن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در زمینه سازی این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سربند و کوله پشتی حاملان پیام زائر و معنابخش به حرکت او در مسیر پیاده 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استفاده از این اشیاء نمادین، حرکت خود را برای تحقق هدفی متعالی به شاهدان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زائران اربعینی، ایرانی ها بیش از دیگران از سربند استفاده می کنندکه این موضوع تحت تأثیر حافظه تاریخی آنها در دوران دفاع مقدس و تشبیه کردن صحنۀ پیاده روی اربعین به یک جبهه مقدس است که نشانه گرایش هویت گرایانه این دسته از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زائر با انتخاب چنین سربندی، هم عشق خود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و هم هدفی متعالی و هویتی خاص از خود را بازنمایی می کند که در مورد استفاده از نوشته ها و شعارهای روی کوله پشتی ها و پیکسل ها هم صدق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اشیائی مانند گهواره علی اصغر، ضریح، پنجه فلزی، پیکره در فضای مناسکی محرم و اربعین، معانی خاصی را بازنمایی می کنند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معصومیت طفل شش ماهه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گناه در کارزار کربلا کشته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شدن دستان </w:t>
      </w:r>
    </w:p>
    <w:p>
      <w:pPr>
        <w:pStyle w:val="BookText"/>
        <w:rPr/>
      </w:pPr>
      <w:r>
        <w:rPr>
          <w:rFonts w:ascii="IRNazanin" w:hAnsi="IRNazanin" w:eastAsia="IRNazanin"/>
          <w:color w:val="111111"/>
          <w:sz w:val="28"/>
          <w:sz w:val="28"/>
          <w:szCs w:val="28"/>
          <w:rtl w:val="true"/>
          <w:lang w:bidi="fa-IR"/>
        </w:rPr>
        <w:t xml:space="preserve">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هنگامی که برای پرکردن مشک آب و سیراب کردن کودکان با سپاه دشمن در افتاد،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قداست پنج تن آل عبا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معنویت و قداست ضریح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شهدای کربلا و زنان و کودکانی که به اسارت دشمن در آمدند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نمادها، با تأثیراتی که بر افراد و گروه ها می گذارند آنها را به سمت کنش خاصی متمایل می کنند؛ مثلا ابژه های نمادینی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علی اصغر، ضریح و پنجۀ فلزی و پیکره ها با تأثیر بصری بر مشاهده گران و ایجاد فضایی که یادآوری کننده صحنه هایی از عاشورا هستند، سهم مهمی در نزدیک شدن ذهن افراد به واقعه عاشورا، درک مصائب آن و آمادگی برای اجرای مناسک عزاداری و نیز حاجت خواهی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شیعیان، این نمادها، مجاری ای هستند که از خلال آنها، موجودات و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کنند؛ چرا که ویژگی نمادها،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امر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ابژه های نمادینی مانند تربت و پارچه متبرک به نوعی، معنای شفاء یافتن و قدرت تصرف الهی امام معصوم و ویژگی مقدس خاک کربلا را بازنمایی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نمادین بودن استفاده از عبا و چفیه در فضای پیاده روی اربعین می توان اینگونه تحلیل نمود؛ بسیاری از زنان ایرانی که شاید در حالت روزمره و زمان عادی زندگی خود، چادر یا عبا نمی پوشند در این مسیر از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چادر مخصوص عراقی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که به خودی خود، به یکدست شدن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ملیتی که به آن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حس نزدیکی و همبستگی میان زائران ایرانی و عراقی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استفاده مردان از چفیه هم این موضوع به نوعی مصداق دارد، ضمن اینکه معنای رزمنده بودن زائر اربعینی را بازنمایی می کند؛ مفهومی که یادگار و میراث دوران دفاع مقدس ایرانی ها محسوب می شود و از طرف دیگر نماد مسجدالاقصی و در حمایت از مردم مظلوم فلسطین در تضاد با صهیونیست و اشغال گران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فضای مناسکی اربعین با ارائه الگوی رفتاری خاص برای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کهپوشش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یکپارچگی و انسجام آنها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2"/>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5"/>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8"/>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19" o:detectmouseclick="t"/>
                <v:stroke color="#3465a4" joinstyle="round" endcap="flat"/>
                <w10:wrap type="none"/>
              </v:shape>
            </w:pict>
          </mc:Fallback>
        </mc:AlternateContent>
      </w:r>
      <w:bookmarkStart w:id="275" w:name="pg8689_87582"/>
    </w:p>
    <w:p>
      <w:pPr>
        <w:pStyle w:val="Heading3"/>
        <w:numPr>
          <w:ilvl w:val="2"/>
          <w:numId w:val="1"/>
        </w:numPr>
        <w:rPr/>
      </w:pPr>
      <w:bookmarkStart w:id="276" w:name="__RefHeading___Toc2713204_653776707"/>
      <w:bookmarkStart w:id="277" w:name="_Toc102"/>
      <w:bookmarkEnd w:id="275"/>
      <w:bookmarkEnd w:id="276"/>
      <w:r>
        <w:rPr>
          <w:rtl w:val="true"/>
        </w:rPr>
        <w:t>منابع</w:t>
      </w:r>
      <w:bookmarkEnd w:id="27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تقی زاده داوری، محمود و امید بابایی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نمادهای دینی در مناسک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نخل گردانی در ابیانه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شیعه شناسی، سال چهاردهم، شماره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رحمانی، جبار،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و اسطوره در ایران شیعی، تهران، انتشارات خیمه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شوالیه، ژان و آلن گربران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نمادها، جلد اول، دوم، سوم، ترجمه سودابه فضایلی، انتشارات جیحون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شواله، ژان و آلن گربران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نمادها، ترجمه سودابه فضایلی، کتاب سرای نیک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فکوهی، ناصر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رویکرد تفسیری کلیفورد گیرتز با تأکید بر تفسیر او از پدیده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مطالعات جامعه شناختی، ش</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فلیک، اووه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آمدی بر تحقیق کیفی، ترجمه هادی جلیلی، تهران، نشر 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Sherratt, Yvonne (2006), Continental Philosophy of Social Science, Cambridge University Press</w:t>
      </w:r>
      <w:r>
        <w:rPr>
          <w:rFonts w:eastAsia="Times New Roman" w:cs="Times New Roman" w:ascii="Times New Roman" w:hAnsi="Times New Roman"/>
          <w:color w:val="111111"/>
          <w:sz w:val="28"/>
          <w:szCs w:val="28"/>
          <w:rtl w:val="true"/>
          <w:lang w:val="en-US" w:bidi="en-US"/>
        </w:rPr>
        <w:t xml:space="preserve">. </w:t>
      </w:r>
      <w:bookmarkStart w:id="278" w:name="pg8689_87583"/>
    </w:p>
    <w:p>
      <w:pPr>
        <w:pStyle w:val="Heading2"/>
        <w:numPr>
          <w:ilvl w:val="1"/>
          <w:numId w:val="1"/>
        </w:numPr>
        <w:rPr/>
      </w:pPr>
      <w:bookmarkStart w:id="279" w:name="__RefHeading___Toc2713206_653776707"/>
      <w:bookmarkStart w:id="280" w:name="_Toc103"/>
      <w:bookmarkEnd w:id="278"/>
      <w:bookmarkEnd w:id="279"/>
      <w:r>
        <w:rPr>
          <w:rtl w:val="true"/>
        </w:rPr>
        <w:t xml:space="preserve">تحریفات عزاداری امام حسین </w:t>
      </w:r>
      <w:r>
        <w:rPr>
          <w:rtl w:val="true"/>
        </w:rPr>
        <w:t>(</w:t>
      </w:r>
      <w:r>
        <w:rPr>
          <w:rtl w:val="true"/>
        </w:rPr>
        <w:t>علیه السلام</w:t>
      </w:r>
      <w:r>
        <w:rPr>
          <w:rtl w:val="true"/>
        </w:rPr>
        <w:t>)</w:t>
      </w:r>
      <w:bookmarkEnd w:id="280"/>
    </w:p>
    <w:p>
      <w:pPr>
        <w:pStyle w:val="Heading3"/>
        <w:numPr>
          <w:ilvl w:val="2"/>
          <w:numId w:val="1"/>
        </w:numPr>
        <w:rPr/>
      </w:pPr>
      <w:bookmarkStart w:id="281" w:name="__RefHeading___Toc2713208_653776707"/>
      <w:bookmarkStart w:id="282" w:name="_Toc104"/>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مرضیه پوررجبی</w:t>
      </w:r>
      <w:r>
        <w:rPr>
          <w:rStyle w:val="FootnoteAnchor"/>
          <w:rtl w:val="true"/>
        </w:rPr>
        <w:footnoteReference w:id="36"/>
      </w:r>
      <w:r>
        <w:rPr>
          <w:rFonts w:ascii="IRNazanin" w:hAnsi="IRNazanin" w:eastAsia="IRNazanin"/>
          <w:color w:val="111111"/>
          <w:sz w:val="28"/>
          <w:sz w:val="28"/>
          <w:szCs w:val="28"/>
          <w:rtl w:val="true"/>
          <w:lang w:bidi="fa-IR"/>
        </w:rPr>
        <w:t>آزاده ابراهیمی فخاری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28/05/1400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10/08/1400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عزاداری بر مصائب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نقش سازنده آن در حفظ مکتب تشیع جایگاه ویژه ای دارد؛ لذا ضروری است تا با شناخت این انحرافات، مراسم عزاداری را از گزند بدعت ها در امان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به روش توصیفی به این نتیجه دست یافت که انحرافات در دو دسته محتوایی و رفتاری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محتوایی شامل نقل مطالب غیرمستند، غلو، وصف بیش از حد ظاهر بنی هاشم و گزارش های ذلت بار است و انحرافات رفتاری به قمه زنی، استفاده از آلات موسیقی، بی نظمی و سوء استفاده های مالی اشاره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 در عزاداری، عاشورا</w:t>
      </w:r>
      <w:r>
        <w:rPr>
          <w:rFonts w:eastAsia="IRNazanin" w:cs="IRNazanin"/>
          <w:color w:val="111111"/>
          <w:sz w:val="28"/>
          <w:szCs w:val="28"/>
          <w:rtl w:val="true"/>
          <w:lang w:bidi="fa-IR"/>
        </w:rPr>
        <w:t xml:space="preserve">. </w:t>
      </w:r>
      <w:bookmarkStart w:id="283" w:name="pg8689_87584"/>
    </w:p>
    <w:p>
      <w:pPr>
        <w:pStyle w:val="Heading3"/>
        <w:numPr>
          <w:ilvl w:val="2"/>
          <w:numId w:val="1"/>
        </w:numPr>
        <w:rPr/>
      </w:pPr>
      <w:bookmarkStart w:id="284" w:name="__RefHeading___Toc2713210_653776707"/>
      <w:bookmarkStart w:id="285" w:name="_Toc105"/>
      <w:bookmarkEnd w:id="283"/>
      <w:bookmarkEnd w:id="284"/>
      <w:r>
        <w:rPr>
          <w:rtl w:val="true"/>
        </w:rPr>
        <w:t>مقدمه</w:t>
      </w:r>
      <w:bookmarkEnd w:id="285"/>
    </w:p>
    <w:p>
      <w:pPr>
        <w:pStyle w:val="Heading4"/>
        <w:numPr>
          <w:ilvl w:val="3"/>
          <w:numId w:val="1"/>
        </w:numPr>
        <w:rPr/>
      </w:pPr>
      <w:bookmarkStart w:id="286" w:name="__RefHeading___Toc2713212_653776707"/>
      <w:bookmarkStart w:id="287" w:name="_Toc10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عزاداری در فرهنگ دینی شیعیان، یکی از آیین هایی است که نشان دهنده پیوند و دوستی شیعه با اولیای دین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رحلت و شهادت ایشان را گرامی داشتن، در سوگ و اعضایشان گریستن، گونه هایی از محبت به اولیای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برپایی مجالس عزاداری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از مودت و محبت، اهداف دیگری را نیز دنبال می کند که مهم ترین آنها معرفی قیام عاشورا، تقویت روحیه شهادت طلبی و نشر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نقش مهمی را در تقویت حیات دینی شیعه،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آشکار است، همان قدر که ارائه ویژگی های اعتقادی و راهبردی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حسینی گامی موثر در ترویج جنبه های اصولی و صحیح مکتب اسلام است، انحراف از مسیر صحیح فرهنگ عاشورایی هم نقش بسیار مخرب در معرفی شیعه و مکتب عاشورا دارد و آثار زیان باری همچون شادی دشمنان و تضعیف ایمان مردم و نظایر این موارد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موضوع ضروری است که انحرافات را شناخته و به مقابله با آنها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آقاجانی قناد،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اندیشه اصلاحی مراسم عزاداری به دوره قاجار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حسین نوری از جمله اولین افرادی است که کتاب لولو و مرجان را در این مورد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التنزیه الاعمال شیعه نام کتاب دیگری است که توسط سید محسن امین در این زمینه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نیز می توان بهآثاری چون حماسه حسینی شهید مطهری و تحریف شناسی عاشورا و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صحتی سردرودی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بسیاری نیز در این باره نگاشته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رضا بابایی،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و آسیب های فرهنگی، اجتماعی آن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سیف الله قنبری نیک و حکیمه احسانی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با مراجعه به کتاب ها و مقالات مربوطه ابتدا به تعریف عزاداری و جایگاه آن در آیات و روایات پرداخته و سپس انحرافات وارد بر آن را از جنبه محتوایی و رفتاری مورد بررسی قرار داده و گونه های </w:t>
      </w:r>
      <w:bookmarkStart w:id="288" w:name="pg8689_87585"/>
    </w:p>
    <w:p>
      <w:pPr>
        <w:pStyle w:val="BookText"/>
        <w:rPr/>
      </w:pPr>
      <w:bookmarkEnd w:id="288"/>
      <w:r>
        <w:rPr>
          <w:rFonts w:ascii="IRNazanin" w:hAnsi="IRNazanin" w:eastAsia="IRNazanin"/>
          <w:color w:val="111111"/>
          <w:sz w:val="28"/>
          <w:sz w:val="28"/>
          <w:szCs w:val="28"/>
          <w:rtl w:val="true"/>
          <w:lang w:bidi="fa-IR"/>
        </w:rPr>
        <w:t>مختلف هریک را بیان می کند</w:t>
      </w:r>
      <w:r>
        <w:rPr>
          <w:rFonts w:eastAsia="IRNazanin" w:cs="IRNazanin"/>
          <w:color w:val="111111"/>
          <w:sz w:val="28"/>
          <w:szCs w:val="28"/>
          <w:rtl w:val="true"/>
          <w:lang w:bidi="fa-IR"/>
        </w:rPr>
        <w:t>.</w:t>
      </w:r>
    </w:p>
    <w:p>
      <w:pPr>
        <w:pStyle w:val="Heading4"/>
        <w:numPr>
          <w:ilvl w:val="3"/>
          <w:numId w:val="1"/>
        </w:numPr>
        <w:rPr/>
      </w:pPr>
      <w:bookmarkStart w:id="289" w:name="__RefHeading___Toc2713214_653776707"/>
      <w:bookmarkStart w:id="290" w:name="_Toc107"/>
      <w:bookmarkEnd w:id="289"/>
      <w:r>
        <w:rPr/>
        <w:t>1</w:t>
      </w:r>
      <w:r>
        <w:rPr>
          <w:rtl w:val="true"/>
        </w:rPr>
        <w:t xml:space="preserve">- </w:t>
      </w:r>
      <w:r>
        <w:rPr>
          <w:rtl w:val="true"/>
        </w:rPr>
        <w:t>مفهوم عزاداری</w:t>
      </w:r>
      <w:bookmarkEnd w:id="290"/>
    </w:p>
    <w:p>
      <w:pPr>
        <w:pStyle w:val="BookText"/>
        <w:rPr/>
      </w:pPr>
      <w:r>
        <w:rPr>
          <w:rFonts w:ascii="IRNazanin" w:hAnsi="IRNazanin" w:eastAsia="IRNazanin"/>
          <w:color w:val="111111"/>
          <w:sz w:val="28"/>
          <w:sz w:val="28"/>
          <w:szCs w:val="28"/>
          <w:rtl w:val="true"/>
          <w:lang w:bidi="fa-IR"/>
        </w:rPr>
        <w:t xml:space="preserve">عزاداری با ریشه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سنگینی، وقار، متانت، تسلی و غمگساری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آذرتاش،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از آن به معنای نمایاندن و بزرگ شمردن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به صبر و شکیبائی کردن بر هر چیزی که انسان از دست می دهد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در اصطلاح مراسمی است که برای آرامش بخشیدن به فرد یا افراد داغ دیده برگزار می شود و به صورت های گوناگون مثل هم دردی زبانی، گریه کردن، یادآوری داغ های دیگران به ویژه داغ های بزرگان دینی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خاطرنشان کرد که این مراسم به صورت جمعی و در هر منطقه با توجه به مذهب و عرف آن منطقه با آداب خاصی انجام می گیرد؛ اما عزاداری در میان شیعیان با تعبیر خاص آن، مختص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همدردی با معصومین با هدف زنده نگه داشتن نهضت حسینی و مبارزه منفی با حکومت ظلم و جور برگزار می شود و در حقیقتنمودی از بیزاری نسبت به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شرکت کنندگان در آن غمگین می شوند؛ اما غم آن متفاوت از غم و غصه های زندگی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معنویت، غم آخرت و غم مظلومیت، که منشاء حرکت است و پس از خارج شدن از آن فضا، انسان احساس نشاط می کند و هرگز از استمرار آن دلزده نمی شود که قطعا در هیچ مجلس یادبود و بزرگداشت دیگری وضع به این صورت نیست</w:t>
      </w:r>
      <w:r>
        <w:rPr>
          <w:rFonts w:eastAsia="IRNazanin" w:cs="IRNazanin"/>
          <w:color w:val="111111"/>
          <w:sz w:val="28"/>
          <w:szCs w:val="28"/>
          <w:rtl w:val="true"/>
          <w:lang w:bidi="fa-IR"/>
        </w:rPr>
        <w:t>.</w:t>
      </w:r>
    </w:p>
    <w:p>
      <w:pPr>
        <w:pStyle w:val="Heading4"/>
        <w:numPr>
          <w:ilvl w:val="3"/>
          <w:numId w:val="1"/>
        </w:numPr>
        <w:rPr/>
      </w:pPr>
      <w:bookmarkStart w:id="291" w:name="__RefHeading___Toc2713216_653776707"/>
      <w:bookmarkStart w:id="292" w:name="_Toc108"/>
      <w:bookmarkEnd w:id="291"/>
      <w:r>
        <w:rPr/>
        <w:t>2</w:t>
      </w:r>
      <w:r>
        <w:rPr>
          <w:rtl w:val="true"/>
        </w:rPr>
        <w:t xml:space="preserve">- </w:t>
      </w:r>
      <w:r>
        <w:rPr>
          <w:rtl w:val="true"/>
        </w:rPr>
        <w:t>جایگاه عزاداری در آیات و روایات</w:t>
      </w:r>
      <w:bookmarkEnd w:id="2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به صراحت در مورد عزاداری سخن گفته نشده اما مفاهیمی که می توان عزاداری را از مصادیق آن دانست فراوان است نظیر آیاتی که به اظهار مظلومیت و اعلام ظلم امر می کند و یا آیاتی که دلالت بر سوگواری بعضی از اولیای الهی داشته اند، مانند </w:t>
      </w:r>
    </w:p>
    <w:p>
      <w:pPr>
        <w:pStyle w:val="BookText"/>
        <w:rPr/>
      </w:pPr>
      <w:r>
        <w:rPr>
          <w:rFonts w:ascii="IRNazanin" w:hAnsi="IRNazanin" w:eastAsia="IRNazanin"/>
          <w:color w:val="111111"/>
          <w:sz w:val="28"/>
          <w:sz w:val="28"/>
          <w:szCs w:val="28"/>
          <w:rtl w:val="true"/>
          <w:lang w:bidi="fa-IR"/>
        </w:rPr>
        <w:t xml:space="preserve">سوگواری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فرزند و یا آن گروه از آیات که بزرگداشت شعائر الهی را توصیه نموده اند و احیاء امر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یکی از این مصادیق است که در آن بزرگداشت شعائر دین نشانه تقوای دل به شمار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 مَنْ یُعَظِّمْ شَعائِرَ اللَّهِ فَإِنَّها مِنْ تَقْوَى الْقُلُوبِ؛</w:t>
      </w:r>
    </w:p>
    <w:p>
      <w:pPr>
        <w:pStyle w:val="BookText"/>
        <w:rPr/>
      </w:pPr>
      <w:r>
        <w:rPr>
          <w:rFonts w:ascii="IRNazanin" w:hAnsi="IRNazanin" w:eastAsia="IRNazanin"/>
          <w:color w:val="111111"/>
          <w:sz w:val="28"/>
          <w:sz w:val="28"/>
          <w:szCs w:val="28"/>
          <w:rtl w:val="true"/>
          <w:lang w:bidi="fa-IR"/>
        </w:rPr>
        <w:t xml:space="preserve">این است که فرائض الهی و هر کس شعائر الهی را تعظیم کند از تقوای دل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جمع شعیره و به معنای علامت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سر فصل های آئین الهی و برنامه های کلی دین است که انسان را به یاد خدا می اندازد و با آن که در این آیه مناسک حج جزوشعائر شمرده شده ولی عمومیت آیه نسبت به تمام شعائر الهی به قوت خود باقی است و هیچ دلیلی بر تخصیص آن بر مناسک حج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عبادت های دسته جمعی جزو شعائر الهی محسوب می شود و با توجه به مفهوم شعائر الله و جایگاه عزاداری در میان شیعیان، بر طبق نظر بسیاری از مفسران، این مراسم از شعائر الهی و دینی به شمار می رود و بزرگداشت این مجالس و رعایت آداب آن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 دانش،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قرآن در سیره عملی و قولی خود به طور ویژه برای برپایی عزاداری و زیارت قبر مطهر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اند و با روش های مختلف به این کار مبادرت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محمد خضرمی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سید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کرد و به افرادی که در خانه بودند و از آنان تقیه نمی کرد، دستور می داد تا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خانه خود مجلس عزا برپا می کردند و بر یکدیگر مصیبت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تسلیت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تأکید مسأله سوگواری 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آسمان، زمین و فرشتگان را مطرح می کند</w:t>
      </w:r>
      <w:r>
        <w:rPr>
          <w:rFonts w:eastAsia="IRNazanin" w:cs="IRNazanin"/>
          <w:color w:val="111111"/>
          <w:sz w:val="28"/>
          <w:szCs w:val="28"/>
          <w:rtl w:val="true"/>
          <w:lang w:bidi="fa-IR"/>
        </w:rPr>
        <w:t xml:space="preserve">: </w:t>
      </w:r>
      <w:bookmarkStart w:id="293" w:name="pg8689_87587"/>
    </w:p>
    <w:p>
      <w:pPr>
        <w:pStyle w:val="BookText"/>
        <w:rPr/>
      </w:pPr>
      <w:bookmarkEnd w:id="293"/>
      <w:r>
        <w:rPr>
          <w:rFonts w:ascii="IRNazanin" w:hAnsi="IRNazanin" w:eastAsia="IRNazanin"/>
          <w:color w:val="111111"/>
          <w:sz w:val="28"/>
          <w:sz w:val="28"/>
          <w:szCs w:val="28"/>
          <w:rtl w:val="true"/>
          <w:lang w:bidi="fa-IR"/>
        </w:rPr>
        <w:t xml:space="preserve">هفت آسمان و تمامی زمین بر شهادتش گریستند و چهار هزار فرشته که از آسمان به یاریش آمده بودند و او را کشته یافتند؛ در کنار قبرش عزادار و غمگین باقی مانده اند تا این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و به یاریش بشتابد و شعار آنان یا لثارات الحسین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سید بن طاووس،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نوع روایات که بیانگر اهمیت و جایگاه ویژه عزاداری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معصومین است، به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مقدار توجه و بیان مواهب عزاداری، به دلیل ثمرات و برکات فراوانی است که در زندگی فردی و اجتماعی انسان دارد</w:t>
      </w:r>
      <w:r>
        <w:rPr>
          <w:rFonts w:eastAsia="IRNazanin" w:cs="IRNazanin"/>
          <w:color w:val="111111"/>
          <w:sz w:val="28"/>
          <w:szCs w:val="28"/>
          <w:rtl w:val="true"/>
          <w:lang w:bidi="fa-IR"/>
        </w:rPr>
        <w:t>.</w:t>
      </w:r>
    </w:p>
    <w:p>
      <w:pPr>
        <w:pStyle w:val="Heading4"/>
        <w:numPr>
          <w:ilvl w:val="3"/>
          <w:numId w:val="1"/>
        </w:numPr>
        <w:rPr/>
      </w:pPr>
      <w:bookmarkStart w:id="294" w:name="__RefHeading___Toc2713218_653776707"/>
      <w:bookmarkStart w:id="295" w:name="_Toc109"/>
      <w:bookmarkEnd w:id="294"/>
      <w:r>
        <w:rPr/>
        <w:t>3</w:t>
      </w:r>
      <w:r>
        <w:rPr>
          <w:rtl w:val="true"/>
        </w:rPr>
        <w:t xml:space="preserve">- </w:t>
      </w:r>
      <w:r>
        <w:rPr>
          <w:rtl w:val="true"/>
        </w:rPr>
        <w:t xml:space="preserve">انواع انحراف در عزاداری امام حسین </w:t>
      </w:r>
      <w:r>
        <w:rPr>
          <w:rtl w:val="true"/>
        </w:rPr>
        <w:t>(</w:t>
      </w:r>
      <w:r>
        <w:rPr>
          <w:rtl w:val="true"/>
        </w:rPr>
        <w:t>علیه السلام</w:t>
      </w:r>
      <w:r>
        <w:rPr>
          <w:rtl w:val="true"/>
        </w:rPr>
        <w:t>)</w:t>
      </w:r>
      <w:bookmarkEnd w:id="295"/>
    </w:p>
    <w:p>
      <w:pPr>
        <w:pStyle w:val="Heading5"/>
        <w:numPr>
          <w:ilvl w:val="4"/>
          <w:numId w:val="1"/>
        </w:numPr>
        <w:rPr/>
      </w:pPr>
      <w:bookmarkStart w:id="296" w:name="__RefHeading___Toc2713220_653776707"/>
      <w:bookmarkStart w:id="297" w:name="_Toc110"/>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در میان جوامع شیعی عزاداری به صورت های گوناگون انجام می گیرد؛ که برگرفته از آداب و سنن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در ایران بعد از دوره صفویه بیشتر به صورت روضه خوانی و برپایی دسته جات سینه زنی و زنجیرزنی انجام می شود، اما این پدیده مانند هر پدیده اجتماعی دیگر در طول تاریخ دچار انحرافاتی شده که برخی از آنها جای ثابتی در عزاداری ها باز کرده است و در صورت عدم مواجهه درست با آنها ممکن است که آثار مطلوب این مراسم را تحت شعاع قرار داده و از مسیر اصلی خود منحرف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انحراف در این جا هر گونه تغییر در محتوا و سبک عزاداری است که تحت تأثیر عواملی چون اغراض دشمنان، عدم شناخت فلسفه قیام عاشورا، تمایل بیشتر به اسطوره سازی، جایگزینی شور به جای شعور حسینی و نظایر اینها در عزاداری ها وارد شده و تغییرات شگرفی در عرصه رفتار و عقیده آحاد جامعه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انحراف آفت بزرگ دین است که چهره و سیما را عوض می کند و خاصیت اصلی را از میان برده و به جای هدایت، جهالت می آورد و به جای تشویق به سوی عمل صالح، مشوق گناه و معصیتمی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98" w:name="pg8689_87588"/>
    </w:p>
    <w:p>
      <w:pPr>
        <w:pStyle w:val="BookText"/>
        <w:rPr/>
      </w:pPr>
      <w:bookmarkEnd w:id="298"/>
      <w:r>
        <w:rPr>
          <w:rFonts w:ascii="IRNazanin" w:hAnsi="IRNazanin" w:eastAsia="IRNazanin"/>
          <w:color w:val="111111"/>
          <w:sz w:val="28"/>
          <w:sz w:val="28"/>
          <w:szCs w:val="28"/>
          <w:rtl w:val="true"/>
          <w:lang w:bidi="fa-IR"/>
        </w:rPr>
        <w:t>انحرافات و تحریف های موجود در عزاداری را می توان به دو دسته عمده؛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محتوا و مضامین،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کردار و رفتار تقسیم کرد</w:t>
      </w:r>
      <w:r>
        <w:rPr>
          <w:rFonts w:eastAsia="IRNazanin" w:cs="IRNazanin"/>
          <w:color w:val="111111"/>
          <w:sz w:val="28"/>
          <w:szCs w:val="28"/>
          <w:rtl w:val="true"/>
          <w:lang w:bidi="fa-IR"/>
        </w:rPr>
        <w:t>:</w:t>
      </w:r>
    </w:p>
    <w:p>
      <w:pPr>
        <w:pStyle w:val="Heading5"/>
        <w:numPr>
          <w:ilvl w:val="4"/>
          <w:numId w:val="1"/>
        </w:numPr>
        <w:rPr/>
      </w:pPr>
      <w:bookmarkStart w:id="299" w:name="__RefHeading___Toc2713222_653776707"/>
      <w:bookmarkStart w:id="300" w:name="_Toc111"/>
      <w:bookmarkEnd w:id="299"/>
      <w:r>
        <w:rPr/>
        <w:t>3-1</w:t>
      </w:r>
      <w:r>
        <w:rPr>
          <w:rtl w:val="true"/>
        </w:rPr>
        <w:t xml:space="preserve">- </w:t>
      </w:r>
      <w:r>
        <w:rPr>
          <w:rtl w:val="true"/>
        </w:rPr>
        <w:t>انحراف در محتوا و مضامین</w:t>
      </w:r>
      <w:bookmarkEnd w:id="300"/>
    </w:p>
    <w:p>
      <w:pPr>
        <w:pStyle w:val="Heading6"/>
        <w:numPr>
          <w:ilvl w:val="5"/>
          <w:numId w:val="1"/>
        </w:numPr>
        <w:rPr/>
      </w:pPr>
      <w:bookmarkStart w:id="301" w:name="__RefHeading___Toc2713224_653776707"/>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اولین بنای مکتب تشیع،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خارج از عقل در عزاداری ها صورت بگیرد، مسلما مکتب ما را از طرف دشمنان مورد وهن قرار می دهد و این یک انحراف محسوب می شود که به ضرر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انحراف به صورت تغییر در مضمون روضه خوانی ها و یا سخنرانی ها است و به صورت های مختلف عزاداری را مورد آسیب قرار می دهد که به نمونه هایی از آنها اشاره می شود</w:t>
      </w:r>
      <w:r>
        <w:rPr>
          <w:rFonts w:eastAsia="IRNazanin" w:cs="IRNazanin"/>
          <w:color w:val="111111"/>
          <w:sz w:val="28"/>
          <w:szCs w:val="28"/>
          <w:rtl w:val="true"/>
          <w:lang w:bidi="fa-IR"/>
        </w:rPr>
        <w:t>.</w:t>
      </w:r>
    </w:p>
    <w:p>
      <w:pPr>
        <w:pStyle w:val="Heading6"/>
        <w:numPr>
          <w:ilvl w:val="5"/>
          <w:numId w:val="1"/>
        </w:numPr>
        <w:rPr/>
      </w:pPr>
      <w:bookmarkStart w:id="303" w:name="__RefHeading___Toc2713226_653776707"/>
      <w:bookmarkStart w:id="304" w:name="_Toc113"/>
      <w:bookmarkEnd w:id="303"/>
      <w:r>
        <w:rPr/>
        <w:t>3-1-1</w:t>
      </w:r>
      <w:r>
        <w:rPr>
          <w:rtl w:val="true"/>
        </w:rPr>
        <w:t xml:space="preserve">- </w:t>
      </w:r>
      <w:r>
        <w:rPr>
          <w:rtl w:val="true"/>
        </w:rPr>
        <w:t>نقل مطالب و وقایع غیرمستند در عزاداری</w:t>
      </w:r>
      <w:bookmarkEnd w:id="30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ذاکران و گویندگان فضائل و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به استفاده از منابع معتبر و صحیح سند ندانسته و حتی عده ای از آنان مراجعه به هیچ کتابی را اعم از معتبر و غیرمعتبر وظیفه خود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ناشی از ضعف دانش و بینش عمومی در جامعه، عدم آگاهی از اصول و شیوه های عزاداری مطلوب دینی می باشد و زمینه ساز گسترش تحریف ها و خرافه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از قدیم گریبان گیر بخشی از مداحی ها و روضه خوانی ها بوده و در خوش بینانه ترین حالت تنها در پی گرفتن قطره اشکی بیشتر و شور مضاعف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آنکه در پی ترویج اهداف نهضت حسینی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در مصائباباعبدالله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ارزشمند و دارای آثار مادی و معنوی بسیاری است و در روایات به آن بسیار پرداخته شده است؛ با این همه نباید به تغییر در محتوا و پیام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آورده اند که در همان گرما گرم روز عاشورا که حتی مجال خواندن نماز هم نبود؛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خوف خواندند و دو نفر از اصحاب که خود را سپر ایشان قرار داده بودند، با تیرهای دشمن به شهادت رسیدند، در همان گیر و 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حجله عروسی قاسم را با یکی از دختران ایشان برگزار کنند؛ چون </w:t>
      </w:r>
      <w:bookmarkStart w:id="305" w:name="pg8689_87589"/>
    </w:p>
    <w:p>
      <w:pPr>
        <w:pStyle w:val="BookText"/>
        <w:rPr/>
      </w:pPr>
      <w:bookmarkEnd w:id="305"/>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دارد این ازدواج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یک پدر که آرزوی عروسی پسر یا دخترش را دارد؛ تقلیل داده اند آن هم در هنگامی که در آن هیاهو وقت چنین کارهایی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پای ثابت بسیاری از تعزیه ها یا روضه خوانی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قضیه در هیچ کتابی از کتاب های معتبر نقل نشده است و روایتی از حاجی نوری است که اولین بار ملا حسین کاشفی در کتابش به نام روضة الشهداء نوشته و اصل قضیه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تحریف ها در نقل وقایع عاشورا حتی در میان کتب و آثار موجود نیز دیده می شود تا جایی که اگر بخواهیم روضه های دروغی را که می خوانند، جمع آوری کنیم شاید چند جلد کتاب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گونه موارد هرچند باعث ایجاد تأثر و اشک در مخاطبان می شود؛ ولی آیا تصویری صحیح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دهد؟ آیا تمام هدف عاشورا گریستن بوده است که ما بخواهیم آن را به هر قیمتی به دست بیاوریم؟</w:t>
      </w:r>
    </w:p>
    <w:p>
      <w:pPr>
        <w:pStyle w:val="Heading6"/>
        <w:numPr>
          <w:ilvl w:val="5"/>
          <w:numId w:val="1"/>
        </w:numPr>
        <w:rPr/>
      </w:pPr>
      <w:bookmarkStart w:id="306" w:name="__RefHeading___Toc2713228_653776707"/>
      <w:bookmarkStart w:id="307" w:name="_Toc114"/>
      <w:bookmarkEnd w:id="306"/>
      <w:r>
        <w:rPr/>
        <w:t>3-1-2</w:t>
      </w:r>
      <w:r>
        <w:rPr>
          <w:rtl w:val="true"/>
        </w:rPr>
        <w:t xml:space="preserve">- </w:t>
      </w:r>
      <w:r>
        <w:rPr>
          <w:rtl w:val="true"/>
        </w:rPr>
        <w:t>غلو و اغراق در بیان وقایع عاشورا</w:t>
      </w:r>
      <w:bookmarkEnd w:id="307"/>
    </w:p>
    <w:p>
      <w:pPr>
        <w:pStyle w:val="BookText"/>
        <w:rPr/>
      </w:pPr>
      <w:r>
        <w:rPr>
          <w:rFonts w:ascii="IRNazanin" w:hAnsi="IRNazanin" w:eastAsia="IRNazanin"/>
          <w:color w:val="111111"/>
          <w:sz w:val="28"/>
          <w:sz w:val="28"/>
          <w:szCs w:val="28"/>
          <w:rtl w:val="true"/>
          <w:lang w:bidi="fa-IR"/>
        </w:rPr>
        <w:t xml:space="preserve">غلو در لغت به معنای تجاوز و بالاتر رفتن هر چیز از حد خود معنیشده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غلو به عنوان خدا پنداری تفسیر می شود؛ یعنی آنکه بعضی، اولیاء خدا را تا مقام خدایی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غلوی که در اینجا از آن یاد می شود، غلو در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بعضی از مباحث دینی را از حد خود فراتر برده به گونه ای که سایر مفاهیم مهجور واقع شوند و در این حالت اصل را به فرع برده و حواشی دین را برجسته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کریم مردم را از غلو نهی می کند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الْكِتَابِ لَا تَغْلُوا فِی دِینِكُمْ وَلَا تَقُولُوا عَلَى اللَّهِ إِلَّا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آیه در سوره مائده نیز تکرار شده و از اهل ایمان می خواهد که در دینشان از آنچه بایسته است، فراتر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سیره خود به شدت در برابر مغالطه گران ایستاده اند و در این باره هیچ گونه تساهلی را قائل نبوده اند، به طوری که در مواردی آنان را لعن کرده و حکم به کفر و </w:t>
      </w:r>
      <w:bookmarkStart w:id="308" w:name="pg8689_87590"/>
    </w:p>
    <w:p>
      <w:pPr>
        <w:pStyle w:val="BookText"/>
        <w:rPr/>
      </w:pPr>
      <w:bookmarkEnd w:id="308"/>
      <w:r>
        <w:rPr>
          <w:rFonts w:ascii="IRNazanin" w:hAnsi="IRNazanin" w:eastAsia="IRNazanin"/>
          <w:color w:val="111111"/>
          <w:sz w:val="28"/>
          <w:sz w:val="28"/>
          <w:szCs w:val="28"/>
          <w:rtl w:val="true"/>
          <w:lang w:bidi="fa-IR"/>
        </w:rPr>
        <w:t xml:space="preserve">وجوب قتل آنان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من دو گروه نصیبی از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کسانی که علم جنگ و مخالفت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برافروزند و دوم آنان که در دین غلو نمایند و از حد آن تجاوز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درباره من دچار هلاکت شدند، نخست آنان که در حق من غلو کردند و دوم گروهی که درباره من تقصیر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موضع گیری های روشنی از سوی قرآن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غلو و اغراق گویی در مورد نحوه زندگی و شهادت ایشان خصوصاً در مورد واقعهعاشورا در بین محتوای اشعار و سخنرانی ها وجود دارد که از یک طرف باعث می شود تصویری غیرواقعی و نامعقول از عاشورا را متصور شود؛ تصویری که در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مافوق است نه مافوق انسان که نمی تواند سرمشق باشد، هرچند چنین تصویری برخی از مردم را جلب و جذب می کند؛ اما کم کم ارکان باورهای دینی مردم را سست می کند و گروهی از مردم را به این باور می رساند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ایشان قابل الگوبرداری نیست و حادثه ای پر از شگفتی است که تنها باید بر آن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به دلیل آن که نه با فلسفه قیام و مسئولیت الهی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شواهد و اسناد تاریخی تناسبی ندارد و اکثرا عقلانی هم نیستند زمینه را برای تبلیغات سوء دشمنان تشیع و تکفیر شیعیان فراهم می کند و نتیجه آن عقیم ماندن قیام کربلا و تقدس غیرقابل تصور دسترس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پرغو،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وقایع عاشورا نیز این مهم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و یاران ایشان مقامی بسیار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تجاوز از حد و تصویرسازی مقام خدایی برای ایشان نه تنها باعث عظمت بخشی به مقام ایشان نمی شود؛ بلکه باعث وهن دین و عدم ایجاد معرفت حقیقی نسبت به این بزرگواران می گردد</w:t>
      </w:r>
      <w:r>
        <w:rPr>
          <w:rFonts w:eastAsia="IRNazanin" w:cs="IRNazanin"/>
          <w:color w:val="111111"/>
          <w:sz w:val="28"/>
          <w:szCs w:val="28"/>
          <w:rtl w:val="true"/>
          <w:lang w:bidi="fa-IR"/>
        </w:rPr>
        <w:t>.</w:t>
      </w:r>
    </w:p>
    <w:p>
      <w:pPr>
        <w:pStyle w:val="Heading6"/>
        <w:numPr>
          <w:ilvl w:val="5"/>
          <w:numId w:val="1"/>
        </w:numPr>
        <w:rPr/>
      </w:pPr>
      <w:bookmarkStart w:id="309" w:name="__RefHeading___Toc2713230_653776707"/>
      <w:bookmarkStart w:id="310" w:name="_Toc115"/>
      <w:bookmarkEnd w:id="309"/>
      <w:r>
        <w:rPr/>
        <w:t>3-1-3</w:t>
      </w:r>
      <w:r>
        <w:rPr>
          <w:rtl w:val="true"/>
        </w:rPr>
        <w:t xml:space="preserve">- </w:t>
      </w:r>
      <w:r>
        <w:rPr>
          <w:rtl w:val="true"/>
        </w:rPr>
        <w:t>افراط در وصف زیبایی ظاهری بنی هاشم</w:t>
      </w:r>
      <w:bookmarkEnd w:id="31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معتبر دست اول به زیبایی ظاهری بنی هاشم و اصحاب ایشان، به ویژه </w:t>
      </w:r>
      <w:bookmarkStart w:id="311" w:name="pg8689_87591"/>
    </w:p>
    <w:p>
      <w:pPr>
        <w:pStyle w:val="BookText"/>
        <w:rPr/>
      </w:pPr>
      <w:bookmarkEnd w:id="311"/>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کنند؛ اما توصیف افراطی از زیبایی ایشان در مداحی ها و بعضی کتب کنونی به اندازه ای اغراق آمیز است که باعث دوری از اهداف و ارزش های قیام عاشورا و محدود شدن به ظاهر است به گونه ای که این توصیف ها بیشتر نمودی برای اندوهگینی مخاطب، در از دست دادن ومرگ زیبا رویان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پرغو،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بی رویه از واژه هایی چون چشم، ابرو، زلف و قد رعنای ممدوح، اصلا مناسب شأن و 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تأکید برای این مسأله فضایل اخلاقی آنها را در حاشیه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تبعیت از رویه اخلاقی و رفتار دینی و انسان ساز آنهاست، نه تکیه بر جزئیات چهره و اندام که تخیل گوینده، آنها را پروبال داده است و توهینی در لباس مدح و ستایش است و قطعاً مورد رضایت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 فر،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6"/>
        <w:numPr>
          <w:ilvl w:val="5"/>
          <w:numId w:val="1"/>
        </w:numPr>
        <w:rPr/>
      </w:pPr>
      <w:bookmarkStart w:id="312" w:name="__RefHeading___Toc2713232_653776707"/>
      <w:bookmarkStart w:id="313" w:name="_Toc116"/>
      <w:bookmarkEnd w:id="312"/>
      <w:r>
        <w:rPr/>
        <w:t>3-1-4</w:t>
      </w:r>
      <w:r>
        <w:rPr>
          <w:rtl w:val="true"/>
        </w:rPr>
        <w:t xml:space="preserve">- </w:t>
      </w:r>
      <w:r>
        <w:rPr>
          <w:rtl w:val="true"/>
        </w:rPr>
        <w:t>گزارش های ذلت بار</w:t>
      </w:r>
      <w:bookmarkEnd w:id="313"/>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عزت الهی و عاشورا جلوه گر حماسه حسینی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گزارش شده که آن حضرت ضمن یک سخنرانی در روز عاشورا به سپاه دشمن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پسر خوانده شده، مرا میان دو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کشیدن یا خواری کشیدن و هیهات که ما به ذلت تن ندهیم، خداوند و رسول او و مؤمنان برای ما زبونی نپسندند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حال که کشته شدنم، قطعی است پس جرعه ای آب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با محکمات عاشورا و موضع گیری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افتخارآمیزش، منافات دارد؛ مخالف اصول و باورهای شیعه است و جزو انحراف مجالس عزاداری محسوب می شود و بر ذاکران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از سخن و تعبیری که حاکی از اظهار ذلت آن بزرگوار یا فرزندان ایشان در حادثه عاشورا باشد،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بود که پذیرای ذلت باشد، قیام چهلزومی داشت؟ اصل قیام ایشان بر پایه هَیهَاتَ مِنَّا الذِّلَّة بیان شده است</w:t>
      </w:r>
      <w:r>
        <w:rPr>
          <w:rFonts w:eastAsia="IRNazanin" w:cs="IRNazanin"/>
          <w:color w:val="111111"/>
          <w:sz w:val="28"/>
          <w:szCs w:val="28"/>
          <w:rtl w:val="true"/>
          <w:lang w:bidi="fa-IR"/>
        </w:rPr>
        <w:t xml:space="preserve">. </w:t>
      </w:r>
      <w:bookmarkStart w:id="314" w:name="pg8689_87592"/>
    </w:p>
    <w:p>
      <w:pPr>
        <w:pStyle w:val="Heading5"/>
        <w:numPr>
          <w:ilvl w:val="4"/>
          <w:numId w:val="1"/>
        </w:numPr>
        <w:rPr/>
      </w:pPr>
      <w:bookmarkStart w:id="315" w:name="__RefHeading___Toc2713234_653776707"/>
      <w:bookmarkStart w:id="316" w:name="_Toc117"/>
      <w:bookmarkEnd w:id="314"/>
      <w:bookmarkEnd w:id="315"/>
      <w:r>
        <w:rPr/>
        <w:t>3-2</w:t>
      </w:r>
      <w:r>
        <w:rPr>
          <w:rtl w:val="true"/>
        </w:rPr>
        <w:t xml:space="preserve">- </w:t>
      </w:r>
      <w:r>
        <w:rPr>
          <w:rtl w:val="true"/>
        </w:rPr>
        <w:t>انحراف در کردار و رفتار</w:t>
      </w:r>
      <w:bookmarkEnd w:id="316"/>
    </w:p>
    <w:p>
      <w:pPr>
        <w:pStyle w:val="Heading6"/>
        <w:numPr>
          <w:ilvl w:val="5"/>
          <w:numId w:val="1"/>
        </w:numPr>
        <w:rPr/>
      </w:pPr>
      <w:bookmarkStart w:id="317" w:name="__RefHeading___Toc2713236_653776707"/>
      <w:bookmarkStart w:id="318" w:name="_Toc118"/>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دسته دیگری از انحرافات که وارد جریان عزاداری شده و آن را دچار آسیب کرده انحراف در عملکرد عزاداران است که با گونه های مختلف بروز و ظهور دارد که به بررسی جداگانه ای هر یک پرداخته می شود</w:t>
      </w:r>
      <w:r>
        <w:rPr>
          <w:rFonts w:eastAsia="IRNazanin" w:cs="IRNazanin"/>
          <w:color w:val="111111"/>
          <w:sz w:val="28"/>
          <w:szCs w:val="28"/>
          <w:rtl w:val="true"/>
          <w:lang w:bidi="fa-IR"/>
        </w:rPr>
        <w:t>.</w:t>
      </w:r>
    </w:p>
    <w:p>
      <w:pPr>
        <w:pStyle w:val="Heading6"/>
        <w:numPr>
          <w:ilvl w:val="5"/>
          <w:numId w:val="1"/>
        </w:numPr>
        <w:rPr/>
      </w:pPr>
      <w:bookmarkStart w:id="319" w:name="__RefHeading___Toc2713238_653776707"/>
      <w:bookmarkStart w:id="320" w:name="_Toc119"/>
      <w:bookmarkEnd w:id="319"/>
      <w:r>
        <w:rPr/>
        <w:t>3-2-1</w:t>
      </w:r>
      <w:r>
        <w:rPr>
          <w:rtl w:val="true"/>
        </w:rPr>
        <w:t xml:space="preserve">- </w:t>
      </w:r>
      <w:r>
        <w:rPr>
          <w:rtl w:val="true"/>
        </w:rPr>
        <w:t>قمه زنی</w:t>
      </w:r>
      <w:bookmarkEnd w:id="320"/>
    </w:p>
    <w:p>
      <w:pPr>
        <w:pStyle w:val="BookText"/>
        <w:rPr/>
      </w:pPr>
      <w:r>
        <w:rPr>
          <w:rFonts w:ascii="IRNazanin" w:hAnsi="IRNazanin" w:eastAsia="IRNazanin"/>
          <w:color w:val="111111"/>
          <w:sz w:val="28"/>
          <w:sz w:val="28"/>
          <w:szCs w:val="28"/>
          <w:rtl w:val="true"/>
          <w:lang w:bidi="fa-IR"/>
        </w:rPr>
        <w:t xml:space="preserve">قمه زنی مراسمی است که در بعضی از شهرها و بلاد شیعه توسط گروهی از عزاداران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کنندگان در این مراسم صبح عاشورا با پوشیدن لباس سفید به طور جمعی، اسلاحی چون دشنه بزرگ بر سر می زنند و هدف خود را تأسی به جراحت و شهادت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کربلا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عمل نه تنها با روح و تعالیم اسلام رابطه ای ندارد؛ بلکه در تقابلی آشکار با آن بوده و بیشترین نقش را در تخریب چهره تشیع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اعمالی فارغ از دخیل بودن عوامل خارجی و اغراض دشمنان در آن، ناشی از کم بصیرتی و کج فهمی از فلسفه عزاداری بر سالار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قمه زدن، تیغ زدن یا اعمالی نظیر آن، عزاداری می کنند، بر این باور هستند که هرچه صدمه بیشتر به بدن خود وارد کنند، همدردی و مواسات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غافل از آنکه چنین روشی نه تنها دارای سابقه تاریخی و توجیه عقلانی نیست؛ بلکه عملی است که به جهت اضرار بر نفس یا اعضای بدن و نیز از بعد انعکاس تاثیرات منفی آن بر باورهای مخالفان شیعه و نیز وهن بودن آن، از نظر شرعی اشکال دارد و بسیاری از مراجع تقلید بر حرمت این عمل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پاسخبه استفتائی در مورد قمه زنی در انظار عمومی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و اوضاع کنونی از قمه زدن خودداری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خمینی،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می فرمایند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قمه زنی علاوه بر آنکه از نظر عرفی از مظاهر حزن و اندوه محسوب نمی شود و سابقه ای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های بعد از آن ندارد و تأییدی به شکل خاص و یا عام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نرسیده است، در زمان حاضر موجب وهن و </w:t>
      </w:r>
      <w:bookmarkStart w:id="321" w:name="pg8689_87593"/>
    </w:p>
    <w:p>
      <w:pPr>
        <w:pStyle w:val="BookText"/>
        <w:rPr/>
      </w:pPr>
      <w:bookmarkEnd w:id="321"/>
      <w:r>
        <w:rPr>
          <w:rFonts w:ascii="IRNazanin" w:hAnsi="IRNazanin" w:eastAsia="IRNazanin"/>
          <w:color w:val="111111"/>
          <w:sz w:val="28"/>
          <w:sz w:val="28"/>
          <w:szCs w:val="28"/>
          <w:rtl w:val="true"/>
          <w:lang w:bidi="fa-IR"/>
        </w:rPr>
        <w:t>بدنام شدن مذهب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 حالتی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خامنه 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وهن، توهین و استهانه در منابع فقهی مترادف با استنخاف و به معنی کاری است که موجب خفیف شدن، حقیرشدن و اهانت می شود و روشن است که قمه زنی از مصادیق بارز وهن دین است که باید از انجام آن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6"/>
        <w:numPr>
          <w:ilvl w:val="5"/>
          <w:numId w:val="1"/>
        </w:numPr>
        <w:rPr/>
      </w:pPr>
      <w:bookmarkStart w:id="322" w:name="__RefHeading___Toc2713240_653776707"/>
      <w:bookmarkStart w:id="323" w:name="_Toc120"/>
      <w:bookmarkEnd w:id="322"/>
      <w:r>
        <w:rPr/>
        <w:t>3-2-2</w:t>
      </w:r>
      <w:r>
        <w:rPr>
          <w:rtl w:val="true"/>
        </w:rPr>
        <w:t xml:space="preserve">- </w:t>
      </w:r>
      <w:r>
        <w:rPr>
          <w:rtl w:val="true"/>
        </w:rPr>
        <w:t>غنا و ابتذال در عزاداری</w:t>
      </w:r>
      <w:bookmarkEnd w:id="323"/>
    </w:p>
    <w:p>
      <w:pPr>
        <w:pStyle w:val="BookText"/>
        <w:rPr/>
      </w:pPr>
      <w:r>
        <w:rPr>
          <w:rFonts w:ascii="IRNazanin" w:hAnsi="IRNazanin" w:eastAsia="IRNazanin"/>
          <w:color w:val="111111"/>
          <w:sz w:val="28"/>
          <w:sz w:val="28"/>
          <w:szCs w:val="28"/>
          <w:rtl w:val="true"/>
          <w:lang w:bidi="fa-IR"/>
        </w:rPr>
        <w:t>یکی دیگر از مشکلات جدی در عزاداری های امروزی، رواج آهنگ ها و سبک هایی است که هیچ هماهنگی و نسبتی با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آهنگ های استفاده شده در مداحی ها، از موسیقی های غربی کپی شده است و در بعضی از موارد مصداق غنا محسوب می شود و علاوه بر آنکه در شأن و مقام اولیای الهی نیست، هنگام شنیده شدن توسط مخاطب هم تداعی ذهنی نامطلوب،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آتشین صدف،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مداحان زیر صدایی را ایجاد می کنند مانند حسین حسین گفتن بصورت نفسی یا سکسکه ای که با تکرار زیادی ایجاد غنا می کند و باعث هیجانات و شورکاذب در عزاداران شده افراد را از خود بی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لحن عربی بخوانید و از لحن های اهل فسق و گناهان کبیره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چنین دستوری در مورد قرآن؛ حتما در باب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قرآن ناطق هستند و بزرگداشت آنها، بزرگداشت اسلام و قرآن است،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در این باره می فرمایند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وجوهی سلوک کنند که زبان نواصب دراز نشود و استعمال محرمات از قبیل غنا که غالباً نوحه ها خالی از آن نیست و حکایت ضعیفه، منظومة الکذب احتراز نمایند و شیطان را در این عبادت بزرگ راه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324" w:name="pg8689_87594"/>
    </w:p>
    <w:p>
      <w:pPr>
        <w:pStyle w:val="Heading6"/>
        <w:numPr>
          <w:ilvl w:val="5"/>
          <w:numId w:val="1"/>
        </w:numPr>
        <w:rPr/>
      </w:pPr>
      <w:bookmarkStart w:id="325" w:name="__RefHeading___Toc2713242_653776707"/>
      <w:bookmarkStart w:id="326" w:name="_Toc121"/>
      <w:bookmarkEnd w:id="324"/>
      <w:bookmarkEnd w:id="325"/>
      <w:r>
        <w:rPr/>
        <w:t>3-2-3</w:t>
      </w:r>
      <w:r>
        <w:rPr>
          <w:rtl w:val="true"/>
        </w:rPr>
        <w:t xml:space="preserve">- </w:t>
      </w:r>
      <w:r>
        <w:rPr>
          <w:rtl w:val="true"/>
        </w:rPr>
        <w:t>بی نظمی و سلب آسایش عمومی</w:t>
      </w:r>
      <w:bookmarkEnd w:id="326"/>
    </w:p>
    <w:p>
      <w:pPr>
        <w:pStyle w:val="BookText"/>
        <w:rPr/>
      </w:pPr>
      <w:r>
        <w:rPr>
          <w:rFonts w:ascii="IRNazanin" w:hAnsi="IRNazanin" w:eastAsia="IRNazanin"/>
          <w:color w:val="111111"/>
          <w:sz w:val="28"/>
          <w:sz w:val="28"/>
          <w:szCs w:val="28"/>
          <w:rtl w:val="true"/>
          <w:lang w:bidi="fa-IR"/>
        </w:rPr>
        <w:t>سیره و روش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بوده است که در همه حال الگویی نیکو برای همه مردم به ویژه شیعیان قرار گرفته، از این رو پیروان ایشان باید با تبعیت از ایشان کردار و رفتار خود را بگونه ای بیارایند که مطابق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طبق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لَنا زَیْناً وَ لا تَکونُوا عَلَیْنا شَیْناً؛ زینت ما باشید نه باعث ملامت و سرزنش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باید آداب اسلامی را در همه حال رعایت کنند مخصوصا هنگامی که مراسم برگزار شده منتسب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گاهی اوقات اعمال شیعیان مخصوصا گردانندگان هیأت مذهبی و یا شرکت کنندگان، تصویری برخلاف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نظمی در عزاداری و سلب آسایش مردم، آسیب زیادی بر وجهه شیعیان وارد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پرغو،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کردن بی موقع، بلند بودن صدای بلندگوها، ازدحام در معابرعمومی و مسدود شدن خیابان ها از مصادیق حق الناس است که در هیچ حالی حتی هنگام برپایی مراسم عزاداری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بسیار والا نزد پروردگار دارد،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قرائتی در سخنانی که در باب عزاداری داشته اند،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 بلندگوها نباید همسایه ها را اذیت کند، جز برای اذان ما حق نداریم کسی را از خواب بیدار کنیم چه بوق عروسی، چه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 وقت عزاداری نکنید مثل نصف شب، اینطور نباشد که شب ها مثلاً تا ساعت دو نیمه شب عزاداری کرده، اسباب ناراحتی دیگران را به بار آورید</w:t>
      </w:r>
      <w:r>
        <w:rPr>
          <w:rFonts w:eastAsia="IRNazanin" w:cs="IRNazanin"/>
          <w:color w:val="111111"/>
          <w:sz w:val="28"/>
          <w:szCs w:val="28"/>
          <w:rtl w:val="true"/>
          <w:lang w:bidi="fa-IR"/>
        </w:rPr>
        <w:t>».</w:t>
      </w:r>
      <w:r>
        <w:rPr>
          <w:rStyle w:val="FootnoteAnchor"/>
          <w:rtl w:val="true"/>
        </w:rPr>
        <w:footnoteReference w:id="3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آیت الله لنکرانی پرسیده شد که پخش صدای سخنرانی، روضه خوانی، مداحی و عزاداری از بلندگوهای مسجد، حسینیه و تکایا با توجه به عدم رضایت همسایگان چه حکمی دارد؟ ایشان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موجب اذیت و آزار همسایگان شود، جایز نیست</w:t>
      </w:r>
      <w:r>
        <w:rPr>
          <w:rFonts w:eastAsia="IRNazanin" w:cs="IRNazanin"/>
          <w:color w:val="111111"/>
          <w:sz w:val="28"/>
          <w:szCs w:val="28"/>
          <w:rtl w:val="true"/>
          <w:lang w:bidi="fa-IR"/>
        </w:rPr>
        <w:t>».</w:t>
      </w:r>
      <w:r>
        <w:rPr>
          <w:rStyle w:val="FootnoteAnchor"/>
          <w:rtl w:val="true"/>
        </w:rPr>
        <w:footnoteReference w:id="39"/>
      </w:r>
      <w:bookmarkStart w:id="327" w:name="pg8689_87595"/>
    </w:p>
    <w:p>
      <w:pPr>
        <w:pStyle w:val="BookText"/>
        <w:rPr/>
      </w:pPr>
      <w:bookmarkEnd w:id="327"/>
      <w:r>
        <w:rPr>
          <w:rFonts w:ascii="IRNazanin" w:hAnsi="IRNazanin" w:eastAsia="IRNazanin"/>
          <w:color w:val="111111"/>
          <w:sz w:val="28"/>
          <w:sz w:val="28"/>
          <w:szCs w:val="28"/>
          <w:rtl w:val="true"/>
          <w:lang w:bidi="fa-IR"/>
        </w:rPr>
        <w:t>پس لازم است که از انجام چنین کارهایی اجتناب کرده و در رفع بی نظمی ها کوشید تا مراد از آنچه در برپایی عزاداری مد نظر است، حاصل شود</w:t>
      </w:r>
      <w:r>
        <w:rPr>
          <w:rFonts w:eastAsia="IRNazanin" w:cs="IRNazanin"/>
          <w:color w:val="111111"/>
          <w:sz w:val="28"/>
          <w:szCs w:val="28"/>
          <w:rtl w:val="true"/>
          <w:lang w:bidi="fa-IR"/>
        </w:rPr>
        <w:t>.</w:t>
      </w:r>
    </w:p>
    <w:p>
      <w:pPr>
        <w:pStyle w:val="Heading6"/>
        <w:numPr>
          <w:ilvl w:val="5"/>
          <w:numId w:val="1"/>
        </w:numPr>
        <w:rPr/>
      </w:pPr>
      <w:bookmarkStart w:id="328" w:name="__RefHeading___Toc2713244_653776707"/>
      <w:bookmarkStart w:id="329" w:name="_Toc122"/>
      <w:bookmarkEnd w:id="328"/>
      <w:r>
        <w:rPr/>
        <w:t>3-2-4</w:t>
      </w:r>
      <w:r>
        <w:rPr>
          <w:rtl w:val="true"/>
        </w:rPr>
        <w:t xml:space="preserve">- </w:t>
      </w:r>
      <w:r>
        <w:rPr>
          <w:rtl w:val="true"/>
        </w:rPr>
        <w:t>سوء استفاده های مالی</w:t>
      </w:r>
      <w:bookmarkEnd w:id="329"/>
    </w:p>
    <w:p>
      <w:pPr>
        <w:pStyle w:val="BookText"/>
        <w:rPr/>
      </w:pPr>
      <w:r>
        <w:rPr>
          <w:rFonts w:ascii="IRNazanin" w:hAnsi="IRNazanin" w:eastAsia="IRNazanin"/>
          <w:color w:val="111111"/>
          <w:sz w:val="28"/>
          <w:sz w:val="28"/>
          <w:szCs w:val="28"/>
          <w:rtl w:val="true"/>
          <w:lang w:bidi="fa-IR"/>
        </w:rPr>
        <w:t>در کنار برگزار شدن مراسم عزاداری، عده ای از حواشی مراسم ارتزاق می کنند که در اصل بر آن اشکالی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ارتزاق از دستگاه حسینی به سوء استفاده مالی بینجامد، مشمول حکم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این زمینه وارد شده که مردم را از رفتار کاسب کارانه در مراسم عزاداری نهیمی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بهانه ما مردم را چپاول نکن که خداوند فقر را بر تو مسلط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زمینه های سوء استفاده مالی در مراسم عزاداری، رقابت های شدید میان برخی گروه ها و هیئت های مذهبی است که این رقابت های نامطلوب، بساط بازار گرمی و رونق را برای برخی صاحبان صدا و هنر مداحی فراهم می کند؛ اگرچه بیشتر ذاکران جز با خلوص نیت و زبان به ذکر مصیبت نمی گشایند اما همان عده سست ایمان، زحمات خالصانه دیگران را هدر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دریافت حق الزحمه بابت نوحه خوانی و یا هر خدمت دیگر هیچ منع شرعی ندارد؛ اما نباید به شغلی سودآور برای عده ای با ثروت های آنچنانی تبدیل شده و بی آلایشی و خلوص را از این مراسم بزدایند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از برخی رفتارها در مجلس عزاداری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رفتارهایی که شاید به خودی خود حرام و معصیت نباشند ولی انجام آنها در مجلس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این مجلس نیست و موجب هتک حرمت آن می شوند</w:t>
      </w:r>
      <w:r>
        <w:rPr>
          <w:rFonts w:eastAsia="IRNazanin" w:cs="IRNazanin"/>
          <w:color w:val="111111"/>
          <w:sz w:val="28"/>
          <w:szCs w:val="28"/>
          <w:rtl w:val="true"/>
          <w:lang w:bidi="fa-IR"/>
        </w:rPr>
        <w:t>.</w:t>
      </w:r>
    </w:p>
    <w:p>
      <w:pPr>
        <w:pStyle w:val="Heading3"/>
        <w:numPr>
          <w:ilvl w:val="2"/>
          <w:numId w:val="1"/>
        </w:numPr>
        <w:rPr/>
      </w:pPr>
      <w:bookmarkStart w:id="330" w:name="__RefHeading___Toc2713246_653776707"/>
      <w:bookmarkStart w:id="331" w:name="_Toc123"/>
      <w:bookmarkEnd w:id="330"/>
      <w:r>
        <w:rPr>
          <w:rtl w:val="true"/>
        </w:rPr>
        <w:t>نتیجه</w:t>
      </w:r>
      <w:bookmarkEnd w:id="3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 و برای هر ملت پیامی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هیچ گاه کهنه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مؤثرترین عاملی که می تواند این پیام را برای نسل های آینده حفظ نماید برگزاری مراسم عزاداری برای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با گذشت زمان و گسترش تشیع این مراسم دچار انحرافاتی شده که بعضاً حتی مبانی شیعه را زیر سؤال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داشت که به این موضوع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صورت گرفته نشان می دهد که اصل عزاداری از جایگاه ویژه ای در آیات و روایات برخوردار است و آداب خاصی برای آن در نظر گرفته شده ولی عدم تبیین صحیح این آداب، بی بصیرتی و کج فهمی سخنرانان و ذاکران همچنین توطئه دشمنان، این مراسم را از مسیر اصلی آن 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صورت گرفته، نشان می دهد که انحرافات به دو دسته محتوایی و رفتاری تقسیم شده است و مصادیق بارز آنها از نظر محتوایی به نقل مطالب دروغ و غیرمستند، غلو، وصف افراطی ظاهر بنی هاشم، گزارش های ذلت بار و از نظر رفتاری به اعمالی چون قمه زنی، ورود غنا در مراسم، بی نظمی و سوء استفاده مالی می توان اشاره کرد که از نظر اکثر فقها این اعمال فاقد مجوز شرعی هستند و در بسیاری موارد حکم به حرمت نیز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پیشنهاد می شود که در آثار بعدی به بررسی هر یک از عوامل زمینه ساز انحرافات به صورت جداگانه و نیز راه های جلوگیری از آنها پرداخت</w:t>
      </w:r>
      <w:r>
        <w:rPr>
          <w:rFonts w:eastAsia="IRNazanin" w:cs="IRNazanin"/>
          <w:color w:val="111111"/>
          <w:sz w:val="28"/>
          <w:szCs w:val="28"/>
          <w:rtl w:val="true"/>
          <w:lang w:bidi="fa-IR"/>
        </w:rPr>
        <w:t xml:space="preserve">. </w:t>
      </w:r>
      <w:bookmarkStart w:id="332" w:name="pg8689_87597"/>
    </w:p>
    <w:p>
      <w:pPr>
        <w:pStyle w:val="Heading3"/>
        <w:numPr>
          <w:ilvl w:val="2"/>
          <w:numId w:val="1"/>
        </w:numPr>
        <w:rPr/>
      </w:pPr>
      <w:bookmarkStart w:id="333" w:name="__RefHeading___Toc2713248_653776707"/>
      <w:bookmarkStart w:id="334" w:name="_Toc124"/>
      <w:bookmarkEnd w:id="332"/>
      <w:bookmarkEnd w:id="333"/>
      <w:r>
        <w:rPr>
          <w:rtl w:val="true"/>
        </w:rPr>
        <w:t>منابع</w:t>
      </w:r>
      <w:bookmarkEnd w:id="33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ترجمه الهی قمشه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البلاغه، ترجمه محمد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ابراهیمی، ابراهیم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عزاداری، تهران نمایندگی ولی فقیه در نیروی مقاومت بسیج،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قم، انتشارات پیام علمدار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قم، نشر ادب الحوزة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احسانی، حکیمه و سیف الله قنبری نیک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و آسیب های فرهنگی اجتماعی آن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اسلام و مطالعات اجتماعی، بهار،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آتشین صدف، عبدالرضا و علی کیا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ویژه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پایش سبک زندگی، پاییز،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آذرتاش، آذرنوش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معاصر عربی به فارسی، تهران، 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آقاجانی قناد،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بنیادها و آسیب های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صدا و سیما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بابایی،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پیام، شماره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پرغو، محمد علی و صدیقه غلامزاده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محرم در عهد صفویه یک بررسی آسیب های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تاریخ اسلام، پاییز،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قیام و قتل جامع سیدالشهدا، قم، مؤسسه آموزشی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الی التحصیل مسائل الشیعه، تهران، نشر مکتب 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خامنه ای،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اجوبة الاستفتائات، تهران، انتشارات الهدی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به محمد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المفردات فی غریب القرآن، بیروت، </w:t>
      </w:r>
    </w:p>
    <w:p>
      <w:pPr>
        <w:pStyle w:val="BookText"/>
        <w:rPr/>
      </w:pP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اقبال الاعمال،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احمدبن 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ترجمه بهراد جعفری، تهران، 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ترجمه صادق حسن زاده، قم، اندیشه های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عرفانی فر،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و بایسته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آموزش مبلغان، شماره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قم، 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قدیر دانش، محمد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اثرگذاری عزاداری حسینی در زنده نگه داشتن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شماره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الامال، انتشارات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بهروز مؤسسه الوفاء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الحکمه، قم، مرکز النشر المکتب الإعلام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قم،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انتشارات دارالکتب الاسلامیه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خمینی، روح الله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استفتائات، تهران، مؤسسه نشر و تنظیم آثار امام خمینی</w:t>
      </w:r>
      <w:r>
        <w:rPr>
          <w:rFonts w:eastAsia="IRNazanin" w:cs="IRNazanin"/>
          <w:color w:val="111111"/>
          <w:sz w:val="28"/>
          <w:szCs w:val="28"/>
          <w:rtl w:val="true"/>
          <w:lang w:bidi="fa-IR"/>
        </w:rPr>
        <w:t xml:space="preserve">. </w:t>
      </w:r>
      <w:bookmarkStart w:id="335" w:name="pg8689_87599"/>
    </w:p>
    <w:p>
      <w:pPr>
        <w:pStyle w:val="Heading2"/>
        <w:numPr>
          <w:ilvl w:val="1"/>
          <w:numId w:val="1"/>
        </w:numPr>
        <w:rPr/>
      </w:pPr>
      <w:bookmarkStart w:id="336" w:name="__RefHeading___Toc2713250_653776707"/>
      <w:bookmarkStart w:id="337" w:name="_Toc125"/>
      <w:bookmarkEnd w:id="335"/>
      <w:bookmarkEnd w:id="336"/>
      <w:r>
        <w:rPr>
          <w:rtl w:val="true"/>
        </w:rPr>
        <w:t>نکته هایی از معارف حسینی</w:t>
      </w:r>
      <w:bookmarkEnd w:id="337"/>
    </w:p>
    <w:p>
      <w:pPr>
        <w:pStyle w:val="Heading3"/>
        <w:numPr>
          <w:ilvl w:val="2"/>
          <w:numId w:val="1"/>
        </w:numPr>
        <w:rPr/>
      </w:pPr>
      <w:bookmarkStart w:id="338" w:name="__RefHeading___Toc2713252_653776707"/>
      <w:bookmarkStart w:id="339" w:name="_Toc126"/>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در کتاب ابصارالعین فی انصارالحسین، نکاتی در مورد عاشورا و پیرامون آن آمده است که به سبب اهمیت، مواردی از آنها را بیان می کنیم</w:t>
      </w:r>
      <w:r>
        <w:rPr>
          <w:rFonts w:eastAsia="IRNazanin" w:cs="IRNazanin"/>
          <w:color w:val="111111"/>
          <w:sz w:val="28"/>
          <w:szCs w:val="28"/>
          <w:rtl w:val="true"/>
          <w:lang w:bidi="fa-IR"/>
        </w:rPr>
        <w:t>.</w:t>
      </w:r>
    </w:p>
    <w:p>
      <w:pPr>
        <w:pStyle w:val="Heading3"/>
        <w:numPr>
          <w:ilvl w:val="2"/>
          <w:numId w:val="1"/>
        </w:numPr>
        <w:rPr/>
      </w:pPr>
      <w:bookmarkStart w:id="340" w:name="__RefHeading___Toc2713254_653776707"/>
      <w:bookmarkStart w:id="341" w:name="_Toc127"/>
      <w:bookmarkEnd w:id="340"/>
      <w:r>
        <w:rPr>
          <w:rtl w:val="true"/>
        </w:rPr>
        <w:t>مردان قبیله بنی اسد، بدن های مطهر شهدای کربلا را به خاک سپردند</w:t>
      </w:r>
      <w:bookmarkEnd w:id="341"/>
    </w:p>
    <w:p>
      <w:pPr>
        <w:pStyle w:val="BookText"/>
        <w:rPr/>
      </w:pPr>
      <w:r>
        <w:rPr>
          <w:rFonts w:ascii="IRNazanin" w:hAnsi="IRNazanin" w:eastAsia="IRNazanin"/>
          <w:color w:val="111111"/>
          <w:sz w:val="28"/>
          <w:sz w:val="28"/>
          <w:szCs w:val="28"/>
          <w:rtl w:val="true"/>
          <w:lang w:bidi="fa-IR"/>
        </w:rPr>
        <w:t xml:space="preserve">زمانی که ابن سعد، مردگان خود را به خاک سپرد و دستور حمل سرهای مطهر و اسیران را به کوفه صادر کرد، گروهی از قبیله بنی اسد، به نزد شهدای بی سر و به خاک و خون افتاده آمدند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خاک سپردند و فرزندش علی اکبر را نیز در پایین پای شریف آن حضرت و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مقداری دورتر، در همان جایی که به شهادت رسیده بود، دفن کردند و دیگر شهدا را دسته جمعی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دنیایی نمی تواند مانع از این باشد که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به وظایف خود برسند، به همین سبب، آن گروه از قبیله بنی اسد می گویند، وقتی مشغول به نماز و کفن و دفن شهداء شدیم، سواری با روی پوشیده، به نزد ما آمد و کارهای مربوط به دفن را انجام داد و به جز دفن سیدالشهداء و ابوالفضلعباس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دفن دیگر شهداء از ما کمک خواست و آن شخص به طور قطع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342" w:name="__RefHeading___Toc2713256_653776707"/>
      <w:bookmarkStart w:id="343" w:name="_Toc128"/>
      <w:bookmarkEnd w:id="342"/>
      <w:r>
        <w:rPr>
          <w:rtl w:val="true"/>
        </w:rPr>
        <w:t>سرهایی که بعد از شهادت، از بدن جدا شدند</w:t>
      </w:r>
      <w:bookmarkEnd w:id="3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شهدایی که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به دستور ابن سعد، </w:t>
      </w:r>
      <w:bookmarkStart w:id="344" w:name="pg8689_87600"/>
    </w:p>
    <w:p>
      <w:pPr>
        <w:pStyle w:val="BookText"/>
        <w:rPr/>
      </w:pPr>
      <w:bookmarkEnd w:id="344"/>
      <w:r>
        <w:rPr>
          <w:rFonts w:ascii="IRNazanin" w:hAnsi="IRNazanin" w:eastAsia="IRNazanin"/>
          <w:color w:val="111111"/>
          <w:sz w:val="28"/>
          <w:sz w:val="28"/>
          <w:szCs w:val="28"/>
          <w:rtl w:val="true"/>
          <w:lang w:bidi="fa-IR"/>
        </w:rPr>
        <w:t>سرهایشان از بدنشان جدا شد مگر سر دو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نوزاد شیر خوار، حضرت علی اصغر که بعد از شهادتش، 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قبری که به وسیله شمشیر حفر کرده بود، دفن شد و دیگری سر حر بن یزید ریاحی که قبیله بنی تمیم مانع از قطع شدن سر او شدند و بدن او را بعد از شهادت، از آن منطقه دور کردند، همان گونه که امروزه قبر حر بن یزید ریاحی چندین کیلومتر از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مسلم بن عقیل و هانی بن عروه را هم که قبل از عاشورا به شهادت رسیده بودند، به شام نزد یزید فرستادند</w:t>
      </w:r>
      <w:r>
        <w:rPr>
          <w:rFonts w:eastAsia="IRNazanin" w:cs="IRNazanin"/>
          <w:color w:val="111111"/>
          <w:sz w:val="28"/>
          <w:szCs w:val="28"/>
          <w:rtl w:val="true"/>
          <w:lang w:bidi="fa-IR"/>
        </w:rPr>
        <w:t>.</w:t>
      </w:r>
    </w:p>
    <w:p>
      <w:pPr>
        <w:pStyle w:val="Heading3"/>
        <w:numPr>
          <w:ilvl w:val="2"/>
          <w:numId w:val="1"/>
        </w:numPr>
        <w:rPr/>
      </w:pPr>
      <w:bookmarkStart w:id="345" w:name="__RefHeading___Toc2713258_653776707"/>
      <w:bookmarkStart w:id="346" w:name="_Toc129"/>
      <w:bookmarkEnd w:id="345"/>
      <w:r>
        <w:rPr>
          <w:rtl w:val="true"/>
        </w:rPr>
        <w:t xml:space="preserve">کسانی که داوطلبانه به سپاه امام </w:t>
      </w:r>
      <w:r>
        <w:rPr>
          <w:rtl w:val="true"/>
        </w:rPr>
        <w:t>(</w:t>
      </w:r>
      <w:r>
        <w:rPr>
          <w:rtl w:val="true"/>
        </w:rPr>
        <w:t>علیه السلام</w:t>
      </w:r>
      <w:r>
        <w:rPr>
          <w:rtl w:val="true"/>
        </w:rPr>
        <w:t xml:space="preserve">) </w:t>
      </w:r>
      <w:r>
        <w:rPr>
          <w:rtl w:val="true"/>
        </w:rPr>
        <w:t>پیوستند</w:t>
      </w:r>
      <w:bookmarkEnd w:id="346"/>
    </w:p>
    <w:p>
      <w:pPr>
        <w:pStyle w:val="BookText"/>
        <w:rPr/>
      </w:pPr>
      <w:r>
        <w:rPr>
          <w:rFonts w:ascii="IRNazanin" w:hAnsi="IRNazanin" w:eastAsia="IRNazanin"/>
          <w:color w:val="111111"/>
          <w:sz w:val="28"/>
          <w:sz w:val="28"/>
          <w:szCs w:val="28"/>
          <w:rtl w:val="true"/>
          <w:lang w:bidi="fa-IR"/>
        </w:rPr>
        <w:t xml:space="preserve">تعدادی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قصد پیوستن به آن حضرت را نداشتند و در بین راه یا در همان کربلا به ایشان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آن یاران، بدون خانواده از سپاه دشمن به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شدند ولی سه نفر از ایشان، جنادةبن حارث سلمانی، عبدالله بن عمیر کلبی و مسلم بن عوسجه به همراه خانواده خود به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p>
    <w:p>
      <w:pPr>
        <w:pStyle w:val="Heading3"/>
        <w:numPr>
          <w:ilvl w:val="2"/>
          <w:numId w:val="1"/>
        </w:numPr>
        <w:rPr/>
      </w:pPr>
      <w:bookmarkStart w:id="347" w:name="__RefHeading___Toc2713260_653776707"/>
      <w:bookmarkStart w:id="348" w:name="_Toc130"/>
      <w:bookmarkEnd w:id="347"/>
      <w:r>
        <w:rPr>
          <w:rtl w:val="true"/>
        </w:rPr>
        <w:t xml:space="preserve">اصحاب پیامبر </w:t>
      </w:r>
      <w:r>
        <w:rPr>
          <w:rtl w:val="true"/>
        </w:rPr>
        <w:t>(</w:t>
      </w:r>
      <w:r>
        <w:rPr>
          <w:rtl w:val="true"/>
        </w:rPr>
        <w:t>صلی الله علیه و آله و سلم</w:t>
      </w:r>
      <w:r>
        <w:rPr>
          <w:rtl w:val="true"/>
        </w:rPr>
        <w:t xml:space="preserve">) </w:t>
      </w:r>
      <w:r>
        <w:rPr>
          <w:rtl w:val="true"/>
        </w:rPr>
        <w:t xml:space="preserve">که در رکاب امام حسین </w:t>
      </w:r>
      <w:r>
        <w:rPr>
          <w:rtl w:val="true"/>
        </w:rPr>
        <w:t>(</w:t>
      </w:r>
      <w:r>
        <w:rPr>
          <w:rtl w:val="true"/>
        </w:rPr>
        <w:t>علیه السلام</w:t>
      </w:r>
      <w:r>
        <w:rPr>
          <w:rtl w:val="true"/>
        </w:rPr>
        <w:t xml:space="preserve">) </w:t>
      </w:r>
      <w:r>
        <w:rPr>
          <w:rtl w:val="true"/>
        </w:rPr>
        <w:t>به شهادت رسیدند</w:t>
      </w:r>
      <w:bookmarkEnd w:id="348"/>
    </w:p>
    <w:p>
      <w:pPr>
        <w:pStyle w:val="BookText"/>
        <w:rPr/>
      </w:pPr>
      <w:r>
        <w:rPr>
          <w:rFonts w:ascii="IRNazanin" w:hAnsi="IRNazanin" w:eastAsia="IRNazanin"/>
          <w:color w:val="111111"/>
          <w:sz w:val="28"/>
          <w:sz w:val="28"/>
          <w:szCs w:val="28"/>
          <w:rtl w:val="true"/>
          <w:lang w:bidi="fa-IR"/>
        </w:rPr>
        <w:t xml:space="preserve">در روز عاشورا پنج نفر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 بن حارث کاهلی،حبیب بن مظاهر اسدی، مسلم بن عوسجه اسدی، هانی بن عروه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 از عاشورا و در راه دفاع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بقطر حمیری نیز در رکاب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همگی به فیض شهادت نایل آمدند</w:t>
      </w:r>
      <w:r>
        <w:rPr>
          <w:rFonts w:eastAsia="IRNazanin" w:cs="IRNazanin"/>
          <w:color w:val="111111"/>
          <w:sz w:val="28"/>
          <w:szCs w:val="28"/>
          <w:rtl w:val="true"/>
          <w:lang w:bidi="fa-IR"/>
        </w:rPr>
        <w:t>.</w:t>
      </w:r>
    </w:p>
    <w:p>
      <w:pPr>
        <w:pStyle w:val="Heading3"/>
        <w:numPr>
          <w:ilvl w:val="2"/>
          <w:numId w:val="1"/>
        </w:numPr>
        <w:rPr/>
      </w:pPr>
      <w:bookmarkStart w:id="349" w:name="__RefHeading___Toc2713262_653776707"/>
      <w:bookmarkStart w:id="350" w:name="_Toc131"/>
      <w:bookmarkEnd w:id="349"/>
      <w:r>
        <w:rPr>
          <w:rtl w:val="true"/>
        </w:rPr>
        <w:t>غلامانی که در روز عاشورا شهید شدند</w:t>
      </w:r>
      <w:bookmarkEnd w:id="35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 عاشورا، پانزده غلام حضور داشتند که همگی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غلامان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 سعد دو غلام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منجح، غلام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اسلم و قارب، غلامان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غلام حمزه، جون غلام ابوذر، </w:t>
      </w:r>
      <w:bookmarkStart w:id="351" w:name="pg8689_87601"/>
    </w:p>
    <w:p>
      <w:pPr>
        <w:pStyle w:val="BookText"/>
        <w:rPr/>
      </w:pPr>
      <w:bookmarkEnd w:id="351"/>
      <w:r>
        <w:rPr>
          <w:rFonts w:ascii="IRNazanin" w:hAnsi="IRNazanin" w:eastAsia="IRNazanin"/>
          <w:color w:val="111111"/>
          <w:sz w:val="28"/>
          <w:sz w:val="28"/>
          <w:szCs w:val="28"/>
          <w:rtl w:val="true"/>
          <w:lang w:bidi="fa-IR"/>
        </w:rPr>
        <w:t xml:space="preserve">رافع غلام مسلم ازدی، سعد غلام عمر صیداوی، سالم غلام بنی مدینه، سالم غلام عامر عبدی، شوذب غلام شاکر، شبیب غلام حارث جابری، واضح غلام حارث سلمانی و سلیمان که غلام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بصره به شهادت رسید</w:t>
      </w:r>
      <w:r>
        <w:rPr>
          <w:rFonts w:eastAsia="IRNazanin" w:cs="IRNazanin"/>
          <w:color w:val="111111"/>
          <w:sz w:val="28"/>
          <w:szCs w:val="28"/>
          <w:rtl w:val="true"/>
          <w:lang w:bidi="fa-IR"/>
        </w:rPr>
        <w:t>.</w:t>
      </w:r>
    </w:p>
    <w:p>
      <w:pPr>
        <w:pStyle w:val="Heading3"/>
        <w:numPr>
          <w:ilvl w:val="2"/>
          <w:numId w:val="1"/>
        </w:numPr>
        <w:rPr/>
      </w:pPr>
      <w:bookmarkStart w:id="352" w:name="__RefHeading___Toc2713264_653776707"/>
      <w:bookmarkStart w:id="353" w:name="_Toc132"/>
      <w:bookmarkEnd w:id="352"/>
      <w:r>
        <w:rPr>
          <w:rtl w:val="true"/>
        </w:rPr>
        <w:t xml:space="preserve">کسانی که روز عاشورا بعد از امام حسین </w:t>
      </w:r>
      <w:r>
        <w:rPr>
          <w:rtl w:val="true"/>
        </w:rPr>
        <w:t>(</w:t>
      </w:r>
      <w:r>
        <w:rPr>
          <w:rtl w:val="true"/>
        </w:rPr>
        <w:t>علیه السلام</w:t>
      </w:r>
      <w:r>
        <w:rPr>
          <w:rtl w:val="true"/>
        </w:rPr>
        <w:t xml:space="preserve">) </w:t>
      </w:r>
      <w:r>
        <w:rPr>
          <w:rtl w:val="true"/>
        </w:rPr>
        <w:t>به شهادت رسیدند</w:t>
      </w:r>
      <w:bookmarkEnd w:id="353"/>
    </w:p>
    <w:p>
      <w:pPr>
        <w:pStyle w:val="BookText"/>
        <w:rPr/>
      </w:pPr>
      <w:r>
        <w:rPr>
          <w:rFonts w:ascii="IRNazanin" w:hAnsi="IRNazanin" w:eastAsia="IRNazanin"/>
          <w:color w:val="111111"/>
          <w:sz w:val="28"/>
          <w:sz w:val="28"/>
          <w:szCs w:val="28"/>
          <w:rtl w:val="true"/>
          <w:lang w:bidi="fa-IR"/>
        </w:rPr>
        <w:t>چهار نفر از شهدای کربلا، بعد از آن حضرت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سوید بن ابی مطلاع که به واسطه ضربه ای که بر او وارد شده بود، بیهوش افتاد و زمانی که به هوش آمد، متوجه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رسیده است و به طرف دشمن حمله کرد و شهید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حارث و برادرش ابوالحتوف بن حارث نیز در کنار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این که آن حضرت به شهادت رسید و زمانی که صدای ناله زنان و کودکان را شنیدند، به جنگ رفتند و به شهادت رسیدند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سعید بن عقیل که در کربلا هفت سالداشت و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گوشواره به گوش داشت و از ترس، به این سو و آن سو نگاه می کرد، چوبه خیمه را بدست گرفت و در پیش مادرش به سوی دشمن شتافت و توسط هانی بن ثبیت به شهادت رسید</w:t>
      </w:r>
      <w:r>
        <w:rPr>
          <w:rFonts w:eastAsia="IRNazanin" w:cs="IRNazanin"/>
          <w:color w:val="111111"/>
          <w:sz w:val="28"/>
          <w:szCs w:val="28"/>
          <w:rtl w:val="true"/>
          <w:lang w:bidi="fa-IR"/>
        </w:rPr>
        <w:t>.</w:t>
      </w:r>
    </w:p>
    <w:p>
      <w:pPr>
        <w:pStyle w:val="Heading3"/>
        <w:numPr>
          <w:ilvl w:val="2"/>
          <w:numId w:val="1"/>
        </w:numPr>
        <w:rPr/>
      </w:pPr>
      <w:bookmarkStart w:id="354" w:name="__RefHeading___Toc2713266_653776707"/>
      <w:bookmarkStart w:id="355" w:name="_Toc133"/>
      <w:bookmarkEnd w:id="354"/>
      <w:r>
        <w:rPr>
          <w:rtl w:val="true"/>
        </w:rPr>
        <w:t>کسانی که بر اثر جراحات وارده در جنگ عاشورا، پس از آن واقعه شهید شدند</w:t>
      </w:r>
      <w:bookmarkEnd w:id="355"/>
    </w:p>
    <w:p>
      <w:pPr>
        <w:pStyle w:val="BookText"/>
        <w:rPr/>
      </w:pPr>
      <w:r>
        <w:rPr>
          <w:rFonts w:ascii="IRNazanin" w:hAnsi="IRNazanin" w:eastAsia="IRNazanin"/>
          <w:color w:val="111111"/>
          <w:sz w:val="28"/>
          <w:sz w:val="28"/>
          <w:szCs w:val="28"/>
          <w:rtl w:val="true"/>
          <w:lang w:bidi="fa-IR"/>
        </w:rPr>
        <w:t xml:space="preserve">دو نفر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عاشورا زخم زیادی برداشتند به طوری که بر اثر همان جراحات وارده،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ایشان، سوار بن منعم نهمی که اسیر شد و بعد از شش ماه بر اثر همان زخم ها، به شهادت رسید و دیگری موقٌع بن ثمامه صیداوی که اسیر و به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 یک سال بعد، از دنیا رفت</w:t>
      </w:r>
      <w:r>
        <w:rPr>
          <w:rFonts w:eastAsia="IRNazanin" w:cs="IRNazanin"/>
          <w:color w:val="111111"/>
          <w:sz w:val="28"/>
          <w:szCs w:val="28"/>
          <w:rtl w:val="true"/>
          <w:lang w:bidi="fa-IR"/>
        </w:rPr>
        <w:t>.</w:t>
      </w:r>
    </w:p>
    <w:p>
      <w:pPr>
        <w:pStyle w:val="Heading3"/>
        <w:numPr>
          <w:ilvl w:val="2"/>
          <w:numId w:val="1"/>
        </w:numPr>
        <w:rPr/>
      </w:pPr>
      <w:bookmarkStart w:id="356" w:name="__RefHeading___Toc2713268_653776707"/>
      <w:bookmarkStart w:id="357" w:name="_Toc134"/>
      <w:bookmarkEnd w:id="356"/>
      <w:r>
        <w:rPr>
          <w:rtl w:val="true"/>
        </w:rPr>
        <w:t>کسانی که در عاشورا، به همراه پدرشان شهید شدند</w:t>
      </w:r>
      <w:bookmarkEnd w:id="35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نفر در کربلا به شهادت رسیدند، در حالی که پدرانشان نیز در آنجا حاضر بوده و به فیض شهادت نائل آمدند</w:t>
      </w:r>
      <w:r>
        <w:rPr>
          <w:rFonts w:eastAsia="IRNazanin" w:cs="IRNazanin"/>
          <w:color w:val="111111"/>
          <w:sz w:val="28"/>
          <w:szCs w:val="28"/>
          <w:rtl w:val="true"/>
          <w:lang w:bidi="fa-IR"/>
        </w:rPr>
        <w:t xml:space="preserve">. </w:t>
      </w:r>
      <w:bookmarkStart w:id="358" w:name="pg8689_87602"/>
    </w:p>
    <w:p>
      <w:pPr>
        <w:pStyle w:val="BookText"/>
        <w:rPr/>
      </w:pPr>
      <w:bookmarkEnd w:id="358"/>
      <w:r>
        <w:rPr>
          <w:rFonts w:ascii="IRNazanin" w:hAnsi="IRNazanin" w:eastAsia="IRNazanin"/>
          <w:color w:val="111111"/>
          <w:sz w:val="28"/>
          <w:sz w:val="28"/>
          <w:szCs w:val="28"/>
          <w:rtl w:val="true"/>
          <w:lang w:bidi="fa-IR"/>
        </w:rPr>
        <w:t xml:space="preserve">آن هفت نفر عبارتند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اصغر، عمر بن جناده، عبدالله بن یزید، عبیدالله بن یزید، عائذبن مجمٌع و عبدالرحمن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 محمد، فرزندان مسلم بن عقیل نیز در کربلا شهید شدند در حالی که پدرشان پیشتر در کوفه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حسان طائی نیز در کربلا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در حالی که پدرش در جنگ صفین در رکاب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 شهادت رسیده بود</w:t>
      </w:r>
      <w:r>
        <w:rPr>
          <w:rFonts w:eastAsia="IRNazanin" w:cs="IRNazanin"/>
          <w:color w:val="111111"/>
          <w:sz w:val="28"/>
          <w:szCs w:val="28"/>
          <w:rtl w:val="true"/>
          <w:lang w:bidi="fa-IR"/>
        </w:rPr>
        <w:t>.</w:t>
      </w:r>
    </w:p>
    <w:p>
      <w:pPr>
        <w:pStyle w:val="Heading3"/>
        <w:numPr>
          <w:ilvl w:val="2"/>
          <w:numId w:val="1"/>
        </w:numPr>
        <w:rPr/>
      </w:pPr>
      <w:bookmarkStart w:id="359" w:name="__RefHeading___Toc2713270_653776707"/>
      <w:bookmarkStart w:id="360" w:name="_Toc135"/>
      <w:bookmarkEnd w:id="359"/>
      <w:r>
        <w:rPr>
          <w:rtl w:val="true"/>
        </w:rPr>
        <w:t>برادرانی که در روز عاشورا شهید شدند</w:t>
      </w:r>
      <w:bookmarkEnd w:id="360"/>
    </w:p>
    <w:p>
      <w:pPr>
        <w:pStyle w:val="BookText"/>
        <w:rPr/>
      </w:pPr>
      <w:r>
        <w:rPr>
          <w:rFonts w:ascii="IRNazanin" w:hAnsi="IRNazanin" w:eastAsia="IRNazanin"/>
          <w:color w:val="111111"/>
          <w:sz w:val="28"/>
          <w:sz w:val="28"/>
          <w:szCs w:val="28"/>
          <w:rtl w:val="true"/>
          <w:lang w:bidi="fa-IR"/>
        </w:rPr>
        <w:t xml:space="preserve">حضرت ابوالفضل، عثمان، جعفر، ابوبکر و عبدالله به همراه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برادر از بنی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برادران بنی هاشم، غیر از آنها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قاسم و عبدالله از 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عبدالرحمن و جعفر از فرزندان عقیل بن ابی طالب، علی اکبر و علی اصغر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بنی هاشم نیز قاسط، کردوس و مقسط که از فرزندان زهیر تغلبی برادرانی بودند که در کربلا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محمد نیز دو برادر بودند که فرزندان مسلم بن عقیل نامیده می شدند و به این افراد عون و محمد را نیز می توان اضافه کرد که دو فرزند عبدالله بن جعفر طیار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عبیدالله که فرزندان یزید عبدی بودند نیز در روز عاشورا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عبدالرحمن فرزندان عروه غفاری؛ نعمان و حلٌاس فرزندان عمرو راسبی؛ سعد و ابوالحتوف فرزندان حارث انصاری و مالک و سیف جابری دو برادر از طرف مادری بودند که همگی در روز عاشورا شهید شدند</w:t>
      </w:r>
      <w:r>
        <w:rPr>
          <w:rFonts w:eastAsia="IRNazanin" w:cs="IRNazanin"/>
          <w:color w:val="111111"/>
          <w:sz w:val="28"/>
          <w:szCs w:val="28"/>
          <w:rtl w:val="true"/>
          <w:lang w:bidi="fa-IR"/>
        </w:rPr>
        <w:t>.</w:t>
      </w:r>
    </w:p>
    <w:p>
      <w:pPr>
        <w:pStyle w:val="Heading3"/>
        <w:numPr>
          <w:ilvl w:val="2"/>
          <w:numId w:val="1"/>
        </w:numPr>
        <w:rPr/>
      </w:pPr>
      <w:bookmarkStart w:id="361" w:name="__RefHeading___Toc2713272_653776707"/>
      <w:bookmarkStart w:id="362" w:name="_Toc136"/>
      <w:bookmarkEnd w:id="361"/>
      <w:r>
        <w:rPr>
          <w:rtl w:val="true"/>
        </w:rPr>
        <w:t>کسانی که در کربلا شهید شدند و مادرشان در خیمه بود</w:t>
      </w:r>
      <w:bookmarkEnd w:id="362"/>
    </w:p>
    <w:p>
      <w:pPr>
        <w:pStyle w:val="BookText"/>
        <w:rPr/>
      </w:pPr>
      <w:r>
        <w:rPr>
          <w:rFonts w:ascii="IRNazanin" w:hAnsi="IRNazanin" w:eastAsia="IRNazanin"/>
          <w:color w:val="111111"/>
          <w:sz w:val="28"/>
          <w:sz w:val="28"/>
          <w:szCs w:val="28"/>
          <w:rtl w:val="true"/>
          <w:lang w:bidi="fa-IR"/>
        </w:rPr>
        <w:t>نه نفر در کربلا به شهادت رسیدند به طوری که مادرشان در خیمه ها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که مادرش رباب،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عبدالله بن جعفر طیار که مادرش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رمله در خیمه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دختر شلیل بجلیٌه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که مادرش رقیه دختر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خیمهحضور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عقیل که خردسالی هفت ساله بود و مادرش هم در کربلا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جناده که مادرش به او دستور داد، برای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کلبی که در آن واقعه حضور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لیلا در خیمه حاضر بود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8689_87605"/>
      <w:bookmarkStart w:id="364" w:name="pg8689_87605"/>
      <w:bookmarkEnd w:id="364"/>
    </w:p>
    <w:p>
      <w:pPr>
        <w:pStyle w:val="Heading2"/>
        <w:numPr>
          <w:ilvl w:val="1"/>
          <w:numId w:val="1"/>
        </w:numPr>
        <w:rPr/>
      </w:pPr>
      <w:bookmarkStart w:id="365" w:name="pg8689_87605"/>
      <w:bookmarkStart w:id="366" w:name="__RefHeading___Toc2713274_653776707"/>
      <w:bookmarkStart w:id="367" w:name="_Toc137"/>
      <w:bookmarkEnd w:id="365"/>
      <w:bookmarkEnd w:id="366"/>
      <w:r>
        <w:rPr>
          <w:rtl w:val="true"/>
        </w:rPr>
        <w:t>معرفی کتاب</w:t>
      </w:r>
      <w:bookmarkEnd w:id="367"/>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محسن حسام مظاهری، مجالس مذهبی در ایران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تحلیل اعلانات مجالس محرم و صفر در روزنامه اطلاعات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شیعی و ایرانی، مجالس مذهبی ای که در بزرگداشت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ویژه آنچه به مراسم عزاداری در ماه های محرم و صفر مربوط می شود، نقش بسیار مهمی در ترویج معارف دینی داشته، از این رو این مراسم از کارآمدترین رسانه های دینی برای ارتقای معلومات تاریخیاجتماعی، مردم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های غیررسمی همواره از کارکردهای متنوع و بسیار تاثیرگذار فرهنگیاجتماعی برخوردار بوده، به نحوی که جزء تفکیک ناپذیر فرهنگ شیعیایرانی ایرانیان را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تنوعات محلی و زبانی موجود در پهنه ایران، نقاط اشتراک آنها همواره فراوان تر از تجلیات به ظاهر متفاوت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این مراسم دینی در کجای این سرزمین و به چه زبان یا گویش محلی برگزار شود، ساختار و محتوای بخش اصلی آن عمدتا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کردن علاقه مندان به این مراسم دینی به نوبه خود گونه </w:t>
      </w:r>
    </w:p>
    <w:p>
      <w:pPr>
        <w:pStyle w:val="BookText"/>
        <w:rPr/>
      </w:pPr>
      <w:r>
        <w:rPr>
          <w:rFonts w:ascii="IRNazanin" w:hAnsi="IRNazanin" w:eastAsia="IRNazanin"/>
          <w:color w:val="111111"/>
          <w:sz w:val="28"/>
          <w:sz w:val="28"/>
          <w:szCs w:val="28"/>
          <w:rtl w:val="true"/>
          <w:lang w:bidi="fa-IR"/>
        </w:rPr>
        <w:t xml:space="preserve">زبانی </w:t>
      </w:r>
      <w:r>
        <w:rPr>
          <w:rFonts w:eastAsia="Times New Roman" w:cs="Times New Roman" w:ascii="Times New Roman" w:hAnsi="Times New Roman"/>
          <w:color w:val="111111"/>
          <w:sz w:val="28"/>
          <w:szCs w:val="28"/>
          <w:lang w:val="en-US" w:bidi="en-US"/>
        </w:rPr>
        <w:t>genre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توجه جدی خاص بوده و شایسته مطالعات جداگانه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مورد بررسی در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تنظیم شده است و دوره زمانی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روزنامه اطلاعات به دلایل متعددی بوده که مهمترین آن نشر مستمر این روزنامه در تهران و نیز در سطح کشوری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این کتاب به جایگاه رسانه، انواع و اهمیت آن پرداخته و گونه های اعلانات مجالس دینی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به اعلانات دهه 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به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نام سخنرانان و مداحان در اطلاعیه ها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به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تر شدن به سال های پایانی این دهه، سخنرانی ها بیشتر به موضوعات اجتماعیاقتصادی و سیاسی گرایش بیشتری پیدا کرده، حوزه آگاهی بخشی از صرف جنبه های تاریخی گذشته، بر درس های قابل توجه از جنبه های فرهنگی، سیاسی و اجتماعی متمرکز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به دو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دهه که با جنگ تحمیلی عراق بر ایران همراه بود، موضوعات سخنرانی ها بیشتر به ابعاد سیاسینظامی گرایش پیدا کرده، عمده سخنرانان از رجال حکومتی و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به دو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بوده و نام رجال حکومتی و مداحان معروف و فعالدر عرصه های سیاسی و اجتماعی نیز در اطلاعیه ها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این اطلاعیه ها به دهه 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دو دوره انقلاب و دفاع مقدس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وارد شدن فشارهای روزافزون اقتصادی و به ویژه در سال های پایانی دهه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این آمارها کاهش چشمگیری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دینداری ملت بر وضعیت اقتصادی به طور مطلق تکیه ندارد، اما از تأثیرات فشارهای اقتصادی و معیشتی نمی توان و نباید به سادگی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نان انکار ناشدنی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مجموعه مورد بررسی فقط به اعلانات چاپ شده در روزنامه اطلاعات و عمدتا مجالس منعقده در تهران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مجالس مشابهی در شهرستان ها برگزار شده و می شود که تقریبا بدون اطلاعیه چاپ شده بوده و اطلاع رسانی درباره برگزاری آنها به روش های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Vol.6, No.24, Winter 2022</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 http://www.maarefehosseini.ir 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Husayni Elegies of Muhtasham Kashani and Sayyid Haidar alHilli</w:t>
      </w:r>
    </w:p>
    <w:p>
      <w:pPr>
        <w:pStyle w:val="BookText"/>
        <w:rPr/>
      </w:pPr>
      <w:r>
        <w:rPr>
          <w:rFonts w:eastAsia="Times New Roman" w:cs="Times New Roman" w:ascii="Times New Roman" w:hAnsi="Times New Roman"/>
          <w:color w:val="111111"/>
          <w:sz w:val="28"/>
          <w:szCs w:val="28"/>
          <w:lang w:val="en-US" w:bidi="en-US"/>
        </w:rPr>
        <w:t>Dr. Haydar Mahallati Ali Hasanzadeh</w:t>
      </w:r>
    </w:p>
    <w:p>
      <w:pPr>
        <w:pStyle w:val="BookText"/>
        <w:rPr/>
      </w:pPr>
      <w:r>
        <w:rPr>
          <w:rFonts w:eastAsia="Times New Roman" w:cs="Times New Roman" w:ascii="Times New Roman" w:hAnsi="Times New Roman"/>
          <w:color w:val="111111"/>
          <w:sz w:val="28"/>
          <w:szCs w:val="28"/>
          <w:lang w:val="en-US" w:bidi="en-US"/>
        </w:rPr>
        <w:t>The Ashura movement has left its profound impacts on various communities. Arabic and Persian literatures have been influenced by it throught history, hence reflected its lessons. In effect of this event, several poets have produced their masterpieces, among them, Muhtasham Kashani (d. 996 AH/ 1587) and Sayyid Haydar alHilli (d. 1304 AH/ 1886) in Persian and Arabic, respectively. The present comparative study touches upon their common points and the notions common to both of them. Their elegies mirror their religious devotion, profound attachment, and fine sentiments in favor of Imam alHusayn</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elegy, Muhtasham Kashani, Sayyid Haydar alHilli, comparative literature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Content Analysis of Imam alHusayn's Letters to his Opponents</w:t>
      </w:r>
    </w:p>
    <w:p>
      <w:pPr>
        <w:pStyle w:val="BookText"/>
        <w:rPr/>
      </w:pPr>
      <w:r>
        <w:rPr>
          <w:rFonts w:eastAsia="Times New Roman" w:cs="Times New Roman" w:ascii="Times New Roman" w:hAnsi="Times New Roman"/>
          <w:color w:val="111111"/>
          <w:sz w:val="28"/>
          <w:szCs w:val="28"/>
          <w:lang w:val="en-US" w:bidi="en-US"/>
        </w:rPr>
        <w:t>Sayyidah Susan Fakhrayi Hoseyn Namvar</w:t>
      </w:r>
    </w:p>
    <w:p>
      <w:pPr>
        <w:pStyle w:val="BookText"/>
        <w:rPr/>
      </w:pPr>
      <w:r>
        <w:rPr>
          <w:rFonts w:eastAsia="Times New Roman" w:cs="Times New Roman" w:ascii="Times New Roman" w:hAnsi="Times New Roman"/>
          <w:color w:val="111111"/>
          <w:sz w:val="28"/>
          <w:szCs w:val="28"/>
          <w:lang w:val="en-US" w:bidi="en-US"/>
        </w:rPr>
        <w:t>Among the discourses of Imam alHusayn, his letters to his opponents prove significant. They contain his outlook of the Umayyad hegemony and order, assertion of their usurping the right of the Ahl alBayt's right of rulership, admonitions to their rulers for crossing the red lines of the Prophet's practices, fullfledged support of the rightful companions of the Prophet Muhammad, and highlighting the abominable moral trairs and practices of Abu Sufiyan, the ancestor of the Umayyads. The present contentanalysis study seeks to shed light on certain major wrongdoings of the Umayyad hegemony based on Imam alHusayn's factual letters</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correspondence, the Umayyads, content analysis, Mu'awiyah, Ashura, Yazid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Roots of the Levantines' Animosity Against the Ahl alBayt and Imam `Ali</w:t>
      </w:r>
    </w:p>
    <w:p>
      <w:pPr>
        <w:pStyle w:val="BookText"/>
        <w:rPr/>
      </w:pPr>
      <w:r>
        <w:rPr>
          <w:rFonts w:eastAsia="Times New Roman" w:cs="Times New Roman" w:ascii="Times New Roman" w:hAnsi="Times New Roman"/>
          <w:color w:val="111111"/>
          <w:sz w:val="28"/>
          <w:szCs w:val="28"/>
          <w:lang w:val="en-US" w:bidi="en-US"/>
        </w:rPr>
        <w:t>Muhammad Ja far Milan Noorani</w:t>
      </w:r>
    </w:p>
    <w:p>
      <w:pPr>
        <w:pStyle w:val="BookText"/>
        <w:rPr/>
      </w:pPr>
      <w:r>
        <w:rPr>
          <w:rFonts w:eastAsia="Times New Roman" w:cs="Times New Roman" w:ascii="Times New Roman" w:hAnsi="Times New Roman"/>
          <w:color w:val="111111"/>
          <w:sz w:val="28"/>
          <w:szCs w:val="28"/>
          <w:lang w:val="en-US" w:bidi="en-US"/>
        </w:rPr>
        <w:t>Majid Sarkoubi</w:t>
      </w:r>
    </w:p>
    <w:p>
      <w:pPr>
        <w:pStyle w:val="BookText"/>
        <w:rPr/>
      </w:pPr>
      <w:r>
        <w:rPr>
          <w:rFonts w:eastAsia="Times New Roman" w:cs="Times New Roman" w:ascii="Times New Roman" w:hAnsi="Times New Roman"/>
          <w:color w:val="111111"/>
          <w:sz w:val="28"/>
          <w:szCs w:val="28"/>
          <w:lang w:val="en-US" w:bidi="en-US"/>
        </w:rPr>
        <w:t>The Levantines' may be regarded as those who expressed their utmost enmity against the Ahl alBayt, Imam 'Ali, and his household. An evidence of this enmity was their role and participation in the Ashura episode which was caused by certain factors imposed on them as well as those that came from their moral traits. Among the external factors, the Umayyads' insistence on keeping their subjects away from the rest of the Muslim heartlands, spreading the idea of coercion, and suppressing their opponents. Of the internal factors, their close adherence to supporting the Umayyad hegemony and rulers, and their credulity to accept the Umayyads' words</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Imam alHusayn, the Levant, Yazid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Six Types of Identity in the Ashura Episode</w:t>
      </w:r>
    </w:p>
    <w:p>
      <w:pPr>
        <w:pStyle w:val="BookText"/>
        <w:rPr/>
      </w:pPr>
      <w:r>
        <w:rPr>
          <w:rFonts w:eastAsia="Times New Roman" w:cs="Times New Roman" w:ascii="Times New Roman" w:hAnsi="Times New Roman"/>
          <w:color w:val="111111"/>
          <w:sz w:val="28"/>
          <w:szCs w:val="28"/>
          <w:lang w:val="en-US" w:bidi="en-US"/>
        </w:rPr>
        <w:t>Dr. Hoseyn Khanifar</w:t>
      </w:r>
    </w:p>
    <w:p>
      <w:pPr>
        <w:pStyle w:val="BookText"/>
        <w:rPr/>
      </w:pPr>
      <w:r>
        <w:rPr>
          <w:rFonts w:eastAsia="Times New Roman" w:cs="Times New Roman" w:ascii="Times New Roman" w:hAnsi="Times New Roman"/>
          <w:color w:val="111111"/>
          <w:sz w:val="28"/>
          <w:szCs w:val="28"/>
          <w:lang w:val="en-US" w:bidi="en-US"/>
        </w:rPr>
        <w:t>As a great test, Ashura has since remained unique throughout history. On such a day, the veils were removed and the real identities of people were revealed. The present study renders an analysis of the identities of those who were involved in that great event: companion, waiting, eager, avenger, follower, and blind</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six types of identity, immunity, legitimacy, existence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Manifestations of the Sacred in the Arbaeen Rituals</w:t>
      </w:r>
    </w:p>
    <w:p>
      <w:pPr>
        <w:pStyle w:val="BookText"/>
        <w:rPr/>
      </w:pPr>
      <w:r>
        <w:rPr>
          <w:rFonts w:eastAsia="Times New Roman" w:cs="Times New Roman" w:ascii="Times New Roman" w:hAnsi="Times New Roman"/>
          <w:color w:val="111111"/>
          <w:sz w:val="28"/>
          <w:szCs w:val="28"/>
          <w:lang w:val="en-US" w:bidi="en-US"/>
        </w:rPr>
        <w:t>Nasim Kahirdeh Effat Damavandi</w:t>
      </w:r>
    </w:p>
    <w:p>
      <w:pPr>
        <w:pStyle w:val="BookText"/>
        <w:rPr/>
      </w:pPr>
      <w:r>
        <w:rPr>
          <w:rFonts w:eastAsia="Times New Roman" w:cs="Times New Roman" w:ascii="Times New Roman" w:hAnsi="Times New Roman"/>
          <w:color w:val="111111"/>
          <w:sz w:val="28"/>
          <w:szCs w:val="28"/>
          <w:lang w:val="en-US" w:bidi="en-US"/>
        </w:rPr>
        <w:t>The Ashura rites and rituals mirror a wellgrounded system whose function is remaking and giving meaning to Shi'i identity and reinforcing their integration. Based on Clifford Geertz's framework of meaning creation and its significance in producing identity, the present study seeks to produce an analysis of the Arbaeen ritual signs and symbols. The main signs and symbols are as follows: flags, banners, inscriptions, headbands, racksacks, cradles, metal gratings, abayas, scarfs, the Karbala dust, and the blessed clothes distributed in and for the rituals</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Arbaeen, Shi'i rituals, flags, Karbala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Study of the Heresies in Mourning Imam alHusayn</w:t>
      </w:r>
    </w:p>
    <w:p>
      <w:pPr>
        <w:pStyle w:val="BookText"/>
        <w:rPr/>
      </w:pPr>
      <w:r>
        <w:rPr>
          <w:rFonts w:eastAsia="Times New Roman" w:cs="Times New Roman" w:ascii="Times New Roman" w:hAnsi="Times New Roman"/>
          <w:color w:val="111111"/>
          <w:sz w:val="28"/>
          <w:szCs w:val="28"/>
          <w:lang w:val="en-US" w:bidi="en-US"/>
        </w:rPr>
        <w:t>Marziyeh Rajabipour Azadeh Ebrahimi Fakhkhari</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Mourning ceremonies for for the Infallibles, and particularly for Imam al- Husayn, has since had its constructive effects in safeguarding the Shia school of thought. It is therefore essential to keep them away from heresies. Some of these heresies include narrating unreliable reports and accounts, exaggerations, excessive praise of the nonInfallabes, denigrating reports, flagellations, use of musical devices, disorders, and financial misuse. Keywords: Imam alHusayn, heresy, mourning, Arbaeen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دانشیاردانشگاه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dr.mahallati@yahoo.com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زبان وادبيات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ali_919049@yahoo.com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یوسف لاطف، فصلنامۀ مطالعات ادبیات تطبیقی، 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عبد العلی آل بویه لنگرودی، نرگس انصاری وسمیه اصانلو، مجلۀ کاوش نامۀ ادبیات تطبیقی، شمارۀ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تاریخ اسلام دانشگاه پیام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SFAKHRAIE@YAHOO.COM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تاریخ تشیع دانشگاه پیام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H0SEIN.NAMVAR@YAHOO.COM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رشته مذاهب اسلامی، مؤسسه مذاهب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Bna4086@gmail.com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تفسیر تطبیقی جامعة المصطفی العالمیه شعبه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Majidsarkoobi1363@gmail.com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مهدی، دوفصلنامه امامت پژوهی،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عابدی نژاد، علی، سومین کنفرانس بین المللی مطالعات اجتماعی فرهنگی و پژوهش دینی،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بادکوبه هزاوه، احمد و معصومه آبانگاه ازگمی، دوفصلنامه مطالعات تقریبی مذاهب اسلامی،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کوثری، احمد، پژوهشنامۀ نقد وهابیت سراج منیر، شمارۀ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شیخ مفید این واقعه را بین زید و ابن زیاد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مورخان این را هم می نویسند که پس از ورود راس مقدس به شام، تمام خانه های امویان مملو از عزا و ماتم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باید توجه داشت که عمده این سوگواری ها، توسط زنان انجام یافته و اینکه نوحه های زنانه با التهابات کلان جامعه تفاوت دارد؛ مخصوصاً در میان عرب که توجه چندانی به نظرات زنان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همین عزاداری ها نیز موقتی و زودگذر بوده و تأثیر چشمگیری حتی بر خود آن زنان اموی نیز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نقل های دیگری نیز در مورد ابراز انزجار مردم جهان اسلام و از جمله شامیان نسبت به شهادت آن حضرت دیده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پورامینی،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از آنجا که در عمل، هیچ واکنش مهمی در میان آن افراد دیده نمی شود، لذا سخنان فوق بر فرض صحت سند، اموری مقطعی و زبانی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حداقل تا شش سال بعد از شهادت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چندین خیزش مهم علیه بنی امیه در دیگر مناطق جهان اسلام به وقوع پیوسته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مؤلفه دیگری که در ساکت کردن ناراحتی مردم شام مؤثر باشد، این بوده که یزید ضمن ابراز بیزاری از ابن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زنان خانواده اش اجازه داد تا بر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حتی گفته شده که خود یزید نیز شدیداً بر آن حضرت گریست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 دینوری،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آنجا که هرگز جنایتکاران کربلا را محاکمه نکرد، معلوم می شود که تمام این ابراز ناراحتی ها صرفاً برای ساکت کردن مردم بوده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Khanifar@ut.ac.ir</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 آنان همچون حیوانند بلکه از آن پست 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ژبید، برگردان مقاله از مجله لاستامپا،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پژوهش تعزیه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دانشگاه تهران، دانشکده علوم تربیتی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ه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نیبلت،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انسان ها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اکبرزاده انتشارات مشعل،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عشق آتشی است که آنچه جز محبوب است را 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منسوب به حلاج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در عشق است که وضوی آن صحیح نیست مگر اینکه با خون گرفته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خطبه المتقین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مادام لِلمسلمینُ قرآنٌ یتلی وَ کَعبهٌ تُقصد وَ حُسینٌ یُذکَر لایُسَیطر عَعلیهمِ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احمد الوائلی، خطابه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متن نوار عربی اسناد وائلی در سوریه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شبیه این سخنان از گلارستون وزیر امور خارجه دولت استعماری بریتانیا نیز نقل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طف، احمد ناصری، بخش شعر عربی، نسخه تایپی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سلامه از شعرای مسیحی لبنان است و سروده ای به این مضمون 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به نقل از مشعل هدایت، آقای حسینی قمی،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به نقل از مشعل هدایت، آقای حسینی قمی،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الحسینیه، شیخ احمد ناصری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زبان شیرین پارسی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اگر کس است یک حرف بس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کیش عثمانم و او بر آیین پدرش است و قرابتی نداریم، به نقل از معالی السبطین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جامعه شناسی دانشگاه پیام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nasim.kahirdeh@gmail.com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انسان شناسی دانشگاه آزاد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damavandi.effat@yahoo.com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 رحمانی، ترجمه قسمتی از کتاب </w:t>
      </w:r>
      <w:r>
        <w:rPr>
          <w:rFonts w:eastAsia="IRNazanin" w:cs="IRNazanin"/>
          <w:b w:val="false"/>
          <w:bCs w:val="false"/>
          <w:i w:val="false"/>
          <w:iCs w:val="false"/>
          <w:color w:val="333333"/>
          <w:sz w:val="20"/>
          <w:szCs w:val="20"/>
        </w:rPr>
        <w:t>Eller, Jack David (2007) Introducing Anthropology of Religion, London: Routledge</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Theoretical sampling</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حضرت حکیمه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gmail:m.purrajabi.mp@gmail.com</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سطح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فاطمه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خراسگان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،گرایش تفسیر تطبیقی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a.ebrahimy313@gmail.com</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حاج آقا قرائتی، </w:t>
      </w:r>
      <w:r>
        <w:rPr>
          <w:rFonts w:eastAsia="IRNazanin" w:cs="IRNazanin"/>
          <w:b w:val="false"/>
          <w:bCs w:val="false"/>
          <w:i w:val="false"/>
          <w:iCs w:val="false"/>
          <w:color w:val="333333"/>
          <w:sz w:val="20"/>
          <w:szCs w:val="20"/>
        </w:rPr>
        <w:t>7/2/1382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دفتر آیت الله فاضل لنکرانی، </w:t>
      </w:r>
      <w:r>
        <w:rPr>
          <w:rFonts w:eastAsia="IRNazanin" w:cs="IRNazanin"/>
          <w:b w:val="false"/>
          <w:bCs w:val="false"/>
          <w:i w:val="false"/>
          <w:iCs w:val="false"/>
          <w:color w:val="333333"/>
          <w:sz w:val="20"/>
          <w:szCs w:val="20"/>
        </w:rPr>
        <w:t>www.lankarani.org</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3.jpeg"/><Relationship Id="rId42" Type="http://schemas.openxmlformats.org/officeDocument/2006/relationships/image" Target="media/image3.jpeg"/><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image" Target="media/image4.jpeg"/><Relationship Id="rId113" Type="http://schemas.openxmlformats.org/officeDocument/2006/relationships/image" Target="media/image4.jpeg"/><Relationship Id="rId114" Type="http://schemas.openxmlformats.org/officeDocument/2006/relationships/footer" Target="footer105.xml"/><Relationship Id="rId115" Type="http://schemas.openxmlformats.org/officeDocument/2006/relationships/image" Target="media/image5.jpeg"/><Relationship Id="rId116" Type="http://schemas.openxmlformats.org/officeDocument/2006/relationships/image" Target="media/image5.jpeg"/><Relationship Id="rId117" Type="http://schemas.openxmlformats.org/officeDocument/2006/relationships/footer" Target="footer106.xml"/><Relationship Id="rId118" Type="http://schemas.openxmlformats.org/officeDocument/2006/relationships/image" Target="media/image6.jpeg"/><Relationship Id="rId119" Type="http://schemas.openxmlformats.org/officeDocument/2006/relationships/image" Target="media/image6.jpeg"/><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44.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39513</Words>
  <Characters>157362</Characters>
  <CharactersWithSpaces>195993</CharactersWithSpaces>
  <Paragraphs>1017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2026-08-20T03:27:28Z</dcterms:created>
  <dc:creator>ghaemiyeh.com</dc:creator>
  <dc:description/>
  <dc:language>en-US</dc:language>
  <cp:lastModifiedBy/>
  <dcterms:modified xsi:type="dcterms:W3CDTF">2026-08-20T06:57:32Z</dcterms:modified>
  <cp:revision>1</cp:revision>
  <dc:subject/>
  <dc:title>پژوهش نامه معارف حسینی 24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