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png" ContentType="image/png"/>
  <Override PartName="/word/media/image14.png" ContentType="image/png"/>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12.png" ContentType="image/png"/>
  <Override PartName="/word/media/image8.png" ContentType="image/png"/>
  <Override PartName="/word/media/image13.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5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اربع رسائل فقهیه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4021_228174162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94023_228174162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94025_2281741623">
            <w:r>
              <w:rPr>
                <w:webHidden/>
                <w:rStyle w:val="IndexLink"/>
                <w:rtl w:val="true"/>
              </w:rPr>
              <w:t>مقدّمة التحقیق</w:t>
            </w:r>
            <w:r>
              <w:rPr>
                <w:rStyle w:val="IndexLink"/>
                <w:rtl w:val="true"/>
              </w:rPr>
              <w:tab/>
            </w:r>
            <w:r>
              <w:rPr>
                <w:rStyle w:val="IndexLink"/>
              </w:rPr>
              <w:t>13</w:t>
            </w:r>
          </w:hyperlink>
        </w:p>
        <w:p>
          <w:pPr>
            <w:pStyle w:val="Contents3"/>
            <w:tabs>
              <w:tab w:val="clear" w:pos="8459"/>
              <w:tab w:val="right" w:pos="9026" w:leader="dot"/>
            </w:tabs>
            <w:rPr/>
          </w:pPr>
          <w:hyperlink w:anchor="__RefHeading___Toc594027_228174162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594029_2281741623">
            <w:r>
              <w:rPr>
                <w:webHidden/>
                <w:rStyle w:val="IndexLink"/>
                <w:rtl w:val="true"/>
              </w:rPr>
              <w:t>لمحةٌ من حیاةِ حجّة الإسلام الشفتی قدس‌سره</w:t>
            </w:r>
            <w:r>
              <w:rPr>
                <w:rStyle w:val="IndexLink"/>
                <w:rtl w:val="true"/>
              </w:rPr>
              <w:tab/>
            </w:r>
            <w:r>
              <w:rPr>
                <w:rStyle w:val="IndexLink"/>
              </w:rPr>
              <w:t>14</w:t>
            </w:r>
          </w:hyperlink>
        </w:p>
        <w:p>
          <w:pPr>
            <w:pStyle w:val="Contents3"/>
            <w:tabs>
              <w:tab w:val="clear" w:pos="8459"/>
              <w:tab w:val="right" w:pos="9026" w:leader="dot"/>
            </w:tabs>
            <w:rPr/>
          </w:pPr>
          <w:hyperlink w:anchor="__RefHeading___Toc594031_2281741623">
            <w:r>
              <w:rPr>
                <w:webHidden/>
                <w:rStyle w:val="IndexLink"/>
                <w:rtl w:val="true"/>
              </w:rPr>
              <w:t>اسمه و نسبه</w:t>
            </w:r>
            <w:r>
              <w:rPr>
                <w:rStyle w:val="IndexLink"/>
                <w:rtl w:val="true"/>
              </w:rPr>
              <w:tab/>
            </w:r>
            <w:r>
              <w:rPr>
                <w:rStyle w:val="IndexLink"/>
              </w:rPr>
              <w:t>14</w:t>
            </w:r>
          </w:hyperlink>
        </w:p>
        <w:p>
          <w:pPr>
            <w:pStyle w:val="Contents3"/>
            <w:tabs>
              <w:tab w:val="clear" w:pos="8459"/>
              <w:tab w:val="right" w:pos="9026" w:leader="dot"/>
            </w:tabs>
            <w:rPr/>
          </w:pPr>
          <w:hyperlink w:anchor="__RefHeading___Toc594033_2281741623">
            <w:r>
              <w:rPr>
                <w:webHidden/>
                <w:rStyle w:val="IndexLink"/>
                <w:rtl w:val="true"/>
              </w:rPr>
              <w:t>ولادته و نشأته</w:t>
            </w:r>
            <w:r>
              <w:rPr>
                <w:rStyle w:val="IndexLink"/>
                <w:rtl w:val="true"/>
              </w:rPr>
              <w:tab/>
            </w:r>
            <w:r>
              <w:rPr>
                <w:rStyle w:val="IndexLink"/>
              </w:rPr>
              <w:t>15</w:t>
            </w:r>
          </w:hyperlink>
        </w:p>
        <w:p>
          <w:pPr>
            <w:pStyle w:val="Contents3"/>
            <w:tabs>
              <w:tab w:val="clear" w:pos="8459"/>
              <w:tab w:val="right" w:pos="9026" w:leader="dot"/>
            </w:tabs>
            <w:rPr/>
          </w:pPr>
          <w:hyperlink w:anchor="__RefHeading___Toc594035_2281741623">
            <w:r>
              <w:rPr>
                <w:webHidden/>
                <w:rStyle w:val="IndexLink"/>
                <w:rtl w:val="true"/>
              </w:rPr>
              <w:t>اطراء العلماء له</w:t>
            </w:r>
            <w:r>
              <w:rPr>
                <w:rStyle w:val="IndexLink"/>
                <w:rtl w:val="true"/>
              </w:rPr>
              <w:tab/>
            </w:r>
            <w:r>
              <w:rPr>
                <w:rStyle w:val="IndexLink"/>
              </w:rPr>
              <w:t>19</w:t>
            </w:r>
          </w:hyperlink>
        </w:p>
        <w:p>
          <w:pPr>
            <w:pStyle w:val="Contents3"/>
            <w:tabs>
              <w:tab w:val="clear" w:pos="8459"/>
              <w:tab w:val="right" w:pos="9026" w:leader="dot"/>
            </w:tabs>
            <w:rPr/>
          </w:pPr>
          <w:hyperlink w:anchor="__RefHeading___Toc594037_2281741623">
            <w:r>
              <w:rPr>
                <w:webHidden/>
                <w:rStyle w:val="IndexLink"/>
                <w:rtl w:val="true"/>
              </w:rPr>
              <w:t>زهده و عبادته</w:t>
            </w:r>
            <w:r>
              <w:rPr>
                <w:rStyle w:val="IndexLink"/>
                <w:rtl w:val="true"/>
              </w:rPr>
              <w:tab/>
            </w:r>
            <w:r>
              <w:rPr>
                <w:rStyle w:val="IndexLink"/>
              </w:rPr>
              <w:t>20</w:t>
            </w:r>
          </w:hyperlink>
        </w:p>
        <w:p>
          <w:pPr>
            <w:pStyle w:val="Contents3"/>
            <w:tabs>
              <w:tab w:val="clear" w:pos="8459"/>
              <w:tab w:val="right" w:pos="9026" w:leader="dot"/>
            </w:tabs>
            <w:rPr/>
          </w:pPr>
          <w:hyperlink w:anchor="__RefHeading___Toc594039_2281741623">
            <w:r>
              <w:rPr>
                <w:webHidden/>
                <w:rStyle w:val="IndexLink"/>
                <w:rtl w:val="true"/>
              </w:rPr>
              <w:t>إقامته الحدود الشرعیّة</w:t>
            </w:r>
            <w:r>
              <w:rPr>
                <w:rStyle w:val="IndexLink"/>
                <w:rtl w:val="true"/>
              </w:rPr>
              <w:tab/>
            </w:r>
            <w:r>
              <w:rPr>
                <w:rStyle w:val="IndexLink"/>
              </w:rPr>
              <w:t>21</w:t>
            </w:r>
          </w:hyperlink>
        </w:p>
        <w:p>
          <w:pPr>
            <w:pStyle w:val="Contents3"/>
            <w:tabs>
              <w:tab w:val="clear" w:pos="8459"/>
              <w:tab w:val="right" w:pos="9026" w:leader="dot"/>
            </w:tabs>
            <w:rPr/>
          </w:pPr>
          <w:hyperlink w:anchor="__RefHeading___Toc594041_2281741623">
            <w:r>
              <w:rPr>
                <w:webHidden/>
                <w:rStyle w:val="IndexLink"/>
                <w:rtl w:val="true"/>
              </w:rPr>
              <w:t>مشایخ روایته</w:t>
            </w:r>
            <w:r>
              <w:rPr>
                <w:rStyle w:val="IndexLink"/>
                <w:rtl w:val="true"/>
              </w:rPr>
              <w:tab/>
            </w:r>
            <w:r>
              <w:rPr>
                <w:rStyle w:val="IndexLink"/>
              </w:rPr>
              <w:t>21</w:t>
            </w:r>
          </w:hyperlink>
        </w:p>
        <w:p>
          <w:pPr>
            <w:pStyle w:val="Contents3"/>
            <w:tabs>
              <w:tab w:val="clear" w:pos="8459"/>
              <w:tab w:val="right" w:pos="9026" w:leader="dot"/>
            </w:tabs>
            <w:rPr/>
          </w:pPr>
          <w:hyperlink w:anchor="__RefHeading___Toc594043_2281741623">
            <w:r>
              <w:rPr>
                <w:webHidden/>
                <w:rStyle w:val="IndexLink"/>
                <w:rtl w:val="true"/>
              </w:rPr>
              <w:t>تلامذته</w:t>
            </w:r>
            <w:r>
              <w:rPr>
                <w:rStyle w:val="IndexLink"/>
                <w:rtl w:val="true"/>
              </w:rPr>
              <w:tab/>
            </w:r>
            <w:r>
              <w:rPr>
                <w:rStyle w:val="IndexLink"/>
              </w:rPr>
              <w:t>22</w:t>
            </w:r>
          </w:hyperlink>
        </w:p>
        <w:p>
          <w:pPr>
            <w:pStyle w:val="Contents3"/>
            <w:tabs>
              <w:tab w:val="clear" w:pos="8459"/>
              <w:tab w:val="right" w:pos="9026" w:leader="dot"/>
            </w:tabs>
            <w:rPr/>
          </w:pPr>
          <w:hyperlink w:anchor="__RefHeading___Toc594045_2281741623">
            <w:r>
              <w:rPr>
                <w:webHidden/>
                <w:rStyle w:val="IndexLink"/>
                <w:rtl w:val="true"/>
              </w:rPr>
              <w:t>أولاده</w:t>
            </w:r>
            <w:r>
              <w:rPr>
                <w:rStyle w:val="IndexLink"/>
                <w:rtl w:val="true"/>
              </w:rPr>
              <w:tab/>
            </w:r>
            <w:r>
              <w:rPr>
                <w:rStyle w:val="IndexLink"/>
              </w:rPr>
              <w:t>23</w:t>
            </w:r>
          </w:hyperlink>
        </w:p>
        <w:p>
          <w:pPr>
            <w:pStyle w:val="Contents3"/>
            <w:tabs>
              <w:tab w:val="clear" w:pos="8459"/>
              <w:tab w:val="right" w:pos="9026" w:leader="dot"/>
            </w:tabs>
            <w:rPr/>
          </w:pPr>
          <w:hyperlink w:anchor="__RefHeading___Toc594047_2281741623">
            <w:r>
              <w:rPr>
                <w:webHidden/>
                <w:rStyle w:val="IndexLink"/>
                <w:rtl w:val="true"/>
              </w:rPr>
              <w:t>تآلیفه القیّمة</w:t>
            </w:r>
            <w:r>
              <w:rPr>
                <w:rStyle w:val="IndexLink"/>
                <w:rtl w:val="true"/>
              </w:rPr>
              <w:tab/>
            </w:r>
            <w:r>
              <w:rPr>
                <w:rStyle w:val="IndexLink"/>
              </w:rPr>
              <w:t>25</w:t>
            </w:r>
          </w:hyperlink>
        </w:p>
        <w:p>
          <w:pPr>
            <w:pStyle w:val="Contents3"/>
            <w:tabs>
              <w:tab w:val="clear" w:pos="8459"/>
              <w:tab w:val="right" w:pos="9026" w:leader="dot"/>
            </w:tabs>
            <w:rPr/>
          </w:pPr>
          <w:hyperlink w:anchor="__RefHeading___Toc594049_2281741623">
            <w:r>
              <w:rPr>
                <w:webHidden/>
                <w:rStyle w:val="IndexLink"/>
                <w:rtl w:val="true"/>
              </w:rPr>
              <w:t>وفاته و مرقده</w:t>
            </w:r>
            <w:r>
              <w:rPr>
                <w:rStyle w:val="IndexLink"/>
                <w:rtl w:val="true"/>
              </w:rPr>
              <w:tab/>
            </w:r>
            <w:r>
              <w:rPr>
                <w:rStyle w:val="IndexLink"/>
              </w:rPr>
              <w:t>34</w:t>
            </w:r>
          </w:hyperlink>
        </w:p>
        <w:p>
          <w:pPr>
            <w:pStyle w:val="Contents3"/>
            <w:tabs>
              <w:tab w:val="clear" w:pos="8459"/>
              <w:tab w:val="right" w:pos="9026" w:leader="dot"/>
            </w:tabs>
            <w:rPr/>
          </w:pPr>
          <w:hyperlink w:anchor="__RefHeading___Toc594051_2281741623">
            <w:r>
              <w:rPr>
                <w:webHidden/>
                <w:rStyle w:val="IndexLink"/>
                <w:rtl w:val="true"/>
              </w:rPr>
              <w:t>نبذة من ترجمة العالم الزاهد</w:t>
            </w:r>
            <w:r>
              <w:rPr>
                <w:rStyle w:val="IndexLink"/>
                <w:rtl w:val="true"/>
              </w:rPr>
              <w:tab/>
            </w:r>
            <w:r>
              <w:rPr>
                <w:rStyle w:val="IndexLink"/>
              </w:rPr>
              <w:t>37</w:t>
            </w:r>
          </w:hyperlink>
        </w:p>
        <w:p>
          <w:pPr>
            <w:pStyle w:val="Contents3"/>
            <w:tabs>
              <w:tab w:val="clear" w:pos="8459"/>
              <w:tab w:val="right" w:pos="9026" w:leader="dot"/>
            </w:tabs>
            <w:rPr/>
          </w:pPr>
          <w:hyperlink w:anchor="__RefHeading___Toc594053_2281741623">
            <w:r>
              <w:rPr>
                <w:webHidden/>
                <w:rStyle w:val="IndexLink"/>
                <w:rtl w:val="true"/>
              </w:rPr>
              <w:t>اسمه</w:t>
            </w:r>
            <w:r>
              <w:rPr>
                <w:rStyle w:val="IndexLink"/>
                <w:rtl w:val="true"/>
              </w:rPr>
              <w:tab/>
            </w:r>
            <w:r>
              <w:rPr>
                <w:rStyle w:val="IndexLink"/>
              </w:rPr>
              <w:t>37</w:t>
            </w:r>
          </w:hyperlink>
        </w:p>
        <w:p>
          <w:pPr>
            <w:pStyle w:val="Contents3"/>
            <w:tabs>
              <w:tab w:val="clear" w:pos="8459"/>
              <w:tab w:val="right" w:pos="9026" w:leader="dot"/>
            </w:tabs>
            <w:rPr/>
          </w:pPr>
          <w:hyperlink w:anchor="__RefHeading___Toc594055_2281741623">
            <w:r>
              <w:rPr>
                <w:webHidden/>
                <w:rStyle w:val="IndexLink"/>
                <w:rtl w:val="true"/>
              </w:rPr>
              <w:t>نسبته</w:t>
            </w:r>
            <w:r>
              <w:rPr>
                <w:rStyle w:val="IndexLink"/>
                <w:rtl w:val="true"/>
              </w:rPr>
              <w:tab/>
            </w:r>
            <w:r>
              <w:rPr>
                <w:rStyle w:val="IndexLink"/>
              </w:rPr>
              <w:t>37</w:t>
            </w:r>
          </w:hyperlink>
        </w:p>
        <w:p>
          <w:pPr>
            <w:pStyle w:val="Contents3"/>
            <w:tabs>
              <w:tab w:val="clear" w:pos="8459"/>
              <w:tab w:val="right" w:pos="9026" w:leader="dot"/>
            </w:tabs>
            <w:rPr/>
          </w:pPr>
          <w:hyperlink w:anchor="__RefHeading___Toc594057_2281741623">
            <w:r>
              <w:rPr>
                <w:webHidden/>
                <w:rStyle w:val="IndexLink"/>
                <w:rtl w:val="true"/>
              </w:rPr>
              <w:t>جدّه</w:t>
            </w:r>
            <w:r>
              <w:rPr>
                <w:rStyle w:val="IndexLink"/>
                <w:rtl w:val="true"/>
              </w:rPr>
              <w:t xml:space="preserve">: </w:t>
            </w:r>
            <w:r>
              <w:rPr>
                <w:rStyle w:val="IndexLink"/>
                <w:rtl w:val="true"/>
              </w:rPr>
              <w:t>المولی محمّد شریف الرویدشتی</w:t>
            </w:r>
            <w:r>
              <w:rPr>
                <w:rStyle w:val="IndexLink"/>
                <w:rtl w:val="true"/>
              </w:rPr>
              <w:tab/>
            </w:r>
            <w:r>
              <w:rPr>
                <w:rStyle w:val="IndexLink"/>
              </w:rPr>
              <w:t>39</w:t>
            </w:r>
          </w:hyperlink>
        </w:p>
        <w:p>
          <w:pPr>
            <w:pStyle w:val="Contents3"/>
            <w:tabs>
              <w:tab w:val="clear" w:pos="8459"/>
              <w:tab w:val="right" w:pos="9026" w:leader="dot"/>
            </w:tabs>
            <w:rPr/>
          </w:pPr>
          <w:hyperlink w:anchor="__RefHeading___Toc594059_2281741623">
            <w:r>
              <w:rPr>
                <w:webHidden/>
                <w:rStyle w:val="IndexLink"/>
                <w:rtl w:val="true"/>
              </w:rPr>
              <w:t>الشیخة حمیدة بنت آقا شریفا الرویدشتی</w:t>
            </w:r>
            <w:r>
              <w:rPr>
                <w:rStyle w:val="IndexLink"/>
                <w:rtl w:val="true"/>
              </w:rPr>
              <w:tab/>
            </w:r>
            <w:r>
              <w:rPr>
                <w:rStyle w:val="IndexLink"/>
              </w:rPr>
              <w:t>40</w:t>
            </w:r>
          </w:hyperlink>
        </w:p>
        <w:p>
          <w:pPr>
            <w:pStyle w:val="Contents3"/>
            <w:tabs>
              <w:tab w:val="clear" w:pos="8459"/>
              <w:tab w:val="right" w:pos="9026" w:leader="dot"/>
            </w:tabs>
            <w:rPr/>
          </w:pPr>
          <w:hyperlink w:anchor="__RefHeading___Toc594061_2281741623">
            <w:r>
              <w:rPr>
                <w:webHidden/>
                <w:rStyle w:val="IndexLink"/>
                <w:rtl w:val="true"/>
              </w:rPr>
              <w:t>الشیخة فاطمة بنت الشیخة حمیدة</w:t>
            </w:r>
            <w:r>
              <w:rPr>
                <w:rStyle w:val="IndexLink"/>
                <w:rtl w:val="true"/>
              </w:rPr>
              <w:tab/>
            </w:r>
            <w:r>
              <w:rPr>
                <w:rStyle w:val="IndexLink"/>
              </w:rPr>
              <w:t>42</w:t>
            </w:r>
          </w:hyperlink>
        </w:p>
        <w:p>
          <w:pPr>
            <w:pStyle w:val="Contents3"/>
            <w:tabs>
              <w:tab w:val="clear" w:pos="8459"/>
              <w:tab w:val="right" w:pos="9026" w:leader="dot"/>
            </w:tabs>
            <w:rPr/>
          </w:pPr>
          <w:hyperlink w:anchor="__RefHeading___Toc594063_2281741623">
            <w:r>
              <w:rPr>
                <w:webHidden/>
                <w:rStyle w:val="IndexLink"/>
                <w:rtl w:val="true"/>
              </w:rPr>
              <w:t>أقوال العلماء فیه</w:t>
            </w:r>
            <w:r>
              <w:rPr>
                <w:rStyle w:val="IndexLink"/>
                <w:rtl w:val="true"/>
              </w:rPr>
              <w:tab/>
            </w:r>
            <w:r>
              <w:rPr>
                <w:rStyle w:val="IndexLink"/>
              </w:rPr>
              <w:t>42</w:t>
            </w:r>
          </w:hyperlink>
        </w:p>
        <w:p>
          <w:pPr>
            <w:pStyle w:val="Contents3"/>
            <w:tabs>
              <w:tab w:val="clear" w:pos="8459"/>
              <w:tab w:val="right" w:pos="9026" w:leader="dot"/>
            </w:tabs>
            <w:rPr/>
          </w:pPr>
          <w:hyperlink w:anchor="__RefHeading___Toc594065_2281741623">
            <w:r>
              <w:rPr>
                <w:webHidden/>
                <w:rStyle w:val="IndexLink"/>
                <w:rtl w:val="true"/>
              </w:rPr>
              <w:t>أساتیده</w:t>
            </w:r>
            <w:r>
              <w:rPr>
                <w:rStyle w:val="IndexLink"/>
                <w:rtl w:val="true"/>
              </w:rPr>
              <w:tab/>
            </w:r>
            <w:r>
              <w:rPr>
                <w:rStyle w:val="IndexLink"/>
              </w:rPr>
              <w:t>44</w:t>
            </w:r>
          </w:hyperlink>
        </w:p>
        <w:p>
          <w:pPr>
            <w:pStyle w:val="Contents3"/>
            <w:tabs>
              <w:tab w:val="clear" w:pos="8459"/>
              <w:tab w:val="right" w:pos="9026" w:leader="dot"/>
            </w:tabs>
            <w:rPr/>
          </w:pPr>
          <w:hyperlink w:anchor="__RefHeading___Toc594067_2281741623">
            <w:r>
              <w:rPr>
                <w:webHidden/>
                <w:rStyle w:val="IndexLink"/>
                <w:rtl w:val="true"/>
              </w:rPr>
              <w:t>تلامیذه</w:t>
            </w:r>
            <w:r>
              <w:rPr>
                <w:rStyle w:val="IndexLink"/>
                <w:rtl w:val="true"/>
              </w:rPr>
              <w:tab/>
            </w:r>
            <w:r>
              <w:rPr>
                <w:rStyle w:val="IndexLink"/>
              </w:rPr>
              <w:t>44</w:t>
            </w:r>
          </w:hyperlink>
        </w:p>
        <w:p>
          <w:pPr>
            <w:pStyle w:val="Contents3"/>
            <w:tabs>
              <w:tab w:val="clear" w:pos="8459"/>
              <w:tab w:val="right" w:pos="9026" w:leader="dot"/>
            </w:tabs>
            <w:rPr/>
          </w:pPr>
          <w:hyperlink w:anchor="__RefHeading___Toc594069_2281741623">
            <w:r>
              <w:rPr>
                <w:webHidden/>
                <w:rStyle w:val="IndexLink"/>
                <w:rtl w:val="true"/>
              </w:rPr>
              <w:t>مؤلّفاته</w:t>
            </w:r>
            <w:r>
              <w:rPr>
                <w:rStyle w:val="IndexLink"/>
                <w:rtl w:val="true"/>
              </w:rPr>
              <w:tab/>
            </w:r>
            <w:r>
              <w:rPr>
                <w:rStyle w:val="IndexLink"/>
              </w:rPr>
              <w:t>46</w:t>
            </w:r>
          </w:hyperlink>
        </w:p>
        <w:p>
          <w:pPr>
            <w:pStyle w:val="Contents3"/>
            <w:tabs>
              <w:tab w:val="clear" w:pos="8459"/>
              <w:tab w:val="right" w:pos="9026" w:leader="dot"/>
            </w:tabs>
            <w:rPr/>
          </w:pPr>
          <w:hyperlink w:anchor="__RefHeading___Toc594071_2281741623">
            <w:r>
              <w:rPr>
                <w:webHidden/>
                <w:rStyle w:val="IndexLink"/>
                <w:rtl w:val="true"/>
              </w:rPr>
              <w:t>وفاته ومدفنه</w:t>
            </w:r>
            <w:r>
              <w:rPr>
                <w:rStyle w:val="IndexLink"/>
                <w:rtl w:val="true"/>
              </w:rPr>
              <w:tab/>
            </w:r>
            <w:r>
              <w:rPr>
                <w:rStyle w:val="IndexLink"/>
              </w:rPr>
              <w:t>52</w:t>
            </w:r>
          </w:hyperlink>
        </w:p>
        <w:p>
          <w:pPr>
            <w:pStyle w:val="Contents3"/>
            <w:tabs>
              <w:tab w:val="clear" w:pos="8459"/>
              <w:tab w:val="right" w:pos="9026" w:leader="dot"/>
            </w:tabs>
            <w:rPr/>
          </w:pPr>
          <w:hyperlink w:anchor="__RefHeading___Toc594073_2281741623">
            <w:r>
              <w:rPr>
                <w:webHidden/>
                <w:rStyle w:val="IndexLink"/>
                <w:rtl w:val="true"/>
              </w:rPr>
              <w:t>بین یدی الکتاب</w:t>
            </w:r>
            <w:r>
              <w:rPr>
                <w:rStyle w:val="IndexLink"/>
                <w:rtl w:val="true"/>
              </w:rPr>
              <w:tab/>
            </w:r>
            <w:r>
              <w:rPr>
                <w:rStyle w:val="IndexLink"/>
              </w:rPr>
              <w:t>53</w:t>
            </w:r>
          </w:hyperlink>
        </w:p>
        <w:p>
          <w:pPr>
            <w:pStyle w:val="Contents3"/>
            <w:tabs>
              <w:tab w:val="clear" w:pos="8459"/>
              <w:tab w:val="right" w:pos="9026" w:leader="dot"/>
            </w:tabs>
            <w:rPr/>
          </w:pPr>
          <w:hyperlink w:anchor="__RefHeading___Toc594075_2281741623">
            <w:r>
              <w:rPr>
                <w:webHidden/>
                <w:rStyle w:val="IndexLink"/>
                <w:rtl w:val="true"/>
              </w:rPr>
              <w:t>فهرست ما فی الکتاب</w:t>
            </w:r>
            <w:r>
              <w:rPr>
                <w:rStyle w:val="IndexLink"/>
                <w:rtl w:val="true"/>
              </w:rPr>
              <w:tab/>
            </w:r>
            <w:r>
              <w:rPr>
                <w:rStyle w:val="IndexLink"/>
              </w:rPr>
              <w:t>55</w:t>
            </w:r>
          </w:hyperlink>
        </w:p>
        <w:p>
          <w:pPr>
            <w:pStyle w:val="Contents3"/>
            <w:tabs>
              <w:tab w:val="clear" w:pos="8459"/>
              <w:tab w:val="right" w:pos="9026" w:leader="dot"/>
            </w:tabs>
            <w:rPr/>
          </w:pPr>
          <w:hyperlink w:anchor="__RefHeading___Toc594077_2281741623">
            <w:r>
              <w:rPr>
                <w:webHidden/>
                <w:rStyle w:val="IndexLink"/>
                <w:rtl w:val="true"/>
              </w:rPr>
              <w:t>عملنا فی التحقیق</w:t>
            </w:r>
            <w:r>
              <w:rPr>
                <w:rStyle w:val="IndexLink"/>
                <w:rtl w:val="true"/>
              </w:rPr>
              <w:tab/>
            </w:r>
            <w:r>
              <w:rPr>
                <w:rStyle w:val="IndexLink"/>
              </w:rPr>
              <w:t>62</w:t>
            </w:r>
          </w:hyperlink>
        </w:p>
        <w:p>
          <w:pPr>
            <w:pStyle w:val="Contents4"/>
            <w:tabs>
              <w:tab w:val="clear" w:pos="8176"/>
              <w:tab w:val="right" w:pos="9026" w:leader="dot"/>
            </w:tabs>
            <w:rPr/>
          </w:pPr>
          <w:hyperlink w:anchor="__RefHeading___Toc594079_2281741623">
            <w:r>
              <w:rPr>
                <w:webHidden/>
                <w:rStyle w:val="IndexLink"/>
                <w:rtl w:val="true"/>
              </w:rPr>
              <w:t>النسخ المعتمدة</w:t>
            </w:r>
            <w:r>
              <w:rPr>
                <w:rStyle w:val="IndexLink"/>
                <w:rtl w:val="true"/>
              </w:rPr>
              <w:t>:</w:t>
              <w:tab/>
            </w:r>
            <w:r>
              <w:rPr>
                <w:rStyle w:val="IndexLink"/>
              </w:rPr>
              <w:t>62</w:t>
            </w:r>
          </w:hyperlink>
        </w:p>
        <w:p>
          <w:pPr>
            <w:pStyle w:val="Contents4"/>
            <w:tabs>
              <w:tab w:val="clear" w:pos="8176"/>
              <w:tab w:val="right" w:pos="9026" w:leader="dot"/>
            </w:tabs>
            <w:rPr/>
          </w:pPr>
          <w:hyperlink w:anchor="__RefHeading___Toc594081_2281741623">
            <w:r>
              <w:rPr>
                <w:webHidden/>
                <w:rStyle w:val="IndexLink"/>
                <w:rtl w:val="true"/>
              </w:rPr>
              <w:t>منهجنا فی التحقیق</w:t>
            </w:r>
            <w:r>
              <w:rPr>
                <w:rStyle w:val="IndexLink"/>
                <w:rtl w:val="true"/>
              </w:rPr>
              <w:t>:</w:t>
              <w:tab/>
            </w:r>
            <w:r>
              <w:rPr>
                <w:rStyle w:val="IndexLink"/>
              </w:rPr>
              <w:t>63</w:t>
            </w:r>
          </w:hyperlink>
        </w:p>
        <w:p>
          <w:pPr>
            <w:pStyle w:val="Contents3"/>
            <w:tabs>
              <w:tab w:val="clear" w:pos="8459"/>
              <w:tab w:val="right" w:pos="9026" w:leader="dot"/>
            </w:tabs>
            <w:rPr/>
          </w:pPr>
          <w:hyperlink w:anchor="__RefHeading___Toc594083_2281741623">
            <w:r>
              <w:rPr>
                <w:webHidden/>
                <w:rStyle w:val="IndexLink"/>
                <w:rtl w:val="true"/>
              </w:rPr>
              <w:t>نماذج من صور النسخ الخطیة</w:t>
            </w:r>
            <w:r>
              <w:rPr>
                <w:rStyle w:val="IndexLink"/>
                <w:rtl w:val="true"/>
              </w:rPr>
              <w:tab/>
            </w:r>
            <w:r>
              <w:rPr>
                <w:rStyle w:val="IndexLink"/>
              </w:rPr>
              <w:t>65</w:t>
            </w:r>
          </w:hyperlink>
        </w:p>
        <w:p>
          <w:pPr>
            <w:pStyle w:val="Contents2"/>
            <w:tabs>
              <w:tab w:val="clear" w:pos="8743"/>
              <w:tab w:val="right" w:pos="9026" w:leader="dot"/>
            </w:tabs>
            <w:rPr/>
          </w:pPr>
          <w:hyperlink w:anchor="__RefHeading___Toc594085_2281741623">
            <w:r>
              <w:rPr>
                <w:webHidden/>
                <w:rStyle w:val="IndexLink"/>
                <w:rtl w:val="true"/>
              </w:rPr>
              <w:t>الرسالة الأولی</w:t>
            </w:r>
            <w:r>
              <w:rPr>
                <w:rStyle w:val="IndexLink"/>
                <w:rtl w:val="true"/>
              </w:rPr>
              <w:t xml:space="preserve">: </w:t>
            </w:r>
            <w:r>
              <w:rPr>
                <w:rStyle w:val="IndexLink"/>
                <w:rtl w:val="true"/>
              </w:rPr>
              <w:t>فِی تَعیِینِ السَلامِ الأَخِیرِ فِی النَوَافِل للمولی الإیجهی رحمه‌الله</w:t>
            </w:r>
            <w:r>
              <w:rPr>
                <w:rStyle w:val="IndexLink"/>
                <w:rtl w:val="true"/>
              </w:rPr>
              <w:tab/>
            </w:r>
            <w:r>
              <w:rPr>
                <w:rStyle w:val="IndexLink"/>
              </w:rPr>
              <w:t>77</w:t>
            </w:r>
          </w:hyperlink>
        </w:p>
        <w:p>
          <w:pPr>
            <w:pStyle w:val="Contents3"/>
            <w:tabs>
              <w:tab w:val="clear" w:pos="8459"/>
              <w:tab w:val="right" w:pos="9026" w:leader="dot"/>
            </w:tabs>
            <w:rPr/>
          </w:pPr>
          <w:hyperlink w:anchor="__RefHeading___Toc594087_2281741623">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594089_2281741623">
            <w:r>
              <w:rPr>
                <w:webHidden/>
                <w:rStyle w:val="IndexLink"/>
                <w:rtl w:val="true"/>
              </w:rPr>
              <w:t xml:space="preserve">الفصل الأوّل </w:t>
            </w:r>
            <w:r>
              <w:rPr>
                <w:rStyle w:val="IndexLink"/>
                <w:rtl w:val="true"/>
              </w:rPr>
              <w:t xml:space="preserve">: </w:t>
            </w:r>
            <w:r>
              <w:rPr>
                <w:rStyle w:val="IndexLink"/>
                <w:rtl w:val="true"/>
              </w:rPr>
              <w:t>فی وجوب التسلیم و ندبه</w:t>
            </w:r>
            <w:r>
              <w:rPr>
                <w:rStyle w:val="IndexLink"/>
                <w:rtl w:val="true"/>
              </w:rPr>
              <w:tab/>
            </w:r>
            <w:r>
              <w:rPr>
                <w:rStyle w:val="IndexLink"/>
              </w:rPr>
              <w:t>80</w:t>
            </w:r>
          </w:hyperlink>
        </w:p>
        <w:p>
          <w:pPr>
            <w:pStyle w:val="Contents4"/>
            <w:tabs>
              <w:tab w:val="clear" w:pos="8176"/>
              <w:tab w:val="right" w:pos="9026" w:leader="dot"/>
            </w:tabs>
            <w:rPr/>
          </w:pPr>
          <w:hyperlink w:anchor="__RefHeading___Toc594091_2281741623">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594093_2281741623">
            <w:r>
              <w:rPr>
                <w:webHidden/>
                <w:rStyle w:val="IndexLink"/>
                <w:rtl w:val="true"/>
              </w:rPr>
              <w:t>أدلّة القائلین بندب التسلیم</w:t>
            </w:r>
            <w:r>
              <w:rPr>
                <w:rStyle w:val="IndexLink"/>
                <w:rtl w:val="true"/>
              </w:rPr>
              <w:tab/>
            </w:r>
            <w:r>
              <w:rPr>
                <w:rStyle w:val="IndexLink"/>
              </w:rPr>
              <w:t>89</w:t>
            </w:r>
          </w:hyperlink>
        </w:p>
        <w:p>
          <w:pPr>
            <w:pStyle w:val="Contents4"/>
            <w:tabs>
              <w:tab w:val="clear" w:pos="8176"/>
              <w:tab w:val="right" w:pos="9026" w:leader="dot"/>
            </w:tabs>
            <w:rPr/>
          </w:pPr>
          <w:hyperlink w:anchor="__RefHeading___Toc594095_2281741623">
            <w:r>
              <w:rPr>
                <w:webHidden/>
                <w:rStyle w:val="IndexLink"/>
                <w:rtl w:val="true"/>
              </w:rPr>
              <w:t>فی ردّ الأدلّة</w:t>
            </w:r>
            <w:r>
              <w:rPr>
                <w:rStyle w:val="IndexLink"/>
                <w:rtl w:val="true"/>
              </w:rPr>
              <w:tab/>
            </w:r>
            <w:r>
              <w:rPr>
                <w:rStyle w:val="IndexLink"/>
              </w:rPr>
              <w:t>91</w:t>
            </w:r>
          </w:hyperlink>
        </w:p>
        <w:p>
          <w:pPr>
            <w:pStyle w:val="Contents3"/>
            <w:tabs>
              <w:tab w:val="clear" w:pos="8459"/>
              <w:tab w:val="right" w:pos="9026" w:leader="dot"/>
            </w:tabs>
            <w:rPr/>
          </w:pPr>
          <w:hyperlink w:anchor="__RefHeading___Toc594097_2281741623">
            <w:r>
              <w:rPr>
                <w:webHidden/>
                <w:rStyle w:val="IndexLink"/>
                <w:rtl w:val="true"/>
              </w:rPr>
              <w:t xml:space="preserve">الفصل الثانی </w:t>
            </w:r>
            <w:r>
              <w:rPr>
                <w:rStyle w:val="IndexLink"/>
                <w:rtl w:val="true"/>
              </w:rPr>
              <w:t xml:space="preserve">: </w:t>
            </w:r>
            <w:r>
              <w:rPr>
                <w:rStyle w:val="IndexLink"/>
                <w:rtl w:val="true"/>
              </w:rPr>
              <w:t>فی بیان کون التسلیم جزءًا أو خارجًا</w:t>
            </w:r>
            <w:r>
              <w:rPr>
                <w:rStyle w:val="IndexLink"/>
                <w:rtl w:val="true"/>
              </w:rPr>
              <w:tab/>
            </w:r>
            <w:r>
              <w:rPr>
                <w:rStyle w:val="IndexLink"/>
              </w:rPr>
              <w:t>95</w:t>
            </w:r>
          </w:hyperlink>
        </w:p>
        <w:p>
          <w:pPr>
            <w:pStyle w:val="Contents3"/>
            <w:tabs>
              <w:tab w:val="clear" w:pos="8459"/>
              <w:tab w:val="right" w:pos="9026" w:leader="dot"/>
            </w:tabs>
            <w:rPr/>
          </w:pPr>
          <w:hyperlink w:anchor="__RefHeading___Toc594099_2281741623">
            <w:r>
              <w:rPr>
                <w:webHidden/>
                <w:rStyle w:val="IndexLink"/>
                <w:rtl w:val="true"/>
              </w:rPr>
              <w:t xml:space="preserve">الفصل الثالث </w:t>
            </w:r>
            <w:r>
              <w:rPr>
                <w:rStyle w:val="IndexLink"/>
                <w:rtl w:val="true"/>
              </w:rPr>
              <w:t xml:space="preserve">: </w:t>
            </w:r>
            <w:r>
              <w:rPr>
                <w:rStyle w:val="IndexLink"/>
                <w:rtl w:val="true"/>
              </w:rPr>
              <w:t>فیما یتفرّع علی القولین</w:t>
            </w:r>
            <w:r>
              <w:rPr>
                <w:rStyle w:val="IndexLink"/>
                <w:rtl w:val="true"/>
              </w:rPr>
              <w:tab/>
            </w:r>
            <w:r>
              <w:rPr>
                <w:rStyle w:val="IndexLink"/>
              </w:rPr>
              <w:t>97</w:t>
            </w:r>
          </w:hyperlink>
        </w:p>
        <w:p>
          <w:pPr>
            <w:pStyle w:val="Contents3"/>
            <w:tabs>
              <w:tab w:val="clear" w:pos="8459"/>
              <w:tab w:val="right" w:pos="9026" w:leader="dot"/>
            </w:tabs>
            <w:rPr/>
          </w:pPr>
          <w:hyperlink w:anchor="__RefHeading___Toc594101_2281741623">
            <w:r>
              <w:rPr>
                <w:webHidden/>
                <w:rStyle w:val="IndexLink"/>
                <w:rtl w:val="true"/>
              </w:rPr>
              <w:t xml:space="preserve">الفصل الرابع </w:t>
            </w:r>
            <w:r>
              <w:rPr>
                <w:rStyle w:val="IndexLink"/>
                <w:rtl w:val="true"/>
              </w:rPr>
              <w:t xml:space="preserve">: </w:t>
            </w:r>
            <w:r>
              <w:rPr>
                <w:rStyle w:val="IndexLink"/>
                <w:rtl w:val="true"/>
              </w:rPr>
              <w:t>فی أنّ المخرج أیّ الصیغتین</w:t>
            </w:r>
            <w:r>
              <w:rPr>
                <w:rStyle w:val="IndexLink"/>
                <w:rtl w:val="true"/>
              </w:rPr>
              <w:tab/>
            </w:r>
            <w:r>
              <w:rPr>
                <w:rStyle w:val="IndexLink"/>
              </w:rPr>
              <w:t>98</w:t>
            </w:r>
          </w:hyperlink>
        </w:p>
        <w:p>
          <w:pPr>
            <w:pStyle w:val="Contents3"/>
            <w:tabs>
              <w:tab w:val="clear" w:pos="8459"/>
              <w:tab w:val="right" w:pos="9026" w:leader="dot"/>
            </w:tabs>
            <w:rPr/>
          </w:pPr>
          <w:hyperlink w:anchor="__RefHeading___Toc594103_2281741623">
            <w:r>
              <w:rPr>
                <w:webHidden/>
                <w:rStyle w:val="IndexLink"/>
                <w:rtl w:val="true"/>
              </w:rPr>
              <w:t xml:space="preserve">الفصل الخامس </w:t>
            </w:r>
            <w:r>
              <w:rPr>
                <w:rStyle w:val="IndexLink"/>
                <w:rtl w:val="true"/>
              </w:rPr>
              <w:t xml:space="preserve">: </w:t>
            </w:r>
            <w:r>
              <w:rPr>
                <w:rStyle w:val="IndexLink"/>
                <w:rtl w:val="true"/>
              </w:rPr>
              <w:t>فی تعداد المذاهب فی التسلیم</w:t>
            </w:r>
            <w:r>
              <w:rPr>
                <w:rStyle w:val="IndexLink"/>
                <w:rtl w:val="true"/>
              </w:rPr>
              <w:tab/>
            </w:r>
            <w:r>
              <w:rPr>
                <w:rStyle w:val="IndexLink"/>
              </w:rPr>
              <w:t>111</w:t>
            </w:r>
          </w:hyperlink>
        </w:p>
        <w:p>
          <w:pPr>
            <w:pStyle w:val="Contents3"/>
            <w:tabs>
              <w:tab w:val="clear" w:pos="8459"/>
              <w:tab w:val="right" w:pos="9026" w:leader="dot"/>
            </w:tabs>
            <w:rPr/>
          </w:pPr>
          <w:hyperlink w:anchor="__RefHeading___Toc594105_2281741623">
            <w:r>
              <w:rPr>
                <w:webHidden/>
                <w:rStyle w:val="IndexLink"/>
                <w:rtl w:val="true"/>
              </w:rPr>
              <w:t xml:space="preserve">الفصل السادس </w:t>
            </w:r>
            <w:r>
              <w:rPr>
                <w:rStyle w:val="IndexLink"/>
                <w:rtl w:val="true"/>
              </w:rPr>
              <w:t xml:space="preserve">: </w:t>
            </w:r>
            <w:r>
              <w:rPr>
                <w:rStyle w:val="IndexLink"/>
                <w:rtl w:val="true"/>
              </w:rPr>
              <w:t>فی بیان مواضع تعدّد التسلیم وکیفیّة أدائه</w:t>
            </w:r>
            <w:r>
              <w:rPr>
                <w:rStyle w:val="IndexLink"/>
                <w:rtl w:val="true"/>
              </w:rPr>
              <w:tab/>
            </w:r>
            <w:r>
              <w:rPr>
                <w:rStyle w:val="IndexLink"/>
              </w:rPr>
              <w:t>112</w:t>
            </w:r>
          </w:hyperlink>
        </w:p>
        <w:p>
          <w:pPr>
            <w:pStyle w:val="Contents3"/>
            <w:tabs>
              <w:tab w:val="clear" w:pos="8459"/>
              <w:tab w:val="right" w:pos="9026" w:leader="dot"/>
            </w:tabs>
            <w:rPr/>
          </w:pPr>
          <w:hyperlink w:anchor="__RefHeading___Toc594107_2281741623">
            <w:r>
              <w:rPr>
                <w:webHidden/>
                <w:rStyle w:val="IndexLink"/>
                <w:rtl w:val="true"/>
              </w:rPr>
              <w:t xml:space="preserve">الفصل السابع </w:t>
            </w:r>
            <w:r>
              <w:rPr>
                <w:rStyle w:val="IndexLink"/>
                <w:rtl w:val="true"/>
              </w:rPr>
              <w:t xml:space="preserve">: </w:t>
            </w:r>
            <w:r>
              <w:rPr>
                <w:rStyle w:val="IndexLink"/>
                <w:rtl w:val="true"/>
              </w:rPr>
              <w:t>فی إستحباب قصد الردّ</w:t>
            </w:r>
            <w:r>
              <w:rPr>
                <w:rStyle w:val="IndexLink"/>
                <w:rtl w:val="true"/>
              </w:rPr>
              <w:tab/>
            </w:r>
            <w:r>
              <w:rPr>
                <w:rStyle w:val="IndexLink"/>
              </w:rPr>
              <w:t>116</w:t>
            </w:r>
          </w:hyperlink>
        </w:p>
        <w:p>
          <w:pPr>
            <w:pStyle w:val="Contents3"/>
            <w:tabs>
              <w:tab w:val="clear" w:pos="8459"/>
              <w:tab w:val="right" w:pos="9026" w:leader="dot"/>
            </w:tabs>
            <w:rPr/>
          </w:pPr>
          <w:hyperlink w:anchor="__RefHeading___Toc594109_2281741623">
            <w:r>
              <w:rPr>
                <w:webHidden/>
                <w:rStyle w:val="IndexLink"/>
                <w:rtl w:val="true"/>
              </w:rPr>
              <w:t>الفصل الثامن</w:t>
            </w:r>
            <w:r>
              <w:rPr>
                <w:rStyle w:val="IndexLink"/>
                <w:rtl w:val="true"/>
              </w:rPr>
              <w:t xml:space="preserve">: </w:t>
            </w:r>
            <w:r>
              <w:rPr>
                <w:rStyle w:val="IndexLink"/>
                <w:rtl w:val="true"/>
              </w:rPr>
              <w:t>فی بیان انّ القیدین الاخرین فی السلام هل هو واجب أو ندب</w:t>
            </w:r>
            <w:r>
              <w:rPr>
                <w:rStyle w:val="IndexLink"/>
                <w:rtl w:val="true"/>
              </w:rPr>
              <w:tab/>
            </w:r>
            <w:r>
              <w:rPr>
                <w:rStyle w:val="IndexLink"/>
              </w:rPr>
              <w:t>118</w:t>
            </w:r>
          </w:hyperlink>
        </w:p>
        <w:p>
          <w:pPr>
            <w:pStyle w:val="Contents3"/>
            <w:tabs>
              <w:tab w:val="clear" w:pos="8459"/>
              <w:tab w:val="right" w:pos="9026" w:leader="dot"/>
            </w:tabs>
            <w:rPr/>
          </w:pPr>
          <w:hyperlink w:anchor="__RefHeading___Toc594111_2281741623">
            <w:r>
              <w:rPr>
                <w:webHidden/>
                <w:rStyle w:val="IndexLink"/>
                <w:rtl w:val="true"/>
              </w:rPr>
              <w:t>الفصل التاسع</w:t>
            </w:r>
            <w:r>
              <w:rPr>
                <w:rStyle w:val="IndexLink"/>
                <w:rtl w:val="true"/>
              </w:rPr>
              <w:t xml:space="preserve">: </w:t>
            </w:r>
            <w:r>
              <w:rPr>
                <w:rStyle w:val="IndexLink"/>
                <w:rtl w:val="true"/>
              </w:rPr>
              <w:t>فی تحقیق وجوب نیّة الخروج وعدم الوجوب</w:t>
            </w:r>
            <w:r>
              <w:rPr>
                <w:rStyle w:val="IndexLink"/>
                <w:rtl w:val="true"/>
              </w:rPr>
              <w:tab/>
            </w:r>
            <w:r>
              <w:rPr>
                <w:rStyle w:val="IndexLink"/>
              </w:rPr>
              <w:t>119</w:t>
            </w:r>
          </w:hyperlink>
        </w:p>
        <w:p>
          <w:pPr>
            <w:pStyle w:val="Contents3"/>
            <w:tabs>
              <w:tab w:val="clear" w:pos="8459"/>
              <w:tab w:val="right" w:pos="9026" w:leader="dot"/>
            </w:tabs>
            <w:rPr/>
          </w:pPr>
          <w:hyperlink w:anchor="__RefHeading___Toc594113_2281741623">
            <w:r>
              <w:rPr>
                <w:webHidden/>
                <w:rStyle w:val="IndexLink"/>
                <w:rtl w:val="true"/>
              </w:rPr>
              <w:t xml:space="preserve">الفصل العاشر </w:t>
            </w:r>
            <w:r>
              <w:rPr>
                <w:rStyle w:val="IndexLink"/>
                <w:rtl w:val="true"/>
              </w:rPr>
              <w:t xml:space="preserve">: </w:t>
            </w:r>
            <w:r>
              <w:rPr>
                <w:rStyle w:val="IndexLink"/>
                <w:rtl w:val="true"/>
              </w:rPr>
              <w:t>فی بیان التسلیم فی النوافل</w:t>
            </w:r>
            <w:r>
              <w:rPr>
                <w:rStyle w:val="IndexLink"/>
                <w:rtl w:val="true"/>
              </w:rPr>
              <w:tab/>
            </w:r>
            <w:r>
              <w:rPr>
                <w:rStyle w:val="IndexLink"/>
              </w:rPr>
              <w:t>122</w:t>
            </w:r>
          </w:hyperlink>
        </w:p>
        <w:p>
          <w:pPr>
            <w:pStyle w:val="Contents2"/>
            <w:tabs>
              <w:tab w:val="clear" w:pos="8743"/>
              <w:tab w:val="right" w:pos="9026" w:leader="dot"/>
            </w:tabs>
            <w:rPr/>
          </w:pPr>
          <w:hyperlink w:anchor="__RefHeading___Toc594115_2281741623">
            <w:r>
              <w:rPr>
                <w:webHidden/>
                <w:rStyle w:val="IndexLink"/>
                <w:rtl w:val="true"/>
              </w:rPr>
              <w:t>الرسالة الثانیة</w:t>
            </w:r>
            <w:r>
              <w:rPr>
                <w:rStyle w:val="IndexLink"/>
                <w:rtl w:val="true"/>
              </w:rPr>
              <w:t xml:space="preserve">: </w:t>
            </w:r>
            <w:r>
              <w:rPr>
                <w:rStyle w:val="IndexLink"/>
                <w:rtl w:val="true"/>
              </w:rPr>
              <w:t>الرَدُّ عَلی رِسَالَةِ تَعیِینِ السَلامِ الأخِیرِ فِی النَوَافِل لحجّة الإسلام الشفتی قدس‌سره</w:t>
            </w:r>
            <w:r>
              <w:rPr>
                <w:rStyle w:val="IndexLink"/>
                <w:rtl w:val="true"/>
              </w:rPr>
              <w:tab/>
            </w:r>
            <w:r>
              <w:rPr>
                <w:rStyle w:val="IndexLink"/>
              </w:rPr>
              <w:t>127</w:t>
            </w:r>
          </w:hyperlink>
        </w:p>
        <w:p>
          <w:pPr>
            <w:pStyle w:val="Contents3"/>
            <w:tabs>
              <w:tab w:val="clear" w:pos="8459"/>
              <w:tab w:val="right" w:pos="9026" w:leader="dot"/>
            </w:tabs>
            <w:rPr/>
          </w:pPr>
          <w:hyperlink w:anchor="__RefHeading___Toc594117_2281741623">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594119_2281741623">
            <w:r>
              <w:rPr>
                <w:webHidden/>
                <w:rStyle w:val="IndexLink"/>
                <w:rtl w:val="true"/>
              </w:rPr>
              <w:t>الردّ علی ما ذکره من انّه یجب الإقتصار فی تسلیم النوافل بصیغة السلام علیکم ولایجوز العدول عنها إلی غیرها</w:t>
            </w:r>
            <w:r>
              <w:rPr>
                <w:rStyle w:val="IndexLink"/>
                <w:rtl w:val="true"/>
              </w:rPr>
              <w:tab/>
            </w:r>
            <w:r>
              <w:rPr>
                <w:rStyle w:val="IndexLink"/>
              </w:rPr>
              <w:t>130</w:t>
            </w:r>
          </w:hyperlink>
        </w:p>
        <w:p>
          <w:pPr>
            <w:pStyle w:val="Contents3"/>
            <w:tabs>
              <w:tab w:val="clear" w:pos="8459"/>
              <w:tab w:val="right" w:pos="9026" w:leader="dot"/>
            </w:tabs>
            <w:rPr/>
          </w:pPr>
          <w:hyperlink w:anchor="__RefHeading___Toc594121_2281741623">
            <w:r>
              <w:rPr>
                <w:webHidden/>
                <w:rStyle w:val="IndexLink"/>
                <w:rtl w:val="true"/>
              </w:rPr>
              <w:t>الردّ علی ما ذکره من انّه لایجوز الجمع فی مقام تسلیم النوافل بین السلام علیکم وغیره من صیغتی التسلیم</w:t>
            </w:r>
            <w:r>
              <w:rPr>
                <w:rStyle w:val="IndexLink"/>
                <w:rtl w:val="true"/>
              </w:rPr>
              <w:tab/>
            </w:r>
            <w:r>
              <w:rPr>
                <w:rStyle w:val="IndexLink"/>
              </w:rPr>
              <w:t>142</w:t>
            </w:r>
          </w:hyperlink>
        </w:p>
        <w:p>
          <w:pPr>
            <w:pStyle w:val="Contents2"/>
            <w:tabs>
              <w:tab w:val="clear" w:pos="8743"/>
              <w:tab w:val="right" w:pos="9026" w:leader="dot"/>
            </w:tabs>
            <w:rPr/>
          </w:pPr>
          <w:hyperlink w:anchor="__RefHeading___Toc594123_2281741623">
            <w:r>
              <w:rPr>
                <w:webHidden/>
                <w:rStyle w:val="IndexLink"/>
                <w:rtl w:val="true"/>
              </w:rPr>
              <w:t>الرسالة الثالثة</w:t>
            </w:r>
            <w:r>
              <w:rPr>
                <w:rStyle w:val="IndexLink"/>
                <w:rtl w:val="true"/>
              </w:rPr>
              <w:t xml:space="preserve">: </w:t>
            </w:r>
            <w:r>
              <w:rPr>
                <w:rStyle w:val="IndexLink"/>
                <w:rtl w:val="true"/>
              </w:rPr>
              <w:t>الرَدُّ عَلی رَدِّ رِسَالَةِ تَعیِینِ السَلامِ الأخِیرِ فِی النَوَافِل للمولی الإیجهی رحمه‌الله</w:t>
            </w:r>
            <w:r>
              <w:rPr>
                <w:rStyle w:val="IndexLink"/>
                <w:rtl w:val="true"/>
              </w:rPr>
              <w:tab/>
            </w:r>
            <w:r>
              <w:rPr>
                <w:rStyle w:val="IndexLink"/>
              </w:rPr>
              <w:t>167</w:t>
            </w:r>
          </w:hyperlink>
        </w:p>
        <w:p>
          <w:pPr>
            <w:pStyle w:val="Contents3"/>
            <w:tabs>
              <w:tab w:val="clear" w:pos="8459"/>
              <w:tab w:val="right" w:pos="9026" w:leader="dot"/>
            </w:tabs>
            <w:rPr/>
          </w:pPr>
          <w:hyperlink w:anchor="__RefHeading___Toc594125_2281741623">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594127_2281741623">
            <w:r>
              <w:rPr>
                <w:webHidden/>
                <w:rStyle w:val="IndexLink"/>
                <w:rtl w:val="true"/>
              </w:rPr>
              <w:t xml:space="preserve">الردّ علی قوله </w:t>
            </w:r>
            <w:r>
              <w:rPr>
                <w:rStyle w:val="IndexLink"/>
                <w:rtl w:val="true"/>
              </w:rPr>
              <w:t xml:space="preserve">: </w:t>
            </w:r>
            <w:r>
              <w:rPr>
                <w:rStyle w:val="IndexLink"/>
                <w:rtl w:val="true"/>
              </w:rPr>
              <w:t>قد بلغنی عن بعض الأفاضل، إلخ</w:t>
            </w:r>
            <w:r>
              <w:rPr>
                <w:rStyle w:val="IndexLink"/>
                <w:rtl w:val="true"/>
              </w:rPr>
              <w:tab/>
            </w:r>
            <w:r>
              <w:rPr>
                <w:rStyle w:val="IndexLink"/>
              </w:rPr>
              <w:t>170</w:t>
            </w:r>
          </w:hyperlink>
        </w:p>
        <w:p>
          <w:pPr>
            <w:pStyle w:val="Contents3"/>
            <w:tabs>
              <w:tab w:val="clear" w:pos="8459"/>
              <w:tab w:val="right" w:pos="9026" w:leader="dot"/>
            </w:tabs>
            <w:rPr/>
          </w:pPr>
          <w:hyperlink w:anchor="__RefHeading___Toc594129_2281741623">
            <w:r>
              <w:rPr>
                <w:webHidden/>
                <w:rStyle w:val="IndexLink"/>
                <w:rtl w:val="true"/>
              </w:rPr>
              <w:t xml:space="preserve">الردّ علی قوله </w:t>
            </w:r>
            <w:r>
              <w:rPr>
                <w:rStyle w:val="IndexLink"/>
                <w:rtl w:val="true"/>
              </w:rPr>
              <w:t xml:space="preserve">: </w:t>
            </w:r>
            <w:r>
              <w:rPr>
                <w:rStyle w:val="IndexLink"/>
                <w:rtl w:val="true"/>
              </w:rPr>
              <w:t>والظاهر أنّ هذا المطلب ممّا لاینبغی التأمّل، إلخ</w:t>
            </w:r>
            <w:r>
              <w:rPr>
                <w:rStyle w:val="IndexLink"/>
                <w:rtl w:val="true"/>
              </w:rPr>
              <w:tab/>
            </w:r>
            <w:r>
              <w:rPr>
                <w:rStyle w:val="IndexLink"/>
              </w:rPr>
              <w:t>173</w:t>
            </w:r>
          </w:hyperlink>
        </w:p>
        <w:p>
          <w:pPr>
            <w:pStyle w:val="Contents3"/>
            <w:tabs>
              <w:tab w:val="clear" w:pos="8459"/>
              <w:tab w:val="right" w:pos="9026" w:leader="dot"/>
            </w:tabs>
            <w:rPr/>
          </w:pPr>
          <w:hyperlink w:anchor="__RefHeading___Toc594131_2281741623">
            <w:r>
              <w:rPr>
                <w:webHidden/>
                <w:rStyle w:val="IndexLink"/>
                <w:rtl w:val="true"/>
              </w:rPr>
              <w:t xml:space="preserve">الردّ علی قوله </w:t>
            </w:r>
            <w:r>
              <w:rPr>
                <w:rStyle w:val="IndexLink"/>
                <w:rtl w:val="true"/>
              </w:rPr>
              <w:t xml:space="preserve">: </w:t>
            </w:r>
            <w:r>
              <w:rPr>
                <w:rStyle w:val="IndexLink"/>
                <w:rtl w:val="true"/>
              </w:rPr>
              <w:t>وأمّا الجواب عن الإیراد الثانی، إلخ</w:t>
            </w:r>
            <w:r>
              <w:rPr>
                <w:rStyle w:val="IndexLink"/>
                <w:rtl w:val="true"/>
              </w:rPr>
              <w:tab/>
            </w:r>
            <w:r>
              <w:rPr>
                <w:rStyle w:val="IndexLink"/>
              </w:rPr>
              <w:t>177</w:t>
            </w:r>
          </w:hyperlink>
        </w:p>
        <w:p>
          <w:pPr>
            <w:pStyle w:val="Contents3"/>
            <w:tabs>
              <w:tab w:val="clear" w:pos="8459"/>
              <w:tab w:val="right" w:pos="9026" w:leader="dot"/>
            </w:tabs>
            <w:rPr/>
          </w:pPr>
          <w:hyperlink w:anchor="__RefHeading___Toc594133_2281741623">
            <w:r>
              <w:rPr>
                <w:webHidden/>
                <w:rStyle w:val="IndexLink"/>
                <w:rtl w:val="true"/>
              </w:rPr>
              <w:t xml:space="preserve">الردّ علی قوله </w:t>
            </w:r>
            <w:r>
              <w:rPr>
                <w:rStyle w:val="IndexLink"/>
                <w:rtl w:val="true"/>
              </w:rPr>
              <w:t xml:space="preserve">: </w:t>
            </w:r>
            <w:r>
              <w:rPr>
                <w:rStyle w:val="IndexLink"/>
                <w:rtl w:val="true"/>
              </w:rPr>
              <w:t>لایقال</w:t>
            </w:r>
            <w:r>
              <w:rPr>
                <w:rStyle w:val="IndexLink"/>
                <w:rtl w:val="true"/>
              </w:rPr>
              <w:t xml:space="preserve">: </w:t>
            </w:r>
            <w:r>
              <w:rPr>
                <w:rStyle w:val="IndexLink"/>
                <w:rtl w:val="true"/>
              </w:rPr>
              <w:t>إنّ التمسّک به فیما نحن فیه غیر صحیح، إلخ</w:t>
            </w:r>
            <w:r>
              <w:rPr>
                <w:rStyle w:val="IndexLink"/>
                <w:rtl w:val="true"/>
              </w:rPr>
              <w:tab/>
            </w:r>
            <w:r>
              <w:rPr>
                <w:rStyle w:val="IndexLink"/>
              </w:rPr>
              <w:t>180</w:t>
            </w:r>
          </w:hyperlink>
        </w:p>
        <w:p>
          <w:pPr>
            <w:pStyle w:val="Contents3"/>
            <w:tabs>
              <w:tab w:val="clear" w:pos="8459"/>
              <w:tab w:val="right" w:pos="9026" w:leader="dot"/>
            </w:tabs>
            <w:rPr/>
          </w:pPr>
          <w:hyperlink w:anchor="__RefHeading___Toc594135_2281741623">
            <w:r>
              <w:rPr>
                <w:webHidden/>
                <w:rStyle w:val="IndexLink"/>
                <w:rtl w:val="true"/>
              </w:rPr>
              <w:t xml:space="preserve">الردّ علی قوله </w:t>
            </w:r>
            <w:r>
              <w:rPr>
                <w:rStyle w:val="IndexLink"/>
                <w:rtl w:val="true"/>
              </w:rPr>
              <w:t xml:space="preserve">: </w:t>
            </w:r>
            <w:r>
              <w:rPr>
                <w:rStyle w:val="IndexLink"/>
                <w:rtl w:val="true"/>
              </w:rPr>
              <w:t>ومن إطلاقات النصوص المشار إلیها، ما رواه، إلخ</w:t>
            </w:r>
            <w:r>
              <w:rPr>
                <w:rStyle w:val="IndexLink"/>
                <w:rtl w:val="true"/>
              </w:rPr>
              <w:tab/>
            </w:r>
            <w:r>
              <w:rPr>
                <w:rStyle w:val="IndexLink"/>
              </w:rPr>
              <w:t>182</w:t>
            </w:r>
          </w:hyperlink>
        </w:p>
        <w:p>
          <w:pPr>
            <w:pStyle w:val="Contents3"/>
            <w:tabs>
              <w:tab w:val="clear" w:pos="8459"/>
              <w:tab w:val="right" w:pos="9026" w:leader="dot"/>
            </w:tabs>
            <w:rPr/>
          </w:pPr>
          <w:hyperlink w:anchor="__RefHeading___Toc594137_2281741623">
            <w:r>
              <w:rPr>
                <w:webHidden/>
                <w:rStyle w:val="IndexLink"/>
                <w:rtl w:val="true"/>
              </w:rPr>
              <w:t xml:space="preserve">الردّ علی قوله </w:t>
            </w:r>
            <w:r>
              <w:rPr>
                <w:rStyle w:val="IndexLink"/>
                <w:rtl w:val="true"/>
              </w:rPr>
              <w:t xml:space="preserve">: </w:t>
            </w:r>
            <w:r>
              <w:rPr>
                <w:rStyle w:val="IndexLink"/>
                <w:rtl w:val="true"/>
              </w:rPr>
              <w:t>المطلب الثانی</w:t>
            </w:r>
            <w:r>
              <w:rPr>
                <w:rStyle w:val="IndexLink"/>
                <w:rtl w:val="true"/>
              </w:rPr>
              <w:t xml:space="preserve">: </w:t>
            </w:r>
            <w:r>
              <w:rPr>
                <w:rStyle w:val="IndexLink"/>
                <w:rtl w:val="true"/>
              </w:rPr>
              <w:t>انّه لایجوز الجمع فی مقام، إلخ</w:t>
            </w:r>
            <w:r>
              <w:rPr>
                <w:rStyle w:val="IndexLink"/>
                <w:rtl w:val="true"/>
              </w:rPr>
              <w:tab/>
            </w:r>
            <w:r>
              <w:rPr>
                <w:rStyle w:val="IndexLink"/>
              </w:rPr>
              <w:t>187</w:t>
            </w:r>
          </w:hyperlink>
        </w:p>
        <w:p>
          <w:pPr>
            <w:pStyle w:val="Contents3"/>
            <w:tabs>
              <w:tab w:val="clear" w:pos="8459"/>
              <w:tab w:val="right" w:pos="9026" w:leader="dot"/>
            </w:tabs>
            <w:rPr/>
          </w:pPr>
          <w:hyperlink w:anchor="__RefHeading___Toc594139_2281741623">
            <w:r>
              <w:rPr>
                <w:webHidden/>
                <w:rStyle w:val="IndexLink"/>
                <w:rtl w:val="true"/>
              </w:rPr>
              <w:t xml:space="preserve">الردّ علی قوله </w:t>
            </w:r>
            <w:r>
              <w:rPr>
                <w:rStyle w:val="IndexLink"/>
                <w:rtl w:val="true"/>
              </w:rPr>
              <w:t xml:space="preserve">: </w:t>
            </w:r>
            <w:r>
              <w:rPr>
                <w:rStyle w:val="IndexLink"/>
                <w:rtl w:val="true"/>
              </w:rPr>
              <w:t>إن قیل</w:t>
            </w:r>
            <w:r>
              <w:rPr>
                <w:rStyle w:val="IndexLink"/>
                <w:rtl w:val="true"/>
              </w:rPr>
              <w:t xml:space="preserve">: </w:t>
            </w:r>
            <w:r>
              <w:rPr>
                <w:rStyle w:val="IndexLink"/>
                <w:rtl w:val="true"/>
              </w:rPr>
              <w:t xml:space="preserve">سلّمنا ذلک، لکن نقول </w:t>
            </w:r>
            <w:r>
              <w:rPr>
                <w:rStyle w:val="IndexLink"/>
                <w:rtl w:val="true"/>
              </w:rPr>
              <w:t xml:space="preserve">: </w:t>
            </w:r>
            <w:r>
              <w:rPr>
                <w:rStyle w:val="IndexLink"/>
                <w:rtl w:val="true"/>
              </w:rPr>
              <w:t>هنا دلیل یدلّ، إلخ</w:t>
            </w:r>
            <w:r>
              <w:rPr>
                <w:rStyle w:val="IndexLink"/>
                <w:rtl w:val="true"/>
              </w:rPr>
              <w:tab/>
            </w:r>
            <w:r>
              <w:rPr>
                <w:rStyle w:val="IndexLink"/>
              </w:rPr>
              <w:t>198</w:t>
            </w:r>
          </w:hyperlink>
        </w:p>
        <w:p>
          <w:pPr>
            <w:pStyle w:val="Contents3"/>
            <w:tabs>
              <w:tab w:val="clear" w:pos="8459"/>
              <w:tab w:val="right" w:pos="9026" w:leader="dot"/>
            </w:tabs>
            <w:rPr/>
          </w:pPr>
          <w:hyperlink w:anchor="__RefHeading___Toc594141_2281741623">
            <w:r>
              <w:rPr>
                <w:webHidden/>
                <w:rStyle w:val="IndexLink"/>
                <w:rtl w:val="true"/>
              </w:rPr>
              <w:t xml:space="preserve">الردّ علی قوله </w:t>
            </w:r>
            <w:r>
              <w:rPr>
                <w:rStyle w:val="IndexLink"/>
                <w:rtl w:val="true"/>
              </w:rPr>
              <w:t xml:space="preserve">: </w:t>
            </w:r>
            <w:r>
              <w:rPr>
                <w:rStyle w:val="IndexLink"/>
                <w:rtl w:val="true"/>
              </w:rPr>
              <w:t>ثمّ الظاهر أنّ شیخ الطائفة فی هذا الإقتصار، إلخ</w:t>
            </w:r>
            <w:r>
              <w:rPr>
                <w:rStyle w:val="IndexLink"/>
                <w:rtl w:val="true"/>
              </w:rPr>
              <w:tab/>
            </w:r>
            <w:r>
              <w:rPr>
                <w:rStyle w:val="IndexLink"/>
              </w:rPr>
              <w:t>202</w:t>
            </w:r>
          </w:hyperlink>
        </w:p>
        <w:p>
          <w:pPr>
            <w:pStyle w:val="Contents3"/>
            <w:tabs>
              <w:tab w:val="clear" w:pos="8459"/>
              <w:tab w:val="right" w:pos="9026" w:leader="dot"/>
            </w:tabs>
            <w:rPr/>
          </w:pPr>
          <w:hyperlink w:anchor="__RefHeading___Toc594143_2281741623">
            <w:r>
              <w:rPr>
                <w:webHidden/>
                <w:rStyle w:val="IndexLink"/>
                <w:rtl w:val="true"/>
              </w:rPr>
              <w:t xml:space="preserve">الردّ علی قوله </w:t>
            </w:r>
            <w:r>
              <w:rPr>
                <w:rStyle w:val="IndexLink"/>
                <w:rtl w:val="true"/>
              </w:rPr>
              <w:t xml:space="preserve">: </w:t>
            </w:r>
            <w:r>
              <w:rPr>
                <w:rStyle w:val="IndexLink"/>
                <w:rtl w:val="true"/>
              </w:rPr>
              <w:t>ثمّ إنّ الفاضل سلاّر بن عبدالعزیز، إلخ</w:t>
            </w:r>
            <w:r>
              <w:rPr>
                <w:rStyle w:val="IndexLink"/>
                <w:rtl w:val="true"/>
              </w:rPr>
              <w:tab/>
            </w:r>
            <w:r>
              <w:rPr>
                <w:rStyle w:val="IndexLink"/>
              </w:rPr>
              <w:t>204</w:t>
            </w:r>
          </w:hyperlink>
        </w:p>
        <w:p>
          <w:pPr>
            <w:pStyle w:val="Contents3"/>
            <w:tabs>
              <w:tab w:val="clear" w:pos="8459"/>
              <w:tab w:val="right" w:pos="9026" w:leader="dot"/>
            </w:tabs>
            <w:rPr/>
          </w:pPr>
          <w:hyperlink w:anchor="__RefHeading___Toc594145_2281741623">
            <w:r>
              <w:rPr>
                <w:webHidden/>
                <w:rStyle w:val="IndexLink"/>
                <w:rtl w:val="true"/>
              </w:rPr>
              <w:t xml:space="preserve">الردّ علی قوله </w:t>
            </w:r>
            <w:r>
              <w:rPr>
                <w:rStyle w:val="IndexLink"/>
                <w:rtl w:val="true"/>
              </w:rPr>
              <w:t xml:space="preserve">: </w:t>
            </w:r>
            <w:r>
              <w:rPr>
                <w:rStyle w:val="IndexLink"/>
                <w:rtl w:val="true"/>
              </w:rPr>
              <w:t>فی ذیل إثبات رجحان ذکر السلم علی، إلخ</w:t>
            </w:r>
            <w:r>
              <w:rPr>
                <w:rStyle w:val="IndexLink"/>
                <w:rtl w:val="true"/>
              </w:rPr>
              <w:tab/>
            </w:r>
            <w:r>
              <w:rPr>
                <w:rStyle w:val="IndexLink"/>
              </w:rPr>
              <w:t>206</w:t>
            </w:r>
          </w:hyperlink>
        </w:p>
        <w:p>
          <w:pPr>
            <w:pStyle w:val="Contents2"/>
            <w:tabs>
              <w:tab w:val="clear" w:pos="8743"/>
              <w:tab w:val="right" w:pos="9026" w:leader="dot"/>
            </w:tabs>
            <w:rPr/>
          </w:pPr>
          <w:hyperlink w:anchor="__RefHeading___Toc594147_2281741623">
            <w:r>
              <w:rPr>
                <w:webHidden/>
                <w:rStyle w:val="IndexLink"/>
                <w:rtl w:val="true"/>
              </w:rPr>
              <w:t>الرسالة الرابعة</w:t>
            </w:r>
            <w:r>
              <w:rPr>
                <w:rStyle w:val="IndexLink"/>
                <w:rtl w:val="true"/>
              </w:rPr>
              <w:t xml:space="preserve">: </w:t>
            </w:r>
            <w:r>
              <w:rPr>
                <w:rStyle w:val="IndexLink"/>
                <w:rtl w:val="true"/>
              </w:rPr>
              <w:t>الرَدُّ عَلی رَدِّ المولی عَلِی أَکبَر الإِیجِهِی رحمه‌الله لحجّة الإسلام الشفتی قدس‌سره</w:t>
            </w:r>
            <w:r>
              <w:rPr>
                <w:rStyle w:val="IndexLink"/>
                <w:rtl w:val="true"/>
              </w:rPr>
              <w:tab/>
            </w:r>
            <w:r>
              <w:rPr>
                <w:rStyle w:val="IndexLink"/>
              </w:rPr>
              <w:t>209</w:t>
            </w:r>
          </w:hyperlink>
        </w:p>
        <w:p>
          <w:pPr>
            <w:pStyle w:val="Contents3"/>
            <w:tabs>
              <w:tab w:val="clear" w:pos="8459"/>
              <w:tab w:val="right" w:pos="9026" w:leader="dot"/>
            </w:tabs>
            <w:rPr/>
          </w:pPr>
          <w:hyperlink w:anchor="__RefHeading___Toc594149_2281741623">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594151_2281741623">
            <w:r>
              <w:rPr>
                <w:webHidden/>
                <w:rStyle w:val="IndexLink"/>
                <w:rtl w:val="true"/>
              </w:rPr>
              <w:t xml:space="preserve">الردّ علی قوله </w:t>
            </w:r>
            <w:r>
              <w:rPr>
                <w:rStyle w:val="IndexLink"/>
                <w:rtl w:val="true"/>
              </w:rPr>
              <w:t xml:space="preserve">: </w:t>
            </w:r>
            <w:r>
              <w:rPr>
                <w:rStyle w:val="IndexLink"/>
                <w:rtl w:val="true"/>
              </w:rPr>
              <w:t>انّی بعد ما کتبت رسالة فی بیان التسلیم فی النافلة، إلخ</w:t>
            </w:r>
            <w:r>
              <w:rPr>
                <w:rStyle w:val="IndexLink"/>
                <w:rtl w:val="true"/>
              </w:rPr>
              <w:tab/>
            </w:r>
            <w:r>
              <w:rPr>
                <w:rStyle w:val="IndexLink"/>
              </w:rPr>
              <w:t>212</w:t>
            </w:r>
          </w:hyperlink>
        </w:p>
        <w:p>
          <w:pPr>
            <w:pStyle w:val="Contents3"/>
            <w:tabs>
              <w:tab w:val="clear" w:pos="8459"/>
              <w:tab w:val="right" w:pos="9026" w:leader="dot"/>
            </w:tabs>
            <w:rPr/>
          </w:pPr>
          <w:hyperlink w:anchor="__RefHeading___Toc594153_2281741623">
            <w:r>
              <w:rPr>
                <w:webHidden/>
                <w:rStyle w:val="IndexLink"/>
                <w:rtl w:val="true"/>
              </w:rPr>
              <w:t xml:space="preserve">الردّ علی قوله </w:t>
            </w:r>
            <w:r>
              <w:rPr>
                <w:rStyle w:val="IndexLink"/>
                <w:rtl w:val="true"/>
              </w:rPr>
              <w:t xml:space="preserve">: </w:t>
            </w:r>
            <w:r>
              <w:rPr>
                <w:rStyle w:val="IndexLink"/>
                <w:rtl w:val="true"/>
              </w:rPr>
              <w:t>أقول</w:t>
            </w:r>
            <w:r>
              <w:rPr>
                <w:rStyle w:val="IndexLink"/>
                <w:rtl w:val="true"/>
              </w:rPr>
              <w:t xml:space="preserve">: </w:t>
            </w:r>
            <w:r>
              <w:rPr>
                <w:rStyle w:val="IndexLink"/>
                <w:rtl w:val="true"/>
              </w:rPr>
              <w:t>فی قوله</w:t>
            </w:r>
            <w:r>
              <w:rPr>
                <w:rStyle w:val="IndexLink"/>
                <w:rtl w:val="true"/>
              </w:rPr>
              <w:t xml:space="preserve">: « </w:t>
            </w:r>
            <w:r>
              <w:rPr>
                <w:rStyle w:val="IndexLink"/>
                <w:rtl w:val="true"/>
              </w:rPr>
              <w:t xml:space="preserve">أنّه مخالف للواقع </w:t>
            </w:r>
            <w:r>
              <w:rPr>
                <w:rStyle w:val="IndexLink"/>
                <w:rtl w:val="true"/>
              </w:rPr>
              <w:t>»</w:t>
            </w:r>
            <w:r>
              <w:rPr>
                <w:rStyle w:val="IndexLink"/>
                <w:rtl w:val="true"/>
              </w:rPr>
              <w:t>، مراده أنّه الواقع، إلخ</w:t>
            </w:r>
            <w:r>
              <w:rPr>
                <w:rStyle w:val="IndexLink"/>
                <w:rtl w:val="true"/>
              </w:rPr>
              <w:tab/>
            </w:r>
            <w:r>
              <w:rPr>
                <w:rStyle w:val="IndexLink"/>
              </w:rPr>
              <w:t>214</w:t>
            </w:r>
          </w:hyperlink>
        </w:p>
        <w:p>
          <w:pPr>
            <w:pStyle w:val="Contents3"/>
            <w:tabs>
              <w:tab w:val="clear" w:pos="8459"/>
              <w:tab w:val="right" w:pos="9026" w:leader="dot"/>
            </w:tabs>
            <w:rPr/>
          </w:pPr>
          <w:hyperlink w:anchor="__RefHeading___Toc594155_2281741623">
            <w:r>
              <w:rPr>
                <w:webHidden/>
                <w:rStyle w:val="IndexLink"/>
                <w:rtl w:val="true"/>
              </w:rPr>
              <w:t xml:space="preserve">الردّ علی قوله </w:t>
            </w:r>
            <w:r>
              <w:rPr>
                <w:rStyle w:val="IndexLink"/>
                <w:rtl w:val="true"/>
              </w:rPr>
              <w:t xml:space="preserve">: </w:t>
            </w:r>
            <w:r>
              <w:rPr>
                <w:rStyle w:val="IndexLink"/>
                <w:rtl w:val="true"/>
              </w:rPr>
              <w:t xml:space="preserve">وفی قوله </w:t>
            </w:r>
            <w:r>
              <w:rPr>
                <w:rStyle w:val="IndexLink"/>
                <w:rtl w:val="true"/>
              </w:rPr>
              <w:t>: «</w:t>
            </w:r>
            <w:r>
              <w:rPr>
                <w:rStyle w:val="IndexLink"/>
                <w:rtl w:val="true"/>
              </w:rPr>
              <w:t>المتخلّف عمّن هو للشریعة حافظ</w:t>
            </w:r>
            <w:r>
              <w:rPr>
                <w:rStyle w:val="IndexLink"/>
                <w:rtl w:val="true"/>
              </w:rPr>
              <w:t xml:space="preserve">» </w:t>
            </w:r>
            <w:r>
              <w:rPr>
                <w:rStyle w:val="IndexLink"/>
                <w:rtl w:val="true"/>
              </w:rPr>
              <w:t>رکاکة، إلخ</w:t>
            </w:r>
            <w:r>
              <w:rPr>
                <w:rStyle w:val="IndexLink"/>
                <w:rtl w:val="true"/>
              </w:rPr>
              <w:tab/>
            </w:r>
            <w:r>
              <w:rPr>
                <w:rStyle w:val="IndexLink"/>
              </w:rPr>
              <w:t>216</w:t>
            </w:r>
          </w:hyperlink>
        </w:p>
        <w:p>
          <w:pPr>
            <w:pStyle w:val="Contents3"/>
            <w:tabs>
              <w:tab w:val="clear" w:pos="8459"/>
              <w:tab w:val="right" w:pos="9026" w:leader="dot"/>
            </w:tabs>
            <w:rPr/>
          </w:pPr>
          <w:hyperlink w:anchor="__RefHeading___Toc594157_2281741623">
            <w:r>
              <w:rPr>
                <w:webHidden/>
                <w:rStyle w:val="IndexLink"/>
                <w:rtl w:val="true"/>
              </w:rPr>
              <w:t xml:space="preserve">الردّ علی قوله </w:t>
            </w:r>
            <w:r>
              <w:rPr>
                <w:rStyle w:val="IndexLink"/>
                <w:rtl w:val="true"/>
              </w:rPr>
              <w:t xml:space="preserve">: </w:t>
            </w:r>
            <w:r>
              <w:rPr>
                <w:rStyle w:val="IndexLink"/>
                <w:rtl w:val="true"/>
              </w:rPr>
              <w:t>ما أدری العامل لهذا الظرف، و ما المقسم علیه، إلخ</w:t>
            </w:r>
            <w:r>
              <w:rPr>
                <w:rStyle w:val="IndexLink"/>
                <w:rtl w:val="true"/>
              </w:rPr>
              <w:tab/>
            </w:r>
            <w:r>
              <w:rPr>
                <w:rStyle w:val="IndexLink"/>
              </w:rPr>
              <w:t>218</w:t>
            </w:r>
          </w:hyperlink>
        </w:p>
        <w:p>
          <w:pPr>
            <w:pStyle w:val="Contents3"/>
            <w:tabs>
              <w:tab w:val="clear" w:pos="8459"/>
              <w:tab w:val="right" w:pos="9026" w:leader="dot"/>
            </w:tabs>
            <w:rPr/>
          </w:pPr>
          <w:hyperlink w:anchor="__RefHeading___Toc594159_2281741623">
            <w:r>
              <w:rPr>
                <w:webHidden/>
                <w:rStyle w:val="IndexLink"/>
                <w:rtl w:val="true"/>
              </w:rPr>
              <w:t xml:space="preserve">الردّ علی قوله فی قولنا </w:t>
            </w:r>
            <w:r>
              <w:rPr>
                <w:rStyle w:val="IndexLink"/>
                <w:rtl w:val="true"/>
              </w:rPr>
              <w:t>«</w:t>
            </w:r>
            <w:r>
              <w:rPr>
                <w:rStyle w:val="IndexLink"/>
                <w:rtl w:val="true"/>
              </w:rPr>
              <w:t>إلی بقاء أرضه وسمائه</w:t>
            </w:r>
            <w:r>
              <w:rPr>
                <w:rStyle w:val="IndexLink"/>
                <w:rtl w:val="true"/>
              </w:rPr>
              <w:t xml:space="preserve">»: </w:t>
            </w:r>
            <w:r>
              <w:rPr>
                <w:rStyle w:val="IndexLink"/>
                <w:rtl w:val="true"/>
              </w:rPr>
              <w:t>لایخلو عن رکاکة، إلخ</w:t>
            </w:r>
            <w:r>
              <w:rPr>
                <w:rStyle w:val="IndexLink"/>
                <w:rtl w:val="true"/>
              </w:rPr>
              <w:tab/>
            </w:r>
            <w:r>
              <w:rPr>
                <w:rStyle w:val="IndexLink"/>
              </w:rPr>
              <w:t>220</w:t>
            </w:r>
          </w:hyperlink>
        </w:p>
        <w:p>
          <w:pPr>
            <w:pStyle w:val="Contents3"/>
            <w:tabs>
              <w:tab w:val="clear" w:pos="8459"/>
              <w:tab w:val="right" w:pos="9026" w:leader="dot"/>
            </w:tabs>
            <w:rPr/>
          </w:pPr>
          <w:hyperlink w:anchor="__RefHeading___Toc594161_2281741623">
            <w:r>
              <w:rPr>
                <w:webHidden/>
                <w:rStyle w:val="IndexLink"/>
                <w:rtl w:val="true"/>
              </w:rPr>
              <w:t>المقام الأوّل</w:t>
            </w:r>
            <w:r>
              <w:rPr>
                <w:rStyle w:val="IndexLink"/>
                <w:rtl w:val="true"/>
              </w:rPr>
              <w:t xml:space="preserve">: </w:t>
            </w:r>
            <w:r>
              <w:rPr>
                <w:rStyle w:val="IndexLink"/>
                <w:rtl w:val="true"/>
              </w:rPr>
              <w:t>فی التنبیه علی ما صدر منه فی الرسالة الّذی لایلیق أن یصدر من أدنی الطلبة</w:t>
            </w:r>
            <w:r>
              <w:rPr>
                <w:rStyle w:val="IndexLink"/>
                <w:rtl w:val="true"/>
              </w:rPr>
              <w:tab/>
            </w:r>
            <w:r>
              <w:rPr>
                <w:rStyle w:val="IndexLink"/>
              </w:rPr>
              <w:t>223</w:t>
            </w:r>
          </w:hyperlink>
        </w:p>
        <w:p>
          <w:pPr>
            <w:pStyle w:val="Contents4"/>
            <w:tabs>
              <w:tab w:val="clear" w:pos="8176"/>
              <w:tab w:val="right" w:pos="9026" w:leader="dot"/>
            </w:tabs>
            <w:rPr/>
          </w:pPr>
          <w:hyperlink w:anchor="__RefHeading___Toc594163_2281741623">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594165_2281741623">
            <w:r>
              <w:rPr>
                <w:webHidden/>
                <w:rStyle w:val="IndexLink"/>
                <w:rtl w:val="true"/>
              </w:rPr>
              <w:t xml:space="preserve">منها قوله </w:t>
            </w:r>
            <w:r>
              <w:rPr>
                <w:rStyle w:val="IndexLink"/>
                <w:rtl w:val="true"/>
              </w:rPr>
              <w:t xml:space="preserve">: </w:t>
            </w:r>
            <w:r>
              <w:rPr>
                <w:rStyle w:val="IndexLink"/>
                <w:rtl w:val="true"/>
              </w:rPr>
              <w:t>لایقال هذا الخبر مرسل من طرقکم فلایعمل به، إلخ</w:t>
            </w:r>
            <w:r>
              <w:rPr>
                <w:rStyle w:val="IndexLink"/>
                <w:rtl w:val="true"/>
              </w:rPr>
              <w:tab/>
            </w:r>
            <w:r>
              <w:rPr>
                <w:rStyle w:val="IndexLink"/>
              </w:rPr>
              <w:t>223</w:t>
            </w:r>
          </w:hyperlink>
        </w:p>
        <w:p>
          <w:pPr>
            <w:pStyle w:val="Contents4"/>
            <w:tabs>
              <w:tab w:val="clear" w:pos="8176"/>
              <w:tab w:val="right" w:pos="9026" w:leader="dot"/>
            </w:tabs>
            <w:rPr/>
          </w:pPr>
          <w:hyperlink w:anchor="__RefHeading___Toc594167_2281741623">
            <w:r>
              <w:rPr>
                <w:webHidden/>
                <w:rStyle w:val="IndexLink"/>
                <w:rtl w:val="true"/>
              </w:rPr>
              <w:t xml:space="preserve">ومنها قوله </w:t>
            </w:r>
            <w:r>
              <w:rPr>
                <w:rStyle w:val="IndexLink"/>
                <w:rtl w:val="true"/>
              </w:rPr>
              <w:t xml:space="preserve">: </w:t>
            </w:r>
            <w:r>
              <w:rPr>
                <w:rStyle w:val="IndexLink"/>
                <w:rtl w:val="true"/>
              </w:rPr>
              <w:t>بل ادّعی الشیخ الصدوق قدس‌سره أنّ القول بوجوب التسلیم، إلخ</w:t>
            </w:r>
            <w:r>
              <w:rPr>
                <w:rStyle w:val="IndexLink"/>
                <w:rtl w:val="true"/>
              </w:rPr>
              <w:tab/>
            </w:r>
            <w:r>
              <w:rPr>
                <w:rStyle w:val="IndexLink"/>
              </w:rPr>
              <w:t>230</w:t>
            </w:r>
          </w:hyperlink>
        </w:p>
        <w:p>
          <w:pPr>
            <w:pStyle w:val="Contents4"/>
            <w:tabs>
              <w:tab w:val="clear" w:pos="8176"/>
              <w:tab w:val="right" w:pos="9026" w:leader="dot"/>
            </w:tabs>
            <w:rPr/>
          </w:pPr>
          <w:hyperlink w:anchor="__RefHeading___Toc594169_2281741623">
            <w:r>
              <w:rPr>
                <w:webHidden/>
                <w:rStyle w:val="IndexLink"/>
                <w:rtl w:val="true"/>
              </w:rPr>
              <w:t xml:space="preserve">ومنها قوله </w:t>
            </w:r>
            <w:r>
              <w:rPr>
                <w:rStyle w:val="IndexLink"/>
                <w:rtl w:val="true"/>
              </w:rPr>
              <w:t xml:space="preserve">: </w:t>
            </w:r>
            <w:r>
              <w:rPr>
                <w:rStyle w:val="IndexLink"/>
                <w:rtl w:val="true"/>
              </w:rPr>
              <w:t>وإلی هذا ذهب السیّد السند الأجلّ المرتضی، إلخ</w:t>
            </w:r>
            <w:r>
              <w:rPr>
                <w:rStyle w:val="IndexLink"/>
                <w:rtl w:val="true"/>
              </w:rPr>
              <w:tab/>
            </w:r>
            <w:r>
              <w:rPr>
                <w:rStyle w:val="IndexLink"/>
              </w:rPr>
              <w:t>238</w:t>
            </w:r>
          </w:hyperlink>
        </w:p>
        <w:p>
          <w:pPr>
            <w:pStyle w:val="Contents4"/>
            <w:tabs>
              <w:tab w:val="clear" w:pos="8176"/>
              <w:tab w:val="right" w:pos="9026" w:leader="dot"/>
            </w:tabs>
            <w:rPr/>
          </w:pPr>
          <w:hyperlink w:anchor="__RefHeading___Toc594171_2281741623">
            <w:r>
              <w:rPr>
                <w:webHidden/>
                <w:rStyle w:val="IndexLink"/>
                <w:rtl w:val="true"/>
              </w:rPr>
              <w:t xml:space="preserve">ومنها قوله </w:t>
            </w:r>
            <w:r>
              <w:rPr>
                <w:rStyle w:val="IndexLink"/>
                <w:rtl w:val="true"/>
              </w:rPr>
              <w:t xml:space="preserve">: </w:t>
            </w:r>
            <w:r>
              <w:rPr>
                <w:rStyle w:val="IndexLink"/>
                <w:rtl w:val="true"/>
              </w:rPr>
              <w:t>ونقل الصدوق أنّ وجوب التسلیم من دین الإمامیّة، إلخ</w:t>
            </w:r>
            <w:r>
              <w:rPr>
                <w:rStyle w:val="IndexLink"/>
                <w:rtl w:val="true"/>
              </w:rPr>
              <w:tab/>
            </w:r>
            <w:r>
              <w:rPr>
                <w:rStyle w:val="IndexLink"/>
              </w:rPr>
              <w:t>241</w:t>
            </w:r>
          </w:hyperlink>
        </w:p>
        <w:p>
          <w:pPr>
            <w:pStyle w:val="Contents4"/>
            <w:tabs>
              <w:tab w:val="clear" w:pos="8176"/>
              <w:tab w:val="right" w:pos="9026" w:leader="dot"/>
            </w:tabs>
            <w:rPr/>
          </w:pPr>
          <w:hyperlink w:anchor="__RefHeading___Toc594173_2281741623">
            <w:r>
              <w:rPr>
                <w:webHidden/>
                <w:rStyle w:val="IndexLink"/>
                <w:rtl w:val="true"/>
              </w:rPr>
              <w:t>غرض المصنّف قدس‌سره من التعرّض لشنائع ما ذکره</w:t>
            </w:r>
            <w:r>
              <w:rPr>
                <w:rStyle w:val="IndexLink"/>
                <w:rtl w:val="true"/>
              </w:rPr>
              <w:tab/>
            </w:r>
            <w:r>
              <w:rPr>
                <w:rStyle w:val="IndexLink"/>
              </w:rPr>
              <w:t>242</w:t>
            </w:r>
          </w:hyperlink>
        </w:p>
        <w:p>
          <w:pPr>
            <w:pStyle w:val="Contents3"/>
            <w:tabs>
              <w:tab w:val="clear" w:pos="8459"/>
              <w:tab w:val="right" w:pos="9026" w:leader="dot"/>
            </w:tabs>
            <w:rPr/>
          </w:pPr>
          <w:hyperlink w:anchor="__RefHeading___Toc594175_2281741623">
            <w:r>
              <w:rPr>
                <w:webHidden/>
                <w:rStyle w:val="IndexLink"/>
                <w:rtl w:val="true"/>
              </w:rPr>
              <w:t>المقام الثانی</w:t>
            </w:r>
            <w:r>
              <w:rPr>
                <w:rStyle w:val="IndexLink"/>
                <w:rtl w:val="true"/>
              </w:rPr>
              <w:t xml:space="preserve">: </w:t>
            </w:r>
            <w:r>
              <w:rPr>
                <w:rStyle w:val="IndexLink"/>
                <w:rtl w:val="true"/>
              </w:rPr>
              <w:t>فیما أورده علی ما احتججنا به علی المرام و غیره</w:t>
            </w:r>
            <w:r>
              <w:rPr>
                <w:rStyle w:val="IndexLink"/>
                <w:rtl w:val="true"/>
              </w:rPr>
              <w:tab/>
            </w:r>
            <w:r>
              <w:rPr>
                <w:rStyle w:val="IndexLink"/>
              </w:rPr>
              <w:t>245</w:t>
            </w:r>
          </w:hyperlink>
        </w:p>
        <w:p>
          <w:pPr>
            <w:pStyle w:val="Contents4"/>
            <w:tabs>
              <w:tab w:val="clear" w:pos="8176"/>
              <w:tab w:val="right" w:pos="9026" w:leader="dot"/>
            </w:tabs>
            <w:rPr/>
          </w:pPr>
          <w:hyperlink w:anchor="__RefHeading___Toc594177_2281741623">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594179_2281741623">
            <w:r>
              <w:rPr>
                <w:webHidden/>
                <w:rStyle w:val="IndexLink"/>
                <w:rtl w:val="true"/>
              </w:rPr>
              <w:t xml:space="preserve">منها قوله </w:t>
            </w:r>
            <w:r>
              <w:rPr>
                <w:rStyle w:val="IndexLink"/>
                <w:rtl w:val="true"/>
              </w:rPr>
              <w:t xml:space="preserve">: </w:t>
            </w:r>
            <w:r>
              <w:rPr>
                <w:rStyle w:val="IndexLink"/>
                <w:rtl w:val="true"/>
              </w:rPr>
              <w:t>أقول</w:t>
            </w:r>
            <w:r>
              <w:rPr>
                <w:rStyle w:val="IndexLink"/>
                <w:rtl w:val="true"/>
              </w:rPr>
              <w:t xml:space="preserve">: </w:t>
            </w:r>
            <w:r>
              <w:rPr>
                <w:rStyle w:val="IndexLink"/>
                <w:rtl w:val="true"/>
              </w:rPr>
              <w:t>هذه الروایات الثلاث تدلّ علی أنّه إذا أتی، إلخ</w:t>
            </w:r>
            <w:r>
              <w:rPr>
                <w:rStyle w:val="IndexLink"/>
                <w:rtl w:val="true"/>
              </w:rPr>
              <w:tab/>
            </w:r>
            <w:r>
              <w:rPr>
                <w:rStyle w:val="IndexLink"/>
              </w:rPr>
              <w:t>245</w:t>
            </w:r>
          </w:hyperlink>
        </w:p>
        <w:p>
          <w:pPr>
            <w:pStyle w:val="Contents4"/>
            <w:tabs>
              <w:tab w:val="clear" w:pos="8176"/>
              <w:tab w:val="right" w:pos="9026" w:leader="dot"/>
            </w:tabs>
            <w:rPr/>
          </w:pPr>
          <w:hyperlink w:anchor="__RefHeading___Toc594181_2281741623">
            <w:r>
              <w:rPr>
                <w:webHidden/>
                <w:rStyle w:val="IndexLink"/>
                <w:rtl w:val="true"/>
              </w:rPr>
              <w:t xml:space="preserve">ومنها قوله </w:t>
            </w:r>
            <w:r>
              <w:rPr>
                <w:rStyle w:val="IndexLink"/>
                <w:rtl w:val="true"/>
              </w:rPr>
              <w:t xml:space="preserve">: </w:t>
            </w:r>
            <w:r>
              <w:rPr>
                <w:rStyle w:val="IndexLink"/>
                <w:rtl w:val="true"/>
              </w:rPr>
              <w:t>بعد اعتراف السیّد بأنّ المتبادر من التسلیم المطلق، إلخ</w:t>
            </w:r>
            <w:r>
              <w:rPr>
                <w:rStyle w:val="IndexLink"/>
                <w:rtl w:val="true"/>
              </w:rPr>
              <w:tab/>
            </w:r>
            <w:r>
              <w:rPr>
                <w:rStyle w:val="IndexLink"/>
              </w:rPr>
              <w:t>265</w:t>
            </w:r>
          </w:hyperlink>
        </w:p>
        <w:p>
          <w:pPr>
            <w:pStyle w:val="Contents4"/>
            <w:tabs>
              <w:tab w:val="clear" w:pos="8176"/>
              <w:tab w:val="right" w:pos="9026" w:leader="dot"/>
            </w:tabs>
            <w:rPr/>
          </w:pPr>
          <w:hyperlink w:anchor="__RefHeading___Toc594183_2281741623">
            <w:r>
              <w:rPr>
                <w:webHidden/>
                <w:rStyle w:val="IndexLink"/>
                <w:rtl w:val="true"/>
              </w:rPr>
              <w:t xml:space="preserve">ومنها قوله </w:t>
            </w:r>
            <w:r>
              <w:rPr>
                <w:rStyle w:val="IndexLink"/>
                <w:rtl w:val="true"/>
              </w:rPr>
              <w:t xml:space="preserve">: </w:t>
            </w:r>
            <w:r>
              <w:rPr>
                <w:rStyle w:val="IndexLink"/>
                <w:rtl w:val="true"/>
              </w:rPr>
              <w:t>وأیّ مانع فی الحدیث النبویّ لیمنع حمله، إلخ</w:t>
            </w:r>
            <w:r>
              <w:rPr>
                <w:rStyle w:val="IndexLink"/>
                <w:rtl w:val="true"/>
              </w:rPr>
              <w:tab/>
            </w:r>
            <w:r>
              <w:rPr>
                <w:rStyle w:val="IndexLink"/>
              </w:rPr>
              <w:t>267</w:t>
            </w:r>
          </w:hyperlink>
        </w:p>
        <w:p>
          <w:pPr>
            <w:pStyle w:val="Contents4"/>
            <w:tabs>
              <w:tab w:val="clear" w:pos="8176"/>
              <w:tab w:val="right" w:pos="9026" w:leader="dot"/>
            </w:tabs>
            <w:rPr/>
          </w:pPr>
          <w:hyperlink w:anchor="__RefHeading___Toc594185_2281741623">
            <w:r>
              <w:rPr>
                <w:webHidden/>
                <w:rStyle w:val="IndexLink"/>
                <w:rtl w:val="true"/>
              </w:rPr>
              <w:t xml:space="preserve">ومنها قوله </w:t>
            </w:r>
            <w:r>
              <w:rPr>
                <w:rStyle w:val="IndexLink"/>
                <w:rtl w:val="true"/>
              </w:rPr>
              <w:t xml:space="preserve">: </w:t>
            </w:r>
            <w:r>
              <w:rPr>
                <w:rStyle w:val="IndexLink"/>
                <w:rtl w:val="true"/>
              </w:rPr>
              <w:t>إذ هو یدلّ علی أنّ المأخوذ فی تلک العبادة، إلخ</w:t>
            </w:r>
            <w:r>
              <w:rPr>
                <w:rStyle w:val="IndexLink"/>
                <w:rtl w:val="true"/>
              </w:rPr>
              <w:tab/>
            </w:r>
            <w:r>
              <w:rPr>
                <w:rStyle w:val="IndexLink"/>
              </w:rPr>
              <w:t>268</w:t>
            </w:r>
          </w:hyperlink>
        </w:p>
        <w:p>
          <w:pPr>
            <w:pStyle w:val="Contents4"/>
            <w:tabs>
              <w:tab w:val="clear" w:pos="8176"/>
              <w:tab w:val="right" w:pos="9026" w:leader="dot"/>
            </w:tabs>
            <w:rPr/>
          </w:pPr>
          <w:hyperlink w:anchor="__RefHeading___Toc594187_2281741623">
            <w:r>
              <w:rPr>
                <w:webHidden/>
                <w:rStyle w:val="IndexLink"/>
                <w:rtl w:val="true"/>
              </w:rPr>
              <w:t xml:space="preserve">ومنها قوله </w:t>
            </w:r>
            <w:r>
              <w:rPr>
                <w:rStyle w:val="IndexLink"/>
                <w:rtl w:val="true"/>
              </w:rPr>
              <w:t xml:space="preserve">: </w:t>
            </w:r>
            <w:r>
              <w:rPr>
                <w:rStyle w:val="IndexLink"/>
                <w:rtl w:val="true"/>
              </w:rPr>
              <w:t>ولا دلالة فیه علی وضعه لتلک الصیغة بعد وضعه، إلخ</w:t>
            </w:r>
            <w:r>
              <w:rPr>
                <w:rStyle w:val="IndexLink"/>
                <w:rtl w:val="true"/>
              </w:rPr>
              <w:tab/>
            </w:r>
            <w:r>
              <w:rPr>
                <w:rStyle w:val="IndexLink"/>
              </w:rPr>
              <w:t>269</w:t>
            </w:r>
          </w:hyperlink>
        </w:p>
        <w:p>
          <w:pPr>
            <w:pStyle w:val="Contents4"/>
            <w:tabs>
              <w:tab w:val="clear" w:pos="8176"/>
              <w:tab w:val="right" w:pos="9026" w:leader="dot"/>
            </w:tabs>
            <w:rPr/>
          </w:pPr>
          <w:hyperlink w:anchor="__RefHeading___Toc594189_2281741623">
            <w:r>
              <w:rPr>
                <w:webHidden/>
                <w:rStyle w:val="IndexLink"/>
                <w:rtl w:val="true"/>
              </w:rPr>
              <w:t xml:space="preserve">ومنها قوله </w:t>
            </w:r>
            <w:r>
              <w:rPr>
                <w:rStyle w:val="IndexLink"/>
                <w:rtl w:val="true"/>
              </w:rPr>
              <w:t xml:space="preserve">: </w:t>
            </w:r>
            <w:r>
              <w:rPr>
                <w:rStyle w:val="IndexLink"/>
                <w:rtl w:val="true"/>
              </w:rPr>
              <w:t>نعم یظهر من المستفیضة أنّ الآتی بتلک، إلخ</w:t>
            </w:r>
            <w:r>
              <w:rPr>
                <w:rStyle w:val="IndexLink"/>
                <w:rtl w:val="true"/>
              </w:rPr>
              <w:tab/>
            </w:r>
            <w:r>
              <w:rPr>
                <w:rStyle w:val="IndexLink"/>
              </w:rPr>
              <w:t>269</w:t>
            </w:r>
          </w:hyperlink>
        </w:p>
        <w:p>
          <w:pPr>
            <w:pStyle w:val="Contents4"/>
            <w:tabs>
              <w:tab w:val="clear" w:pos="8176"/>
              <w:tab w:val="right" w:pos="9026" w:leader="dot"/>
            </w:tabs>
            <w:rPr/>
          </w:pPr>
          <w:hyperlink w:anchor="__RefHeading___Toc594191_2281741623">
            <w:r>
              <w:rPr>
                <w:webHidden/>
                <w:rStyle w:val="IndexLink"/>
                <w:rtl w:val="true"/>
              </w:rPr>
              <w:t xml:space="preserve">ومنها قوله </w:t>
            </w:r>
            <w:r>
              <w:rPr>
                <w:rStyle w:val="IndexLink"/>
                <w:rtl w:val="true"/>
              </w:rPr>
              <w:t xml:space="preserve">: </w:t>
            </w:r>
            <w:r>
              <w:rPr>
                <w:rStyle w:val="IndexLink"/>
                <w:rtl w:val="true"/>
              </w:rPr>
              <w:t>مع تسلیمه أوّلاً، و حکایته وفاق الأصحاب، إلخ</w:t>
            </w:r>
            <w:r>
              <w:rPr>
                <w:rStyle w:val="IndexLink"/>
                <w:rtl w:val="true"/>
              </w:rPr>
              <w:tab/>
            </w:r>
            <w:r>
              <w:rPr>
                <w:rStyle w:val="IndexLink"/>
              </w:rPr>
              <w:t>273</w:t>
            </w:r>
          </w:hyperlink>
        </w:p>
        <w:p>
          <w:pPr>
            <w:pStyle w:val="Contents4"/>
            <w:tabs>
              <w:tab w:val="clear" w:pos="8176"/>
              <w:tab w:val="right" w:pos="9026" w:leader="dot"/>
            </w:tabs>
            <w:rPr/>
          </w:pPr>
          <w:hyperlink w:anchor="__RefHeading___Toc594193_2281741623">
            <w:r>
              <w:rPr>
                <w:webHidden/>
                <w:rStyle w:val="IndexLink"/>
                <w:rtl w:val="true"/>
              </w:rPr>
              <w:t xml:space="preserve">ومنها قوله </w:t>
            </w:r>
            <w:r>
              <w:rPr>
                <w:rStyle w:val="IndexLink"/>
                <w:rtl w:val="true"/>
              </w:rPr>
              <w:t xml:space="preserve">: </w:t>
            </w:r>
            <w:r>
              <w:rPr>
                <w:rStyle w:val="IndexLink"/>
                <w:rtl w:val="true"/>
              </w:rPr>
              <w:t xml:space="preserve">فظهر فساد قوله </w:t>
            </w:r>
            <w:r>
              <w:rPr>
                <w:rStyle w:val="IndexLink"/>
                <w:rtl w:val="true"/>
              </w:rPr>
              <w:t xml:space="preserve">: </w:t>
            </w:r>
            <w:r>
              <w:rPr>
                <w:rStyle w:val="IndexLink"/>
                <w:rtl w:val="true"/>
              </w:rPr>
              <w:t>الإیراد المذکور إجتهاد، إلخ</w:t>
            </w:r>
            <w:r>
              <w:rPr>
                <w:rStyle w:val="IndexLink"/>
                <w:rtl w:val="true"/>
              </w:rPr>
              <w:tab/>
            </w:r>
            <w:r>
              <w:rPr>
                <w:rStyle w:val="IndexLink"/>
              </w:rPr>
              <w:t>274</w:t>
            </w:r>
          </w:hyperlink>
        </w:p>
        <w:p>
          <w:pPr>
            <w:pStyle w:val="Contents4"/>
            <w:tabs>
              <w:tab w:val="clear" w:pos="8176"/>
              <w:tab w:val="right" w:pos="9026" w:leader="dot"/>
            </w:tabs>
            <w:rPr/>
          </w:pPr>
          <w:hyperlink w:anchor="__RefHeading___Toc594195_2281741623">
            <w:r>
              <w:rPr>
                <w:webHidden/>
                <w:rStyle w:val="IndexLink"/>
                <w:rtl w:val="true"/>
              </w:rPr>
              <w:t xml:space="preserve">ومنها قوله </w:t>
            </w:r>
            <w:r>
              <w:rPr>
                <w:rStyle w:val="IndexLink"/>
                <w:rtl w:val="true"/>
              </w:rPr>
              <w:t xml:space="preserve">: </w:t>
            </w:r>
            <w:r>
              <w:rPr>
                <w:rStyle w:val="IndexLink"/>
                <w:rtl w:val="true"/>
              </w:rPr>
              <w:t>وأنّی له بالنصّ و لیس بیده إلاّ تلک الروایات، إلخ</w:t>
            </w:r>
            <w:r>
              <w:rPr>
                <w:rStyle w:val="IndexLink"/>
                <w:rtl w:val="true"/>
              </w:rPr>
              <w:tab/>
            </w:r>
            <w:r>
              <w:rPr>
                <w:rStyle w:val="IndexLink"/>
              </w:rPr>
              <w:t>274</w:t>
            </w:r>
          </w:hyperlink>
        </w:p>
        <w:p>
          <w:pPr>
            <w:pStyle w:val="Contents4"/>
            <w:tabs>
              <w:tab w:val="clear" w:pos="8176"/>
              <w:tab w:val="right" w:pos="9026" w:leader="dot"/>
            </w:tabs>
            <w:rPr/>
          </w:pPr>
          <w:hyperlink w:anchor="__RefHeading___Toc594197_2281741623">
            <w:r>
              <w:rPr>
                <w:webHidden/>
                <w:rStyle w:val="IndexLink"/>
                <w:rtl w:val="true"/>
              </w:rPr>
              <w:t xml:space="preserve">ومنها قوله </w:t>
            </w:r>
            <w:r>
              <w:rPr>
                <w:rStyle w:val="IndexLink"/>
                <w:rtl w:val="true"/>
              </w:rPr>
              <w:t xml:space="preserve">: </w:t>
            </w:r>
            <w:r>
              <w:rPr>
                <w:rStyle w:val="IndexLink"/>
                <w:rtl w:val="true"/>
              </w:rPr>
              <w:t>وقد عرفت أنّ مجرّد ذلک لا یدلّ علی، إلخ</w:t>
            </w:r>
            <w:r>
              <w:rPr>
                <w:rStyle w:val="IndexLink"/>
                <w:rtl w:val="true"/>
              </w:rPr>
              <w:tab/>
            </w:r>
            <w:r>
              <w:rPr>
                <w:rStyle w:val="IndexLink"/>
              </w:rPr>
              <w:t>275</w:t>
            </w:r>
          </w:hyperlink>
        </w:p>
        <w:p>
          <w:pPr>
            <w:pStyle w:val="Contents4"/>
            <w:tabs>
              <w:tab w:val="clear" w:pos="8176"/>
              <w:tab w:val="right" w:pos="9026" w:leader="dot"/>
            </w:tabs>
            <w:rPr/>
          </w:pPr>
          <w:hyperlink w:anchor="__RefHeading___Toc594199_2281741623">
            <w:r>
              <w:rPr>
                <w:webHidden/>
                <w:rStyle w:val="IndexLink"/>
                <w:rtl w:val="true"/>
              </w:rPr>
              <w:t xml:space="preserve">ومنها قوله بعد أن عنون قولنا </w:t>
            </w:r>
            <w:r>
              <w:rPr>
                <w:rStyle w:val="IndexLink"/>
                <w:rtl w:val="true"/>
              </w:rPr>
              <w:t xml:space="preserve">: </w:t>
            </w:r>
            <w:r>
              <w:rPr>
                <w:rStyle w:val="IndexLink"/>
                <w:rtl w:val="true"/>
              </w:rPr>
              <w:t xml:space="preserve">لا یقال </w:t>
            </w:r>
            <w:r>
              <w:rPr>
                <w:rStyle w:val="IndexLink"/>
                <w:rtl w:val="true"/>
              </w:rPr>
              <w:t xml:space="preserve">: </w:t>
            </w:r>
            <w:r>
              <w:rPr>
                <w:rStyle w:val="IndexLink"/>
                <w:rtl w:val="true"/>
              </w:rPr>
              <w:t>إنّ التمسّک به، إلخ</w:t>
            </w:r>
            <w:r>
              <w:rPr>
                <w:rStyle w:val="IndexLink"/>
                <w:rtl w:val="true"/>
              </w:rPr>
              <w:tab/>
            </w:r>
            <w:r>
              <w:rPr>
                <w:rStyle w:val="IndexLink"/>
              </w:rPr>
              <w:t>284</w:t>
            </w:r>
          </w:hyperlink>
        </w:p>
        <w:p>
          <w:pPr>
            <w:pStyle w:val="Contents4"/>
            <w:tabs>
              <w:tab w:val="clear" w:pos="8176"/>
              <w:tab w:val="right" w:pos="9026" w:leader="dot"/>
            </w:tabs>
            <w:rPr/>
          </w:pPr>
          <w:hyperlink w:anchor="__RefHeading___Toc594201_2281741623">
            <w:r>
              <w:rPr>
                <w:webHidden/>
                <w:rStyle w:val="IndexLink"/>
                <w:rtl w:val="true"/>
              </w:rPr>
              <w:t xml:space="preserve">ومنها قوله بعد أن عنون قولنا </w:t>
            </w:r>
            <w:r>
              <w:rPr>
                <w:rStyle w:val="IndexLink"/>
                <w:rtl w:val="true"/>
              </w:rPr>
              <w:t xml:space="preserve">: </w:t>
            </w:r>
            <w:r>
              <w:rPr>
                <w:rStyle w:val="IndexLink"/>
                <w:rtl w:val="true"/>
              </w:rPr>
              <w:t>و من إطلاقات النصوص، إلخ</w:t>
            </w:r>
            <w:r>
              <w:rPr>
                <w:rStyle w:val="IndexLink"/>
                <w:rtl w:val="true"/>
              </w:rPr>
              <w:tab/>
            </w:r>
            <w:r>
              <w:rPr>
                <w:rStyle w:val="IndexLink"/>
              </w:rPr>
              <w:t>300</w:t>
            </w:r>
          </w:hyperlink>
        </w:p>
        <w:p>
          <w:pPr>
            <w:pStyle w:val="Contents4"/>
            <w:tabs>
              <w:tab w:val="clear" w:pos="8176"/>
              <w:tab w:val="right" w:pos="9026" w:leader="dot"/>
            </w:tabs>
            <w:rPr/>
          </w:pPr>
          <w:hyperlink w:anchor="__RefHeading___Toc594203_2281741623">
            <w:r>
              <w:rPr>
                <w:webHidden/>
                <w:rStyle w:val="IndexLink"/>
                <w:rtl w:val="true"/>
              </w:rPr>
              <w:t xml:space="preserve">ومنها قوله </w:t>
            </w:r>
            <w:r>
              <w:rPr>
                <w:rStyle w:val="IndexLink"/>
                <w:rtl w:val="true"/>
              </w:rPr>
              <w:t xml:space="preserve">: </w:t>
            </w:r>
            <w:r>
              <w:rPr>
                <w:rStyle w:val="IndexLink"/>
                <w:rtl w:val="true"/>
              </w:rPr>
              <w:t>وأمّا الروایة المذکورة فی زیادات التهذیب الّتی، إلخ</w:t>
            </w:r>
            <w:r>
              <w:rPr>
                <w:rStyle w:val="IndexLink"/>
                <w:rtl w:val="true"/>
              </w:rPr>
              <w:tab/>
            </w:r>
            <w:r>
              <w:rPr>
                <w:rStyle w:val="IndexLink"/>
              </w:rPr>
              <w:t>304</w:t>
            </w:r>
          </w:hyperlink>
        </w:p>
        <w:p>
          <w:pPr>
            <w:pStyle w:val="Contents4"/>
            <w:tabs>
              <w:tab w:val="clear" w:pos="8176"/>
              <w:tab w:val="right" w:pos="9026" w:leader="dot"/>
            </w:tabs>
            <w:rPr/>
          </w:pPr>
          <w:hyperlink w:anchor="__RefHeading___Toc594205_2281741623">
            <w:r>
              <w:rPr>
                <w:webHidden/>
                <w:rStyle w:val="IndexLink"/>
                <w:rtl w:val="true"/>
              </w:rPr>
              <w:t xml:space="preserve">ومنها قوله </w:t>
            </w:r>
            <w:r>
              <w:rPr>
                <w:rStyle w:val="IndexLink"/>
                <w:rtl w:val="true"/>
              </w:rPr>
              <w:t xml:space="preserve">: </w:t>
            </w:r>
            <w:r>
              <w:rPr>
                <w:rStyle w:val="IndexLink"/>
                <w:rtl w:val="true"/>
              </w:rPr>
              <w:t>وأمّا الإستشهاد بروایة الحلبیّ، فهو أیضًا فی غایة الضعف، إلخ</w:t>
            </w:r>
            <w:r>
              <w:rPr>
                <w:rStyle w:val="IndexLink"/>
                <w:rtl w:val="true"/>
              </w:rPr>
              <w:tab/>
            </w:r>
            <w:r>
              <w:rPr>
                <w:rStyle w:val="IndexLink"/>
              </w:rPr>
              <w:t>306</w:t>
            </w:r>
          </w:hyperlink>
        </w:p>
        <w:p>
          <w:pPr>
            <w:pStyle w:val="Contents4"/>
            <w:tabs>
              <w:tab w:val="clear" w:pos="8176"/>
              <w:tab w:val="right" w:pos="9026" w:leader="dot"/>
            </w:tabs>
            <w:rPr/>
          </w:pPr>
          <w:hyperlink w:anchor="__RefHeading___Toc594207_2281741623">
            <w:r>
              <w:rPr>
                <w:webHidden/>
                <w:rStyle w:val="IndexLink"/>
                <w:rtl w:val="true"/>
              </w:rPr>
              <w:t xml:space="preserve">ومنها قوله </w:t>
            </w:r>
            <w:r>
              <w:rPr>
                <w:rStyle w:val="IndexLink"/>
                <w:rtl w:val="true"/>
              </w:rPr>
              <w:t xml:space="preserve">: </w:t>
            </w:r>
            <w:r>
              <w:rPr>
                <w:rStyle w:val="IndexLink"/>
                <w:rtl w:val="true"/>
              </w:rPr>
              <w:t xml:space="preserve">وأمّا قوله دام ظلّه </w:t>
            </w:r>
            <w:r>
              <w:rPr>
                <w:rStyle w:val="IndexLink"/>
                <w:rtl w:val="true"/>
              </w:rPr>
              <w:t xml:space="preserve">: </w:t>
            </w:r>
            <w:r>
              <w:rPr>
                <w:rStyle w:val="IndexLink"/>
                <w:rtl w:val="true"/>
              </w:rPr>
              <w:t>مع أنّا لم نجد أحدًا فرّق بین، إلخ</w:t>
            </w:r>
            <w:r>
              <w:rPr>
                <w:rStyle w:val="IndexLink"/>
                <w:rtl w:val="true"/>
              </w:rPr>
              <w:tab/>
            </w:r>
            <w:r>
              <w:rPr>
                <w:rStyle w:val="IndexLink"/>
              </w:rPr>
              <w:t>310</w:t>
            </w:r>
          </w:hyperlink>
        </w:p>
        <w:p>
          <w:pPr>
            <w:pStyle w:val="Contents4"/>
            <w:tabs>
              <w:tab w:val="clear" w:pos="8176"/>
              <w:tab w:val="right" w:pos="9026" w:leader="dot"/>
            </w:tabs>
            <w:rPr/>
          </w:pPr>
          <w:hyperlink w:anchor="__RefHeading___Toc594209_2281741623">
            <w:r>
              <w:rPr>
                <w:webHidden/>
                <w:rStyle w:val="IndexLink"/>
                <w:rtl w:val="true"/>
              </w:rPr>
              <w:t xml:space="preserve">ومنها قوله بعد أن عنون کلامنا و هو هذا </w:t>
            </w:r>
            <w:r>
              <w:rPr>
                <w:rStyle w:val="IndexLink"/>
                <w:rtl w:val="true"/>
              </w:rPr>
              <w:t xml:space="preserve">: </w:t>
            </w:r>
            <w:r>
              <w:rPr>
                <w:rStyle w:val="IndexLink"/>
                <w:rtl w:val="true"/>
              </w:rPr>
              <w:t xml:space="preserve">المطلب الثانی </w:t>
            </w:r>
            <w:r>
              <w:rPr>
                <w:rStyle w:val="IndexLink"/>
                <w:rtl w:val="true"/>
              </w:rPr>
              <w:t xml:space="preserve">: </w:t>
            </w:r>
            <w:r>
              <w:rPr>
                <w:rStyle w:val="IndexLink"/>
                <w:rtl w:val="true"/>
              </w:rPr>
              <w:t>انّه، إلخ</w:t>
            </w:r>
            <w:r>
              <w:rPr>
                <w:rStyle w:val="IndexLink"/>
                <w:rtl w:val="true"/>
              </w:rPr>
              <w:tab/>
            </w:r>
            <w:r>
              <w:rPr>
                <w:rStyle w:val="IndexLink"/>
              </w:rPr>
              <w:t>324</w:t>
            </w:r>
          </w:hyperlink>
        </w:p>
        <w:p>
          <w:pPr>
            <w:pStyle w:val="Contents4"/>
            <w:tabs>
              <w:tab w:val="clear" w:pos="8176"/>
              <w:tab w:val="right" w:pos="9026" w:leader="dot"/>
            </w:tabs>
            <w:rPr/>
          </w:pPr>
          <w:hyperlink w:anchor="__RefHeading___Toc594211_2281741623">
            <w:r>
              <w:rPr>
                <w:webHidden/>
                <w:rStyle w:val="IndexLink"/>
                <w:rtl w:val="true"/>
              </w:rPr>
              <w:t xml:space="preserve">ومنها قوله </w:t>
            </w:r>
            <w:r>
              <w:rPr>
                <w:rStyle w:val="IndexLink"/>
                <w:rtl w:val="true"/>
              </w:rPr>
              <w:t xml:space="preserve">: </w:t>
            </w:r>
            <w:r>
              <w:rPr>
                <w:rStyle w:val="IndexLink"/>
                <w:rtl w:val="true"/>
              </w:rPr>
              <w:t xml:space="preserve">حبیبی و سیّدی </w:t>
            </w:r>
            <w:r>
              <w:rPr>
                <w:rStyle w:val="IndexLink"/>
                <w:rtl w:val="true"/>
              </w:rPr>
              <w:t xml:space="preserve">! </w:t>
            </w:r>
            <w:r>
              <w:rPr>
                <w:rStyle w:val="IndexLink"/>
                <w:rtl w:val="true"/>
              </w:rPr>
              <w:t>قد وصل إلینا من الشارع، إلخ</w:t>
            </w:r>
            <w:r>
              <w:rPr>
                <w:rStyle w:val="IndexLink"/>
                <w:rtl w:val="true"/>
              </w:rPr>
              <w:tab/>
            </w:r>
            <w:r>
              <w:rPr>
                <w:rStyle w:val="IndexLink"/>
              </w:rPr>
              <w:t>325</w:t>
            </w:r>
          </w:hyperlink>
        </w:p>
        <w:p>
          <w:pPr>
            <w:pStyle w:val="Contents4"/>
            <w:tabs>
              <w:tab w:val="clear" w:pos="8176"/>
              <w:tab w:val="right" w:pos="9026" w:leader="dot"/>
            </w:tabs>
            <w:rPr/>
          </w:pPr>
          <w:hyperlink w:anchor="__RefHeading___Toc594213_2281741623">
            <w:r>
              <w:rPr>
                <w:webHidden/>
                <w:rStyle w:val="IndexLink"/>
                <w:rtl w:val="true"/>
              </w:rPr>
              <w:t xml:space="preserve">ومنها قوله </w:t>
            </w:r>
            <w:r>
              <w:rPr>
                <w:rStyle w:val="IndexLink"/>
                <w:rtl w:val="true"/>
              </w:rPr>
              <w:t xml:space="preserve">: </w:t>
            </w:r>
            <w:r>
              <w:rPr>
                <w:rStyle w:val="IndexLink"/>
                <w:rtl w:val="true"/>
              </w:rPr>
              <w:t>وبالجملة لیس لنا من الأمر شیء إلاّ ما، إلخ</w:t>
            </w:r>
            <w:r>
              <w:rPr>
                <w:rStyle w:val="IndexLink"/>
                <w:rtl w:val="true"/>
              </w:rPr>
              <w:tab/>
            </w:r>
            <w:r>
              <w:rPr>
                <w:rStyle w:val="IndexLink"/>
              </w:rPr>
              <w:t>328</w:t>
            </w:r>
          </w:hyperlink>
        </w:p>
        <w:p>
          <w:pPr>
            <w:pStyle w:val="Contents4"/>
            <w:tabs>
              <w:tab w:val="clear" w:pos="8176"/>
              <w:tab w:val="right" w:pos="9026" w:leader="dot"/>
            </w:tabs>
            <w:rPr/>
          </w:pPr>
          <w:hyperlink w:anchor="__RefHeading___Toc594215_2281741623">
            <w:r>
              <w:rPr>
                <w:webHidden/>
                <w:rStyle w:val="IndexLink"/>
                <w:rtl w:val="true"/>
              </w:rPr>
              <w:t xml:space="preserve">ومنها قوله </w:t>
            </w:r>
            <w:r>
              <w:rPr>
                <w:rStyle w:val="IndexLink"/>
                <w:rtl w:val="true"/>
              </w:rPr>
              <w:t xml:space="preserve">: </w:t>
            </w:r>
            <w:r>
              <w:rPr>
                <w:rStyle w:val="IndexLink"/>
                <w:rtl w:val="true"/>
              </w:rPr>
              <w:t>وهذه القاعدة الّتی مهّدها و قرّرها یوفی بما، إلخ</w:t>
            </w:r>
            <w:r>
              <w:rPr>
                <w:rStyle w:val="IndexLink"/>
                <w:rtl w:val="true"/>
              </w:rPr>
              <w:tab/>
            </w:r>
            <w:r>
              <w:rPr>
                <w:rStyle w:val="IndexLink"/>
              </w:rPr>
              <w:t>338</w:t>
            </w:r>
          </w:hyperlink>
        </w:p>
        <w:p>
          <w:pPr>
            <w:pStyle w:val="Contents4"/>
            <w:tabs>
              <w:tab w:val="clear" w:pos="8176"/>
              <w:tab w:val="right" w:pos="9026" w:leader="dot"/>
            </w:tabs>
            <w:rPr/>
          </w:pPr>
          <w:hyperlink w:anchor="__RefHeading___Toc594217_2281741623">
            <w:r>
              <w:rPr>
                <w:webHidden/>
                <w:rStyle w:val="IndexLink"/>
                <w:rtl w:val="true"/>
              </w:rPr>
              <w:t xml:space="preserve">ومنها قوله </w:t>
            </w:r>
            <w:r>
              <w:rPr>
                <w:rStyle w:val="IndexLink"/>
                <w:rtl w:val="true"/>
              </w:rPr>
              <w:t xml:space="preserve">: </w:t>
            </w:r>
            <w:r>
              <w:rPr>
                <w:rStyle w:val="IndexLink"/>
                <w:rtl w:val="true"/>
              </w:rPr>
              <w:t>فإن أراد السیّد دام ظلّه أن یجعل هذه، إلخ</w:t>
            </w:r>
            <w:r>
              <w:rPr>
                <w:rStyle w:val="IndexLink"/>
                <w:rtl w:val="true"/>
              </w:rPr>
              <w:tab/>
            </w:r>
            <w:r>
              <w:rPr>
                <w:rStyle w:val="IndexLink"/>
              </w:rPr>
              <w:t>343</w:t>
            </w:r>
          </w:hyperlink>
        </w:p>
        <w:p>
          <w:pPr>
            <w:pStyle w:val="Contents4"/>
            <w:tabs>
              <w:tab w:val="clear" w:pos="8176"/>
              <w:tab w:val="right" w:pos="9026" w:leader="dot"/>
            </w:tabs>
            <w:rPr/>
          </w:pPr>
          <w:hyperlink w:anchor="__RefHeading___Toc594219_2281741623">
            <w:r>
              <w:rPr>
                <w:webHidden/>
                <w:rStyle w:val="IndexLink"/>
                <w:rtl w:val="true"/>
              </w:rPr>
              <w:t xml:space="preserve">ومنها قوله </w:t>
            </w:r>
            <w:r>
              <w:rPr>
                <w:rStyle w:val="IndexLink"/>
                <w:rtl w:val="true"/>
              </w:rPr>
              <w:t xml:space="preserve">: </w:t>
            </w:r>
            <w:r>
              <w:rPr>
                <w:rStyle w:val="IndexLink"/>
                <w:rtl w:val="true"/>
              </w:rPr>
              <w:t>وإن أراد أنّ هذه الصیغ مأخوذة فی التسلیم، إلخ</w:t>
            </w:r>
            <w:r>
              <w:rPr>
                <w:rStyle w:val="IndexLink"/>
                <w:rtl w:val="true"/>
              </w:rPr>
              <w:tab/>
            </w:r>
            <w:r>
              <w:rPr>
                <w:rStyle w:val="IndexLink"/>
              </w:rPr>
              <w:t>344</w:t>
            </w:r>
          </w:hyperlink>
        </w:p>
        <w:p>
          <w:pPr>
            <w:pStyle w:val="Contents4"/>
            <w:tabs>
              <w:tab w:val="clear" w:pos="8176"/>
              <w:tab w:val="right" w:pos="9026" w:leader="dot"/>
            </w:tabs>
            <w:rPr/>
          </w:pPr>
          <w:hyperlink w:anchor="__RefHeading___Toc594221_2281741623">
            <w:r>
              <w:rPr>
                <w:webHidden/>
                <w:rStyle w:val="IndexLink"/>
                <w:rtl w:val="true"/>
              </w:rPr>
              <w:t xml:space="preserve">ومنها قوله </w:t>
            </w:r>
            <w:r>
              <w:rPr>
                <w:rStyle w:val="IndexLink"/>
                <w:rtl w:val="true"/>
              </w:rPr>
              <w:t xml:space="preserve">: </w:t>
            </w:r>
            <w:r>
              <w:rPr>
                <w:rStyle w:val="IndexLink"/>
                <w:rtl w:val="true"/>
              </w:rPr>
              <w:t>وإن أراد أنّ ما کان ثابتًا فی الفریضة وجب أن، إلخ</w:t>
            </w:r>
            <w:r>
              <w:rPr>
                <w:rStyle w:val="IndexLink"/>
                <w:rtl w:val="true"/>
              </w:rPr>
              <w:tab/>
            </w:r>
            <w:r>
              <w:rPr>
                <w:rStyle w:val="IndexLink"/>
              </w:rPr>
              <w:t>345</w:t>
            </w:r>
          </w:hyperlink>
        </w:p>
        <w:p>
          <w:pPr>
            <w:pStyle w:val="Contents4"/>
            <w:tabs>
              <w:tab w:val="clear" w:pos="8176"/>
              <w:tab w:val="right" w:pos="9026" w:leader="dot"/>
            </w:tabs>
            <w:rPr/>
          </w:pPr>
          <w:hyperlink w:anchor="__RefHeading___Toc594223_2281741623">
            <w:r>
              <w:rPr>
                <w:webHidden/>
                <w:rStyle w:val="IndexLink"/>
                <w:rtl w:val="true"/>
              </w:rPr>
              <w:t xml:space="preserve">ومنها قوله </w:t>
            </w:r>
            <w:r>
              <w:rPr>
                <w:rStyle w:val="IndexLink"/>
                <w:rtl w:val="true"/>
              </w:rPr>
              <w:t xml:space="preserve">: </w:t>
            </w:r>
            <w:r>
              <w:rPr>
                <w:rStyle w:val="IndexLink"/>
                <w:rtl w:val="true"/>
              </w:rPr>
              <w:t>وأمّا إذا بیّنه بالإکتفاء بالتسلیم وکان معنی، إلخ</w:t>
            </w:r>
            <w:r>
              <w:rPr>
                <w:rStyle w:val="IndexLink"/>
                <w:rtl w:val="true"/>
              </w:rPr>
              <w:tab/>
            </w:r>
            <w:r>
              <w:rPr>
                <w:rStyle w:val="IndexLink"/>
              </w:rPr>
              <w:t>347</w:t>
            </w:r>
          </w:hyperlink>
        </w:p>
        <w:p>
          <w:pPr>
            <w:pStyle w:val="Contents4"/>
            <w:tabs>
              <w:tab w:val="clear" w:pos="8176"/>
              <w:tab w:val="right" w:pos="9026" w:leader="dot"/>
            </w:tabs>
            <w:rPr/>
          </w:pPr>
          <w:hyperlink w:anchor="__RefHeading___Toc594225_2281741623">
            <w:r>
              <w:rPr>
                <w:webHidden/>
                <w:rStyle w:val="IndexLink"/>
                <w:rtl w:val="true"/>
              </w:rPr>
              <w:t xml:space="preserve">ومنها قوله </w:t>
            </w:r>
            <w:r>
              <w:rPr>
                <w:rStyle w:val="IndexLink"/>
                <w:rtl w:val="true"/>
              </w:rPr>
              <w:t xml:space="preserve">: </w:t>
            </w:r>
            <w:r>
              <w:rPr>
                <w:rStyle w:val="IndexLink"/>
                <w:rtl w:val="true"/>
              </w:rPr>
              <w:t>إذ لو أخَذَنا مولانا جعفر بن محمّد الصادق علیهماالسلام ، إلخ</w:t>
            </w:r>
            <w:r>
              <w:rPr>
                <w:rStyle w:val="IndexLink"/>
                <w:rtl w:val="true"/>
              </w:rPr>
              <w:tab/>
            </w:r>
            <w:r>
              <w:rPr>
                <w:rStyle w:val="IndexLink"/>
              </w:rPr>
              <w:t>351</w:t>
            </w:r>
          </w:hyperlink>
        </w:p>
        <w:p>
          <w:pPr>
            <w:pStyle w:val="Contents4"/>
            <w:tabs>
              <w:tab w:val="clear" w:pos="8176"/>
              <w:tab w:val="right" w:pos="9026" w:leader="dot"/>
            </w:tabs>
            <w:rPr/>
          </w:pPr>
          <w:hyperlink w:anchor="__RefHeading___Toc594227_2281741623">
            <w:r>
              <w:rPr>
                <w:webHidden/>
                <w:rStyle w:val="IndexLink"/>
                <w:rtl w:val="true"/>
              </w:rPr>
              <w:t xml:space="preserve">ومنها قوله </w:t>
            </w:r>
            <w:r>
              <w:rPr>
                <w:rStyle w:val="IndexLink"/>
                <w:rtl w:val="true"/>
              </w:rPr>
              <w:t xml:space="preserve">: </w:t>
            </w:r>
            <w:r>
              <w:rPr>
                <w:rStyle w:val="IndexLink"/>
                <w:rtl w:val="true"/>
              </w:rPr>
              <w:t>وأمّا إذا کان الأمر علی ما ندّعیه، فنقول، إلخ</w:t>
            </w:r>
            <w:r>
              <w:rPr>
                <w:rStyle w:val="IndexLink"/>
                <w:rtl w:val="true"/>
              </w:rPr>
              <w:tab/>
            </w:r>
            <w:r>
              <w:rPr>
                <w:rStyle w:val="IndexLink"/>
              </w:rPr>
              <w:t>356</w:t>
            </w:r>
          </w:hyperlink>
        </w:p>
        <w:p>
          <w:pPr>
            <w:pStyle w:val="Contents4"/>
            <w:tabs>
              <w:tab w:val="clear" w:pos="8176"/>
              <w:tab w:val="right" w:pos="9026" w:leader="dot"/>
            </w:tabs>
            <w:rPr/>
          </w:pPr>
          <w:hyperlink w:anchor="__RefHeading___Toc594229_2281741623">
            <w:r>
              <w:rPr>
                <w:webHidden/>
                <w:rStyle w:val="IndexLink"/>
                <w:rtl w:val="true"/>
              </w:rPr>
              <w:t xml:space="preserve">ومنها قوله </w:t>
            </w:r>
            <w:r>
              <w:rPr>
                <w:rStyle w:val="IndexLink"/>
                <w:rtl w:val="true"/>
              </w:rPr>
              <w:t xml:space="preserve">: </w:t>
            </w:r>
            <w:r>
              <w:rPr>
                <w:rStyle w:val="IndexLink"/>
                <w:rtl w:val="true"/>
              </w:rPr>
              <w:t>فقد ظهر بما قرّرنا فساد تلک القاعدة الوجیهة، إلخ</w:t>
            </w:r>
            <w:r>
              <w:rPr>
                <w:rStyle w:val="IndexLink"/>
                <w:rtl w:val="true"/>
              </w:rPr>
              <w:tab/>
            </w:r>
            <w:r>
              <w:rPr>
                <w:rStyle w:val="IndexLink"/>
              </w:rPr>
              <w:t>357</w:t>
            </w:r>
          </w:hyperlink>
        </w:p>
        <w:p>
          <w:pPr>
            <w:pStyle w:val="Contents4"/>
            <w:tabs>
              <w:tab w:val="clear" w:pos="8176"/>
              <w:tab w:val="right" w:pos="9026" w:leader="dot"/>
            </w:tabs>
            <w:rPr/>
          </w:pPr>
          <w:hyperlink w:anchor="__RefHeading___Toc594231_2281741623">
            <w:r>
              <w:rPr>
                <w:webHidden/>
                <w:rStyle w:val="IndexLink"/>
                <w:rtl w:val="true"/>
              </w:rPr>
              <w:t xml:space="preserve">ومنها قوله </w:t>
            </w:r>
            <w:r>
              <w:rPr>
                <w:rStyle w:val="IndexLink"/>
                <w:rtl w:val="true"/>
              </w:rPr>
              <w:t xml:space="preserve">: </w:t>
            </w:r>
            <w:r>
              <w:rPr>
                <w:rStyle w:val="IndexLink"/>
                <w:rtl w:val="true"/>
              </w:rPr>
              <w:t>وأمّا الجواب عن حدیث حمّاد بن عیسی، فهو، إلخ</w:t>
            </w:r>
            <w:r>
              <w:rPr>
                <w:rStyle w:val="IndexLink"/>
                <w:rtl w:val="true"/>
              </w:rPr>
              <w:tab/>
            </w:r>
            <w:r>
              <w:rPr>
                <w:rStyle w:val="IndexLink"/>
              </w:rPr>
              <w:t>357</w:t>
            </w:r>
          </w:hyperlink>
        </w:p>
        <w:p>
          <w:pPr>
            <w:pStyle w:val="Contents4"/>
            <w:tabs>
              <w:tab w:val="clear" w:pos="8176"/>
              <w:tab w:val="right" w:pos="9026" w:leader="dot"/>
            </w:tabs>
            <w:rPr/>
          </w:pPr>
          <w:hyperlink w:anchor="__RefHeading___Toc594233_2281741623">
            <w:r>
              <w:rPr>
                <w:webHidden/>
                <w:rStyle w:val="IndexLink"/>
                <w:rtl w:val="true"/>
              </w:rPr>
              <w:t>ومنها قوله بعد ما تقدّم نقله عنه</w:t>
            </w:r>
            <w:r>
              <w:rPr>
                <w:rStyle w:val="IndexLink"/>
                <w:rtl w:val="true"/>
              </w:rPr>
              <w:t xml:space="preserve">: </w:t>
            </w:r>
            <w:r>
              <w:rPr>
                <w:rStyle w:val="IndexLink"/>
                <w:rtl w:val="true"/>
              </w:rPr>
              <w:t>مع أنّه لایفیده فیما ادّعاه، إلخ</w:t>
            </w:r>
            <w:r>
              <w:rPr>
                <w:rStyle w:val="IndexLink"/>
                <w:rtl w:val="true"/>
              </w:rPr>
              <w:tab/>
            </w:r>
            <w:r>
              <w:rPr>
                <w:rStyle w:val="IndexLink"/>
              </w:rPr>
              <w:t>362</w:t>
            </w:r>
          </w:hyperlink>
        </w:p>
        <w:p>
          <w:pPr>
            <w:pStyle w:val="Contents4"/>
            <w:tabs>
              <w:tab w:val="clear" w:pos="8176"/>
              <w:tab w:val="right" w:pos="9026" w:leader="dot"/>
            </w:tabs>
            <w:rPr/>
          </w:pPr>
          <w:hyperlink w:anchor="__RefHeading___Toc594235_2281741623">
            <w:r>
              <w:rPr>
                <w:webHidden/>
                <w:rStyle w:val="IndexLink"/>
                <w:rtl w:val="true"/>
              </w:rPr>
              <w:t>ومنها قوله بعد أن عنون قولنا</w:t>
            </w:r>
            <w:r>
              <w:rPr>
                <w:rStyle w:val="IndexLink"/>
                <w:rtl w:val="true"/>
              </w:rPr>
              <w:t xml:space="preserve">: </w:t>
            </w:r>
            <w:r>
              <w:rPr>
                <w:rStyle w:val="IndexLink"/>
                <w:rtl w:val="true"/>
              </w:rPr>
              <w:t xml:space="preserve">إن قیل </w:t>
            </w:r>
            <w:r>
              <w:rPr>
                <w:rStyle w:val="IndexLink"/>
                <w:rtl w:val="true"/>
              </w:rPr>
              <w:t xml:space="preserve">: </w:t>
            </w:r>
            <w:r>
              <w:rPr>
                <w:rStyle w:val="IndexLink"/>
                <w:rtl w:val="true"/>
              </w:rPr>
              <w:t>سلّمنا ذلک، إلخ</w:t>
            </w:r>
            <w:r>
              <w:rPr>
                <w:rStyle w:val="IndexLink"/>
                <w:rtl w:val="true"/>
              </w:rPr>
              <w:tab/>
            </w:r>
            <w:r>
              <w:rPr>
                <w:rStyle w:val="IndexLink"/>
              </w:rPr>
              <w:t>367</w:t>
            </w:r>
          </w:hyperlink>
        </w:p>
        <w:p>
          <w:pPr>
            <w:pStyle w:val="Contents4"/>
            <w:tabs>
              <w:tab w:val="clear" w:pos="8176"/>
              <w:tab w:val="right" w:pos="9026" w:leader="dot"/>
            </w:tabs>
            <w:rPr/>
          </w:pPr>
          <w:hyperlink w:anchor="__RefHeading___Toc594237_2281741623">
            <w:r>
              <w:rPr>
                <w:webHidden/>
                <w:rStyle w:val="IndexLink"/>
                <w:rtl w:val="true"/>
              </w:rPr>
              <w:t xml:space="preserve">ومنها قوله بعد ما حکینا عنه فیما سلف </w:t>
            </w:r>
            <w:r>
              <w:rPr>
                <w:rStyle w:val="IndexLink"/>
                <w:rtl w:val="true"/>
              </w:rPr>
              <w:t xml:space="preserve">: </w:t>
            </w:r>
            <w:r>
              <w:rPr>
                <w:rStyle w:val="IndexLink"/>
                <w:rtl w:val="true"/>
              </w:rPr>
              <w:t>و قوله، إلخ</w:t>
            </w:r>
            <w:r>
              <w:rPr>
                <w:rStyle w:val="IndexLink"/>
                <w:rtl w:val="true"/>
              </w:rPr>
              <w:tab/>
            </w:r>
            <w:r>
              <w:rPr>
                <w:rStyle w:val="IndexLink"/>
              </w:rPr>
              <w:t>378</w:t>
            </w:r>
          </w:hyperlink>
        </w:p>
        <w:p>
          <w:pPr>
            <w:pStyle w:val="Contents4"/>
            <w:tabs>
              <w:tab w:val="clear" w:pos="8176"/>
              <w:tab w:val="right" w:pos="9026" w:leader="dot"/>
            </w:tabs>
            <w:rPr/>
          </w:pPr>
          <w:hyperlink w:anchor="__RefHeading___Toc594239_2281741623">
            <w:r>
              <w:rPr>
                <w:webHidden/>
                <w:rStyle w:val="IndexLink"/>
                <w:rtl w:val="true"/>
              </w:rPr>
              <w:t xml:space="preserve">ومنها قوله </w:t>
            </w:r>
            <w:r>
              <w:rPr>
                <w:rStyle w:val="IndexLink"/>
                <w:rtl w:val="true"/>
              </w:rPr>
              <w:t xml:space="preserve">: </w:t>
            </w:r>
            <w:r>
              <w:rPr>
                <w:rStyle w:val="IndexLink"/>
                <w:rtl w:val="true"/>
              </w:rPr>
              <w:t>وأمّا قوله</w:t>
            </w:r>
            <w:r>
              <w:rPr>
                <w:rStyle w:val="IndexLink"/>
                <w:rtl w:val="true"/>
              </w:rPr>
              <w:t xml:space="preserve">: </w:t>
            </w:r>
            <w:r>
              <w:rPr>
                <w:rStyle w:val="IndexLink"/>
                <w:rtl w:val="true"/>
              </w:rPr>
              <w:t>قول الفقیه الواحد لایصلح أن یجعل، إلخ</w:t>
            </w:r>
            <w:r>
              <w:rPr>
                <w:rStyle w:val="IndexLink"/>
                <w:rtl w:val="true"/>
              </w:rPr>
              <w:tab/>
            </w:r>
            <w:r>
              <w:rPr>
                <w:rStyle w:val="IndexLink"/>
              </w:rPr>
              <w:t>381</w:t>
            </w:r>
          </w:hyperlink>
        </w:p>
        <w:p>
          <w:pPr>
            <w:pStyle w:val="Contents4"/>
            <w:tabs>
              <w:tab w:val="clear" w:pos="8176"/>
              <w:tab w:val="right" w:pos="9026" w:leader="dot"/>
            </w:tabs>
            <w:rPr/>
          </w:pPr>
          <w:hyperlink w:anchor="__RefHeading___Toc594241_2281741623">
            <w:r>
              <w:rPr>
                <w:webHidden/>
                <w:rStyle w:val="IndexLink"/>
                <w:rtl w:val="true"/>
              </w:rPr>
              <w:t xml:space="preserve">ومنها قوله </w:t>
            </w:r>
            <w:r>
              <w:rPr>
                <w:rStyle w:val="IndexLink"/>
                <w:rtl w:val="true"/>
              </w:rPr>
              <w:t xml:space="preserve">: </w:t>
            </w:r>
            <w:r>
              <w:rPr>
                <w:rStyle w:val="IndexLink"/>
                <w:rtl w:val="true"/>
              </w:rPr>
              <w:t>وکما أنّ قول الفقیه الواحد لا یصلح للدلالة، إلخ</w:t>
            </w:r>
            <w:r>
              <w:rPr>
                <w:rStyle w:val="IndexLink"/>
                <w:rtl w:val="true"/>
              </w:rPr>
              <w:tab/>
            </w:r>
            <w:r>
              <w:rPr>
                <w:rStyle w:val="IndexLink"/>
              </w:rPr>
              <w:t>382</w:t>
            </w:r>
          </w:hyperlink>
        </w:p>
        <w:p>
          <w:pPr>
            <w:pStyle w:val="Contents4"/>
            <w:tabs>
              <w:tab w:val="clear" w:pos="8176"/>
              <w:tab w:val="right" w:pos="9026" w:leader="dot"/>
            </w:tabs>
            <w:rPr/>
          </w:pPr>
          <w:hyperlink w:anchor="__RefHeading___Toc594243_2281741623">
            <w:r>
              <w:rPr>
                <w:webHidden/>
                <w:rStyle w:val="IndexLink"/>
                <w:rtl w:val="true"/>
              </w:rPr>
              <w:t xml:space="preserve">ومنها قوله </w:t>
            </w:r>
            <w:r>
              <w:rPr>
                <w:rStyle w:val="IndexLink"/>
                <w:rtl w:val="true"/>
              </w:rPr>
              <w:t xml:space="preserve">: </w:t>
            </w:r>
            <w:r>
              <w:rPr>
                <w:rStyle w:val="IndexLink"/>
                <w:rtl w:val="true"/>
              </w:rPr>
              <w:t>وأمّا قول الفقیه الواحد ـ سیّما إذا کان شیخ، إلخ</w:t>
            </w:r>
            <w:r>
              <w:rPr>
                <w:rStyle w:val="IndexLink"/>
                <w:rtl w:val="true"/>
              </w:rPr>
              <w:tab/>
            </w:r>
            <w:r>
              <w:rPr>
                <w:rStyle w:val="IndexLink"/>
              </w:rPr>
              <w:t>382</w:t>
            </w:r>
          </w:hyperlink>
        </w:p>
        <w:p>
          <w:pPr>
            <w:pStyle w:val="Contents4"/>
            <w:tabs>
              <w:tab w:val="clear" w:pos="8176"/>
              <w:tab w:val="right" w:pos="9026" w:leader="dot"/>
            </w:tabs>
            <w:rPr/>
          </w:pPr>
          <w:hyperlink w:anchor="__RefHeading___Toc594245_2281741623">
            <w:r>
              <w:rPr>
                <w:webHidden/>
                <w:rStyle w:val="IndexLink"/>
                <w:rtl w:val="true"/>
              </w:rPr>
              <w:t xml:space="preserve">ومنها قوله </w:t>
            </w:r>
            <w:r>
              <w:rPr>
                <w:rStyle w:val="IndexLink"/>
                <w:rtl w:val="true"/>
              </w:rPr>
              <w:t xml:space="preserve">: </w:t>
            </w:r>
            <w:r>
              <w:rPr>
                <w:rStyle w:val="IndexLink"/>
                <w:rtl w:val="true"/>
              </w:rPr>
              <w:t>وظاهره دعوی إجماع الشیعة، ففیه أنّ ظهور، إلخ</w:t>
            </w:r>
            <w:r>
              <w:rPr>
                <w:rStyle w:val="IndexLink"/>
                <w:rtl w:val="true"/>
              </w:rPr>
              <w:tab/>
            </w:r>
            <w:r>
              <w:rPr>
                <w:rStyle w:val="IndexLink"/>
              </w:rPr>
              <w:t>383</w:t>
            </w:r>
          </w:hyperlink>
        </w:p>
        <w:p>
          <w:pPr>
            <w:pStyle w:val="Contents4"/>
            <w:tabs>
              <w:tab w:val="clear" w:pos="8176"/>
              <w:tab w:val="right" w:pos="9026" w:leader="dot"/>
            </w:tabs>
            <w:rPr/>
          </w:pPr>
          <w:hyperlink w:anchor="__RefHeading___Toc594247_2281741623">
            <w:r>
              <w:rPr>
                <w:webHidden/>
                <w:rStyle w:val="IndexLink"/>
                <w:rtl w:val="true"/>
              </w:rPr>
              <w:t>ومنها قوله بعد أن عنون قولنا</w:t>
            </w:r>
            <w:r>
              <w:rPr>
                <w:rStyle w:val="IndexLink"/>
                <w:rtl w:val="true"/>
              </w:rPr>
              <w:t xml:space="preserve">: </w:t>
            </w:r>
            <w:r>
              <w:rPr>
                <w:rStyle w:val="IndexLink"/>
                <w:rtl w:val="true"/>
              </w:rPr>
              <w:t>ثمّ الظاهر أنّ شیخ الطائفة، إلخ</w:t>
            </w:r>
            <w:r>
              <w:rPr>
                <w:rStyle w:val="IndexLink"/>
                <w:rtl w:val="true"/>
              </w:rPr>
              <w:tab/>
            </w:r>
            <w:r>
              <w:rPr>
                <w:rStyle w:val="IndexLink"/>
              </w:rPr>
              <w:t>386</w:t>
            </w:r>
          </w:hyperlink>
        </w:p>
        <w:p>
          <w:pPr>
            <w:pStyle w:val="Contents4"/>
            <w:tabs>
              <w:tab w:val="clear" w:pos="8176"/>
              <w:tab w:val="right" w:pos="9026" w:leader="dot"/>
            </w:tabs>
            <w:rPr/>
          </w:pPr>
          <w:hyperlink w:anchor="__RefHeading___Toc594249_2281741623">
            <w:r>
              <w:rPr>
                <w:webHidden/>
                <w:rStyle w:val="IndexLink"/>
                <w:rtl w:val="true"/>
              </w:rPr>
              <w:t xml:space="preserve">ومنها قوله </w:t>
            </w:r>
            <w:r>
              <w:rPr>
                <w:rStyle w:val="IndexLink"/>
                <w:rtl w:val="true"/>
              </w:rPr>
              <w:t xml:space="preserve">: </w:t>
            </w:r>
            <w:r>
              <w:rPr>
                <w:rStyle w:val="IndexLink"/>
                <w:rtl w:val="true"/>
              </w:rPr>
              <w:t>وأمّا إسقاط الوحدة فی کلام الشیخ، فلیس، إلخ</w:t>
            </w:r>
            <w:r>
              <w:rPr>
                <w:rStyle w:val="IndexLink"/>
                <w:rtl w:val="true"/>
              </w:rPr>
              <w:tab/>
            </w:r>
            <w:r>
              <w:rPr>
                <w:rStyle w:val="IndexLink"/>
              </w:rPr>
              <w:t>386</w:t>
            </w:r>
          </w:hyperlink>
        </w:p>
        <w:p>
          <w:pPr>
            <w:pStyle w:val="Contents4"/>
            <w:tabs>
              <w:tab w:val="clear" w:pos="8176"/>
              <w:tab w:val="right" w:pos="9026" w:leader="dot"/>
            </w:tabs>
            <w:rPr/>
          </w:pPr>
          <w:hyperlink w:anchor="__RefHeading___Toc594251_2281741623">
            <w:r>
              <w:rPr>
                <w:webHidden/>
                <w:rStyle w:val="IndexLink"/>
                <w:rtl w:val="true"/>
              </w:rPr>
              <w:t xml:space="preserve">ومنها قوله </w:t>
            </w:r>
            <w:r>
              <w:rPr>
                <w:rStyle w:val="IndexLink"/>
                <w:rtl w:val="true"/>
              </w:rPr>
              <w:t xml:space="preserve">: </w:t>
            </w:r>
            <w:r>
              <w:rPr>
                <w:rStyle w:val="IndexLink"/>
                <w:rtl w:val="true"/>
              </w:rPr>
              <w:t>ثمّ فی قوله</w:t>
            </w:r>
            <w:r>
              <w:rPr>
                <w:rStyle w:val="IndexLink"/>
                <w:rtl w:val="true"/>
              </w:rPr>
              <w:t xml:space="preserve">: </w:t>
            </w:r>
            <w:r>
              <w:rPr>
                <w:rStyle w:val="IndexLink"/>
                <w:rtl w:val="true"/>
              </w:rPr>
              <w:t>إنّ الشیخ تابع شیخنا المفید، إلخ</w:t>
            </w:r>
            <w:r>
              <w:rPr>
                <w:rStyle w:val="IndexLink"/>
                <w:rtl w:val="true"/>
              </w:rPr>
              <w:tab/>
            </w:r>
            <w:r>
              <w:rPr>
                <w:rStyle w:val="IndexLink"/>
              </w:rPr>
              <w:t>409</w:t>
            </w:r>
          </w:hyperlink>
        </w:p>
        <w:p>
          <w:pPr>
            <w:pStyle w:val="Contents4"/>
            <w:tabs>
              <w:tab w:val="clear" w:pos="8176"/>
              <w:tab w:val="right" w:pos="9026" w:leader="dot"/>
            </w:tabs>
            <w:rPr/>
          </w:pPr>
          <w:hyperlink w:anchor="__RefHeading___Toc594253_2281741623">
            <w:r>
              <w:rPr>
                <w:webHidden/>
                <w:rStyle w:val="IndexLink"/>
                <w:rtl w:val="true"/>
              </w:rPr>
              <w:t xml:space="preserve">ومنها قوله بعد أن عنون قولنا </w:t>
            </w:r>
            <w:r>
              <w:rPr>
                <w:rStyle w:val="IndexLink"/>
                <w:rtl w:val="true"/>
              </w:rPr>
              <w:t xml:space="preserve">: </w:t>
            </w:r>
            <w:r>
              <w:rPr>
                <w:rStyle w:val="IndexLink"/>
                <w:rtl w:val="true"/>
              </w:rPr>
              <w:t>ثمّ إنّ الفاضل سلاّر بن، إلخ</w:t>
            </w:r>
            <w:r>
              <w:rPr>
                <w:rStyle w:val="IndexLink"/>
                <w:rtl w:val="true"/>
              </w:rPr>
              <w:tab/>
            </w:r>
            <w:r>
              <w:rPr>
                <w:rStyle w:val="IndexLink"/>
              </w:rPr>
              <w:t>415</w:t>
            </w:r>
          </w:hyperlink>
        </w:p>
        <w:p>
          <w:pPr>
            <w:pStyle w:val="Contents4"/>
            <w:tabs>
              <w:tab w:val="clear" w:pos="8176"/>
              <w:tab w:val="right" w:pos="9026" w:leader="dot"/>
            </w:tabs>
            <w:rPr/>
          </w:pPr>
          <w:hyperlink w:anchor="__RefHeading___Toc594255_2281741623">
            <w:r>
              <w:rPr>
                <w:webHidden/>
                <w:rStyle w:val="IndexLink"/>
                <w:rtl w:val="true"/>
              </w:rPr>
              <w:t xml:space="preserve">ومنها قوله </w:t>
            </w:r>
            <w:r>
              <w:rPr>
                <w:rStyle w:val="IndexLink"/>
                <w:rtl w:val="true"/>
              </w:rPr>
              <w:t xml:space="preserve">: </w:t>
            </w:r>
            <w:r>
              <w:rPr>
                <w:rStyle w:val="IndexLink"/>
                <w:rtl w:val="true"/>
              </w:rPr>
              <w:t>قال السیّد دام ظلّه فی ذیل إثبات رجحان، إلخ</w:t>
            </w:r>
            <w:r>
              <w:rPr>
                <w:rStyle w:val="IndexLink"/>
                <w:rtl w:val="true"/>
              </w:rPr>
              <w:tab/>
            </w:r>
            <w:r>
              <w:rPr>
                <w:rStyle w:val="IndexLink"/>
              </w:rPr>
              <w:t>417</w:t>
            </w:r>
          </w:hyperlink>
        </w:p>
        <w:p>
          <w:pPr>
            <w:pStyle w:val="Contents4"/>
            <w:tabs>
              <w:tab w:val="clear" w:pos="8176"/>
              <w:tab w:val="right" w:pos="9026" w:leader="dot"/>
            </w:tabs>
            <w:rPr/>
          </w:pPr>
          <w:hyperlink w:anchor="__RefHeading___Toc594257_2281741623">
            <w:r>
              <w:rPr>
                <w:webHidden/>
                <w:rStyle w:val="IndexLink"/>
                <w:rtl w:val="true"/>
              </w:rPr>
              <w:t xml:space="preserve">ومنها قوله </w:t>
            </w:r>
            <w:r>
              <w:rPr>
                <w:rStyle w:val="IndexLink"/>
                <w:rtl w:val="true"/>
              </w:rPr>
              <w:t xml:space="preserve">: </w:t>
            </w:r>
            <w:r>
              <w:rPr>
                <w:rStyle w:val="IndexLink"/>
                <w:rtl w:val="true"/>
              </w:rPr>
              <w:t>ولنمسک عنان القلم فی هذا المضمار ونکتفی، إلخ</w:t>
            </w:r>
            <w:r>
              <w:rPr>
                <w:rStyle w:val="IndexLink"/>
                <w:rtl w:val="true"/>
              </w:rPr>
              <w:tab/>
            </w:r>
            <w:r>
              <w:rPr>
                <w:rStyle w:val="IndexLink"/>
              </w:rPr>
              <w:t>421</w:t>
            </w:r>
          </w:hyperlink>
        </w:p>
        <w:p>
          <w:pPr>
            <w:pStyle w:val="Contents2"/>
            <w:tabs>
              <w:tab w:val="clear" w:pos="8743"/>
              <w:tab w:val="right" w:pos="9026" w:leader="dot"/>
            </w:tabs>
            <w:rPr/>
          </w:pPr>
          <w:hyperlink w:anchor="__RefHeading___Toc594259_2281741623">
            <w:r>
              <w:rPr>
                <w:webHidden/>
                <w:rStyle w:val="IndexLink"/>
                <w:rtl w:val="true"/>
              </w:rPr>
              <w:t>الفهارس العامّة</w:t>
            </w:r>
            <w:r>
              <w:rPr>
                <w:rStyle w:val="IndexLink"/>
                <w:rtl w:val="true"/>
              </w:rPr>
              <w:tab/>
            </w:r>
            <w:r>
              <w:rPr>
                <w:rStyle w:val="IndexLink"/>
              </w:rPr>
              <w:t>425</w:t>
            </w:r>
          </w:hyperlink>
        </w:p>
        <w:p>
          <w:pPr>
            <w:pStyle w:val="Contents2"/>
            <w:tabs>
              <w:tab w:val="clear" w:pos="8743"/>
              <w:tab w:val="right" w:pos="9026" w:leader="dot"/>
            </w:tabs>
            <w:rPr/>
          </w:pPr>
          <w:hyperlink w:anchor="__RefHeading___Toc594261_2281741623">
            <w:r>
              <w:rPr>
                <w:webHidden/>
                <w:rStyle w:val="IndexLink"/>
                <w:rtl w:val="true"/>
              </w:rPr>
              <w:t>فهرس الآیات الکریمة</w:t>
            </w:r>
            <w:r>
              <w:rPr>
                <w:rStyle w:val="IndexLink"/>
                <w:rtl w:val="true"/>
              </w:rPr>
              <w:tab/>
            </w:r>
            <w:r>
              <w:rPr>
                <w:rStyle w:val="IndexLink"/>
              </w:rPr>
              <w:t>427</w:t>
            </w:r>
          </w:hyperlink>
        </w:p>
        <w:p>
          <w:pPr>
            <w:pStyle w:val="Contents2"/>
            <w:tabs>
              <w:tab w:val="clear" w:pos="8743"/>
              <w:tab w:val="right" w:pos="9026" w:leader="dot"/>
            </w:tabs>
            <w:rPr/>
          </w:pPr>
          <w:hyperlink w:anchor="__RefHeading___Toc594263_2281741623">
            <w:r>
              <w:rPr>
                <w:webHidden/>
                <w:rStyle w:val="IndexLink"/>
                <w:rtl w:val="true"/>
              </w:rPr>
              <w:t>فهرس الأحادیث الشریفة</w:t>
            </w:r>
            <w:r>
              <w:rPr>
                <w:rStyle w:val="IndexLink"/>
                <w:rtl w:val="true"/>
              </w:rPr>
              <w:tab/>
            </w:r>
            <w:r>
              <w:rPr>
                <w:rStyle w:val="IndexLink"/>
              </w:rPr>
              <w:t>431</w:t>
            </w:r>
          </w:hyperlink>
        </w:p>
        <w:p>
          <w:pPr>
            <w:pStyle w:val="Contents3"/>
            <w:tabs>
              <w:tab w:val="clear" w:pos="8459"/>
              <w:tab w:val="right" w:pos="9026" w:leader="dot"/>
            </w:tabs>
            <w:rPr/>
          </w:pPr>
          <w:hyperlink w:anchor="__RefHeading___Toc594265_2281741623">
            <w:r>
              <w:rPr>
                <w:webHidden/>
                <w:rStyle w:val="IndexLink"/>
                <w:rtl w:val="true"/>
              </w:rPr>
              <w:t xml:space="preserve">« </w:t>
            </w:r>
            <w:r>
              <w:rPr>
                <w:rStyle w:val="IndexLink"/>
                <w:rtl w:val="true"/>
              </w:rPr>
              <w:t xml:space="preserve">حرف الألف </w:t>
            </w:r>
            <w:r>
              <w:rPr>
                <w:rStyle w:val="IndexLink"/>
                <w:rtl w:val="true"/>
              </w:rPr>
              <w:t>»</w:t>
              <w:tab/>
            </w:r>
            <w:r>
              <w:rPr>
                <w:rStyle w:val="IndexLink"/>
              </w:rPr>
              <w:t>431</w:t>
            </w:r>
          </w:hyperlink>
        </w:p>
        <w:p>
          <w:pPr>
            <w:pStyle w:val="Contents3"/>
            <w:tabs>
              <w:tab w:val="clear" w:pos="8459"/>
              <w:tab w:val="right" w:pos="9026" w:leader="dot"/>
            </w:tabs>
            <w:rPr/>
          </w:pPr>
          <w:hyperlink w:anchor="__RefHeading___Toc594267_2281741623">
            <w:r>
              <w:rPr>
                <w:webHidden/>
                <w:rStyle w:val="IndexLink"/>
                <w:rtl w:val="true"/>
              </w:rPr>
              <w:t xml:space="preserve">« </w:t>
            </w:r>
            <w:r>
              <w:rPr>
                <w:rStyle w:val="IndexLink"/>
                <w:rtl w:val="true"/>
              </w:rPr>
              <w:t xml:space="preserve">حرف التاء </w:t>
            </w:r>
            <w:r>
              <w:rPr>
                <w:rStyle w:val="IndexLink"/>
                <w:rtl w:val="true"/>
              </w:rPr>
              <w:t>»</w:t>
              <w:tab/>
            </w:r>
            <w:r>
              <w:rPr>
                <w:rStyle w:val="IndexLink"/>
              </w:rPr>
              <w:t>433</w:t>
            </w:r>
          </w:hyperlink>
        </w:p>
        <w:p>
          <w:pPr>
            <w:pStyle w:val="Contents3"/>
            <w:tabs>
              <w:tab w:val="clear" w:pos="8459"/>
              <w:tab w:val="right" w:pos="9026" w:leader="dot"/>
            </w:tabs>
            <w:rPr/>
          </w:pPr>
          <w:hyperlink w:anchor="__RefHeading___Toc594269_2281741623">
            <w:r>
              <w:rPr>
                <w:webHidden/>
                <w:rStyle w:val="IndexLink"/>
                <w:rtl w:val="true"/>
              </w:rPr>
              <w:t xml:space="preserve">« </w:t>
            </w:r>
            <w:r>
              <w:rPr>
                <w:rStyle w:val="IndexLink"/>
                <w:rtl w:val="true"/>
              </w:rPr>
              <w:t xml:space="preserve">حرف الثاء </w:t>
            </w:r>
            <w:r>
              <w:rPr>
                <w:rStyle w:val="IndexLink"/>
                <w:rtl w:val="true"/>
              </w:rPr>
              <w:t>»</w:t>
              <w:tab/>
            </w:r>
            <w:r>
              <w:rPr>
                <w:rStyle w:val="IndexLink"/>
              </w:rPr>
              <w:t>433</w:t>
            </w:r>
          </w:hyperlink>
        </w:p>
        <w:p>
          <w:pPr>
            <w:pStyle w:val="Contents3"/>
            <w:tabs>
              <w:tab w:val="clear" w:pos="8459"/>
              <w:tab w:val="right" w:pos="9026" w:leader="dot"/>
            </w:tabs>
            <w:rPr/>
          </w:pPr>
          <w:hyperlink w:anchor="__RefHeading___Toc594271_2281741623">
            <w:r>
              <w:rPr>
                <w:webHidden/>
                <w:rStyle w:val="IndexLink"/>
                <w:rtl w:val="true"/>
              </w:rPr>
              <w:t xml:space="preserve">« </w:t>
            </w:r>
            <w:r>
              <w:rPr>
                <w:rStyle w:val="IndexLink"/>
                <w:rtl w:val="true"/>
              </w:rPr>
              <w:t xml:space="preserve">حرف الراء </w:t>
            </w:r>
            <w:r>
              <w:rPr>
                <w:rStyle w:val="IndexLink"/>
                <w:rtl w:val="true"/>
              </w:rPr>
              <w:t>»</w:t>
              <w:tab/>
            </w:r>
            <w:r>
              <w:rPr>
                <w:rStyle w:val="IndexLink"/>
              </w:rPr>
              <w:t>433</w:t>
            </w:r>
          </w:hyperlink>
        </w:p>
        <w:p>
          <w:pPr>
            <w:pStyle w:val="Contents3"/>
            <w:tabs>
              <w:tab w:val="clear" w:pos="8459"/>
              <w:tab w:val="right" w:pos="9026" w:leader="dot"/>
            </w:tabs>
            <w:rPr/>
          </w:pPr>
          <w:hyperlink w:anchor="__RefHeading___Toc594273_2281741623">
            <w:r>
              <w:rPr>
                <w:webHidden/>
                <w:rStyle w:val="IndexLink"/>
                <w:rtl w:val="true"/>
              </w:rPr>
              <w:t xml:space="preserve">« </w:t>
            </w:r>
            <w:r>
              <w:rPr>
                <w:rStyle w:val="IndexLink"/>
                <w:rtl w:val="true"/>
              </w:rPr>
              <w:t xml:space="preserve">حرف السین </w:t>
            </w:r>
            <w:r>
              <w:rPr>
                <w:rStyle w:val="IndexLink"/>
                <w:rtl w:val="true"/>
              </w:rPr>
              <w:t>»</w:t>
              <w:tab/>
            </w:r>
            <w:r>
              <w:rPr>
                <w:rStyle w:val="IndexLink"/>
              </w:rPr>
              <w:t>433</w:t>
            </w:r>
          </w:hyperlink>
        </w:p>
        <w:p>
          <w:pPr>
            <w:pStyle w:val="Contents3"/>
            <w:tabs>
              <w:tab w:val="clear" w:pos="8459"/>
              <w:tab w:val="right" w:pos="9026" w:leader="dot"/>
            </w:tabs>
            <w:rPr/>
          </w:pPr>
          <w:hyperlink w:anchor="__RefHeading___Toc594275_2281741623">
            <w:r>
              <w:rPr>
                <w:webHidden/>
                <w:rStyle w:val="IndexLink"/>
                <w:rtl w:val="true"/>
              </w:rPr>
              <w:t xml:space="preserve">« </w:t>
            </w:r>
            <w:r>
              <w:rPr>
                <w:rStyle w:val="IndexLink"/>
                <w:rtl w:val="true"/>
              </w:rPr>
              <w:t xml:space="preserve">حرف الشین </w:t>
            </w:r>
            <w:r>
              <w:rPr>
                <w:rStyle w:val="IndexLink"/>
                <w:rtl w:val="true"/>
              </w:rPr>
              <w:t>»</w:t>
              <w:tab/>
            </w:r>
            <w:r>
              <w:rPr>
                <w:rStyle w:val="IndexLink"/>
              </w:rPr>
              <w:t>434</w:t>
            </w:r>
          </w:hyperlink>
        </w:p>
        <w:p>
          <w:pPr>
            <w:pStyle w:val="Contents3"/>
            <w:tabs>
              <w:tab w:val="clear" w:pos="8459"/>
              <w:tab w:val="right" w:pos="9026" w:leader="dot"/>
            </w:tabs>
            <w:rPr/>
          </w:pPr>
          <w:hyperlink w:anchor="__RefHeading___Toc594277_2281741623">
            <w:r>
              <w:rPr>
                <w:webHidden/>
                <w:rStyle w:val="IndexLink"/>
                <w:rtl w:val="true"/>
              </w:rPr>
              <w:t xml:space="preserve">« </w:t>
            </w:r>
            <w:r>
              <w:rPr>
                <w:rStyle w:val="IndexLink"/>
                <w:rtl w:val="true"/>
              </w:rPr>
              <w:t xml:space="preserve">حرف الصاد </w:t>
            </w:r>
            <w:r>
              <w:rPr>
                <w:rStyle w:val="IndexLink"/>
                <w:rtl w:val="true"/>
              </w:rPr>
              <w:t>»</w:t>
              <w:tab/>
            </w:r>
            <w:r>
              <w:rPr>
                <w:rStyle w:val="IndexLink"/>
              </w:rPr>
              <w:t>434</w:t>
            </w:r>
          </w:hyperlink>
        </w:p>
        <w:p>
          <w:pPr>
            <w:pStyle w:val="Contents3"/>
            <w:tabs>
              <w:tab w:val="clear" w:pos="8459"/>
              <w:tab w:val="right" w:pos="9026" w:leader="dot"/>
            </w:tabs>
            <w:rPr/>
          </w:pPr>
          <w:hyperlink w:anchor="__RefHeading___Toc594279_2281741623">
            <w:r>
              <w:rPr>
                <w:webHidden/>
                <w:rStyle w:val="IndexLink"/>
                <w:rtl w:val="true"/>
              </w:rPr>
              <w:t xml:space="preserve">« </w:t>
            </w:r>
            <w:r>
              <w:rPr>
                <w:rStyle w:val="IndexLink"/>
                <w:rtl w:val="true"/>
              </w:rPr>
              <w:t xml:space="preserve">حرف العین </w:t>
            </w:r>
            <w:r>
              <w:rPr>
                <w:rStyle w:val="IndexLink"/>
                <w:rtl w:val="true"/>
              </w:rPr>
              <w:t>»</w:t>
              <w:tab/>
            </w:r>
            <w:r>
              <w:rPr>
                <w:rStyle w:val="IndexLink"/>
              </w:rPr>
              <w:t>435</w:t>
            </w:r>
          </w:hyperlink>
        </w:p>
        <w:p>
          <w:pPr>
            <w:pStyle w:val="Contents3"/>
            <w:tabs>
              <w:tab w:val="clear" w:pos="8459"/>
              <w:tab w:val="right" w:pos="9026" w:leader="dot"/>
            </w:tabs>
            <w:rPr/>
          </w:pPr>
          <w:hyperlink w:anchor="__RefHeading___Toc594281_2281741623">
            <w:r>
              <w:rPr>
                <w:webHidden/>
                <w:rStyle w:val="IndexLink"/>
                <w:rtl w:val="true"/>
              </w:rPr>
              <w:t xml:space="preserve">« </w:t>
            </w:r>
            <w:r>
              <w:rPr>
                <w:rStyle w:val="IndexLink"/>
                <w:rtl w:val="true"/>
              </w:rPr>
              <w:t xml:space="preserve">حرف الفاء </w:t>
            </w:r>
            <w:r>
              <w:rPr>
                <w:rStyle w:val="IndexLink"/>
                <w:rtl w:val="true"/>
              </w:rPr>
              <w:t>»</w:t>
              <w:tab/>
            </w:r>
            <w:r>
              <w:rPr>
                <w:rStyle w:val="IndexLink"/>
              </w:rPr>
              <w:t>435</w:t>
            </w:r>
          </w:hyperlink>
        </w:p>
        <w:p>
          <w:pPr>
            <w:pStyle w:val="Contents3"/>
            <w:tabs>
              <w:tab w:val="clear" w:pos="8459"/>
              <w:tab w:val="right" w:pos="9026" w:leader="dot"/>
            </w:tabs>
            <w:rPr/>
          </w:pPr>
          <w:hyperlink w:anchor="__RefHeading___Toc594283_2281741623">
            <w:r>
              <w:rPr>
                <w:webHidden/>
                <w:rStyle w:val="IndexLink"/>
                <w:rtl w:val="true"/>
              </w:rPr>
              <w:t xml:space="preserve">« </w:t>
            </w:r>
            <w:r>
              <w:rPr>
                <w:rStyle w:val="IndexLink"/>
                <w:rtl w:val="true"/>
              </w:rPr>
              <w:t xml:space="preserve">حرف الکاف </w:t>
            </w:r>
            <w:r>
              <w:rPr>
                <w:rStyle w:val="IndexLink"/>
                <w:rtl w:val="true"/>
              </w:rPr>
              <w:t>»</w:t>
              <w:tab/>
            </w:r>
            <w:r>
              <w:rPr>
                <w:rStyle w:val="IndexLink"/>
              </w:rPr>
              <w:t>435</w:t>
            </w:r>
          </w:hyperlink>
        </w:p>
        <w:p>
          <w:pPr>
            <w:pStyle w:val="Contents3"/>
            <w:tabs>
              <w:tab w:val="clear" w:pos="8459"/>
              <w:tab w:val="right" w:pos="9026" w:leader="dot"/>
            </w:tabs>
            <w:rPr/>
          </w:pPr>
          <w:hyperlink w:anchor="__RefHeading___Toc594285_2281741623">
            <w:r>
              <w:rPr>
                <w:webHidden/>
                <w:rStyle w:val="IndexLink"/>
                <w:rtl w:val="true"/>
              </w:rPr>
              <w:t xml:space="preserve">« </w:t>
            </w:r>
            <w:r>
              <w:rPr>
                <w:rStyle w:val="IndexLink"/>
                <w:rtl w:val="true"/>
              </w:rPr>
              <w:t xml:space="preserve">حرف اللام </w:t>
            </w:r>
            <w:r>
              <w:rPr>
                <w:rStyle w:val="IndexLink"/>
                <w:rtl w:val="true"/>
              </w:rPr>
              <w:t>»</w:t>
              <w:tab/>
            </w:r>
            <w:r>
              <w:rPr>
                <w:rStyle w:val="IndexLink"/>
              </w:rPr>
              <w:t>435</w:t>
            </w:r>
          </w:hyperlink>
        </w:p>
        <w:p>
          <w:pPr>
            <w:pStyle w:val="Contents3"/>
            <w:tabs>
              <w:tab w:val="clear" w:pos="8459"/>
              <w:tab w:val="right" w:pos="9026" w:leader="dot"/>
            </w:tabs>
            <w:rPr/>
          </w:pPr>
          <w:hyperlink w:anchor="__RefHeading___Toc594287_2281741623">
            <w:r>
              <w:rPr>
                <w:webHidden/>
                <w:rStyle w:val="IndexLink"/>
                <w:rtl w:val="true"/>
              </w:rPr>
              <w:t xml:space="preserve">« </w:t>
            </w:r>
            <w:r>
              <w:rPr>
                <w:rStyle w:val="IndexLink"/>
                <w:rtl w:val="true"/>
              </w:rPr>
              <w:t xml:space="preserve">حرف المیم </w:t>
            </w:r>
            <w:r>
              <w:rPr>
                <w:rStyle w:val="IndexLink"/>
                <w:rtl w:val="true"/>
              </w:rPr>
              <w:t>»</w:t>
              <w:tab/>
            </w:r>
            <w:r>
              <w:rPr>
                <w:rStyle w:val="IndexLink"/>
              </w:rPr>
              <w:t>436</w:t>
            </w:r>
          </w:hyperlink>
        </w:p>
        <w:p>
          <w:pPr>
            <w:pStyle w:val="Contents3"/>
            <w:tabs>
              <w:tab w:val="clear" w:pos="8459"/>
              <w:tab w:val="right" w:pos="9026" w:leader="dot"/>
            </w:tabs>
            <w:rPr/>
          </w:pPr>
          <w:hyperlink w:anchor="__RefHeading___Toc594289_2281741623">
            <w:r>
              <w:rPr>
                <w:webHidden/>
                <w:rStyle w:val="IndexLink"/>
                <w:rtl w:val="true"/>
              </w:rPr>
              <w:t xml:space="preserve">« </w:t>
            </w:r>
            <w:r>
              <w:rPr>
                <w:rStyle w:val="IndexLink"/>
                <w:rtl w:val="true"/>
              </w:rPr>
              <w:t xml:space="preserve">حرف النون </w:t>
            </w:r>
            <w:r>
              <w:rPr>
                <w:rStyle w:val="IndexLink"/>
                <w:rtl w:val="true"/>
              </w:rPr>
              <w:t>»</w:t>
              <w:tab/>
            </w:r>
            <w:r>
              <w:rPr>
                <w:rStyle w:val="IndexLink"/>
              </w:rPr>
              <w:t>436</w:t>
            </w:r>
          </w:hyperlink>
        </w:p>
        <w:p>
          <w:pPr>
            <w:pStyle w:val="Contents3"/>
            <w:tabs>
              <w:tab w:val="clear" w:pos="8459"/>
              <w:tab w:val="right" w:pos="9026" w:leader="dot"/>
            </w:tabs>
            <w:rPr/>
          </w:pPr>
          <w:hyperlink w:anchor="__RefHeading___Toc594291_2281741623">
            <w:r>
              <w:rPr>
                <w:webHidden/>
                <w:rStyle w:val="IndexLink"/>
                <w:rtl w:val="true"/>
              </w:rPr>
              <w:t xml:space="preserve">« </w:t>
            </w:r>
            <w:r>
              <w:rPr>
                <w:rStyle w:val="IndexLink"/>
                <w:rtl w:val="true"/>
              </w:rPr>
              <w:t xml:space="preserve">حرف الواو </w:t>
            </w:r>
            <w:r>
              <w:rPr>
                <w:rStyle w:val="IndexLink"/>
                <w:rtl w:val="true"/>
              </w:rPr>
              <w:t>»</w:t>
              <w:tab/>
            </w:r>
            <w:r>
              <w:rPr>
                <w:rStyle w:val="IndexLink"/>
              </w:rPr>
              <w:t>436</w:t>
            </w:r>
          </w:hyperlink>
        </w:p>
        <w:p>
          <w:pPr>
            <w:pStyle w:val="Contents3"/>
            <w:tabs>
              <w:tab w:val="clear" w:pos="8459"/>
              <w:tab w:val="right" w:pos="9026" w:leader="dot"/>
            </w:tabs>
            <w:rPr/>
          </w:pPr>
          <w:hyperlink w:anchor="__RefHeading___Toc594293_2281741623">
            <w:r>
              <w:rPr>
                <w:webHidden/>
                <w:rStyle w:val="IndexLink"/>
                <w:rtl w:val="true"/>
              </w:rPr>
              <w:t xml:space="preserve">« </w:t>
            </w:r>
            <w:r>
              <w:rPr>
                <w:rStyle w:val="IndexLink"/>
                <w:rtl w:val="true"/>
              </w:rPr>
              <w:t xml:space="preserve">حرف الیاء </w:t>
            </w:r>
            <w:r>
              <w:rPr>
                <w:rStyle w:val="IndexLink"/>
                <w:rtl w:val="true"/>
              </w:rPr>
              <w:t>»</w:t>
              <w:tab/>
            </w:r>
            <w:r>
              <w:rPr>
                <w:rStyle w:val="IndexLink"/>
              </w:rPr>
              <w:t>436</w:t>
            </w:r>
          </w:hyperlink>
        </w:p>
        <w:p>
          <w:pPr>
            <w:pStyle w:val="Contents2"/>
            <w:tabs>
              <w:tab w:val="clear" w:pos="8743"/>
              <w:tab w:val="right" w:pos="9026" w:leader="dot"/>
            </w:tabs>
            <w:rPr/>
          </w:pPr>
          <w:hyperlink w:anchor="__RefHeading___Toc594295_2281741623">
            <w:r>
              <w:rPr>
                <w:webHidden/>
                <w:rStyle w:val="IndexLink"/>
                <w:rtl w:val="true"/>
              </w:rPr>
              <w:t>فهرس مصادر التحقیق</w:t>
            </w:r>
            <w:r>
              <w:rPr>
                <w:rStyle w:val="IndexLink"/>
                <w:rtl w:val="true"/>
              </w:rPr>
              <w:tab/>
            </w:r>
            <w:r>
              <w:rPr>
                <w:rStyle w:val="IndexLink"/>
              </w:rPr>
              <w:t>437</w:t>
            </w:r>
          </w:hyperlink>
        </w:p>
        <w:p>
          <w:pPr>
            <w:pStyle w:val="Contents3"/>
            <w:tabs>
              <w:tab w:val="clear" w:pos="8459"/>
              <w:tab w:val="right" w:pos="9026" w:leader="dot"/>
            </w:tabs>
            <w:rPr/>
          </w:pPr>
          <w:hyperlink w:anchor="__RefHeading___Toc594297_2281741623">
            <w:r>
              <w:rPr>
                <w:webHidden/>
                <w:rStyle w:val="IndexLink"/>
                <w:rtl w:val="true"/>
              </w:rPr>
              <w:t>اشاره</w:t>
            </w:r>
            <w:r>
              <w:rPr>
                <w:rStyle w:val="IndexLink"/>
                <w:rtl w:val="true"/>
              </w:rPr>
              <w:tab/>
            </w:r>
            <w:r>
              <w:rPr>
                <w:rStyle w:val="IndexLink"/>
              </w:rPr>
              <w:t>437</w:t>
            </w:r>
          </w:hyperlink>
        </w:p>
        <w:p>
          <w:pPr>
            <w:pStyle w:val="Contents3"/>
            <w:tabs>
              <w:tab w:val="clear" w:pos="8459"/>
              <w:tab w:val="right" w:pos="9026" w:leader="dot"/>
            </w:tabs>
            <w:rPr/>
          </w:pPr>
          <w:hyperlink w:anchor="__RefHeading___Toc594299_2281741623">
            <w:r>
              <w:rPr>
                <w:webHidden/>
                <w:rStyle w:val="IndexLink"/>
                <w:rtl w:val="true"/>
              </w:rPr>
              <w:t xml:space="preserve">« </w:t>
            </w:r>
            <w:r>
              <w:rPr>
                <w:rStyle w:val="IndexLink"/>
                <w:rtl w:val="true"/>
              </w:rPr>
              <w:t xml:space="preserve">آ </w:t>
            </w:r>
            <w:r>
              <w:rPr>
                <w:rStyle w:val="IndexLink"/>
                <w:rtl w:val="true"/>
              </w:rPr>
              <w:t>»</w:t>
              <w:tab/>
            </w:r>
            <w:r>
              <w:rPr>
                <w:rStyle w:val="IndexLink"/>
              </w:rPr>
              <w:t>437</w:t>
            </w:r>
          </w:hyperlink>
        </w:p>
        <w:p>
          <w:pPr>
            <w:pStyle w:val="Contents3"/>
            <w:tabs>
              <w:tab w:val="clear" w:pos="8459"/>
              <w:tab w:val="right" w:pos="9026" w:leader="dot"/>
            </w:tabs>
            <w:rPr/>
          </w:pPr>
          <w:hyperlink w:anchor="__RefHeading___Toc594301_2281741623">
            <w:r>
              <w:rPr>
                <w:webHidden/>
                <w:rStyle w:val="IndexLink"/>
                <w:rtl w:val="true"/>
              </w:rPr>
              <w:t xml:space="preserve">« </w:t>
            </w:r>
            <w:r>
              <w:rPr>
                <w:rStyle w:val="IndexLink"/>
                <w:rtl w:val="true"/>
              </w:rPr>
              <w:t xml:space="preserve">أ </w:t>
            </w:r>
            <w:r>
              <w:rPr>
                <w:rStyle w:val="IndexLink"/>
                <w:rtl w:val="true"/>
              </w:rPr>
              <w:t>»</w:t>
              <w:tab/>
            </w:r>
            <w:r>
              <w:rPr>
                <w:rStyle w:val="IndexLink"/>
              </w:rPr>
              <w:t>437</w:t>
            </w:r>
          </w:hyperlink>
        </w:p>
        <w:p>
          <w:pPr>
            <w:pStyle w:val="Contents3"/>
            <w:tabs>
              <w:tab w:val="clear" w:pos="8459"/>
              <w:tab w:val="right" w:pos="9026" w:leader="dot"/>
            </w:tabs>
            <w:rPr/>
          </w:pPr>
          <w:hyperlink w:anchor="__RefHeading___Toc594303_2281741623">
            <w:r>
              <w:rPr>
                <w:webHidden/>
                <w:rStyle w:val="IndexLink"/>
                <w:rtl w:val="true"/>
              </w:rPr>
              <w:t xml:space="preserve">« </w:t>
            </w:r>
            <w:r>
              <w:rPr>
                <w:rStyle w:val="IndexLink"/>
                <w:rtl w:val="true"/>
              </w:rPr>
              <w:t xml:space="preserve">ب </w:t>
            </w:r>
            <w:r>
              <w:rPr>
                <w:rStyle w:val="IndexLink"/>
                <w:rtl w:val="true"/>
              </w:rPr>
              <w:t>»</w:t>
              <w:tab/>
            </w:r>
            <w:r>
              <w:rPr>
                <w:rStyle w:val="IndexLink"/>
              </w:rPr>
              <w:t>438</w:t>
            </w:r>
          </w:hyperlink>
        </w:p>
        <w:p>
          <w:pPr>
            <w:pStyle w:val="Contents3"/>
            <w:tabs>
              <w:tab w:val="clear" w:pos="8459"/>
              <w:tab w:val="right" w:pos="9026" w:leader="dot"/>
            </w:tabs>
            <w:rPr/>
          </w:pPr>
          <w:hyperlink w:anchor="__RefHeading___Toc594305_2281741623">
            <w:r>
              <w:rPr>
                <w:webHidden/>
                <w:rStyle w:val="IndexLink"/>
                <w:rtl w:val="true"/>
              </w:rPr>
              <w:t xml:space="preserve">« </w:t>
            </w:r>
            <w:r>
              <w:rPr>
                <w:rStyle w:val="IndexLink"/>
                <w:rtl w:val="true"/>
              </w:rPr>
              <w:t xml:space="preserve">ت </w:t>
            </w:r>
            <w:r>
              <w:rPr>
                <w:rStyle w:val="IndexLink"/>
                <w:rtl w:val="true"/>
              </w:rPr>
              <w:t>»</w:t>
              <w:tab/>
            </w:r>
            <w:r>
              <w:rPr>
                <w:rStyle w:val="IndexLink"/>
              </w:rPr>
              <w:t>438</w:t>
            </w:r>
          </w:hyperlink>
        </w:p>
        <w:p>
          <w:pPr>
            <w:pStyle w:val="Contents3"/>
            <w:tabs>
              <w:tab w:val="clear" w:pos="8459"/>
              <w:tab w:val="right" w:pos="9026" w:leader="dot"/>
            </w:tabs>
            <w:rPr/>
          </w:pPr>
          <w:hyperlink w:anchor="__RefHeading___Toc594307_2281741623">
            <w:r>
              <w:rPr>
                <w:webHidden/>
                <w:rStyle w:val="IndexLink"/>
                <w:rtl w:val="true"/>
              </w:rPr>
              <w:t xml:space="preserve">« </w:t>
            </w:r>
            <w:r>
              <w:rPr>
                <w:rStyle w:val="IndexLink"/>
                <w:rtl w:val="true"/>
              </w:rPr>
              <w:t xml:space="preserve">ج </w:t>
            </w:r>
            <w:r>
              <w:rPr>
                <w:rStyle w:val="IndexLink"/>
                <w:rtl w:val="true"/>
              </w:rPr>
              <w:t>»</w:t>
              <w:tab/>
            </w:r>
            <w:r>
              <w:rPr>
                <w:rStyle w:val="IndexLink"/>
              </w:rPr>
              <w:t>439</w:t>
            </w:r>
          </w:hyperlink>
        </w:p>
        <w:p>
          <w:pPr>
            <w:pStyle w:val="Contents3"/>
            <w:tabs>
              <w:tab w:val="clear" w:pos="8459"/>
              <w:tab w:val="right" w:pos="9026" w:leader="dot"/>
            </w:tabs>
            <w:rPr/>
          </w:pPr>
          <w:hyperlink w:anchor="__RefHeading___Toc594309_2281741623">
            <w:r>
              <w:rPr>
                <w:webHidden/>
                <w:rStyle w:val="IndexLink"/>
                <w:rtl w:val="true"/>
              </w:rPr>
              <w:t xml:space="preserve">« </w:t>
            </w:r>
            <w:r>
              <w:rPr>
                <w:rStyle w:val="IndexLink"/>
                <w:rtl w:val="true"/>
              </w:rPr>
              <w:t xml:space="preserve">ح </w:t>
            </w:r>
            <w:r>
              <w:rPr>
                <w:rStyle w:val="IndexLink"/>
                <w:rtl w:val="true"/>
              </w:rPr>
              <w:t>»</w:t>
              <w:tab/>
            </w:r>
            <w:r>
              <w:rPr>
                <w:rStyle w:val="IndexLink"/>
              </w:rPr>
              <w:t>440</w:t>
            </w:r>
          </w:hyperlink>
        </w:p>
        <w:p>
          <w:pPr>
            <w:pStyle w:val="Contents3"/>
            <w:tabs>
              <w:tab w:val="clear" w:pos="8459"/>
              <w:tab w:val="right" w:pos="9026" w:leader="dot"/>
            </w:tabs>
            <w:rPr/>
          </w:pPr>
          <w:hyperlink w:anchor="__RefHeading___Toc594311_2281741623">
            <w:r>
              <w:rPr>
                <w:webHidden/>
                <w:rStyle w:val="IndexLink"/>
                <w:rtl w:val="true"/>
              </w:rPr>
              <w:t xml:space="preserve">« </w:t>
            </w:r>
            <w:r>
              <w:rPr>
                <w:rStyle w:val="IndexLink"/>
                <w:rtl w:val="true"/>
              </w:rPr>
              <w:t xml:space="preserve">خ </w:t>
            </w:r>
            <w:r>
              <w:rPr>
                <w:rStyle w:val="IndexLink"/>
                <w:rtl w:val="true"/>
              </w:rPr>
              <w:t>»</w:t>
              <w:tab/>
            </w:r>
            <w:r>
              <w:rPr>
                <w:rStyle w:val="IndexLink"/>
              </w:rPr>
              <w:t>440</w:t>
            </w:r>
          </w:hyperlink>
        </w:p>
        <w:p>
          <w:pPr>
            <w:pStyle w:val="Contents3"/>
            <w:tabs>
              <w:tab w:val="clear" w:pos="8459"/>
              <w:tab w:val="right" w:pos="9026" w:leader="dot"/>
            </w:tabs>
            <w:rPr/>
          </w:pPr>
          <w:hyperlink w:anchor="__RefHeading___Toc594313_2281741623">
            <w:r>
              <w:rPr>
                <w:webHidden/>
                <w:rStyle w:val="IndexLink"/>
                <w:rtl w:val="true"/>
              </w:rPr>
              <w:t xml:space="preserve">« </w:t>
            </w:r>
            <w:r>
              <w:rPr>
                <w:rStyle w:val="IndexLink"/>
                <w:rtl w:val="true"/>
              </w:rPr>
              <w:t xml:space="preserve">د </w:t>
            </w:r>
            <w:r>
              <w:rPr>
                <w:rStyle w:val="IndexLink"/>
                <w:rtl w:val="true"/>
              </w:rPr>
              <w:t>»</w:t>
              <w:tab/>
            </w:r>
            <w:r>
              <w:rPr>
                <w:rStyle w:val="IndexLink"/>
              </w:rPr>
              <w:t>440</w:t>
            </w:r>
          </w:hyperlink>
        </w:p>
        <w:p>
          <w:pPr>
            <w:pStyle w:val="Contents3"/>
            <w:tabs>
              <w:tab w:val="clear" w:pos="8459"/>
              <w:tab w:val="right" w:pos="9026" w:leader="dot"/>
            </w:tabs>
            <w:rPr/>
          </w:pPr>
          <w:hyperlink w:anchor="__RefHeading___Toc594315_2281741623">
            <w:r>
              <w:rPr>
                <w:webHidden/>
                <w:rStyle w:val="IndexLink"/>
                <w:rtl w:val="true"/>
              </w:rPr>
              <w:t xml:space="preserve">« </w:t>
            </w:r>
            <w:r>
              <w:rPr>
                <w:rStyle w:val="IndexLink"/>
                <w:rtl w:val="true"/>
              </w:rPr>
              <w:t xml:space="preserve">ذ </w:t>
            </w:r>
            <w:r>
              <w:rPr>
                <w:rStyle w:val="IndexLink"/>
                <w:rtl w:val="true"/>
              </w:rPr>
              <w:t>»</w:t>
              <w:tab/>
            </w:r>
            <w:r>
              <w:rPr>
                <w:rStyle w:val="IndexLink"/>
              </w:rPr>
              <w:t>441</w:t>
            </w:r>
          </w:hyperlink>
        </w:p>
        <w:p>
          <w:pPr>
            <w:pStyle w:val="Contents3"/>
            <w:tabs>
              <w:tab w:val="clear" w:pos="8459"/>
              <w:tab w:val="right" w:pos="9026" w:leader="dot"/>
            </w:tabs>
            <w:rPr/>
          </w:pPr>
          <w:hyperlink w:anchor="__RefHeading___Toc594317_2281741623">
            <w:r>
              <w:rPr>
                <w:webHidden/>
                <w:rStyle w:val="IndexLink"/>
                <w:rtl w:val="true"/>
              </w:rPr>
              <w:t xml:space="preserve">« </w:t>
            </w:r>
            <w:r>
              <w:rPr>
                <w:rStyle w:val="IndexLink"/>
                <w:rtl w:val="true"/>
              </w:rPr>
              <w:t xml:space="preserve">ر </w:t>
            </w:r>
            <w:r>
              <w:rPr>
                <w:rStyle w:val="IndexLink"/>
                <w:rtl w:val="true"/>
              </w:rPr>
              <w:t>»</w:t>
              <w:tab/>
            </w:r>
            <w:r>
              <w:rPr>
                <w:rStyle w:val="IndexLink"/>
              </w:rPr>
              <w:t>441</w:t>
            </w:r>
          </w:hyperlink>
        </w:p>
        <w:p>
          <w:pPr>
            <w:pStyle w:val="Contents3"/>
            <w:tabs>
              <w:tab w:val="clear" w:pos="8459"/>
              <w:tab w:val="right" w:pos="9026" w:leader="dot"/>
            </w:tabs>
            <w:rPr/>
          </w:pPr>
          <w:hyperlink w:anchor="__RefHeading___Toc594319_2281741623">
            <w:r>
              <w:rPr>
                <w:webHidden/>
                <w:rStyle w:val="IndexLink"/>
                <w:rtl w:val="true"/>
              </w:rPr>
              <w:t xml:space="preserve">« </w:t>
            </w:r>
            <w:r>
              <w:rPr>
                <w:rStyle w:val="IndexLink"/>
                <w:rtl w:val="true"/>
              </w:rPr>
              <w:t xml:space="preserve">س </w:t>
            </w:r>
            <w:r>
              <w:rPr>
                <w:rStyle w:val="IndexLink"/>
                <w:rtl w:val="true"/>
              </w:rPr>
              <w:t>»</w:t>
              <w:tab/>
            </w:r>
            <w:r>
              <w:rPr>
                <w:rStyle w:val="IndexLink"/>
              </w:rPr>
              <w:t>442</w:t>
            </w:r>
          </w:hyperlink>
        </w:p>
        <w:p>
          <w:pPr>
            <w:pStyle w:val="Contents3"/>
            <w:tabs>
              <w:tab w:val="clear" w:pos="8459"/>
              <w:tab w:val="right" w:pos="9026" w:leader="dot"/>
            </w:tabs>
            <w:rPr/>
          </w:pPr>
          <w:hyperlink w:anchor="__RefHeading___Toc594321_2281741623">
            <w:r>
              <w:rPr>
                <w:webHidden/>
                <w:rStyle w:val="IndexLink"/>
                <w:rtl w:val="true"/>
              </w:rPr>
              <w:t xml:space="preserve">« </w:t>
            </w:r>
            <w:r>
              <w:rPr>
                <w:rStyle w:val="IndexLink"/>
                <w:rtl w:val="true"/>
              </w:rPr>
              <w:t xml:space="preserve">ش </w:t>
            </w:r>
            <w:r>
              <w:rPr>
                <w:rStyle w:val="IndexLink"/>
                <w:rtl w:val="true"/>
              </w:rPr>
              <w:t>»</w:t>
              <w:tab/>
            </w:r>
            <w:r>
              <w:rPr>
                <w:rStyle w:val="IndexLink"/>
              </w:rPr>
              <w:t>443</w:t>
            </w:r>
          </w:hyperlink>
        </w:p>
        <w:p>
          <w:pPr>
            <w:pStyle w:val="Contents3"/>
            <w:tabs>
              <w:tab w:val="clear" w:pos="8459"/>
              <w:tab w:val="right" w:pos="9026" w:leader="dot"/>
            </w:tabs>
            <w:rPr/>
          </w:pPr>
          <w:hyperlink w:anchor="__RefHeading___Toc594323_2281741623">
            <w:r>
              <w:rPr>
                <w:webHidden/>
                <w:rStyle w:val="IndexLink"/>
                <w:rtl w:val="true"/>
              </w:rPr>
              <w:t xml:space="preserve">« </w:t>
            </w:r>
            <w:r>
              <w:rPr>
                <w:rStyle w:val="IndexLink"/>
                <w:rtl w:val="true"/>
              </w:rPr>
              <w:t xml:space="preserve">ص </w:t>
            </w:r>
            <w:r>
              <w:rPr>
                <w:rStyle w:val="IndexLink"/>
                <w:rtl w:val="true"/>
              </w:rPr>
              <w:t>»</w:t>
              <w:tab/>
            </w:r>
            <w:r>
              <w:rPr>
                <w:rStyle w:val="IndexLink"/>
              </w:rPr>
              <w:t>443</w:t>
            </w:r>
          </w:hyperlink>
        </w:p>
        <w:p>
          <w:pPr>
            <w:pStyle w:val="Contents3"/>
            <w:tabs>
              <w:tab w:val="clear" w:pos="8459"/>
              <w:tab w:val="right" w:pos="9026" w:leader="dot"/>
            </w:tabs>
            <w:rPr/>
          </w:pPr>
          <w:hyperlink w:anchor="__RefHeading___Toc594325_2281741623">
            <w:r>
              <w:rPr>
                <w:webHidden/>
                <w:rStyle w:val="IndexLink"/>
                <w:rtl w:val="true"/>
              </w:rPr>
              <w:t xml:space="preserve">« </w:t>
            </w:r>
            <w:r>
              <w:rPr>
                <w:rStyle w:val="IndexLink"/>
                <w:rtl w:val="true"/>
              </w:rPr>
              <w:t xml:space="preserve">ط </w:t>
            </w:r>
            <w:r>
              <w:rPr>
                <w:rStyle w:val="IndexLink"/>
                <w:rtl w:val="true"/>
              </w:rPr>
              <w:t>»</w:t>
              <w:tab/>
            </w:r>
            <w:r>
              <w:rPr>
                <w:rStyle w:val="IndexLink"/>
              </w:rPr>
              <w:t>444</w:t>
            </w:r>
          </w:hyperlink>
        </w:p>
        <w:p>
          <w:pPr>
            <w:pStyle w:val="Contents3"/>
            <w:tabs>
              <w:tab w:val="clear" w:pos="8459"/>
              <w:tab w:val="right" w:pos="9026" w:leader="dot"/>
            </w:tabs>
            <w:rPr/>
          </w:pPr>
          <w:hyperlink w:anchor="__RefHeading___Toc594327_2281741623">
            <w:r>
              <w:rPr>
                <w:webHidden/>
                <w:rStyle w:val="IndexLink"/>
                <w:rtl w:val="true"/>
              </w:rPr>
              <w:t xml:space="preserve">« </w:t>
            </w:r>
            <w:r>
              <w:rPr>
                <w:rStyle w:val="IndexLink"/>
                <w:rtl w:val="true"/>
              </w:rPr>
              <w:t xml:space="preserve">ع </w:t>
            </w:r>
            <w:r>
              <w:rPr>
                <w:rStyle w:val="IndexLink"/>
                <w:rtl w:val="true"/>
              </w:rPr>
              <w:t>»</w:t>
              <w:tab/>
            </w:r>
            <w:r>
              <w:rPr>
                <w:rStyle w:val="IndexLink"/>
              </w:rPr>
              <w:t>444</w:t>
            </w:r>
          </w:hyperlink>
        </w:p>
        <w:p>
          <w:pPr>
            <w:pStyle w:val="Contents3"/>
            <w:tabs>
              <w:tab w:val="clear" w:pos="8459"/>
              <w:tab w:val="right" w:pos="9026" w:leader="dot"/>
            </w:tabs>
            <w:rPr/>
          </w:pPr>
          <w:hyperlink w:anchor="__RefHeading___Toc594329_2281741623">
            <w:r>
              <w:rPr>
                <w:webHidden/>
                <w:rStyle w:val="IndexLink"/>
                <w:rtl w:val="true"/>
              </w:rPr>
              <w:t xml:space="preserve">« </w:t>
            </w:r>
            <w:r>
              <w:rPr>
                <w:rStyle w:val="IndexLink"/>
                <w:rtl w:val="true"/>
              </w:rPr>
              <w:t xml:space="preserve">غ </w:t>
            </w:r>
            <w:r>
              <w:rPr>
                <w:rStyle w:val="IndexLink"/>
                <w:rtl w:val="true"/>
              </w:rPr>
              <w:t>»</w:t>
              <w:tab/>
            </w:r>
            <w:r>
              <w:rPr>
                <w:rStyle w:val="IndexLink"/>
              </w:rPr>
              <w:t>444</w:t>
            </w:r>
          </w:hyperlink>
        </w:p>
        <w:p>
          <w:pPr>
            <w:pStyle w:val="Contents3"/>
            <w:tabs>
              <w:tab w:val="clear" w:pos="8459"/>
              <w:tab w:val="right" w:pos="9026" w:leader="dot"/>
            </w:tabs>
            <w:rPr/>
          </w:pPr>
          <w:hyperlink w:anchor="__RefHeading___Toc594331_2281741623">
            <w:r>
              <w:rPr>
                <w:webHidden/>
                <w:rStyle w:val="IndexLink"/>
                <w:rtl w:val="true"/>
              </w:rPr>
              <w:t xml:space="preserve">« </w:t>
            </w:r>
            <w:r>
              <w:rPr>
                <w:rStyle w:val="IndexLink"/>
                <w:rtl w:val="true"/>
              </w:rPr>
              <w:t xml:space="preserve">ف </w:t>
            </w:r>
            <w:r>
              <w:rPr>
                <w:rStyle w:val="IndexLink"/>
                <w:rtl w:val="true"/>
              </w:rPr>
              <w:t>»</w:t>
              <w:tab/>
            </w:r>
            <w:r>
              <w:rPr>
                <w:rStyle w:val="IndexLink"/>
              </w:rPr>
              <w:t>445</w:t>
            </w:r>
          </w:hyperlink>
        </w:p>
        <w:p>
          <w:pPr>
            <w:pStyle w:val="Contents3"/>
            <w:tabs>
              <w:tab w:val="clear" w:pos="8459"/>
              <w:tab w:val="right" w:pos="9026" w:leader="dot"/>
            </w:tabs>
            <w:rPr/>
          </w:pPr>
          <w:hyperlink w:anchor="__RefHeading___Toc594333_2281741623">
            <w:r>
              <w:rPr>
                <w:webHidden/>
                <w:rStyle w:val="IndexLink"/>
                <w:rtl w:val="true"/>
              </w:rPr>
              <w:t xml:space="preserve">« </w:t>
            </w:r>
            <w:r>
              <w:rPr>
                <w:rStyle w:val="IndexLink"/>
                <w:rtl w:val="true"/>
              </w:rPr>
              <w:t xml:space="preserve">ق </w:t>
            </w:r>
            <w:r>
              <w:rPr>
                <w:rStyle w:val="IndexLink"/>
                <w:rtl w:val="true"/>
              </w:rPr>
              <w:t>»</w:t>
              <w:tab/>
            </w:r>
            <w:r>
              <w:rPr>
                <w:rStyle w:val="IndexLink"/>
              </w:rPr>
              <w:t>445</w:t>
            </w:r>
          </w:hyperlink>
        </w:p>
        <w:p>
          <w:pPr>
            <w:pStyle w:val="Contents3"/>
            <w:tabs>
              <w:tab w:val="clear" w:pos="8459"/>
              <w:tab w:val="right" w:pos="9026" w:leader="dot"/>
            </w:tabs>
            <w:rPr/>
          </w:pPr>
          <w:hyperlink w:anchor="__RefHeading___Toc594335_2281741623">
            <w:r>
              <w:rPr>
                <w:webHidden/>
                <w:rStyle w:val="IndexLink"/>
                <w:rtl w:val="true"/>
              </w:rPr>
              <w:t xml:space="preserve">« </w:t>
            </w:r>
            <w:r>
              <w:rPr>
                <w:rStyle w:val="IndexLink"/>
                <w:rtl w:val="true"/>
              </w:rPr>
              <w:t xml:space="preserve">ک </w:t>
            </w:r>
            <w:r>
              <w:rPr>
                <w:rStyle w:val="IndexLink"/>
                <w:rtl w:val="true"/>
              </w:rPr>
              <w:t>»</w:t>
              <w:tab/>
            </w:r>
            <w:r>
              <w:rPr>
                <w:rStyle w:val="IndexLink"/>
              </w:rPr>
              <w:t>446</w:t>
            </w:r>
          </w:hyperlink>
        </w:p>
        <w:p>
          <w:pPr>
            <w:pStyle w:val="Contents3"/>
            <w:tabs>
              <w:tab w:val="clear" w:pos="8459"/>
              <w:tab w:val="right" w:pos="9026" w:leader="dot"/>
            </w:tabs>
            <w:rPr/>
          </w:pPr>
          <w:hyperlink w:anchor="__RefHeading___Toc594337_2281741623">
            <w:r>
              <w:rPr>
                <w:webHidden/>
                <w:rStyle w:val="IndexLink"/>
                <w:rtl w:val="true"/>
              </w:rPr>
              <w:t xml:space="preserve">« </w:t>
            </w:r>
            <w:r>
              <w:rPr>
                <w:rStyle w:val="IndexLink"/>
                <w:rtl w:val="true"/>
              </w:rPr>
              <w:t xml:space="preserve">ل </w:t>
            </w:r>
            <w:r>
              <w:rPr>
                <w:rStyle w:val="IndexLink"/>
                <w:rtl w:val="true"/>
              </w:rPr>
              <w:t>»</w:t>
              <w:tab/>
            </w:r>
            <w:r>
              <w:rPr>
                <w:rStyle w:val="IndexLink"/>
              </w:rPr>
              <w:t>446</w:t>
            </w:r>
          </w:hyperlink>
        </w:p>
        <w:p>
          <w:pPr>
            <w:pStyle w:val="Contents3"/>
            <w:tabs>
              <w:tab w:val="clear" w:pos="8459"/>
              <w:tab w:val="right" w:pos="9026" w:leader="dot"/>
            </w:tabs>
            <w:rPr/>
          </w:pPr>
          <w:hyperlink w:anchor="__RefHeading___Toc594339_2281741623">
            <w:r>
              <w:rPr>
                <w:webHidden/>
                <w:rStyle w:val="IndexLink"/>
                <w:rtl w:val="true"/>
              </w:rPr>
              <w:t xml:space="preserve">« </w:t>
            </w:r>
            <w:r>
              <w:rPr>
                <w:rStyle w:val="IndexLink"/>
                <w:rtl w:val="true"/>
              </w:rPr>
              <w:t xml:space="preserve">م </w:t>
            </w:r>
            <w:r>
              <w:rPr>
                <w:rStyle w:val="IndexLink"/>
                <w:rtl w:val="true"/>
              </w:rPr>
              <w:t>»</w:t>
              <w:tab/>
            </w:r>
            <w:r>
              <w:rPr>
                <w:rStyle w:val="IndexLink"/>
              </w:rPr>
              <w:t>447</w:t>
            </w:r>
          </w:hyperlink>
        </w:p>
        <w:p>
          <w:pPr>
            <w:pStyle w:val="Contents3"/>
            <w:tabs>
              <w:tab w:val="clear" w:pos="8459"/>
              <w:tab w:val="right" w:pos="9026" w:leader="dot"/>
            </w:tabs>
            <w:rPr/>
          </w:pPr>
          <w:hyperlink w:anchor="__RefHeading___Toc594341_2281741623">
            <w:r>
              <w:rPr>
                <w:webHidden/>
                <w:rStyle w:val="IndexLink"/>
                <w:rtl w:val="true"/>
              </w:rPr>
              <w:t xml:space="preserve">« </w:t>
            </w:r>
            <w:r>
              <w:rPr>
                <w:rStyle w:val="IndexLink"/>
                <w:rtl w:val="true"/>
              </w:rPr>
              <w:t xml:space="preserve">ن </w:t>
            </w:r>
            <w:r>
              <w:rPr>
                <w:rStyle w:val="IndexLink"/>
                <w:rtl w:val="true"/>
              </w:rPr>
              <w:t>»</w:t>
              <w:tab/>
            </w:r>
            <w:r>
              <w:rPr>
                <w:rStyle w:val="IndexLink"/>
              </w:rPr>
              <w:t>449</w:t>
            </w:r>
          </w:hyperlink>
        </w:p>
        <w:p>
          <w:pPr>
            <w:pStyle w:val="Contents3"/>
            <w:tabs>
              <w:tab w:val="clear" w:pos="8459"/>
              <w:tab w:val="right" w:pos="9026" w:leader="dot"/>
            </w:tabs>
            <w:rPr/>
          </w:pPr>
          <w:hyperlink w:anchor="__RefHeading___Toc594343_2281741623">
            <w:r>
              <w:rPr>
                <w:webHidden/>
                <w:rStyle w:val="IndexLink"/>
                <w:rtl w:val="true"/>
              </w:rPr>
              <w:t xml:space="preserve">« </w:t>
            </w:r>
            <w:r>
              <w:rPr>
                <w:rStyle w:val="IndexLink"/>
                <w:rtl w:val="true"/>
              </w:rPr>
              <w:t xml:space="preserve">و </w:t>
            </w:r>
            <w:r>
              <w:rPr>
                <w:rStyle w:val="IndexLink"/>
                <w:rtl w:val="true"/>
              </w:rPr>
              <w:t>»</w:t>
              <w:tab/>
            </w:r>
            <w:r>
              <w:rPr>
                <w:rStyle w:val="IndexLink"/>
              </w:rPr>
              <w:t>450</w:t>
            </w:r>
          </w:hyperlink>
        </w:p>
        <w:p>
          <w:pPr>
            <w:pStyle w:val="Contents2"/>
            <w:tabs>
              <w:tab w:val="clear" w:pos="8743"/>
              <w:tab w:val="right" w:pos="9026" w:leader="dot"/>
            </w:tabs>
            <w:rPr/>
          </w:pPr>
          <w:hyperlink w:anchor="__RefHeading___Toc594345_2281741623">
            <w:r>
              <w:rPr>
                <w:webHidden/>
                <w:rStyle w:val="IndexLink"/>
                <w:rtl w:val="true"/>
              </w:rPr>
              <w:t>فهرس المحتویات</w:t>
            </w:r>
            <w:r>
              <w:rPr>
                <w:rStyle w:val="IndexLink"/>
                <w:rtl w:val="true"/>
              </w:rPr>
              <w:tab/>
            </w:r>
            <w:r>
              <w:rPr>
                <w:rStyle w:val="IndexLink"/>
              </w:rPr>
              <w:t>451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09_21861"/>
      <w:bookmarkStart w:id="1" w:name="pg3709_21861"/>
      <w:bookmarkEnd w:id="1"/>
    </w:p>
    <w:p>
      <w:pPr>
        <w:pStyle w:val="Heading2"/>
        <w:numPr>
          <w:ilvl w:val="1"/>
          <w:numId w:val="1"/>
        </w:numPr>
        <w:rPr/>
      </w:pPr>
      <w:bookmarkStart w:id="2" w:name="pg3709_21861"/>
      <w:bookmarkStart w:id="3" w:name="__RefHeading___Toc594021_228174162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ایجهی، علی‌اکبر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رسائل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الایجهی، سیدمحمدباقر الشفتی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فرهنگی‌هنری گنجینه تشیع،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92902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تعیین‌السلام‌الاخیر فی‌النوافل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علی‌اکبر الایجهی‌الاصفهانی؛ تحقیق السیدمهدی الشفتی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رسالة تعیین‌السلام‌الاخیر فی‌النوافل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السیدمحمدباقربن‌محمدنقی الشفتی؛ تحقیق السیدمهدی الشفتی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رد رسالة تعیین‌السلام‌الاخیر فی‌النوافل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علی‌اکبر الایجهی‌الاصفهانی؛ تحقیق السیدمهدی الشفتی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ردالمولی علی‌اکبر الایجهی 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السیدمحمدباقربم‌محمدنقی الشفتی؛ تحقیق السیدمهدی الشفتی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ایجهی، علی‌اکبر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شفتی، سیدمحمدباقر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فرهنگی‌هنری گنجینه تشیع</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۳۴۷۶۶۶۰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4023_228174162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منشورات مکتبة مسجد السیّد حجّة الإسلام الشفتیّ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أَربَعُ رَسَائِلَ فِقهِیَّة</w:t>
      </w:r>
    </w:p>
    <w:p>
      <w:pPr>
        <w:pStyle w:val="BookText"/>
        <w:rPr/>
      </w:pPr>
      <w:r>
        <w:rPr>
          <w:rFonts w:ascii="Amiri" w:hAnsi="Amiri" w:eastAsia="Amiri" w:cs="Amiri"/>
          <w:color w:val="111111"/>
          <w:sz w:val="28"/>
          <w:sz w:val="28"/>
          <w:szCs w:val="28"/>
          <w:rtl w:val="true"/>
          <w:lang w:bidi="ar-SA"/>
        </w:rPr>
        <w:t>حَول مَسأَلَةِ سَلامِ النَافِلَة</w:t>
      </w:r>
    </w:p>
    <w:p>
      <w:pPr>
        <w:pStyle w:val="BookText"/>
        <w:rPr/>
      </w:pPr>
      <w:r>
        <w:rPr>
          <w:rFonts w:ascii="Amiri" w:hAnsi="Amiri" w:eastAsia="Amiri" w:cs="Amiri"/>
          <w:color w:val="111111"/>
          <w:sz w:val="28"/>
          <w:sz w:val="28"/>
          <w:szCs w:val="28"/>
          <w:rtl w:val="true"/>
          <w:lang w:bidi="ar-SA"/>
        </w:rPr>
        <w:t>مُنَاقَشَاتٌ وَ مُبَاحَثَاتٌ عِلمِیَّةٌ</w:t>
      </w:r>
    </w:p>
    <w:p>
      <w:pPr>
        <w:pStyle w:val="BookText"/>
        <w:rPr/>
      </w:pPr>
      <w:r>
        <w:rPr>
          <w:rFonts w:ascii="Amiri" w:hAnsi="Amiri" w:eastAsia="Amiri" w:cs="Amiri"/>
          <w:color w:val="111111"/>
          <w:sz w:val="28"/>
          <w:sz w:val="28"/>
          <w:szCs w:val="28"/>
          <w:rtl w:val="true"/>
          <w:lang w:bidi="ar-SA"/>
        </w:rPr>
        <w:t xml:space="preserve">جَرَت 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الفَقِیهِ الحَاجّ السَیِّد مُحَمَّد بَاقِر الشَفتِی قدس‌سره</w:t>
      </w:r>
    </w:p>
    <w:p>
      <w:pPr>
        <w:pStyle w:val="BookText"/>
        <w:rPr/>
      </w:pPr>
      <w:r>
        <w:rPr>
          <w:rFonts w:ascii="Amiri" w:hAnsi="Amiri" w:eastAsia="Amiri" w:cs="Amiri"/>
          <w:color w:val="111111"/>
          <w:sz w:val="28"/>
          <w:sz w:val="28"/>
          <w:szCs w:val="28"/>
          <w:rtl w:val="true"/>
          <w:lang w:bidi="ar-SA"/>
        </w:rPr>
        <w:t xml:space="preserve">المُلَقَّب بِحُجَّةِ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العَالِمِ المُتَکلِّم الشیخ عَلِی أَکبَر الإِیجِهِی الأصفَهَانِی رحمه‌الله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تَحقِیقُ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السَیِّد مَهدِی الشَفتِی </w:t>
      </w:r>
    </w:p>
    <w:p>
      <w:pPr>
        <w:pStyle w:val="BookText"/>
        <w:rPr/>
      </w:pPr>
      <w:r>
        <w:rPr>
          <w:rFonts w:ascii="IRNazanin" w:hAnsi="IRNazanin" w:eastAsia="IRNazanin"/>
          <w:color w:val="111111"/>
          <w:sz w:val="28"/>
          <w:sz w:val="28"/>
          <w:szCs w:val="28"/>
          <w:rtl w:val="true"/>
          <w:lang w:bidi="fa-IR"/>
        </w:rPr>
        <w:t>دلیل الکتاب</w:t>
      </w:r>
    </w:p>
    <w:p>
      <w:pPr>
        <w:pStyle w:val="BookText"/>
        <w:rPr/>
      </w:pPr>
      <w:r>
        <w:rPr>
          <w:rFonts w:ascii="IRNazanin" w:hAnsi="IRNazanin" w:eastAsia="IRNazanin"/>
          <w:color w:val="111111"/>
          <w:sz w:val="28"/>
          <w:sz w:val="28"/>
          <w:szCs w:val="28"/>
          <w:rtl w:val="true"/>
          <w:lang w:bidi="fa-IR"/>
        </w:rPr>
        <w:t>مقدّمة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لمحة من حیاةِ حجّة الإسلام الشفتی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نبذة من ترجمة المولی علی أکبر الإیجهی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بین یدی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عملنا فی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الرسالة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الإیجهی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الرسالة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الشفتی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الرسالة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الإیجهی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الرسالة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الشفتی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الفهارس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709_21867"/>
      <w:bookmarkStart w:id="8" w:name="pg3709_21867"/>
      <w:bookmarkEnd w:id="8"/>
    </w:p>
    <w:p>
      <w:pPr>
        <w:pStyle w:val="Heading2"/>
        <w:numPr>
          <w:ilvl w:val="1"/>
          <w:numId w:val="1"/>
        </w:numPr>
        <w:rPr/>
      </w:pPr>
      <w:bookmarkStart w:id="9" w:name="pg3709_21867"/>
      <w:bookmarkStart w:id="10" w:name="__RefHeading___Toc594025_2281741623"/>
      <w:bookmarkStart w:id="11" w:name="_Toc3"/>
      <w:bookmarkEnd w:id="9"/>
      <w:bookmarkEnd w:id="10"/>
      <w:r>
        <w:rPr>
          <w:rtl w:val="true"/>
        </w:rPr>
        <w:t>مقدّمة التحقیق</w:t>
      </w:r>
      <w:bookmarkEnd w:id="11"/>
    </w:p>
    <w:p>
      <w:pPr>
        <w:pStyle w:val="Heading3"/>
        <w:numPr>
          <w:ilvl w:val="2"/>
          <w:numId w:val="1"/>
        </w:numPr>
        <w:rPr/>
      </w:pPr>
      <w:bookmarkStart w:id="12" w:name="__RefHeading___Toc594027_228174162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ربّ العالمین حمدًا أزلیًّا بأبَدیّته و أبَدیًّا بأزلیّته، سَرمدًا باطلاقه مُتَجلِّیًا فی مرایا آفاقِهِ، والصلاةُ والسلام علی سیّدِ أنبیائِه البشیر النذیر والسِراج المُنیرِ، سیِّدنا أحمد و نبیِّنا أبی القاسم محمَّد، وعلی آله الطیّبین الطاهرین، واللَعنُ الدائم علی أعدائهم أجمعین مِن الآن إلی قیام یوم 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فکتابنا الحاضر یضمّ بین دفّتیه أربع رسائل فقهیّة فیما یتعلّق بمسألة تسلیم النوافل، الاُولی والثالثة منها للعالم الزاهد الشیخ علی أکبر الإیجهی قدّس اللّه سرّه القدسی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والثانیة والرابعة من تصنیفات جدّنا العلاّمة الفقیه الحاجّ السیّد محمّد باقر الشفتی المعروف بحجّة الإسلام علی الإطلاق أعلی اللّه مقامه العالی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لابدّ لنا قبل التعرّف علی عناوین هذه الرسائل وخصوصیّاتها، من بیان نبذة من ترجمة أحوال هذین العَلَمَیْن الجلیلین </w:t>
      </w:r>
      <w:r>
        <w:rPr>
          <w:rFonts w:eastAsia="IRNazanin" w:cs="IRNazanin"/>
          <w:color w:val="111111"/>
          <w:sz w:val="28"/>
          <w:szCs w:val="28"/>
          <w:rtl w:val="true"/>
          <w:lang w:bidi="fa-IR"/>
        </w:rPr>
        <w:t xml:space="preserve">. </w:t>
      </w:r>
      <w:bookmarkStart w:id="14" w:name="pg3709_21868"/>
    </w:p>
    <w:p>
      <w:pPr>
        <w:pStyle w:val="Heading3"/>
        <w:numPr>
          <w:ilvl w:val="2"/>
          <w:numId w:val="1"/>
        </w:numPr>
        <w:rPr/>
      </w:pPr>
      <w:bookmarkStart w:id="15" w:name="__RefHeading___Toc594029_2281741623"/>
      <w:bookmarkStart w:id="16" w:name="_Toc5"/>
      <w:bookmarkEnd w:id="14"/>
      <w:bookmarkEnd w:id="15"/>
      <w:r>
        <w:rPr>
          <w:rtl w:val="true"/>
        </w:rPr>
        <w:t>لمحةٌ من حیاةِ حجّة الإسلام الشفتی قدس‌سره</w:t>
      </w:r>
      <w:bookmarkEnd w:id="16"/>
    </w:p>
    <w:p>
      <w:pPr>
        <w:pStyle w:val="BookText"/>
        <w:rPr/>
      </w:pPr>
      <w:r>
        <w:rPr>
          <w:rFonts w:ascii="Amiri" w:hAnsi="Amiri" w:eastAsia="Amiri" w:cs="Amiri"/>
          <w:color w:val="111111"/>
          <w:sz w:val="28"/>
          <w:sz w:val="28"/>
          <w:szCs w:val="28"/>
          <w:rtl w:val="true"/>
          <w:lang w:bidi="ar-SA"/>
        </w:rPr>
        <w:t>لمحةٌ من حیاةِ العلاّمة الفقیه</w:t>
      </w:r>
    </w:p>
    <w:p>
      <w:pPr>
        <w:pStyle w:val="BookText"/>
        <w:rPr/>
      </w:pPr>
      <w:r>
        <w:rPr>
          <w:rFonts w:ascii="IRNazanin" w:hAnsi="IRNazanin" w:eastAsia="IRNazanin"/>
          <w:color w:val="111111"/>
          <w:sz w:val="28"/>
          <w:sz w:val="28"/>
          <w:szCs w:val="28"/>
          <w:rtl w:val="true"/>
          <w:lang w:bidi="fa-IR"/>
        </w:rPr>
        <w:t xml:space="preserve">الحاجّ السیّد محمّد باقر الشفتی قدس‌سره </w:t>
      </w:r>
      <w:r>
        <w:rPr>
          <w:rStyle w:val="FootnoteAnchor"/>
          <w:rtl w:val="true"/>
        </w:rPr>
        <w:footnoteReference w:id="2"/>
      </w:r>
    </w:p>
    <w:p>
      <w:pPr>
        <w:pStyle w:val="Heading3"/>
        <w:numPr>
          <w:ilvl w:val="2"/>
          <w:numId w:val="1"/>
        </w:numPr>
        <w:rPr/>
      </w:pPr>
      <w:bookmarkStart w:id="17" w:name="__RefHeading___Toc594031_2281741623"/>
      <w:bookmarkStart w:id="18" w:name="_Toc6"/>
      <w:bookmarkEnd w:id="17"/>
      <w:r>
        <w:rPr>
          <w:rtl w:val="true"/>
        </w:rPr>
        <w:t>اسمه و نسبه</w:t>
      </w:r>
      <w:bookmarkEnd w:id="18"/>
    </w:p>
    <w:p>
      <w:pPr>
        <w:pStyle w:val="BookText"/>
        <w:rPr/>
      </w:pPr>
      <w:r>
        <w:rPr>
          <w:rFonts w:ascii="IRNazanin" w:hAnsi="IRNazanin" w:eastAsia="IRNazanin"/>
          <w:color w:val="111111"/>
          <w:sz w:val="28"/>
          <w:sz w:val="28"/>
          <w:szCs w:val="28"/>
          <w:rtl w:val="true"/>
          <w:lang w:bidi="fa-IR"/>
        </w:rPr>
        <w:t xml:space="preserve">هو السیّد محمّد باقر بن السیّد محمّد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النسب، الشفتی الرشتیّ الجیلانیّ الأصل واللقب، الغرویّ الحائریّ الکاظمیّ العلم والأدب، العراقی، الأصفهانی البیدآبادی المنشأ والموطن والمدفن والمآب، الشهیر فی الآفاق بحجّة الإسلام علی الإطلاق، من فحول علماء الإمامیة فی القرنین الثانی عشر والثالث عشر، ومن کبار زعماء الدین وأعلام الطائفة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نسبه الشریف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بن محمّد زکی بن محمّد تقی بن شاه قاسم بن میر أشرف بن شاه قاسم بن شاه هدایت بن الأمیر هاشم بن السلطان السیّد علی قاضی بن السیّد علی بن السیّد محمّد بن السیّد علی بن السیّد </w:t>
      </w:r>
      <w:bookmarkStart w:id="19" w:name="pg3709_21869"/>
    </w:p>
    <w:p>
      <w:pPr>
        <w:pStyle w:val="BookText"/>
        <w:rPr/>
      </w:pPr>
      <w:bookmarkEnd w:id="19"/>
      <w:r>
        <w:rPr>
          <w:rFonts w:ascii="IRNazanin" w:hAnsi="IRNazanin" w:eastAsia="IRNazanin"/>
          <w:color w:val="111111"/>
          <w:sz w:val="28"/>
          <w:sz w:val="28"/>
          <w:szCs w:val="28"/>
          <w:rtl w:val="true"/>
          <w:lang w:bidi="fa-IR"/>
        </w:rPr>
        <w:t xml:space="preserve">محمّد بن السیّد موسی بن السیّد جعفر بن السیّد إسماعیل بن السیّد أحمد بن السیّد محمّد بن السیّد أحمد بن السیّد محمّد بن السیّد أبی القاسم بن السیّد حمزة بن الإمام موسی الکاظم علیه‌السلام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594033_2281741623"/>
      <w:bookmarkStart w:id="21" w:name="_Toc7"/>
      <w:bookmarkEnd w:id="20"/>
      <w:r>
        <w:rPr>
          <w:rtl w:val="true"/>
        </w:rPr>
        <w:t>ولادته و نشأته</w:t>
      </w:r>
      <w:bookmarkEnd w:id="21"/>
    </w:p>
    <w:p>
      <w:pPr>
        <w:pStyle w:val="BookText"/>
        <w:rPr/>
      </w:pPr>
      <w:r>
        <w:rPr>
          <w:rFonts w:ascii="IRNazanin" w:hAnsi="IRNazanin" w:eastAsia="IRNazanin"/>
          <w:color w:val="111111"/>
          <w:sz w:val="28"/>
          <w:sz w:val="28"/>
          <w:szCs w:val="28"/>
          <w:rtl w:val="true"/>
          <w:lang w:bidi="fa-IR"/>
        </w:rPr>
        <w:t xml:space="preserve">ولد علی أصحّ القولین فی سنة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4"/>
      </w:r>
      <w:r>
        <w:rPr>
          <w:rFonts w:ascii="IRNazanin" w:hAnsi="IRNazanin" w:eastAsia="IRNazanin"/>
          <w:color w:val="111111"/>
          <w:sz w:val="28"/>
          <w:sz w:val="28"/>
          <w:szCs w:val="28"/>
          <w:rtl w:val="true"/>
          <w:lang w:bidi="fa-IR"/>
        </w:rPr>
        <w:t>فی قریة من 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طارم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وانتقل إلی شفت و هو ابن سبع سنین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هاجر إلی العراق لطلب العلوم الدینیّة والکمالات النفسانیّة فی حدود سنة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قریبًا من ذلک، و هو ابن ستّ أو سبع عشرة سنة </w:t>
      </w:r>
      <w:r>
        <w:rPr>
          <w:rStyle w:val="FootnoteAnchor"/>
          <w:rtl w:val="true"/>
        </w:rPr>
        <w:footnoteReference w:id="6"/>
      </w:r>
      <w:r>
        <w:rPr>
          <w:rFonts w:ascii="IRNazanin" w:hAnsi="IRNazanin" w:eastAsia="IRNazanin"/>
          <w:color w:val="111111"/>
          <w:sz w:val="28"/>
          <w:sz w:val="28"/>
          <w:szCs w:val="28"/>
          <w:rtl w:val="true"/>
          <w:lang w:bidi="fa-IR"/>
        </w:rPr>
        <w:t xml:space="preserve">، فحضر فی أوّل أمره علی الأستاذ الأکبر الآقا محمّد باقر الوحید البهبهانی قدس‌سره فی کربلاء </w:t>
      </w:r>
      <w:r>
        <w:rPr>
          <w:rStyle w:val="FootnoteAnchor"/>
          <w:rtl w:val="true"/>
        </w:rPr>
        <w:footnoteReference w:id="7"/>
      </w:r>
      <w:r>
        <w:rPr>
          <w:rFonts w:ascii="IRNazanin" w:hAnsi="IRNazanin" w:eastAsia="IRNazanin"/>
          <w:color w:val="111111"/>
          <w:sz w:val="28"/>
          <w:sz w:val="28"/>
          <w:szCs w:val="28"/>
          <w:rtl w:val="true"/>
          <w:lang w:bidi="fa-IR"/>
        </w:rPr>
        <w:t xml:space="preserve">، ثمّ علی أستاذه العلاّمة المیر سیّد علی الطباطبائی قدس‌سره صاحب الریاض، وأجازه الروایة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رحل إلی النجف الأشرف وأقام فیها سبع سنین، وحضر فیها علی العلاّمة الطباطبائی بحرالعلوم قدس‌سره ، والشیخ الأکبر صاحب کشف الغطاء رحمه‌الله ، وله الروایة عنه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سافر إلی الکاظمیّة، فحضر فیها علی السیّد المحقّق المُحسن البغدادیّ </w:t>
      </w:r>
    </w:p>
    <w:p>
      <w:pPr>
        <w:pStyle w:val="BookText"/>
        <w:rPr/>
      </w:pPr>
      <w:r>
        <w:rPr>
          <w:rFonts w:ascii="IRNazanin" w:hAnsi="IRNazanin" w:eastAsia="IRNazanin"/>
          <w:color w:val="111111"/>
          <w:sz w:val="28"/>
          <w:sz w:val="28"/>
          <w:szCs w:val="28"/>
          <w:rtl w:val="true"/>
          <w:lang w:bidi="fa-IR"/>
        </w:rPr>
        <w:t>المقدّس‌الأعرجی رحمه‌الله قلیلاً، فقد قرأ علیه‌القضاء والشهادات، وأقام عنده مدّة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حلّت سنة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تمّ بها علی المترجم فی العراق ثمان سنین بلغ فیها درجة سامیة و مکانة عالیة، رجع إلی دیار العجم </w:t>
      </w:r>
      <w:r>
        <w:rPr>
          <w:rStyle w:val="FootnoteAnchor"/>
          <w:rtl w:val="true"/>
        </w:rPr>
        <w:footnoteReference w:id="8"/>
      </w:r>
      <w:r>
        <w:rPr>
          <w:rFonts w:ascii="IRNazanin" w:hAnsi="IRNazanin" w:eastAsia="IRNazanin"/>
          <w:color w:val="111111"/>
          <w:sz w:val="28"/>
          <w:sz w:val="28"/>
          <w:szCs w:val="28"/>
          <w:rtl w:val="true"/>
          <w:lang w:bidi="fa-IR"/>
        </w:rPr>
        <w:t xml:space="preserve">، وتوطن فی أصفهان </w:t>
      </w:r>
      <w:r>
        <w:rPr>
          <w:rStyle w:val="FootnoteAnchor"/>
          <w:rtl w:val="true"/>
        </w:rPr>
        <w:footnoteReference w:id="9"/>
      </w:r>
      <w:r>
        <w:rPr>
          <w:rFonts w:ascii="IRNazanin" w:hAnsi="IRNazanin" w:eastAsia="IRNazanin"/>
          <w:color w:val="111111"/>
          <w:sz w:val="28"/>
          <w:sz w:val="28"/>
          <w:szCs w:val="28"/>
          <w:rtl w:val="true"/>
          <w:lang w:bidi="fa-IR"/>
        </w:rPr>
        <w:t xml:space="preserve">مع الحاج محمّد ابراهیم الکلباسی قدس‌سره ، وکانا صدیقین رفیقین شفیقین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اتّفق له فی سنة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الإرتحال من أصفهان إلی قم أیّام زعامة المحقّق القمّی رحمه‌الله ، فحضر مجلسه بما ینیف علی ستّة أشهر </w:t>
      </w:r>
      <w:r>
        <w:rPr>
          <w:rStyle w:val="FootnoteAnchor"/>
          <w:rtl w:val="true"/>
        </w:rPr>
        <w:footnoteReference w:id="10"/>
      </w:r>
      <w:r>
        <w:rPr>
          <w:rFonts w:ascii="IRNazanin" w:hAnsi="IRNazanin" w:eastAsia="IRNazanin"/>
          <w:color w:val="111111"/>
          <w:sz w:val="28"/>
          <w:sz w:val="28"/>
          <w:szCs w:val="28"/>
          <w:rtl w:val="true"/>
          <w:lang w:bidi="fa-IR"/>
        </w:rPr>
        <w:t xml:space="preserve">، وکان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أری لنفسی الترقّی الکامل فی هذه المدّة القلیلة بقدر تمام ما حصل لی فی مدّة مقامی بالعتبات العالیات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فکتب له المیرزا قدس‌سره إجازة مبسوطة مضبوطة کان یغتنم بها من ذلک السفر المبارک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سافر بعدها إلی کاشان، فحضر علی المولی محمّد مهدی النراقی رحمه‌الله ، وتلمّذ علیه مدّة قلیلة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نقل من بعض المشایخ أنّه بعد وروده إلی أصفهان لیس له شیء من الکتب إلاّ مجلّدًا واحدًا من المدارک، و کان مجرّدًا من الأموال، قلیل البضاعة، بل عدیمها، إلاّ مندیلاً لمحلّ الخبز، ویسمّی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سکن فی مدرسة السلطان ـ المفتوح بابه إلی چهارباغ العبّاسی ـ المعروفة فی اصفهان بمدرسة چهارباغ، واجتمع الطلاّب والمشتغلون عنده للتحصیل والتعلیم، و أخرجه المدرّس من المدرسة و لم یتعرّض له و لم یعارضه، فإذا اطّلع علی انّه أمر بالخروج، خرج من غیر إظهار للکراهة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فبعد قلیل من الزمان إجتمع علیه أهل العلم والمحصّلون، وانتقلت إلیه ریاسة الإمامیّة فی أغلب الأقطار بعد ذهاب المشایخ ـ رحمهم اللّه ـ فصار مرجعًا للفتوی، و أقبلت له الدنیا بحیث انتهت إلیه الریاسة الدینیّة والدنیویّة، وملکت أموالاً کثیرة من النقود والعروض والعقار والقری والدور الکثیرة فی محلّة بیدآباد، و کان له أموال کثیرة فی التجارة إلی بلدة رشت یدور من اصفهان إلی رشت، و یربح کثیرًا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الباعث علی ترویج أمره فی أصفهان و فی غیره من البلاد، العالم الربّانی والمحقّق الصمدانی میرزا أبوالقاسم الجیلانی القمّی قدس‌سره ، المقبول قوله عند العوام والخواص، و عند السلطان والرعیّة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یقدّمه العالم الزعیم الحاج محمّد إبراهیم الکرباسی رحمه‌الله فی المشی والحکم و غیرهما، فکلّ هذه الأمور کانت ترفع شأنه، إلاّ انّ یده تعالی فوق الأیدی، ترفع و تضع طبق المصالح الربّانیّة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کانت بینه و بین الحاج محمّد إبراهیم المذکور صلة متینة و صداقة تامّة من بدء أمرهما، فقد کانا زمیلین کریمین فی النجف، تجمع بینهما معاهد العلم، وشاء اللّه أن تنمو هذه المودّة شیئًا فشیئًا، و یبلغ کلّ منهما فی الزعامة مبلغًا لم یکن یحدث له فی البال، وأن یسکنا معًا بلدة أصفهان، ویتزعّما بها فی وقت واحد، ولم تکن الریاسة لتکدّر صفو ذلک الودّ الخالص، أو تؤثّر مثقال ذرّة، فکلّما زادت سطوة أحدهما زاد اتّصالاً و رغبة بصاحبه، فاعتبروا یا أولی الأبصار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وحجّ بیت اللّه الحرام 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5"/>
      </w:r>
      <w:r>
        <w:rPr>
          <w:rFonts w:ascii="IRNazanin" w:hAnsi="IRNazanin" w:eastAsia="IRNazanin"/>
          <w:color w:val="111111"/>
          <w:sz w:val="28"/>
          <w:sz w:val="28"/>
          <w:szCs w:val="28"/>
          <w:rtl w:val="true"/>
          <w:lang w:bidi="fa-IR"/>
        </w:rPr>
        <w:t xml:space="preserve">من طریق البحر، و کان ذلک أیّام محمّد علی باشا المصریّ، وکانت له زیارة خاصّة له، فأخذ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وکفّل بها سادات المدینة </w:t>
      </w:r>
      <w:r>
        <w:rPr>
          <w:rStyle w:val="FootnoteAnchor"/>
          <w:rtl w:val="true"/>
        </w:rPr>
        <w:footnoteReference w:id="16"/>
      </w:r>
      <w:r>
        <w:rPr>
          <w:rFonts w:ascii="IRNazanin" w:hAnsi="IRNazanin" w:eastAsia="IRNazanin"/>
          <w:color w:val="111111"/>
          <w:sz w:val="28"/>
          <w:sz w:val="28"/>
          <w:szCs w:val="28"/>
          <w:rtl w:val="true"/>
          <w:lang w:bidi="fa-IR"/>
        </w:rPr>
        <w:t xml:space="preserve">و کذلک حدّد المطاف علی مذهب الشیعة للمسلمین فی مکّة المکرّمة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میراث أولاد الزهراء استرد لهم من غاصبی فدک فی طوفه الحرما</w:t>
      </w:r>
    </w:p>
    <w:p>
      <w:pPr>
        <w:pStyle w:val="BookText"/>
        <w:rPr/>
      </w:pPr>
      <w:r>
        <w:rPr>
          <w:rFonts w:ascii="IRNazanin" w:hAnsi="IRNazanin" w:eastAsia="IRNazanin"/>
          <w:color w:val="111111"/>
          <w:sz w:val="28"/>
          <w:sz w:val="28"/>
          <w:szCs w:val="28"/>
          <w:rtl w:val="true"/>
          <w:lang w:bidi="fa-IR"/>
        </w:rPr>
        <w:t xml:space="preserve">أنظر معادن الجواهر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أخذ فی بناء المسجدالأعظم باصبهان</w:t>
      </w:r>
      <w:r>
        <w:rPr>
          <w:rStyle w:val="FootnoteAnchor"/>
          <w:rtl w:val="true"/>
        </w:rPr>
        <w:footnoteReference w:id="19"/>
      </w:r>
      <w:r>
        <w:rPr>
          <w:rFonts w:ascii="IRNazanin" w:hAnsi="IRNazanin" w:eastAsia="IRNazanin"/>
          <w:color w:val="111111"/>
          <w:sz w:val="28"/>
          <w:sz w:val="28"/>
          <w:szCs w:val="28"/>
          <w:rtl w:val="true"/>
          <w:lang w:bidi="fa-IR"/>
        </w:rPr>
        <w:t xml:space="preserve">وأنفق علیه ما یقرب من مائة ألف دینار شرعیّ تقریبًا من أمواله الخالصة، ومال بقبلته إلی یمین قبلة سائر المساجد یسیرًا، وجعل له مدارس وحجرات للطلبة، وأسّس أساسًا لم یعهد مثله من أحد العلماء والمجتهدین، و بنی فیه قبّة لمدفن نفسه، و هی الآن بمنزلة مشهد من </w:t>
      </w:r>
      <w:bookmarkStart w:id="22" w:name="pg3709_21873"/>
    </w:p>
    <w:p>
      <w:pPr>
        <w:pStyle w:val="BookText"/>
        <w:rPr/>
      </w:pPr>
      <w:bookmarkEnd w:id="22"/>
      <w:r>
        <w:rPr>
          <w:rFonts w:ascii="IRNazanin" w:hAnsi="IRNazanin" w:eastAsia="IRNazanin"/>
          <w:color w:val="111111"/>
          <w:sz w:val="28"/>
          <w:sz w:val="28"/>
          <w:szCs w:val="28"/>
          <w:rtl w:val="true"/>
          <w:lang w:bidi="fa-IR"/>
        </w:rPr>
        <w:t>مشاهد الأنبیاء والأئمّة علیهم‌السلام مطاف للخلایق فی خمسة أوقات الصلوات</w:t>
      </w:r>
      <w:r>
        <w:rPr>
          <w:rFonts w:eastAsia="IRNazanin" w:cs="IRNazanin"/>
          <w:color w:val="111111"/>
          <w:sz w:val="28"/>
          <w:szCs w:val="28"/>
          <w:rtl w:val="true"/>
          <w:lang w:bidi="fa-IR"/>
        </w:rPr>
        <w:t>.</w:t>
      </w:r>
    </w:p>
    <w:p>
      <w:pPr>
        <w:pStyle w:val="Heading3"/>
        <w:numPr>
          <w:ilvl w:val="2"/>
          <w:numId w:val="1"/>
        </w:numPr>
        <w:rPr/>
      </w:pPr>
      <w:bookmarkStart w:id="23" w:name="__RefHeading___Toc594035_2281741623"/>
      <w:bookmarkStart w:id="24" w:name="_Toc8"/>
      <w:bookmarkEnd w:id="23"/>
      <w:r>
        <w:rPr>
          <w:rtl w:val="true"/>
        </w:rPr>
        <w:t>اطراء العلماء له</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الفقیه المحقّق میرزا أبوالقاسم القمّی قدس‌سره</w:t>
      </w:r>
    </w:p>
    <w:p>
      <w:pPr>
        <w:pStyle w:val="BookText"/>
        <w:rPr/>
      </w:pPr>
      <w:r>
        <w:rPr>
          <w:rFonts w:ascii="IRNazanin" w:hAnsi="IRNazanin" w:eastAsia="IRNazanin"/>
          <w:color w:val="111111"/>
          <w:sz w:val="28"/>
          <w:sz w:val="28"/>
          <w:szCs w:val="28"/>
          <w:rtl w:val="true"/>
          <w:lang w:bidi="fa-IR"/>
        </w:rPr>
        <w:t xml:space="preserve">هو من أساتذته و مشایخه، قال فی إجازته الکبیرة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استجازنی الولد الأعزّ الأمجد، والخل الأسعد الأرشد العالم العامل الزکی الذکی، والفاضل الکامل الألمعیّ اللوذعیّ، بل المحقّق المدقّق التقی النقی، ابن المرحوم المبرور السیّد محمّد نقی، محمّد باقر الموسویّ الجیلانیّ، أسبل اللّه علیه نواله، و کثّر فی الفرقة الناجیة أمثاله </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الحکیم المولی علی النوری قدس‌سره</w:t>
      </w:r>
    </w:p>
    <w:p>
      <w:pPr>
        <w:pStyle w:val="BookText"/>
        <w:rPr/>
      </w:pPr>
      <w:r>
        <w:rPr>
          <w:rFonts w:ascii="IRNazanin" w:hAnsi="IRNazanin" w:eastAsia="IRNazanin"/>
          <w:color w:val="111111"/>
          <w:sz w:val="28"/>
          <w:sz w:val="28"/>
          <w:szCs w:val="28"/>
          <w:rtl w:val="true"/>
          <w:lang w:bidi="fa-IR"/>
        </w:rPr>
        <w:t xml:space="preserve">هو من أساتذته، قد أطری علیه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العهد، فقیه العصر، حجّة الطائفة المحقّة، قبلة الکرام البررة، الفرید الدهریّ، والوحید العصریّ، مطاع، واجب الإتّباع، معظّم، مجموعة المناقب والمفاخر، آقا سیّد محمّد باقر، دامت برکات فضائله الإنسیّة وشمائله القدسیّة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العلاّمة الفقیه الحاج محمّد إبراهیم الکرباسی قدس‌سره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أطری علی صاحب الترجمة بقوله </w:t>
      </w:r>
      <w:r>
        <w:rPr>
          <w:rFonts w:eastAsia="IRNazanin" w:cs="IRNazanin"/>
          <w:color w:val="111111"/>
          <w:sz w:val="28"/>
          <w:szCs w:val="28"/>
          <w:rtl w:val="true"/>
          <w:lang w:bidi="fa-IR"/>
        </w:rPr>
        <w:t xml:space="preserve">: </w:t>
      </w:r>
      <w:bookmarkStart w:id="25" w:name="pg3709_21874"/>
    </w:p>
    <w:p>
      <w:pPr>
        <w:pStyle w:val="BookText"/>
        <w:rPr/>
      </w:pPr>
      <w:bookmarkEnd w:id="25"/>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لکون السیّد ـ ضاعف اللّه فضله علیه ـ من أرکان المحقّقین، وأساطین الفقهاء الراسخین، فضلاً عن مجرّد کونه من المجتهدین الّذین یجب إطاعة أمرهم و امضاء حکمهم،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الباقر ـ دام تأییده ـ فوق ذلک و من أعلام الطائفة و أرکانها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العلاّمة السیّد محمّد شفیع الجابلقی قدس‌سره</w:t>
      </w:r>
    </w:p>
    <w:p>
      <w:pPr>
        <w:pStyle w:val="BookText"/>
        <w:rPr/>
      </w:pPr>
      <w:r>
        <w:rPr>
          <w:rFonts w:ascii="IRNazanin" w:hAnsi="IRNazanin" w:eastAsia="IRNazanin"/>
          <w:color w:val="111111"/>
          <w:sz w:val="28"/>
          <w:sz w:val="28"/>
          <w:szCs w:val="28"/>
          <w:rtl w:val="true"/>
          <w:lang w:bidi="fa-IR"/>
        </w:rPr>
        <w:t xml:space="preserve">قد وصفه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السند، والرکن المعتمد، الإمام الأجلّ الأعظم، النحریر الذاخر، والسحاب الماطر، الفائق علی الأوائل و الأواخر، الحاج السیّد محمّد باقر بن محمّد نقی الرشتی الشفتی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أزهد أهل زمانه و أعبدهم وأسماهم، فلذا أقبلت له الدنیا بحیث إنتهت الریاسة الدینیّة و الدنیویّة إلیه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594037_2281741623"/>
      <w:bookmarkStart w:id="27" w:name="_Toc9"/>
      <w:bookmarkEnd w:id="26"/>
      <w:r>
        <w:rPr>
          <w:rtl w:val="true"/>
        </w:rPr>
        <w:t>زهده و عبادته</w:t>
      </w:r>
      <w:bookmarkEnd w:id="27"/>
    </w:p>
    <w:p>
      <w:pPr>
        <w:pStyle w:val="BookText"/>
        <w:rPr/>
      </w:pPr>
      <w:r>
        <w:rPr>
          <w:rFonts w:ascii="IRNazanin" w:hAnsi="IRNazanin" w:eastAsia="IRNazanin"/>
          <w:color w:val="111111"/>
          <w:sz w:val="28"/>
          <w:sz w:val="28"/>
          <w:szCs w:val="28"/>
          <w:rtl w:val="true"/>
          <w:lang w:bidi="fa-IR"/>
        </w:rPr>
        <w:t xml:space="preserve">قال المحدّث القمّی رحمه‌الله فی الفوائد الرضویّة، نقلاً عن صاحب التکملة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السیّد محمّد باقر کان عالمًا ربّانیًّا روحانیًّا ممّن عرف حلال آل محمّد علیهم‌السلام وحرامهم، وشیّد أحکامهم، وخالف هواه، واتّبع أمر مولاه، کان دائم المراقبة لربّه، لایشغله شیء عن الحضور والمراقبة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والدی رحمه‌الله انّ آماق عین السیّد کانت مجروحة من کثرة </w:t>
      </w:r>
      <w:bookmarkStart w:id="28" w:name="pg3709_21875"/>
    </w:p>
    <w:p>
      <w:pPr>
        <w:pStyle w:val="BookText"/>
        <w:rPr/>
      </w:pPr>
      <w:bookmarkEnd w:id="28"/>
      <w:r>
        <w:rPr>
          <w:rFonts w:ascii="IRNazanin" w:hAnsi="IRNazanin" w:eastAsia="IRNazanin"/>
          <w:color w:val="111111"/>
          <w:sz w:val="28"/>
          <w:sz w:val="28"/>
          <w:szCs w:val="28"/>
          <w:rtl w:val="true"/>
          <w:lang w:bidi="fa-IR"/>
        </w:rPr>
        <w:t>بکائه فی تهجّده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بعض خواصّه،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معه إلی بعض قراه، فبتنا فی الطریق،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مضجعی فظنّ أنی نمت، فقام یصلّی، فواللّه إنّی رأیت فرائصه وأعضائه یرتعد بحیث کان یکرّر الکلمة مرارًا من شدّة حرکة فکّیه وأعضائه، حتّی ینطق بها صحیحة </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594039_2281741623"/>
      <w:bookmarkStart w:id="30" w:name="_Toc10"/>
      <w:bookmarkEnd w:id="29"/>
      <w:r>
        <w:rPr>
          <w:rtl w:val="true"/>
        </w:rPr>
        <w:t>إقامته الحدود الشرعیّة</w:t>
      </w:r>
      <w:bookmarkEnd w:id="30"/>
    </w:p>
    <w:p>
      <w:pPr>
        <w:pStyle w:val="BookText"/>
        <w:rPr/>
      </w:pPr>
      <w:r>
        <w:rPr>
          <w:rFonts w:ascii="IRNazanin" w:hAnsi="IRNazanin" w:eastAsia="IRNazanin"/>
          <w:color w:val="111111"/>
          <w:sz w:val="28"/>
          <w:sz w:val="28"/>
          <w:szCs w:val="28"/>
          <w:rtl w:val="true"/>
          <w:lang w:bidi="fa-IR"/>
        </w:rPr>
        <w:t xml:space="preserve">یعتقد السیّد حجّة الإسلام أنّ إقامة الحدود واجبة علی الفقیه الجامع لشرائط الفتوی فی عصر الغیبة عند التمکّن من الإقامة والأمن من مضرّة أهل الفساد، وألّف قدس‌سره فی اثبات هذا الإعتقاد رسالة ؛ و بهذا کان یقیم الحدود الشرعیّة ویجریها بیده أو ید من یأمره بلا خشیة و لا خوف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الروضات رحمه‌الله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إلی إجرائه بالمباشرة أو الأمر بحیث بلغ عدد من قتله رحمه‌الله فی سبیل ربّه تبارک وتعالی من الجناة والجفاة أو الزناة أو المحاربین اللاطین زمن رئاسته ثمانین أو تسعین،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وعشرین </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594041_2281741623"/>
      <w:bookmarkStart w:id="32" w:name="_Toc11"/>
      <w:bookmarkEnd w:id="31"/>
      <w:r>
        <w:rPr>
          <w:rtl w:val="true"/>
        </w:rPr>
        <w:t>مشایخ روایته</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یروی عن عدّة من أعلام الأمّة، وإلیک سرد ما نصّ علیه نفسه قدس‌سره فی بعض </w:t>
      </w:r>
      <w:bookmarkStart w:id="33" w:name="pg3709_21876"/>
    </w:p>
    <w:p>
      <w:pPr>
        <w:pStyle w:val="BookText"/>
        <w:rPr/>
      </w:pPr>
      <w:bookmarkEnd w:id="33"/>
      <w:r>
        <w:rPr>
          <w:rFonts w:ascii="IRNazanin" w:hAnsi="IRNazanin" w:eastAsia="IRNazanin"/>
          <w:color w:val="111111"/>
          <w:sz w:val="28"/>
          <w:sz w:val="28"/>
          <w:szCs w:val="28"/>
          <w:rtl w:val="true"/>
          <w:lang w:bidi="fa-IR"/>
        </w:rPr>
        <w:t xml:space="preserve">إجازاته أو نبّه علیه 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الأمیر السیّد علی الطباطبائی الحائری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أبوالقاسم الجیلانی القمّی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سلیمان بن معتوق العاملی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محسن الأعرجی البغدادی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الأکبر الشیخ جعفر کاشف الغطاء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محمّد مهدی الموسوی الشهرستانی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صدر له قدس‌سره من ناحیتهم إجازات کبیرة مبسوطة، تدلّ علی مرتبته العلمیّة ورتبته السامیّة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594043_2281741623"/>
      <w:bookmarkStart w:id="35" w:name="_Toc12"/>
      <w:bookmarkEnd w:id="34"/>
      <w:r>
        <w:rPr>
          <w:rtl w:val="true"/>
        </w:rPr>
        <w:t>تلامذته</w:t>
      </w:r>
      <w:bookmarkEnd w:id="35"/>
    </w:p>
    <w:p>
      <w:pPr>
        <w:pStyle w:val="BookText"/>
        <w:rPr/>
      </w:pPr>
      <w:r>
        <w:rPr>
          <w:rFonts w:ascii="IRNazanin" w:hAnsi="IRNazanin" w:eastAsia="IRNazanin"/>
          <w:color w:val="111111"/>
          <w:sz w:val="28"/>
          <w:sz w:val="28"/>
          <w:szCs w:val="28"/>
          <w:rtl w:val="true"/>
          <w:lang w:bidi="fa-IR"/>
        </w:rPr>
        <w:t xml:space="preserve">قد خرج من عالی مجلس تدریسه أکثر من مائة و خمسین مجتهد، من أکابرهم وأعاظمهم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آقا بزرک الحسینی القاضی عسکر الأصفهانی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الحاج محمّد جعفر بن محمّد صفی الآباده‌ای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الملاّ أحمد بن علی أکبر التربتی</w:t>
      </w:r>
      <w:r>
        <w:rPr>
          <w:rFonts w:eastAsia="IRNazanin" w:cs="IRNazanin"/>
          <w:color w:val="111111"/>
          <w:sz w:val="28"/>
          <w:szCs w:val="28"/>
          <w:rtl w:val="true"/>
          <w:lang w:bidi="fa-IR"/>
        </w:rPr>
        <w:t xml:space="preserve">. </w:t>
      </w:r>
      <w:bookmarkStart w:id="36" w:name="pg3709_21877"/>
    </w:p>
    <w:p>
      <w:pPr>
        <w:pStyle w:val="BookText"/>
        <w:rPr/>
      </w:pPr>
      <w:bookmarkEnd w:id="3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المولی علی أکبر بن إبراهیم الخوانساری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الحاج ملاّ عبد الباقی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المولی عبدالوهّاب الشریف القزوینی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الحاج محمّد إبراهیم القزوینی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باقر الموسوی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الحاج آقا محمّد بن محمّد إبراهیم الکرباسی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المولی محمّد بن محمّد مهدی المازندرانی الشهیر بالحاج الأشرفی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غیرهم من الأعلام لم نذکرهم رومًا للإختصار، و مَن أراد أن تطّلع علی أسمائهم و ترجمتهم فلیراجع الجزء الأوّل من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المفاخر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المرحوم السیّد مصلح الدّین المهدوی، وغیره من کتب التراجم والسیر </w:t>
      </w:r>
      <w:r>
        <w:rPr>
          <w:rFonts w:eastAsia="IRNazanin" w:cs="IRNazanin"/>
          <w:color w:val="111111"/>
          <w:sz w:val="28"/>
          <w:szCs w:val="28"/>
          <w:rtl w:val="true"/>
          <w:lang w:bidi="fa-IR"/>
        </w:rPr>
        <w:t>.</w:t>
      </w:r>
    </w:p>
    <w:p>
      <w:pPr>
        <w:pStyle w:val="Heading3"/>
        <w:numPr>
          <w:ilvl w:val="2"/>
          <w:numId w:val="1"/>
        </w:numPr>
        <w:rPr/>
      </w:pPr>
      <w:bookmarkStart w:id="37" w:name="__RefHeading___Toc594045_2281741623"/>
      <w:bookmarkStart w:id="38" w:name="_Toc13"/>
      <w:bookmarkEnd w:id="37"/>
      <w:r>
        <w:rPr>
          <w:rtl w:val="true"/>
        </w:rPr>
        <w:t>أولاده</w:t>
      </w:r>
      <w:bookmarkEnd w:id="38"/>
    </w:p>
    <w:p>
      <w:pPr>
        <w:pStyle w:val="BookText"/>
        <w:rPr/>
      </w:pPr>
      <w:r>
        <w:rPr>
          <w:rFonts w:ascii="IRNazanin" w:hAnsi="IRNazanin" w:eastAsia="IRNazanin"/>
          <w:color w:val="111111"/>
          <w:sz w:val="28"/>
          <w:sz w:val="28"/>
          <w:szCs w:val="28"/>
          <w:rtl w:val="true"/>
          <w:lang w:bidi="fa-IR"/>
        </w:rPr>
        <w:t xml:space="preserve">له قدس‌سره أولاد متعدّدون، کلّهم علماء أجلاّء، و سادة فضلاء، إنتهت إلیهم الریاسة الدینیّة والعلمیّة بعد أبیهم فی أصفهان، وهم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السیّد أسد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قال الإمام السیّد عبدالحسین شرف الدین فی ترجمة والده قدس‌سره ما هذا کلامه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وخَلَفَه ولده الأبرّ الأغرّ، الفقیه الأصولی، المحقّق البحّاثة، العلاّمة السیّد أسد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رحمه‌الله علی شاکلة أبیه فی العلم والعمل والجهاد لنفسه و المراقبة علیها آناء اللیل، و أطراف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انتهت إلیه رئاسة الدین فی ایران، وانقادت لأمره عامّة الناس وخاصّتها حتّی السلطان ناصر الدین شاه </w:t>
      </w:r>
      <w:r>
        <w:rPr>
          <w:rFonts w:eastAsia="IRNazanin" w:cs="IRNazanin"/>
          <w:color w:val="111111"/>
          <w:sz w:val="28"/>
          <w:szCs w:val="28"/>
          <w:rtl w:val="true"/>
          <w:lang w:bidi="fa-IR"/>
        </w:rPr>
        <w:t xml:space="preserve">... »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السیّد محمّد مهدی </w:t>
      </w:r>
      <w:r>
        <w:rPr>
          <w:rStyle w:val="FootnoteAnchor"/>
          <w:rtl w:val="true"/>
        </w:rPr>
        <w:footnoteReference w:id="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عاشوراء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32"/>
      </w:r>
      <w:bookmarkStart w:id="39" w:name="pg3709_21879"/>
    </w:p>
    <w:p>
      <w:pPr>
        <w:pStyle w:val="BookText"/>
        <w:rPr/>
      </w:pPr>
      <w:bookmarkEnd w:id="3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قبل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قبل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40" w:name="__RefHeading___Toc594047_2281741623"/>
      <w:bookmarkStart w:id="41" w:name="_Toc14"/>
      <w:bookmarkEnd w:id="40"/>
      <w:r>
        <w:rPr>
          <w:rtl w:val="true"/>
        </w:rPr>
        <w:t>تآلیفه القیّمة</w:t>
      </w:r>
      <w:bookmarkEnd w:id="41"/>
    </w:p>
    <w:p>
      <w:pPr>
        <w:pStyle w:val="BookText"/>
        <w:rPr/>
      </w:pPr>
      <w:r>
        <w:rPr>
          <w:rFonts w:ascii="IRNazanin" w:hAnsi="IRNazanin" w:eastAsia="IRNazanin"/>
          <w:color w:val="111111"/>
          <w:sz w:val="28"/>
          <w:sz w:val="28"/>
          <w:szCs w:val="28"/>
          <w:rtl w:val="true"/>
          <w:lang w:bidi="fa-IR"/>
        </w:rPr>
        <w:t xml:space="preserve">له مؤلّفات کثیرة، و رسائل متعدّدة، کلّها تفصح عن تضلّعه فی شتّی العلوم المختلفة خصوصًا الفقه والرجال، و تظهر منها جامعیّته من المعقول والمنقول، وإلیک أسماء بعضها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والرسائل الفقهیّة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مطالع الأنوار المقتبسة من آثار الأئمّة الأطهار علیهم‌السلام ؛</w:t>
      </w:r>
    </w:p>
    <w:p>
      <w:pPr>
        <w:pStyle w:val="BookText"/>
        <w:rPr/>
      </w:pPr>
      <w:r>
        <w:rPr>
          <w:rFonts w:ascii="IRNazanin" w:hAnsi="IRNazanin" w:eastAsia="IRNazanin"/>
          <w:color w:val="111111"/>
          <w:sz w:val="28"/>
          <w:sz w:val="28"/>
          <w:szCs w:val="28"/>
          <w:rtl w:val="true"/>
          <w:lang w:bidi="fa-IR"/>
        </w:rPr>
        <w:t>شرح لکتاب شرائع الإسلام، لم یخرج منه غیر مقاصد کتاب الصلوة إلی آخر أحکام صلاة الأموات فی ستّة مجلّدات، إلاّ أنّه مشتمل علی أغلب قواعد الفقه وضوابطه الکلّیّات، بل محتو علی معظم المسائل المتفرّقة من الطهارة إلی الدیات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بالطبع الأفست ، و قد قامت بطبعه مکتبة مسجد السیّد حجّة الإسلام الشفتی قدس‌سره بأصفهان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تحفة الأبرار الملتقط من آثار الأئمّة الأطهار لتنویر قلوب الأخیار؛</w:t>
      </w:r>
    </w:p>
    <w:p>
      <w:pPr>
        <w:pStyle w:val="BookText"/>
        <w:rPr/>
      </w:pPr>
      <w:r>
        <w:rPr>
          <w:rFonts w:ascii="IRNazanin" w:hAnsi="IRNazanin" w:eastAsia="IRNazanin"/>
          <w:color w:val="111111"/>
          <w:sz w:val="28"/>
          <w:sz w:val="28"/>
          <w:szCs w:val="28"/>
          <w:rtl w:val="true"/>
          <w:lang w:bidi="fa-IR"/>
        </w:rPr>
        <w:t xml:space="preserve">رسالة فارسیة مبسوطة، یتعرّض فیها للأدلّة غالبًا، و هی فی خصوص الصلوة، مرتّبة علی مقدّمة فی مسائل الإجتهاد والتقلید، وأبواب ثلاثة ذات مباحث، وخاتمة فی الخلل وأحکام الشکوک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والخاتمة رسالة کبیرة جدًّا، سیأتی الکلام عنها برقم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طبعت دون خاتمتها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مجلّدتین کبیرتین بتحقیق الحجّة الحاج السیّد مهدی الرجائی ـ دامت برکاته ـ قامت بطبعها مکتبة مسجد السیّد حجّة الإسلام قدس‌سره باصفهان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المصباح الشارقة؛ قال مؤلّفه فی مفتتح المجلّد الأوّل من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حدیث فی فضل الصلوة، ما لفظه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تکلّمنا فی هذا الحدیث فی المصباح الشارقة بما قد بلغ التطویل والإطناب فی الغایة وأبرزنا فیه کثیرًا من الإشکالات المتوجّهة إلیه وعقبنا کلاًّ منها بما یزیله </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السؤال والجواب؛ فارسی وعربی، وهو أجوبة مسائله المعروفة فی مجلّدین کبیرین، تشتمل علی أربعین کتابًا من الکتب الفقهیّة، و رسائل متعدّدة فی مسائل متبدّدة،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الأوقاف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إقامة الحدود فی زمن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 ذلک من الرسائل الّتی نذکر کلاًّ منها بعنوان مستقلّ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القضاء والشهادات؛ قال عنه صاحب الروضات قدس‌سره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تصنیفاته الفائقة أیضًا کتاب ألّفه فی القضاء والشهادات بطریق الإستدلال التامّ زمن قراءته فی تلک المباحث علی شیخه السیّد محسن المرحوم </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ذکر فیه واجبات الحجّ ومستحبّاته، ورتّبه علی مقدّمة، وثلاثة مقاصد، وخاتمة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أواسطه بأنّه ألّفه سنة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توجّهه إلی بیت اللّه الحرام من طریق البحر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آداب صلاة اللیل و فضلها؛</w:t>
      </w:r>
    </w:p>
    <w:p>
      <w:pPr>
        <w:pStyle w:val="BookText"/>
        <w:rPr/>
      </w:pPr>
      <w:r>
        <w:rPr>
          <w:rFonts w:ascii="IRNazanin" w:hAnsi="IRNazanin" w:eastAsia="IRNazanin"/>
          <w:color w:val="111111"/>
          <w:sz w:val="28"/>
          <w:sz w:val="28"/>
          <w:szCs w:val="28"/>
          <w:rtl w:val="true"/>
          <w:lang w:bidi="fa-IR"/>
        </w:rPr>
        <w:t xml:space="preserve">هی مدرجة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السؤال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قدس‌سره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ابراء الولیّ مدّة المتعة عن المولی علیه؛</w:t>
      </w:r>
    </w:p>
    <w:p>
      <w:pPr>
        <w:pStyle w:val="BookText"/>
        <w:rPr/>
      </w:pPr>
      <w:r>
        <w:rPr>
          <w:rFonts w:ascii="IRNazanin" w:hAnsi="IRNazanin" w:eastAsia="IRNazanin"/>
          <w:color w:val="111111"/>
          <w:sz w:val="28"/>
          <w:sz w:val="28"/>
          <w:szCs w:val="28"/>
          <w:rtl w:val="true"/>
          <w:lang w:bidi="fa-IR"/>
        </w:rPr>
        <w:t xml:space="preserve">قال صاحب الذریعة رحمه‌الله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هبة الولی مدّة الزوجة المنقطعة للمولی علیه،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إحداها للسیّد محمّد باقر بن محمّد نقی الشفتی الاصفهانی، اختار فیها الجواز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حرمة محارم الموطوء علی الواطی؛</w:t>
      </w:r>
    </w:p>
    <w:p>
      <w:pPr>
        <w:pStyle w:val="BookText"/>
        <w:rPr/>
      </w:pPr>
      <w:r>
        <w:rPr>
          <w:rFonts w:ascii="IRNazanin" w:hAnsi="IRNazanin" w:eastAsia="IRNazanin"/>
          <w:color w:val="111111"/>
          <w:sz w:val="28"/>
          <w:sz w:val="28"/>
          <w:szCs w:val="28"/>
          <w:rtl w:val="true"/>
          <w:lang w:bidi="fa-IR"/>
        </w:rPr>
        <w:t xml:space="preserve">هی رسالة متوسّطة مدرّجة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والجواب ؛ أوّلها بعد البسملة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لمن أبدع السموات والأرضین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الردّ علی رسالة تعیین السلام الأخیر فی النوافل؛ کتبه فی الردّ علی </w:t>
      </w:r>
    </w:p>
    <w:p>
      <w:pPr>
        <w:pStyle w:val="BookText"/>
        <w:rPr/>
      </w:pPr>
      <w:r>
        <w:rPr>
          <w:rFonts w:ascii="IRNazanin" w:hAnsi="IRNazanin" w:eastAsia="IRNazanin"/>
          <w:color w:val="111111"/>
          <w:sz w:val="28"/>
          <w:sz w:val="28"/>
          <w:szCs w:val="28"/>
          <w:rtl w:val="true"/>
          <w:lang w:bidi="fa-IR"/>
        </w:rPr>
        <w:t xml:space="preserve">رسالة المولی علی أکبر الإیجهی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وسیأتی الکلام عنه مفصّلاً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الردّ علی ردّ المولی الإیجهی رحمه‌الله ؛ أیضًا له قدس‌سره ، کتبه ثانیًا بعد ردّ المولی الإیجهی رحمه‌الله الردّ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الکلام عنه مفصّلاً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إقامة الحدود فی زمن الغیبة ؛ هی رسالة کبیرة استدلالیّة، مدرّجة فی کتابه الکبیر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سنة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بتحقیقی، قامت بطبعها مکتبة مسجد السیّد حجّة الإسلام قدس‌سره باصفهان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اشتراط القبض فی الوقف؛</w:t>
      </w:r>
    </w:p>
    <w:p>
      <w:pPr>
        <w:pStyle w:val="BookText"/>
        <w:rPr/>
      </w:pPr>
      <w:r>
        <w:rPr>
          <w:rFonts w:ascii="IRNazanin" w:hAnsi="IRNazanin" w:eastAsia="IRNazanin"/>
          <w:color w:val="111111"/>
          <w:sz w:val="28"/>
          <w:sz w:val="28"/>
          <w:szCs w:val="28"/>
          <w:rtl w:val="true"/>
          <w:lang w:bidi="fa-IR"/>
        </w:rPr>
        <w:t xml:space="preserve">هی رسالة استدلالیّة مفصّلة، مدرّجة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کتبها فی الردّ علی المولی أحمد النراقی قدس‌سره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بتحقیق الحجّة الدکتور السیّد أحمد التویسرکانی حفظه اللّه تحت 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وقف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أحکام الغسالة؛</w:t>
      </w:r>
    </w:p>
    <w:p>
      <w:pPr>
        <w:pStyle w:val="BookText"/>
        <w:rPr/>
      </w:pPr>
      <w:r>
        <w:rPr>
          <w:rFonts w:ascii="IRNazanin" w:hAnsi="IRNazanin" w:eastAsia="IRNazanin"/>
          <w:color w:val="111111"/>
          <w:sz w:val="28"/>
          <w:sz w:val="28"/>
          <w:szCs w:val="28"/>
          <w:rtl w:val="true"/>
          <w:lang w:bidi="fa-IR"/>
        </w:rPr>
        <w:t xml:space="preserve">ذکرها ولده العلاّمة الحاج السیّد أسد اللّه قدس‌سره فی شرحه الکبیر علی شرائع الإسلام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کتب ـ روحی فداه ـ رسالة فی مسألة الغسالة </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تطهیر العجین بتبخیره و عدمه؛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ذکرها العلاّمة السیّد محمّد صادق الچهارسوقی قدس‌سره ، وعبّر عنها بالقدریّة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الأراضی الخراجیّة ؛</w:t>
      </w:r>
    </w:p>
    <w:p>
      <w:pPr>
        <w:pStyle w:val="BookText"/>
        <w:rPr/>
      </w:pPr>
      <w:r>
        <w:rPr>
          <w:rFonts w:ascii="IRNazanin" w:hAnsi="IRNazanin" w:eastAsia="IRNazanin"/>
          <w:color w:val="111111"/>
          <w:sz w:val="28"/>
          <w:sz w:val="28"/>
          <w:szCs w:val="28"/>
          <w:rtl w:val="true"/>
          <w:lang w:bidi="fa-IR"/>
        </w:rPr>
        <w:t xml:space="preserve">هی رسالة إستدلالیّة کبیرة، کتبها فی جواب مسألة سئل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نسخة خطیّة منها ضمن مجموعة فی المکتبة الخاصّة للدکتور السیّد أحمد التویسرکانی ـ دامت برکاته ـ وقد قدّم لنا مصوّرة منها مشکورًا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أحکام الشک والسهو فی الصلوة؛</w:t>
      </w:r>
    </w:p>
    <w:p>
      <w:pPr>
        <w:pStyle w:val="BookText"/>
        <w:rPr/>
      </w:pPr>
      <w:r>
        <w:rPr>
          <w:rFonts w:ascii="IRNazanin" w:hAnsi="IRNazanin" w:eastAsia="IRNazanin"/>
          <w:color w:val="111111"/>
          <w:sz w:val="28"/>
          <w:sz w:val="28"/>
          <w:szCs w:val="28"/>
          <w:rtl w:val="true"/>
          <w:lang w:bidi="fa-IR"/>
        </w:rPr>
        <w:t xml:space="preserve">رسالة کبیرة جدًّا، حسنة الوضع والتفریع، جعلها تتمّة لکتابه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صاحب الذریعة، وعبّر عنها بالشکیّات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طهارة عرق الجنب من الحرام؛</w:t>
      </w:r>
    </w:p>
    <w:p>
      <w:pPr>
        <w:pStyle w:val="BookText"/>
        <w:rPr/>
      </w:pPr>
      <w:r>
        <w:rPr>
          <w:rFonts w:ascii="IRNazanin" w:hAnsi="IRNazanin" w:eastAsia="IRNazanin"/>
          <w:color w:val="111111"/>
          <w:sz w:val="28"/>
          <w:sz w:val="28"/>
          <w:szCs w:val="28"/>
          <w:rtl w:val="true"/>
          <w:lang w:bidi="fa-IR"/>
        </w:rPr>
        <w:t xml:space="preserve">نسبها إلیه ولده العلاّمة السیّد أسداللّه قدس‌سره فی شرحه الکبیر علی الشرائع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صلوة الجمعة؛</w:t>
      </w:r>
    </w:p>
    <w:p>
      <w:pPr>
        <w:pStyle w:val="BookText"/>
        <w:rPr/>
      </w:pPr>
      <w:r>
        <w:rPr>
          <w:rFonts w:ascii="IRNazanin" w:hAnsi="IRNazanin" w:eastAsia="IRNazanin"/>
          <w:color w:val="111111"/>
          <w:sz w:val="28"/>
          <w:sz w:val="28"/>
          <w:szCs w:val="28"/>
          <w:rtl w:val="true"/>
          <w:lang w:bidi="fa-IR"/>
        </w:rPr>
        <w:t xml:space="preserve">صرّح بها نفسه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اختار فیها وجوبها التخییریّ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العقد علی أخت الزوجة المطلّقة؛</w:t>
      </w:r>
    </w:p>
    <w:p>
      <w:pPr>
        <w:pStyle w:val="BookText"/>
        <w:rPr/>
      </w:pPr>
      <w:r>
        <w:rPr>
          <w:rFonts w:ascii="IRNazanin" w:hAnsi="IRNazanin" w:eastAsia="IRNazanin"/>
          <w:color w:val="111111"/>
          <w:sz w:val="28"/>
          <w:sz w:val="28"/>
          <w:szCs w:val="28"/>
          <w:rtl w:val="true"/>
          <w:lang w:bidi="fa-IR"/>
        </w:rPr>
        <w:t xml:space="preserve">کتبها فی جواب سائل سأله عن ذلک، مدرّجة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طبعت هذه الرسالة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بتحقیقی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حکم صلح حقّ الرجوع فی الطلاق الرجعی؛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مدرّجة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کتبها فی جواب مسألة سئل عنها، فرغ منها فی مزرعة تندران من مزارع کرون من محالّ أصفهان فی یوم الإثنین السابع </w:t>
      </w:r>
    </w:p>
    <w:p>
      <w:pPr>
        <w:pStyle w:val="BookText"/>
        <w:rPr/>
      </w:pPr>
      <w:r>
        <w:rPr>
          <w:rFonts w:ascii="IRNazanin" w:hAnsi="IRNazanin" w:eastAsia="IRNazanin"/>
          <w:color w:val="111111"/>
          <w:sz w:val="28"/>
          <w:sz w:val="28"/>
          <w:szCs w:val="28"/>
          <w:rtl w:val="true"/>
          <w:lang w:bidi="fa-IR"/>
        </w:rPr>
        <w:t xml:space="preserve">من جمادی الآخرة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طبعت هذه الرسالة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بتحقیقی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جواز الإتّکال بقول النساء فی انتفاء موانع النکاح فیها؛</w:t>
      </w:r>
    </w:p>
    <w:p>
      <w:pPr>
        <w:pStyle w:val="BookText"/>
        <w:rPr/>
      </w:pPr>
      <w:r>
        <w:rPr>
          <w:rFonts w:ascii="IRNazanin" w:hAnsi="IRNazanin" w:eastAsia="IRNazanin"/>
          <w:color w:val="111111"/>
          <w:sz w:val="28"/>
          <w:sz w:val="28"/>
          <w:szCs w:val="28"/>
          <w:rtl w:val="true"/>
          <w:lang w:bidi="fa-IR"/>
        </w:rPr>
        <w:t xml:space="preserve">صرّح بها المؤلّف قدس‌سره نفسه فی مطالع أنواره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والظاهر وثاقته کما حقّقناه فی رسالتنا الموضوعة فی جواز الإتّکال بقول المرأة فی خلوّها عن موانع النکاح </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وذکرها کلّ من العَلَمَین الشیخ الطهرانی والسیّد الأمین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حکم الصلوة فی جلد المیتة المدبوغ؛</w:t>
      </w:r>
    </w:p>
    <w:p>
      <w:pPr>
        <w:pStyle w:val="BookText"/>
        <w:rPr/>
      </w:pPr>
      <w:r>
        <w:rPr>
          <w:rFonts w:ascii="IRNazanin" w:hAnsi="IRNazanin" w:eastAsia="IRNazanin"/>
          <w:color w:val="111111"/>
          <w:sz w:val="28"/>
          <w:sz w:val="28"/>
          <w:szCs w:val="28"/>
          <w:rtl w:val="true"/>
          <w:lang w:bidi="fa-IR"/>
        </w:rPr>
        <w:t xml:space="preserve">هی رسالة کبیرة إستدلالیّة کتبها فی جواب السؤال عن حکم الصلوة فی جلد المیتة المدبوغ، مدرّجة فی کتابه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ثبوت الزنا واللواط بالإقرار؛</w:t>
      </w:r>
    </w:p>
    <w:p>
      <w:pPr>
        <w:pStyle w:val="BookText"/>
        <w:rPr/>
      </w:pPr>
      <w:r>
        <w:rPr>
          <w:rFonts w:ascii="IRNazanin" w:hAnsi="IRNazanin" w:eastAsia="IRNazanin"/>
          <w:color w:val="111111"/>
          <w:sz w:val="28"/>
          <w:sz w:val="28"/>
          <w:szCs w:val="28"/>
          <w:rtl w:val="true"/>
          <w:lang w:bidi="fa-IR"/>
        </w:rPr>
        <w:t xml:space="preserve">مدرّجة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کتبها فی جواب مسألة سئل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شرح جواب المحقّق القمّی رحمه‌الله ؛ شَرَح فیها جوابه عن مسألة فی الطلاق، فی حیاته وحسب أمره؛ یذکر فیها جوابه، ثمّ إیضاح الجواب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عدم جواز التقلید عن المجتهد المیّت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أوجب فیها العدول إلی المجتهد الحیّ بمجرّد موت المجتهد، ولمّا رآها المیرزا </w:t>
      </w:r>
    </w:p>
    <w:p>
      <w:pPr>
        <w:pStyle w:val="BookText"/>
        <w:rPr/>
      </w:pPr>
      <w:r>
        <w:rPr>
          <w:rFonts w:ascii="IRNazanin" w:hAnsi="IRNazanin" w:eastAsia="IRNazanin"/>
          <w:color w:val="111111"/>
          <w:sz w:val="28"/>
          <w:sz w:val="28"/>
          <w:szCs w:val="28"/>
          <w:rtl w:val="true"/>
          <w:lang w:bidi="fa-IR"/>
        </w:rPr>
        <w:t xml:space="preserve">عبدالوهّاب القزوینی قدس‌سره </w:t>
      </w:r>
      <w:r>
        <w:rPr>
          <w:rStyle w:val="FootnoteAnchor"/>
          <w:rtl w:val="true"/>
        </w:rPr>
        <w:footnoteReference w:id="51"/>
      </w:r>
      <w:r>
        <w:rPr>
          <w:rFonts w:ascii="IRNazanin" w:hAnsi="IRNazanin" w:eastAsia="IRNazanin"/>
          <w:color w:val="111111"/>
          <w:sz w:val="28"/>
          <w:sz w:val="28"/>
          <w:szCs w:val="28"/>
          <w:rtl w:val="true"/>
          <w:lang w:bidi="fa-IR"/>
        </w:rPr>
        <w:t xml:space="preserve">کتب فی ردّها رسالة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هدایة المسترشدین فی حکم التقلید للعوام </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أحکام القناة ؛ هی رسالة فارسیة کتبها فی جواب مسائل بعض أهالی یزد، مدرّجة فی کتابه الکبیر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ولایة الحاکم علی البالغة غیر الرشیدة؛ کتبها فی جواب مَن سأله عن المسألة، مدرّجة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السؤال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طبعت هذه الرسالة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بتحقیقی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حوزه اصفهان </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حکم الصلوة عن المیّت؛</w:t>
      </w:r>
    </w:p>
    <w:p>
      <w:pPr>
        <w:pStyle w:val="BookText"/>
        <w:rPr/>
      </w:pPr>
      <w:r>
        <w:rPr>
          <w:rFonts w:ascii="IRNazanin" w:hAnsi="IRNazanin" w:eastAsia="IRNazanin"/>
          <w:color w:val="111111"/>
          <w:sz w:val="28"/>
          <w:sz w:val="28"/>
          <w:szCs w:val="28"/>
          <w:rtl w:val="true"/>
          <w:lang w:bidi="fa-IR"/>
        </w:rPr>
        <w:t>کتبها فی جواب مسألة سئل عنها، مدرّجة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السؤال والجواب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تحدید آیة الکرسی؛</w:t>
      </w:r>
    </w:p>
    <w:p>
      <w:pPr>
        <w:pStyle w:val="BookText"/>
        <w:rPr/>
      </w:pPr>
      <w:r>
        <w:rPr>
          <w:rFonts w:ascii="IRNazanin" w:hAnsi="IRNazanin" w:eastAsia="IRNazanin"/>
          <w:color w:val="111111"/>
          <w:sz w:val="28"/>
          <w:sz w:val="28"/>
          <w:szCs w:val="28"/>
          <w:rtl w:val="true"/>
          <w:lang w:bidi="fa-IR"/>
        </w:rPr>
        <w:t>رسالة فی جواب مَن سأل عن تحدید هذه الآیة، مدرّجة فی السؤال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طبعت هذه الرسالة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بتحقیقی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حوزه اصفهان </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زیارة عاشوراء و کیفیّتها؛ مدرّجة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قدس‌سره ؛ کتبها فی جواب مَن سأله عن کیفیّة الزیارة وصلاتها، فأدرج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صلاتها رکعتان، لا أکثر، تفعلهما بعد الفراغ من اللعن والسلام والدعاء والسجدة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صیغ النکاح؛ هی رسالة فارسیة فی بیان أنحاء اجراء الصیغة وأنواع تغییراته ؛ ذکر فیها أربع عشرة صورة لصیغة النکاح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والرسائل الحدیثیّة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الحاشیة علی الکافی؛</w:t>
      </w:r>
    </w:p>
    <w:p>
      <w:pPr>
        <w:pStyle w:val="BookText"/>
        <w:rPr/>
      </w:pPr>
      <w:r>
        <w:rPr>
          <w:rFonts w:ascii="IRNazanin" w:hAnsi="IRNazanin" w:eastAsia="IRNazanin"/>
          <w:color w:val="111111"/>
          <w:sz w:val="28"/>
          <w:sz w:val="28"/>
          <w:szCs w:val="28"/>
          <w:rtl w:val="true"/>
          <w:lang w:bidi="fa-IR"/>
        </w:rPr>
        <w:t>هی حواشی قلیلة علی کتاب الفروع من الکافی، من الطهارة إلی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الحاشیة علی الوافی؛</w:t>
      </w:r>
    </w:p>
    <w:p>
      <w:pPr>
        <w:pStyle w:val="BookText"/>
        <w:rPr/>
      </w:pPr>
      <w:r>
        <w:rPr>
          <w:rFonts w:ascii="IRNazanin" w:hAnsi="IRNazanin" w:eastAsia="IRNazanin"/>
          <w:color w:val="111111"/>
          <w:sz w:val="28"/>
          <w:sz w:val="28"/>
          <w:szCs w:val="28"/>
          <w:rtl w:val="true"/>
          <w:lang w:bidi="fa-IR"/>
        </w:rPr>
        <w:t xml:space="preserve">نصّ علیها المؤلّف نفسه قدس‌سره فی کتابه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والرسائل الأصولیّة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الزهرة البارقة لمعرفة أحوال المجاز والحقیقة؛</w:t>
      </w:r>
    </w:p>
    <w:p>
      <w:pPr>
        <w:pStyle w:val="BookText"/>
        <w:rPr/>
      </w:pPr>
      <w:r>
        <w:rPr>
          <w:rFonts w:ascii="IRNazanin" w:hAnsi="IRNazanin" w:eastAsia="IRNazanin"/>
          <w:color w:val="111111"/>
          <w:sz w:val="28"/>
          <w:sz w:val="28"/>
          <w:szCs w:val="28"/>
          <w:rtl w:val="true"/>
          <w:lang w:bidi="fa-IR"/>
        </w:rPr>
        <w:t xml:space="preserve">مشتمل علی جمّ غفیر من المسائل الأصولیّة والعربیّة، و مباحث الألفاظ والمبادئ اللغویّة، فی نحو من ثمانیة آلاف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بعد وفاته بأمر تلمیذه وصهره الآقا محمّد مهدی بن محمّد إبراهیم الکرباسی رحمهماالله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الإستصحاب؛ نصّ علیها المؤلّف نفسه قدس‌سره فی مطالع الأنوار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الحاشیة علی تهذیب الوصول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حاشیة علمیّة مفصّلة علی 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الوصول إلی علم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تآلیف آیة اللّه العلاّمة الحلّی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المؤلّف قدس‌سره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الزهرة البارقة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الحاشیة علی أصول معالم الدین؛</w:t>
      </w:r>
    </w:p>
    <w:p>
      <w:pPr>
        <w:pStyle w:val="BookText"/>
        <w:rPr/>
      </w:pPr>
      <w:r>
        <w:rPr>
          <w:rFonts w:ascii="IRNazanin" w:hAnsi="IRNazanin" w:eastAsia="IRNazanin"/>
          <w:color w:val="111111"/>
          <w:sz w:val="28"/>
          <w:sz w:val="28"/>
          <w:szCs w:val="28"/>
          <w:rtl w:val="true"/>
          <w:lang w:bidi="fa-IR"/>
        </w:rPr>
        <w:t xml:space="preserve">هی تعلیقات مدوّنة بمنزلة شرح مبسوط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معالم‌الدین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حسن ابن الشهید الثانی ؛ ذکرها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الرجالیّة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الرسائل الرجالیّة؛ تنیف علی اثنتین وعشرین رسالة فی أحوال عشرین رجلاً من الرواة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هذه الرسائل فی مجلّد واحد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بتحقیق الحجّة الحاج السیّد مهدی الرجائی ـ دامت برکاته ـ قامت بطبعها مکتبة مسجد السیّد حجّة الإسلام الشفتی قدس‌سره باصفهان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الحاشیة علی الرجال؛</w:t>
      </w:r>
    </w:p>
    <w:p>
      <w:pPr>
        <w:pStyle w:val="BookText"/>
        <w:rPr/>
      </w:pPr>
      <w:r>
        <w:rPr>
          <w:rFonts w:ascii="IRNazanin" w:hAnsi="IRNazanin" w:eastAsia="IRNazanin"/>
          <w:color w:val="111111"/>
          <w:sz w:val="28"/>
          <w:sz w:val="28"/>
          <w:szCs w:val="28"/>
          <w:rtl w:val="true"/>
          <w:lang w:bidi="fa-IR"/>
        </w:rPr>
        <w:t xml:space="preserve">هی تعلیقات مختصرة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الطوسی رحمه‌الله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الحاشیة علی الفهرست؛</w:t>
      </w:r>
    </w:p>
    <w:p>
      <w:pPr>
        <w:pStyle w:val="BookText"/>
        <w:rPr/>
      </w:pPr>
      <w:r>
        <w:rPr>
          <w:rFonts w:ascii="IRNazanin" w:hAnsi="IRNazanin" w:eastAsia="IRNazanin"/>
          <w:color w:val="111111"/>
          <w:sz w:val="28"/>
          <w:sz w:val="28"/>
          <w:szCs w:val="28"/>
          <w:rtl w:val="true"/>
          <w:lang w:bidi="fa-IR"/>
        </w:rPr>
        <w:t>انّها تعلیقات مختصرة غیر مدوّنة علی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رحمه‌الله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الحاشیة علی خلاصة الأقوال؛</w:t>
      </w:r>
    </w:p>
    <w:p>
      <w:pPr>
        <w:pStyle w:val="BookText"/>
        <w:rPr/>
      </w:pPr>
      <w:r>
        <w:rPr>
          <w:rFonts w:ascii="IRNazanin" w:hAnsi="IRNazanin" w:eastAsia="IRNazanin"/>
          <w:color w:val="111111"/>
          <w:sz w:val="28"/>
          <w:sz w:val="28"/>
          <w:szCs w:val="28"/>
          <w:rtl w:val="true"/>
          <w:lang w:bidi="fa-IR"/>
        </w:rPr>
        <w:t xml:space="preserve">صرّح بها فی حاشیة المجلّد الثانی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والرسائل المتفرّقة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فارسیة، فی عدّة أبواب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42" w:name="pg3709_21888"/>
    </w:p>
    <w:p>
      <w:pPr>
        <w:pStyle w:val="BookText"/>
        <w:rPr/>
      </w:pPr>
      <w:bookmarkEnd w:id="42"/>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سؤال و جواب ؛</w:t>
      </w:r>
    </w:p>
    <w:p>
      <w:pPr>
        <w:pStyle w:val="BookText"/>
        <w:rPr/>
      </w:pPr>
      <w:r>
        <w:rPr>
          <w:rFonts w:ascii="IRNazanin" w:hAnsi="IRNazanin" w:eastAsia="IRNazanin"/>
          <w:color w:val="111111"/>
          <w:sz w:val="28"/>
          <w:sz w:val="28"/>
          <w:szCs w:val="28"/>
          <w:rtl w:val="true"/>
          <w:lang w:bidi="fa-IR"/>
        </w:rPr>
        <w:t xml:space="preserve">الفارسی، عن بعض عقائد الشیخیّة، طبع أوّلاً بعد وفاته سنة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کما ذکره صاحب الذریعة </w:t>
      </w:r>
      <w:r>
        <w:rPr>
          <w:rStyle w:val="FootnoteAnchor"/>
          <w:rtl w:val="true"/>
        </w:rPr>
        <w:footnoteReference w:id="62"/>
      </w:r>
      <w:r>
        <w:rPr>
          <w:rFonts w:ascii="IRNazanin" w:hAnsi="IRNazanin" w:eastAsia="IRNazanin"/>
          <w:color w:val="111111"/>
          <w:sz w:val="28"/>
          <w:sz w:val="28"/>
          <w:szCs w:val="28"/>
          <w:rtl w:val="true"/>
          <w:lang w:bidi="fa-IR"/>
        </w:rPr>
        <w:t xml:space="preserve">؛ وقد طبع ثانیًا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طباعة حروفیّة محقّقة، قامت بتحقیقه وطبعه مکتبة مسجد السیّد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الحلیة اللاّمعة للبهجة المرضیّة؛</w:t>
      </w:r>
    </w:p>
    <w:p>
      <w:pPr>
        <w:pStyle w:val="BookText"/>
        <w:rPr/>
      </w:pPr>
      <w:r>
        <w:rPr>
          <w:rFonts w:ascii="IRNazanin" w:hAnsi="IRNazanin" w:eastAsia="IRNazanin"/>
          <w:color w:val="111111"/>
          <w:sz w:val="28"/>
          <w:sz w:val="28"/>
          <w:szCs w:val="28"/>
          <w:rtl w:val="true"/>
          <w:lang w:bidi="fa-IR"/>
        </w:rPr>
        <w:t xml:space="preserve">هو تعلیقات مدوّنة بمنزلة شرح مبسوط علی شرح الفاضل السیوطی علی ألفیّة النحو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594049_2281741623"/>
      <w:bookmarkStart w:id="44" w:name="_Toc15"/>
      <w:bookmarkEnd w:id="43"/>
      <w:r>
        <w:rPr>
          <w:rtl w:val="true"/>
        </w:rPr>
        <w:t>وفاته و مرقده</w:t>
      </w:r>
      <w:bookmarkEnd w:id="44"/>
    </w:p>
    <w:p>
      <w:pPr>
        <w:pStyle w:val="BookText"/>
        <w:rPr/>
      </w:pPr>
      <w:r>
        <w:rPr>
          <w:rFonts w:ascii="IRNazanin" w:hAnsi="IRNazanin" w:eastAsia="IRNazanin"/>
          <w:color w:val="111111"/>
          <w:sz w:val="28"/>
          <w:sz w:val="28"/>
          <w:szCs w:val="28"/>
          <w:rtl w:val="true"/>
          <w:lang w:bidi="fa-IR"/>
        </w:rPr>
        <w:t xml:space="preserve">عاش ـ قدّس اللّه نفسه الزکیّة ـ ثمانین سنة تقریبًا، ثمّ أجاب دعوة الإلهیّة فی عصیرة یوم الأحد، الثانی من شهر ربیع الثانی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اول حمل و دویم ربیع دویم زدامگاه جهان شد بسوی دار سلام</w:t>
      </w:r>
    </w:p>
    <w:p>
      <w:pPr>
        <w:pStyle w:val="BookText"/>
        <w:rPr/>
      </w:pPr>
      <w:r>
        <w:rPr>
          <w:rFonts w:ascii="IRNazanin" w:hAnsi="IRNazanin" w:eastAsia="IRNazanin"/>
          <w:color w:val="111111"/>
          <w:sz w:val="28"/>
          <w:sz w:val="28"/>
          <w:szCs w:val="28"/>
          <w:rtl w:val="true"/>
          <w:lang w:bidi="fa-IR"/>
        </w:rPr>
        <w:t>بلفظ تازی تاریخ رحلتش گفتم چو بشمری مأتین است و ألف و ستّین عام</w:t>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هما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علی أصحّ الأقوال ـ و دفن بعد ثلاثة أیّام من وفاته فی البقعة الّتی بناها لنفسه فی جانب مسجده الکبیر باصبهان، و هی الآن مشهد معروف و مزار متبرّک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الچهارسوقی قدس‌سره فی الروضات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 مثل یوم وفاته، یوم عظیم، ملأت زقاق البلد من أفواج الأنام رجالاً ونساءًا، یبکون علیه بکاء الفاقد والده الرحیم و مشفقه الکریم، بحیث کان همهمة الخلایق تسمع من وراء البلد، و غسل فی بیته الشریف، ثمّ أتی به إلی المسجد، فصلّی علیه ولده الأفضل وخلفه الأسعد الأرشد والفقیه الأوحد والحبر المؤیّد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وسیّدنا السیّد أسد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 العجائب إتّفاق فراغه من التحصیل ومراجعته من النجف الأشرف بإصرار والده الجلیل فی سنة وفاته، ومسارعة روحه المطهّر إلی جنّاته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أنشدت قصیدة طویلة فی مرثیته بالعربیّة، و مطلعها کما یمرّ بالنظر الفاتر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العزاء و هذه الزفرات ما هی فی الزمر تبکی السماء و فی الأرض الفساد به ظهر</w:t>
      </w:r>
    </w:p>
    <w:p>
      <w:pPr>
        <w:pStyle w:val="BookText"/>
        <w:rPr/>
      </w:pPr>
      <w:r>
        <w:rPr>
          <w:rFonts w:ascii="IRNazanin" w:hAnsi="IRNazanin" w:eastAsia="IRNazanin"/>
          <w:color w:val="111111"/>
          <w:sz w:val="28"/>
          <w:sz w:val="28"/>
          <w:szCs w:val="28"/>
          <w:rtl w:val="true"/>
          <w:lang w:bidi="fa-IR"/>
        </w:rPr>
        <w:t>و جرت عیون الدمع من صمّ الجبال و حاولت لتزول وانشقّت جیوب الصبر واشتمل الضرر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واغبرّت الآفاق واختلّ السیاق بأسره و تغیّرت شمس المشارق منه وانخسف القمر </w:t>
      </w:r>
    </w:p>
    <w:p>
      <w:pPr>
        <w:pStyle w:val="BookText"/>
        <w:rPr/>
      </w:pPr>
      <w:r>
        <w:rPr>
          <w:rFonts w:ascii="IRNazanin" w:hAnsi="IRNazanin" w:eastAsia="IRNazanin"/>
          <w:color w:val="111111"/>
          <w:sz w:val="28"/>
          <w:sz w:val="28"/>
          <w:szCs w:val="28"/>
          <w:rtl w:val="true"/>
          <w:lang w:bidi="fa-IR"/>
        </w:rPr>
        <w:t>ما أکثر الحزن الجدید و أکبر الهول الشدید و أعظم الرزء المفخّم فی الخلائق للبشر</w:t>
      </w:r>
    </w:p>
    <w:p>
      <w:pPr>
        <w:pStyle w:val="BookText"/>
        <w:rPr/>
      </w:pPr>
      <w:r>
        <w:rPr>
          <w:rFonts w:ascii="IRNazanin" w:hAnsi="IRNazanin" w:eastAsia="IRNazanin"/>
          <w:color w:val="111111"/>
          <w:sz w:val="28"/>
          <w:sz w:val="28"/>
          <w:szCs w:val="28"/>
          <w:rtl w:val="true"/>
          <w:lang w:bidi="fa-IR"/>
        </w:rPr>
        <w:t>من فقد سیّدنا الإمام الباقر العلم الّذی جلّت عن العدّ المحامد منه و الکرامات الکبر</w:t>
      </w:r>
    </w:p>
    <w:p>
      <w:pPr>
        <w:pStyle w:val="BookText"/>
        <w:rPr/>
      </w:pPr>
      <w:r>
        <w:rPr>
          <w:rFonts w:ascii="IRNazanin" w:hAnsi="IRNazanin" w:eastAsia="IRNazanin"/>
          <w:color w:val="111111"/>
          <w:sz w:val="28"/>
          <w:sz w:val="28"/>
          <w:szCs w:val="28"/>
          <w:rtl w:val="true"/>
          <w:lang w:bidi="fa-IR"/>
        </w:rPr>
        <w:t>بکّاء جوف اللیل من خوف الإله و مقتدی طول النهار علی نیابته الإمام المنتظر</w:t>
      </w:r>
    </w:p>
    <w:p>
      <w:pPr>
        <w:pStyle w:val="BookText"/>
        <w:rPr/>
      </w:pPr>
      <w:r>
        <w:rPr>
          <w:rFonts w:ascii="IRNazanin" w:hAnsi="IRNazanin" w:eastAsia="IRNazanin"/>
          <w:color w:val="111111"/>
          <w:sz w:val="28"/>
          <w:sz w:val="28"/>
          <w:szCs w:val="28"/>
          <w:rtl w:val="true"/>
          <w:lang w:bidi="fa-IR"/>
        </w:rPr>
        <w:t xml:space="preserve">إلی تمام ثمانین بیتًا تقریبًا، و یقول فی آخرها مؤرّخًا لوفاته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سألت طبعی القرم عن تأریخ رحلته فجرّ ذیلاً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أنزله کریم المستقر</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45" w:name="pg3709_21891"/>
    </w:p>
    <w:p>
      <w:pPr>
        <w:pStyle w:val="Heading3"/>
        <w:numPr>
          <w:ilvl w:val="2"/>
          <w:numId w:val="1"/>
        </w:numPr>
        <w:rPr/>
      </w:pPr>
      <w:bookmarkStart w:id="46" w:name="__RefHeading___Toc594051_2281741623"/>
      <w:bookmarkStart w:id="47" w:name="_Toc16"/>
      <w:bookmarkEnd w:id="45"/>
      <w:bookmarkEnd w:id="46"/>
      <w:r>
        <w:rPr>
          <w:rtl w:val="true"/>
        </w:rPr>
        <w:t>نبذة من ترجمة العالم الزاهد</w:t>
      </w:r>
      <w:bookmarkEnd w:id="47"/>
    </w:p>
    <w:p>
      <w:pPr>
        <w:pStyle w:val="BookText"/>
        <w:rPr/>
      </w:pPr>
      <w:r>
        <w:rPr>
          <w:rFonts w:ascii="IRNazanin" w:hAnsi="IRNazanin" w:eastAsia="IRNazanin"/>
          <w:color w:val="111111"/>
          <w:sz w:val="28"/>
          <w:sz w:val="28"/>
          <w:szCs w:val="28"/>
          <w:rtl w:val="true"/>
          <w:lang w:bidi="fa-IR"/>
        </w:rPr>
        <w:t xml:space="preserve">الشیخ علی أکبر الإیجهی الأصفهانی قدس‌سره </w:t>
      </w:r>
      <w:r>
        <w:rPr>
          <w:rStyle w:val="FootnoteAnchor"/>
          <w:rtl w:val="true"/>
        </w:rPr>
        <w:footnoteReference w:id="66"/>
      </w:r>
    </w:p>
    <w:p>
      <w:pPr>
        <w:pStyle w:val="Heading3"/>
        <w:numPr>
          <w:ilvl w:val="2"/>
          <w:numId w:val="1"/>
        </w:numPr>
        <w:rPr/>
      </w:pPr>
      <w:bookmarkStart w:id="48" w:name="__RefHeading___Toc594053_2281741623"/>
      <w:bookmarkStart w:id="49" w:name="_Toc17"/>
      <w:bookmarkEnd w:id="48"/>
      <w:r>
        <w:rPr>
          <w:rtl w:val="true"/>
        </w:rPr>
        <w:t>اسمه</w:t>
      </w:r>
      <w:bookmarkEnd w:id="49"/>
    </w:p>
    <w:p>
      <w:pPr>
        <w:pStyle w:val="BookText"/>
        <w:rPr/>
      </w:pPr>
      <w:r>
        <w:rPr>
          <w:rFonts w:ascii="IRNazanin" w:hAnsi="IRNazanin" w:eastAsia="IRNazanin"/>
          <w:color w:val="111111"/>
          <w:sz w:val="28"/>
          <w:sz w:val="28"/>
          <w:szCs w:val="28"/>
          <w:rtl w:val="true"/>
          <w:lang w:bidi="fa-IR"/>
        </w:rPr>
        <w:t xml:space="preserve">هو العالم الکامل الزاهد الشیخ علی أکبر بن محمّد باقر الإیجهی الرویدشتی الأصفهانی، من أحفاد العالم العابد الزاهد الصالح، صاحب مقامات باهرة ودرجات رفیعة، الشیخ محمّد شریف بن شمس الدین محمّد الرویدشتی الأصفهانی، المشهور بآقا شریفا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50" w:name="__RefHeading___Toc594055_2281741623"/>
      <w:bookmarkStart w:id="51" w:name="_Toc18"/>
      <w:bookmarkEnd w:id="50"/>
      <w:r>
        <w:rPr>
          <w:rtl w:val="true"/>
        </w:rPr>
        <w:t>نسبته</w:t>
      </w:r>
      <w:bookmarkEnd w:id="51"/>
    </w:p>
    <w:p>
      <w:pPr>
        <w:pStyle w:val="BookText"/>
        <w:rPr/>
      </w:pPr>
      <w:r>
        <w:rPr>
          <w:rFonts w:ascii="IRNazanin" w:hAnsi="IRNazanin" w:eastAsia="IRNazanin"/>
          <w:color w:val="111111"/>
          <w:sz w:val="28"/>
          <w:sz w:val="28"/>
          <w:szCs w:val="28"/>
          <w:rtl w:val="true"/>
          <w:lang w:bidi="fa-IR"/>
        </w:rPr>
        <w:t>أمّا الإیجهی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فنسبة إلی إیجه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قریة کبیرة من قری ناحیة رویدشت أصفهان؛ قال الباحث الخبیر الشیخ آقا بزرک الطهرانی رحمه‌الله فی موضع من ذریعته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للمولی علی أکبر بن محمّد باقر الأصفهانی الإیجهی ـ نسبة إلی قریة إیجه 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اِژِهْ </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الإیجی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الإژهی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اِژِهْ من بلوک رویدشت من أصفهان، ابن المولی محمّد باقر </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یوجد فی بعض المواضع من نسبته بالإیجی، تصحیف ؛ لأنّه نسبة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من توابع شیراز، ومنها القاضی عضد الدین الإیجی الشافعی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المحدّث القمّی قدس‌سره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ترجمة القاضی عضد الإیجی ما هذا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والإیجی 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الهمزة وسکون الیاء المثناة من تحت ثمّ الجیم، وهی من غیر هاء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بفارس، ومع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الإیجهی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قریة کبیرة من قری ناحیة روی دشت أصبهان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الرویدشتی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فنسبة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من نواحی أصفهان ؛ قال الحموی فی المعجم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روذشت،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رویدشت،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رودشت، کلّه لقریة من قری أصبهان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السمعانی فی الأنساب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الرُوَیْدَشْتِی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الراء وبفتح الواو وسکون الیاء المنقوطة باثنتین من تحتها وفتح الدال المهملة وسکون الشین المعجمة وفی آخرها التاء المنقوطة باثنتین من فوقها، هذه 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قری </w:t>
      </w:r>
      <w:bookmarkStart w:id="52" w:name="pg3709_21893"/>
    </w:p>
    <w:p>
      <w:pPr>
        <w:pStyle w:val="BookText"/>
        <w:rPr/>
      </w:pPr>
      <w:bookmarkEnd w:id="52"/>
      <w:r>
        <w:rPr>
          <w:rFonts w:ascii="IRNazanin" w:hAnsi="IRNazanin" w:eastAsia="IRNazanin"/>
          <w:color w:val="111111"/>
          <w:sz w:val="28"/>
          <w:sz w:val="28"/>
          <w:szCs w:val="28"/>
          <w:rtl w:val="true"/>
          <w:lang w:bidi="fa-IR"/>
        </w:rPr>
        <w:t xml:space="preserve">اصبهان، والمشهور بالإنتساب إلیها أبو نصر الحسین بن محمّد بن الحسین الرویدشتی من أهل اصبهان، کان شابًّا مکثرًا من الحدیث، حریصًا علی طلبه، مبالغًا فیه ؛ إلی آخر کلامه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594057_2281741623"/>
      <w:bookmarkStart w:id="54" w:name="_Toc19"/>
      <w:bookmarkEnd w:id="53"/>
      <w:r>
        <w:rPr>
          <w:rtl w:val="true"/>
        </w:rPr>
        <w:t>جدّه</w:t>
      </w:r>
      <w:r>
        <w:rPr>
          <w:rtl w:val="true"/>
        </w:rPr>
        <w:t xml:space="preserve">: </w:t>
      </w:r>
      <w:r>
        <w:rPr>
          <w:rtl w:val="true"/>
        </w:rPr>
        <w:t>المولی محمّد شریف الرویدشتی</w:t>
      </w:r>
      <w:bookmarkEnd w:id="54"/>
    </w:p>
    <w:p>
      <w:pPr>
        <w:pStyle w:val="BookText"/>
        <w:rPr/>
      </w:pPr>
      <w:r>
        <w:rPr>
          <w:rFonts w:ascii="IRNazanin" w:hAnsi="IRNazanin" w:eastAsia="IRNazanin"/>
          <w:color w:val="111111"/>
          <w:sz w:val="28"/>
          <w:sz w:val="28"/>
          <w:szCs w:val="28"/>
          <w:rtl w:val="true"/>
          <w:lang w:bidi="fa-IR"/>
        </w:rPr>
        <w:t xml:space="preserve">کان مترجمنا رحمه‌الله من أحفاد العالم العابد الزاهد الصالح المولی محمّد شریف بن شمس الدین محمّد الرویدشتی الأصفهانی، المشهور بملاّ شریفا، من أفاضل تلامذة شیخنا البهائی قدس‌سره ، ومن مشایخ إجازة العلاّمة المجلسی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خرّیت الصناعة المولی عبداللّه الأصفهانی فی ترجمته فی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شریف الدین محمّد الرویدشتی، کان فاضلاً عظیم الشأن، جلیل القدر، من تلامذة شیخنا البهائی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ترجمة بنته العالمة الفاضلة حمیدة، ما هذا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والدها من تلامذة الشیخ البهائی، وأخذ عنه الأستاذ الإستناد ـ یعنی به العلاّمة المجلسی قدس‌سره ـ الإجازة أیضًا کما صرّح قدس‌سره فی اسناد بعض إجازاته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رأیتُ أنا والدها وکنتُ صغیرًا فی حیاة والدی، و کان والدها </w:t>
      </w:r>
      <w:bookmarkStart w:id="55" w:name="pg3709_21895"/>
    </w:p>
    <w:p>
      <w:pPr>
        <w:pStyle w:val="BookText"/>
        <w:rPr/>
      </w:pPr>
      <w:bookmarkEnd w:id="55"/>
      <w:r>
        <w:rPr>
          <w:rFonts w:ascii="Amiri" w:hAnsi="Amiri" w:eastAsia="Amiri" w:cs="Amiri"/>
          <w:color w:val="111111"/>
          <w:sz w:val="28"/>
          <w:sz w:val="28"/>
          <w:szCs w:val="28"/>
          <w:rtl w:val="true"/>
          <w:lang w:bidi="ar-SA"/>
        </w:rPr>
        <w:t xml:space="preserve">قد طعن فی السنّ، وکان لا یقبل کثرة سنّه ویقلّله مزاحًا، وأظنّ أنّه بلغ سنّه مائة سنة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حرّ العاملی رحمه‌الله فی أمل الآمل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شریف الدین محمّد الرویدشتی، کان فاضلاً عظیم الشأن جلیل القدر، من تلامذة شیخنا البهائی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وأطراه الشیخ البهائی قدس‌سره فی اجازته الّتی کتبها له فی العشر الأخیر من جمادی الأولی سنة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 علیّ الأخ الأعزّ، زبدة الأفاضل، وخلاصة الأماثل، الزکیّ الذکیّ، الألمعیّ اللوذعیّ، حاوی مزایا الکمال </w:t>
      </w:r>
      <w:r>
        <w:rPr>
          <w:rStyle w:val="FootnoteAnchor"/>
          <w:rtl w:val="true"/>
        </w:rPr>
        <w:footnoteReference w:id="76"/>
      </w:r>
      <w:r>
        <w:rPr>
          <w:rFonts w:ascii="Amiri" w:hAnsi="Amiri" w:eastAsia="Amiri" w:cs="Amiri"/>
          <w:color w:val="111111"/>
          <w:sz w:val="28"/>
          <w:sz w:val="28"/>
          <w:szCs w:val="28"/>
          <w:rtl w:val="true"/>
          <w:lang w:bidi="ar-SA"/>
        </w:rPr>
        <w:t xml:space="preserve">، جامع محامد الخصال، البالغ درجة الإستدلال </w:t>
      </w:r>
      <w:r>
        <w:rPr>
          <w:rStyle w:val="FootnoteAnchor"/>
          <w:rtl w:val="true"/>
        </w:rPr>
        <w:footnoteReference w:id="77"/>
      </w:r>
      <w:r>
        <w:rPr>
          <w:rFonts w:ascii="IRNazanin" w:hAnsi="IRNazanin" w:eastAsia="IRNazanin"/>
          <w:color w:val="111111"/>
          <w:sz w:val="28"/>
          <w:sz w:val="28"/>
          <w:szCs w:val="28"/>
          <w:rtl w:val="true"/>
          <w:lang w:bidi="fa-IR"/>
        </w:rPr>
        <w:t xml:space="preserve">، شرفا للإفادة والإفاضة والتقوی والدین، شریفا محمّدا ـ وفّقه اللّه سبحانه للإرتقاء إلی أرفع الدرجات ـ نبذة من المطالب الدینیّة وقراءة تنبی‌ء عن طبع نقّاد و ذهن وقّاد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توفّی ـ أعلی اللّه مقامه ـ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79"/>
      </w:r>
      <w:r>
        <w:rPr>
          <w:rFonts w:ascii="IRNazanin" w:hAnsi="IRNazanin" w:eastAsia="IRNazanin"/>
          <w:color w:val="111111"/>
          <w:sz w:val="28"/>
          <w:sz w:val="28"/>
          <w:szCs w:val="28"/>
          <w:rtl w:val="true"/>
          <w:lang w:bidi="fa-IR"/>
        </w:rPr>
        <w:t>، ودفن فی بقعة بمزار الإیجه</w:t>
      </w:r>
      <w:r>
        <w:rPr>
          <w:rFonts w:eastAsia="IRNazanin" w:cs="IRNazanin"/>
          <w:color w:val="111111"/>
          <w:sz w:val="28"/>
          <w:szCs w:val="28"/>
          <w:rtl w:val="true"/>
          <w:lang w:bidi="fa-IR"/>
        </w:rPr>
        <w:t>.</w:t>
      </w:r>
    </w:p>
    <w:p>
      <w:pPr>
        <w:pStyle w:val="Heading3"/>
        <w:numPr>
          <w:ilvl w:val="2"/>
          <w:numId w:val="1"/>
        </w:numPr>
        <w:rPr/>
      </w:pPr>
      <w:bookmarkStart w:id="56" w:name="__RefHeading___Toc594059_2281741623"/>
      <w:bookmarkStart w:id="57" w:name="_Toc20"/>
      <w:bookmarkEnd w:id="56"/>
      <w:r>
        <w:rPr>
          <w:rtl w:val="true"/>
        </w:rPr>
        <w:t>الشیخة حمیدة بنت آقا شریفا الرویدشتی</w:t>
      </w:r>
      <w:bookmarkEnd w:id="5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ولآقا شریفا الرویدشتی الاصفهانی بنت مسمّاة بحمیدة، کانت عالمة فاضلة، </w:t>
      </w:r>
    </w:p>
    <w:p>
      <w:pPr>
        <w:pStyle w:val="BookText"/>
        <w:rPr/>
      </w:pPr>
      <w:r>
        <w:rPr>
          <w:rFonts w:ascii="IRNazanin" w:hAnsi="IRNazanin" w:eastAsia="IRNazanin"/>
          <w:color w:val="111111"/>
          <w:sz w:val="28"/>
          <w:sz w:val="28"/>
          <w:szCs w:val="28"/>
          <w:rtl w:val="true"/>
          <w:lang w:bidi="fa-IR"/>
        </w:rPr>
        <w:t xml:space="preserve">ترجمها فی الریاض فی باب النساء،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 بنت مولانا محمّد شریف بن شمس الدین محمّد الرویدشتی الأصفهانی، والرویدشت ناحیة من توابع اصفهان، وکانت ـ رحمة اللّه علیها ـ فاضلة عالمة عارفة، معلّمة لنساء عصرها، بصیرة بعلم الرجال، نقیّة الکلام، بقیّة الفضلاء الأعلام، تقیّة من بین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حواشی وتدقیقات علی کتب الحدیث کالإستبصار للشیخ الطوسی وغیره، تدلّ علی غایة فهمها ودقّتها واطّلاعها، وخاصّة فیما یتعلّق بتحقیق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رأیت نسخة من الإستبصار وعلیها حواشیها إلی آخر الکتاب، وأظنّ أنّها کانت بخطّها رضی اللّه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والدی قدس‌سره کثیرًا ما ینقل حواشیها فی هوامش کتب الحدیث ویستنسخها ویحسّنها، وکان عندنا نسخة من‌الإستبصار وعلیها حواشی الحمیدة‌المذکورة بخطّ والدی إلی أواخر کتاب الصلاة، حسنة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قرأت هی ـ قدّس سرّها ـ علی والدها، وکان أبوها یُثنی علیها ویستظرف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لحمیدة ربطًا بالرجال، یعنی تعتنی بعلم الرجال، وکان یسمّیها للتمزح بعلاّمتة بالتائین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إحداهما للتأنیث وأخری للمبالغة </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وتوفّیت ـ رضی اللّه عنها ـ علی ما بالبال بعد أبیها فی سنة سبع وثمانین وألف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یقرب من ذلک، واللّه یعلم </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58" w:name="pg3709_21899"/>
    </w:p>
    <w:p>
      <w:pPr>
        <w:pStyle w:val="Heading3"/>
        <w:numPr>
          <w:ilvl w:val="2"/>
          <w:numId w:val="1"/>
        </w:numPr>
        <w:rPr/>
      </w:pPr>
      <w:bookmarkStart w:id="59" w:name="__RefHeading___Toc594061_2281741623"/>
      <w:bookmarkStart w:id="60" w:name="_Toc21"/>
      <w:bookmarkEnd w:id="58"/>
      <w:bookmarkEnd w:id="59"/>
      <w:r>
        <w:rPr>
          <w:rtl w:val="true"/>
        </w:rPr>
        <w:t>الشیخة فاطمة بنت الشیخة حمیدة</w:t>
      </w:r>
      <w:bookmarkEnd w:id="60"/>
    </w:p>
    <w:p>
      <w:pPr>
        <w:pStyle w:val="BookText"/>
        <w:rPr/>
      </w:pPr>
      <w:r>
        <w:rPr>
          <w:rFonts w:ascii="IRNazanin" w:hAnsi="IRNazanin" w:eastAsia="IRNazanin"/>
          <w:color w:val="111111"/>
          <w:sz w:val="28"/>
          <w:sz w:val="28"/>
          <w:szCs w:val="28"/>
          <w:rtl w:val="true"/>
          <w:lang w:bidi="fa-IR"/>
        </w:rPr>
        <w:t xml:space="preserve">ترجمها فی الریاض فی باب النساء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بنت حمیدة بنت المولی محمّد شریف بن شمس الدین محمّد الرویدشتی الأصفهانی ـ رضوان اللّه علیهما وعلی أبیهما ـ وهی أیضًا کانت فاضلة عالمة عابدة ورعة، ولم أعلم لها تألیفًا، و هی تکون أیضًا معلّمة لنسوان عصرها، وفی الأغلب تکون فی بیت سلسلة الوزیر المرحوم خلیفة سلطان بأصفهان، والآن هی موجودة الحیاة، وقد زوّجوها من رجل قروی أسوأ من بدوی، وکان فی الفهامة کالباقل وفی الحماقة کزوج والدتها، وهو غیر عاقل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594063_2281741623"/>
      <w:bookmarkStart w:id="62" w:name="_Toc22"/>
      <w:bookmarkEnd w:id="61"/>
      <w:r>
        <w:rPr>
          <w:rtl w:val="true"/>
        </w:rPr>
        <w:t>أقوال العلماء فیه</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صاحب الروضات رحمه‌الله فی ترجمته ما هذا نصّه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العالم العریف والعارف العفیف والعنصر اللطیف مولانا علی أکبر ابن محمّد باقر الإیجی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الأصفهانی، الفقیه المتکلّم، الواعظ المتبحّر الظریف، والمستغنی بکمال شهرته بین الطائفة عن مؤنة التوصیف والتعریف، قدّس اللّه تعالی سرّه المنیف وروّح روحه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واعظًا حافظًا، جلیل القدر، عظیم الشأن، طلق اللسان، حسن </w:t>
      </w:r>
    </w:p>
    <w:p>
      <w:pPr>
        <w:pStyle w:val="BookText"/>
        <w:rPr/>
      </w:pPr>
      <w:r>
        <w:rPr>
          <w:rFonts w:ascii="IRNazanin" w:hAnsi="IRNazanin" w:eastAsia="IRNazanin"/>
          <w:color w:val="111111"/>
          <w:sz w:val="28"/>
          <w:sz w:val="28"/>
          <w:szCs w:val="28"/>
          <w:rtl w:val="true"/>
          <w:lang w:bidi="fa-IR"/>
        </w:rPr>
        <w:t xml:space="preserve">البیان، جمیل العرفان، قلیل الأکل والراحة، کثیر الزهد والعبادة، مرتاضًا فی الغایة، مراعیًا للقناعة، مواظبًا للجماعة، یصلّی مدّة حیاته الجماعة بأصفهان فی الجامع المعروف بمسجد علی، الواقع فی محلّة عتیق المیدان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قد وصفه تلمیذه العالم الفاضل الشیخ محمّد مهدی الرازی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کامل عالم عامل زاهد بارع باذل تقی نقی عادل ألمعی عارف واعظ متکلّم مرتاض فقیه وجیه محقّق مدقّق، حسن الأخلاق، جامع الکمالات الصوریّة والمعنویّة، متهجّد کثیر البکاء، دائم الحزن، قلیل النوم، جلیل القدر، رفیع الشأن، جامع البحرین العلمیّة والعملیّة، النقلیّة والعقلیّة، و له تصانیف و تحقیقات و آداب عجیبة رشیقة، حسن التقریر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وترجمه الحجّة السیّد حسن الصدر قدس‌سره فی التکملة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المحقّق الأصولی، صاحب زبدة المعارف و کتاب أحکام حدود الشرعیّة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سکن یزد وفوّضت إلیه إمامة الجمعة والجماعة من قبل السلطان فتح علی شاه القاجار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مدّة بأصفهان من أحد أعلام علماء الدین وفقهائه المتبحّرین والمحامین عن حوزته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وأطراه السیّد الأمین قدس‌سره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bookmarkStart w:id="63" w:name="pg3709_21903"/>
    </w:p>
    <w:p>
      <w:pPr>
        <w:pStyle w:val="BookText"/>
        <w:rPr/>
      </w:pPr>
      <w:bookmarkEnd w:id="63"/>
      <w:r>
        <w:rPr>
          <w:rFonts w:ascii="IRNazanin" w:hAnsi="IRNazanin" w:eastAsia="IRNazanin"/>
          <w:color w:val="111111"/>
          <w:sz w:val="28"/>
          <w:sz w:val="28"/>
          <w:szCs w:val="28"/>
          <w:rtl w:val="true"/>
          <w:lang w:bidi="fa-IR"/>
        </w:rPr>
        <w:t xml:space="preserve">الشیخ علی أکبر بن محمّد باقر الإیجی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أصفهان، ودفن فی تخت فولاذ، عالم، فقیه، متکلّم، واعظ، متبحّر، عابد، متهجّد، مرتاض، کثیر الزهادة والعبادة، قلیل الأکل والراحة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594065_2281741623"/>
      <w:bookmarkStart w:id="65" w:name="_Toc23"/>
      <w:bookmarkEnd w:id="64"/>
      <w:r>
        <w:rPr>
          <w:rtl w:val="true"/>
        </w:rPr>
        <w:t>أساتیده</w:t>
      </w:r>
      <w:bookmarkEnd w:id="65"/>
    </w:p>
    <w:p>
      <w:pPr>
        <w:pStyle w:val="BookText"/>
        <w:rPr/>
      </w:pPr>
      <w:r>
        <w:rPr>
          <w:rFonts w:ascii="IRNazanin" w:hAnsi="IRNazanin" w:eastAsia="IRNazanin"/>
          <w:color w:val="111111"/>
          <w:sz w:val="28"/>
          <w:sz w:val="28"/>
          <w:szCs w:val="28"/>
          <w:rtl w:val="true"/>
          <w:lang w:bidi="fa-IR"/>
        </w:rPr>
        <w:t>أشار المحقّق الچهارسوقی رحمه‌الله إلی بعض أساتیذه ، قال عند ترجمته المبسوطة فی الروضات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تلمّذ غالبًا عند مشایخ سمیّه المتعقّب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الحکیم المولی علی بن جمشید النوری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المعقول، وفی المنقول علی کثیر من فقهائنا الفحول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فی ترجمة المولی علی النوری رحمه‌الله أنّه تلمّذ باصفهان فی فنون الحکمة والکلام عند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الحکیم آقا محمّد البیدآبادی قدس‌سره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والمیرزا أبی القاسم المدرّس الاصفهانی قدس‌سره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594067_2281741623"/>
      <w:bookmarkStart w:id="67" w:name="_Toc24"/>
      <w:bookmarkEnd w:id="66"/>
      <w:r>
        <w:rPr>
          <w:rtl w:val="true"/>
        </w:rPr>
        <w:t>تلامیذه</w:t>
      </w:r>
      <w:bookmarkEnd w:id="6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نستعرض جملة من تلامذته ممّا توصّلنا إلیه بالترتیب التالی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العالم المحقّق السیّد زین العابدین الموسوی الخوانساری قدس‌سره</w:t>
      </w:r>
    </w:p>
    <w:p>
      <w:pPr>
        <w:pStyle w:val="BookText"/>
        <w:rPr/>
      </w:pPr>
      <w:r>
        <w:rPr>
          <w:rFonts w:ascii="IRNazanin" w:hAnsi="IRNazanin" w:eastAsia="IRNazanin"/>
          <w:color w:val="111111"/>
          <w:sz w:val="28"/>
          <w:sz w:val="28"/>
          <w:szCs w:val="28"/>
          <w:rtl w:val="true"/>
          <w:lang w:bidi="fa-IR"/>
        </w:rPr>
        <w:t xml:space="preserve">قال ولده صاحب الروضات رحمه‌الله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الأسرة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وممّن أدرک الوالد مجلسه وفاز بالتقاط فرائد مدرسه، هو المولی الاولی العالم العامل العارف المتکلّم المتتبّع الجامع البارع الزاهد العابد المجاهد، فرید عصره ووحید دهره فی الورع والریاضة والجلالة والجامعیّة والوعظ والإرشاد والعرفان، الإمام الهمام، الحکیم العلیم الربّانی مولانا علی أکبر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العالم الفاضل الشیخ محمّد مهدی الرازی رحمه‌الله</w:t>
      </w:r>
    </w:p>
    <w:p>
      <w:pPr>
        <w:pStyle w:val="BookText"/>
        <w:rPr/>
      </w:pPr>
      <w:r>
        <w:rPr>
          <w:rFonts w:ascii="IRNazanin" w:hAnsi="IRNazanin" w:eastAsia="IRNazanin"/>
          <w:color w:val="111111"/>
          <w:sz w:val="28"/>
          <w:sz w:val="28"/>
          <w:szCs w:val="28"/>
          <w:rtl w:val="true"/>
          <w:lang w:bidi="fa-IR"/>
        </w:rPr>
        <w:t xml:space="preserve">قال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جملة من أوصاف أستاذه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وقرأنا علیه نبذا من معالم الأصول، وأصول الکافی</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علی أصغر بن السیّد قاسم الزوّاری الطباطبائی</w:t>
      </w:r>
    </w:p>
    <w:p>
      <w:pPr>
        <w:pStyle w:val="BookText"/>
        <w:rPr/>
      </w:pPr>
      <w:r>
        <w:rPr>
          <w:rFonts w:ascii="IRNazanin" w:hAnsi="IRNazanin" w:eastAsia="IRNazanin"/>
          <w:color w:val="111111"/>
          <w:sz w:val="28"/>
          <w:sz w:val="28"/>
          <w:szCs w:val="28"/>
          <w:rtl w:val="true"/>
          <w:lang w:bidi="fa-IR"/>
        </w:rPr>
        <w:t>انّه کتب بخطّه من مصنّفات أستاذه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زبدة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تلمّذه عنده، وقد فرغ من کتابته ضحوة یوم السبت سلخ شهر محرّم الحرام سنة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أبو تراب بن أبو القاسم الحسینی النطنزی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کتب بخطّه من تصنیفات صاحب الترجمة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أحکام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عبّر فیها عنه بأستاذ الأعظم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68" w:name="pg3709_21907"/>
    </w:p>
    <w:p>
      <w:pPr>
        <w:pStyle w:val="Heading3"/>
        <w:numPr>
          <w:ilvl w:val="2"/>
          <w:numId w:val="1"/>
        </w:numPr>
        <w:rPr/>
      </w:pPr>
      <w:bookmarkStart w:id="69" w:name="__RefHeading___Toc594069_2281741623"/>
      <w:bookmarkStart w:id="70" w:name="_Toc25"/>
      <w:bookmarkEnd w:id="68"/>
      <w:bookmarkEnd w:id="69"/>
      <w:r>
        <w:rPr>
          <w:rtl w:val="true"/>
        </w:rPr>
        <w:t>مؤلّفاته</w:t>
      </w:r>
      <w:bookmarkEnd w:id="70"/>
    </w:p>
    <w:p>
      <w:pPr>
        <w:pStyle w:val="BookText"/>
        <w:rPr/>
      </w:pPr>
      <w:r>
        <w:rPr>
          <w:rFonts w:ascii="IRNazanin" w:hAnsi="IRNazanin" w:eastAsia="IRNazanin"/>
          <w:color w:val="111111"/>
          <w:sz w:val="28"/>
          <w:sz w:val="28"/>
          <w:szCs w:val="28"/>
          <w:rtl w:val="true"/>
          <w:lang w:bidi="fa-IR"/>
        </w:rPr>
        <w:t>قد ترک مترجمنا آثارًا قیّمةً فی مختلف العلوم الإسلامیّة، تدلّ علی مقامه الرفیع ومکانته السامیة، وفی هذه العجالة نذکر ما عثرنا علیه من آثاره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آداب صلاة اللیل وثوابها ووظائفها وآدابها؛</w:t>
      </w:r>
    </w:p>
    <w:p>
      <w:pPr>
        <w:pStyle w:val="BookText"/>
        <w:rPr/>
      </w:pPr>
      <w:r>
        <w:rPr>
          <w:rFonts w:ascii="IRNazanin" w:hAnsi="IRNazanin" w:eastAsia="IRNazanin"/>
          <w:color w:val="111111"/>
          <w:sz w:val="28"/>
          <w:sz w:val="28"/>
          <w:szCs w:val="28"/>
          <w:rtl w:val="true"/>
          <w:lang w:bidi="fa-IR"/>
        </w:rPr>
        <w:t xml:space="preserve">قال صاحب الروضات قدس‌سره فی ترجمة المؤلّف رحمه‌الله ما هذا نصّه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أیضًا رسالة لطیفة فی کیفیّة صلاة اللیل وثوابها ووظائفها وآدابها، لم یکتب أحد مثلها فی هذه المقامات، ویظهر منها انّه کان قائم اللیل، دائم التهجّد، کثیر البکاء، عظیم الخوف، طریف المناجات، محبوبًا مجذوبًا مستجاب الدعوة، مقضی الحاجات، إنتهی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صاحب الذریعة من تصانیفه وعبّر عنه بآداب صلاة اللیل وأعمالها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أجوبة المسائل الفقهیّة ؛ نسبه إلیه فی ترجمته المبسوطة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حاکیًا له عن بعض أهل بیته المطّلعین علیه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أحکام الحدود الشرعیّة؛</w:t>
      </w:r>
    </w:p>
    <w:p>
      <w:pPr>
        <w:pStyle w:val="BookText"/>
        <w:rPr/>
      </w:pPr>
      <w:r>
        <w:rPr>
          <w:rFonts w:ascii="IRNazanin" w:hAnsi="IRNazanin" w:eastAsia="IRNazanin"/>
          <w:color w:val="111111"/>
          <w:sz w:val="28"/>
          <w:sz w:val="28"/>
          <w:szCs w:val="28"/>
          <w:rtl w:val="true"/>
          <w:lang w:bidi="fa-IR"/>
        </w:rPr>
        <w:t>ذکره معاصره المحقّق الچهارسوقی رحمه‌الله ضمن مؤلّفاته، قال فی الروضات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وکتاب مبسوط فی خصوص أحکام الحدود الشرعیّة، عندنا منه نسخة بهیّة بخطّه الشریف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ترجمة الصلاة وأسرار الصلاة؛</w:t>
      </w:r>
    </w:p>
    <w:p>
      <w:pPr>
        <w:pStyle w:val="BookText"/>
        <w:rPr/>
      </w:pPr>
      <w:r>
        <w:rPr>
          <w:rFonts w:ascii="IRNazanin" w:hAnsi="IRNazanin" w:eastAsia="IRNazanin"/>
          <w:color w:val="111111"/>
          <w:sz w:val="28"/>
          <w:sz w:val="28"/>
          <w:szCs w:val="28"/>
          <w:rtl w:val="true"/>
          <w:lang w:bidi="fa-IR"/>
        </w:rPr>
        <w:t>صرّح به المؤلّف فی آخر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آداب صلاة اللیل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التعلیقة علی آیات الأحکام للمقدّس الأردبیلی رحمه‌الله ؛</w:t>
      </w:r>
    </w:p>
    <w:p>
      <w:pPr>
        <w:pStyle w:val="BookText"/>
        <w:rPr/>
      </w:pPr>
      <w:r>
        <w:rPr>
          <w:rFonts w:ascii="IRNazanin" w:hAnsi="IRNazanin" w:eastAsia="IRNazanin"/>
          <w:color w:val="111111"/>
          <w:sz w:val="28"/>
          <w:sz w:val="28"/>
          <w:szCs w:val="28"/>
          <w:rtl w:val="true"/>
          <w:lang w:bidi="fa-IR"/>
        </w:rPr>
        <w:t xml:space="preserve">ذکرها حفیده الشیخ جلال الدین الاِژِه‌ئی </w:t>
      </w:r>
      <w:r>
        <w:rPr>
          <w:rStyle w:val="FootnoteAnchor"/>
          <w:rtl w:val="true"/>
        </w:rPr>
        <w:footnoteReference w:id="96"/>
      </w:r>
      <w:r>
        <w:rPr>
          <w:rFonts w:ascii="IRNazanin" w:hAnsi="IRNazanin" w:eastAsia="IRNazanin"/>
          <w:color w:val="111111"/>
          <w:sz w:val="28"/>
          <w:sz w:val="28"/>
          <w:szCs w:val="28"/>
          <w:rtl w:val="true"/>
          <w:lang w:bidi="fa-IR"/>
        </w:rPr>
        <w:t xml:space="preserve">فی مقدّمته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آداب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للمؤلّف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التعلیقة علی تفسیر الصافی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دستور العمل؛</w:t>
      </w:r>
    </w:p>
    <w:p>
      <w:pPr>
        <w:pStyle w:val="BookText"/>
        <w:rPr/>
      </w:pPr>
      <w:r>
        <w:rPr>
          <w:rFonts w:ascii="IRNazanin" w:hAnsi="IRNazanin" w:eastAsia="IRNazanin"/>
          <w:color w:val="111111"/>
          <w:sz w:val="28"/>
          <w:sz w:val="28"/>
          <w:szCs w:val="28"/>
          <w:rtl w:val="true"/>
          <w:lang w:bidi="fa-IR"/>
        </w:rPr>
        <w:t xml:space="preserve">قال فی الذریعة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لعمل المقلّدین مع مقدّمة فی أصول الدین، للمولی علی أکبر الأصفهانی، رأیته فی مکتبة السیّد محمّد باقر الحجّة؛ والمظنون أنّ المؤلّف هو المولی علی أکبر بن محمّد باقر الإیجهی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الإژه‌ئی</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توجد نسخته المخطوطة فی مؤسّسة کاشف الغطاء العامّة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الردّ علی الشیخ أحمد الاحسائی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الطریقة المحدثة الشیخیّة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الطهرانی قدس‌سره فی الذریعة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الردّ علی الشیخ أحمد الاحسائی فی بعض کلماته فی رسائله، للمولی </w:t>
      </w:r>
    </w:p>
    <w:p>
      <w:pPr>
        <w:pStyle w:val="BookText"/>
        <w:rPr/>
      </w:pPr>
      <w:r>
        <w:rPr>
          <w:rFonts w:ascii="IRNazanin" w:hAnsi="IRNazanin" w:eastAsia="IRNazanin"/>
          <w:color w:val="111111"/>
          <w:sz w:val="28"/>
          <w:sz w:val="28"/>
          <w:szCs w:val="28"/>
          <w:rtl w:val="true"/>
          <w:lang w:bidi="fa-IR"/>
        </w:rPr>
        <w:t xml:space="preserve">علی أکبر بن محمّد باقر الإیجی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ذکره فی الروضات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الردّ علی الفادری النصرانی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ألّفه باستدعاء السلطان فتحعلی شاه القاجار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الروضات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أیضًا کتاب الردّ علی الفادری النصرانی المورد للشبهات الواهیة علی دین الإسلام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الردّ علی مَن جوّز التسلیمات الثلاث فی النافلة؛</w:t>
      </w:r>
    </w:p>
    <w:p>
      <w:pPr>
        <w:pStyle w:val="BookText"/>
        <w:rPr/>
      </w:pPr>
      <w:r>
        <w:rPr>
          <w:rFonts w:ascii="IRNazanin" w:hAnsi="IRNazanin" w:eastAsia="IRNazanin"/>
          <w:color w:val="111111"/>
          <w:sz w:val="28"/>
          <w:sz w:val="28"/>
          <w:szCs w:val="28"/>
          <w:rtl w:val="true"/>
          <w:lang w:bidi="fa-IR"/>
        </w:rPr>
        <w:t>کتبه فی الردّ علی رسالة حجّة الإسلام الشفتی قدس‌سره ، وسیأتی الکلام عنه مفصّلاً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الردّ علی المیرزا محمّد الأخباری؛</w:t>
      </w:r>
    </w:p>
    <w:p>
      <w:pPr>
        <w:pStyle w:val="BookText"/>
        <w:rPr/>
      </w:pPr>
      <w:r>
        <w:rPr>
          <w:rFonts w:ascii="IRNazanin" w:hAnsi="IRNazanin" w:eastAsia="IRNazanin"/>
          <w:color w:val="111111"/>
          <w:sz w:val="28"/>
          <w:sz w:val="28"/>
          <w:szCs w:val="28"/>
          <w:rtl w:val="true"/>
          <w:lang w:bidi="fa-IR"/>
        </w:rPr>
        <w:t xml:space="preserve">قال فی الروضات عند عدّ تصنیفات المترجم له قدس‌سره ما هذا نصّ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وکتاب الردّ علی طریقة المیرزا محمّد الاخباری فی انکاره لأساس الإجتهاد فی الأحکام ومنعه عن التقلید لغیر المعصومین علیهم‌السلام ، وهو فیما ینیف علی عشرة آلاف بیت، وفیه من التحقیقات المنیفة کیت وکیت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جلال الدین الإژه‌ئی رحمه‌الله من أحفاد المؤلّف قدس‌سره فی مقدّمته علی </w:t>
      </w:r>
    </w:p>
    <w:p>
      <w:pPr>
        <w:pStyle w:val="BookText"/>
        <w:rPr/>
      </w:pPr>
      <w:r>
        <w:rPr>
          <w:rFonts w:ascii="IRNazanin" w:hAnsi="IRNazanin" w:eastAsia="IRNazanin"/>
          <w:color w:val="111111"/>
          <w:sz w:val="28"/>
          <w:sz w:val="28"/>
          <w:szCs w:val="28"/>
          <w:rtl w:val="true"/>
          <w:lang w:bidi="fa-IR"/>
        </w:rPr>
        <w:t xml:space="preserve">رسالة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مصنّفاته أیضًا رسالة مبسوطة فی الإجتهاد وبطلان الرأی والقیاس یسمّی بـ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الواعظین وانجاح الطالبین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صرّح قدس‌سره بذلک فی زبدة المعارف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أحکام المواریث؛</w:t>
      </w:r>
    </w:p>
    <w:p>
      <w:pPr>
        <w:pStyle w:val="BookText"/>
        <w:rPr/>
      </w:pPr>
      <w:r>
        <w:rPr>
          <w:rFonts w:ascii="IRNazanin" w:hAnsi="IRNazanin" w:eastAsia="IRNazanin"/>
          <w:color w:val="111111"/>
          <w:sz w:val="28"/>
          <w:sz w:val="28"/>
          <w:szCs w:val="28"/>
          <w:rtl w:val="true"/>
          <w:lang w:bidi="fa-IR"/>
        </w:rPr>
        <w:t>قال المحقّق الطهرانی قدس‌سره فی ذریعته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الإرث، للمولی علی أکبر بن محمّد باقر الإیجی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الأصفهانی، المتوفّی سنة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نسبه إلیه فی ترجمته المبسوطة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حاکیًا له عن بعض أهل بیته المطّلعین علیه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توجد نسخة منها بخطّ تلمیذه السیّد أبی تراب الحسینی النطنزی فی مکتبة شیخنا العلاّمة المحقّق آیة اللّه السیّد محمّد علی الروضاتی قدس‌سره بأصفهان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تعیین السلام الأخیر فی النوافل؛ سیأتی الکلام عنها مفصّلاً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التیمّم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الزکاة والخمس؛</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ذکرها فی الروضات حاکیًا لها عن بعض أهل بیته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الصید والذباحة؛</w:t>
      </w:r>
    </w:p>
    <w:p>
      <w:pPr>
        <w:pStyle w:val="BookText"/>
        <w:rPr/>
      </w:pPr>
      <w:r>
        <w:rPr>
          <w:rFonts w:ascii="IRNazanin" w:hAnsi="IRNazanin" w:eastAsia="IRNazanin"/>
          <w:color w:val="111111"/>
          <w:sz w:val="28"/>
          <w:sz w:val="28"/>
          <w:szCs w:val="28"/>
          <w:rtl w:val="true"/>
          <w:lang w:bidi="fa-IR"/>
        </w:rPr>
        <w:t xml:space="preserve">صرّح بها المؤلّف فی الزبدة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ألّفها باستدعاء السلطان فتحعلی شاه القاجار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القضاء والشهادات؛</w:t>
      </w:r>
    </w:p>
    <w:p>
      <w:pPr>
        <w:pStyle w:val="BookText"/>
        <w:rPr/>
      </w:pPr>
      <w:r>
        <w:rPr>
          <w:rFonts w:ascii="IRNazanin" w:hAnsi="IRNazanin" w:eastAsia="IRNazanin"/>
          <w:color w:val="111111"/>
          <w:sz w:val="28"/>
          <w:sz w:val="28"/>
          <w:szCs w:val="28"/>
          <w:rtl w:val="true"/>
          <w:lang w:bidi="fa-IR"/>
        </w:rPr>
        <w:t xml:space="preserve">ذکرها فی الروضات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المعارف الإلهیّة؛</w:t>
      </w:r>
    </w:p>
    <w:p>
      <w:pPr>
        <w:pStyle w:val="BookText"/>
        <w:rPr/>
      </w:pPr>
      <w:r>
        <w:rPr>
          <w:rFonts w:ascii="IRNazanin" w:hAnsi="IRNazanin" w:eastAsia="IRNazanin"/>
          <w:color w:val="111111"/>
          <w:sz w:val="28"/>
          <w:sz w:val="28"/>
          <w:szCs w:val="28"/>
          <w:rtl w:val="true"/>
          <w:lang w:bidi="fa-IR"/>
        </w:rPr>
        <w:t xml:space="preserve">کتبها فی جملة من مباحث المعارف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و 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المعراج؛</w:t>
      </w:r>
    </w:p>
    <w:p>
      <w:pPr>
        <w:pStyle w:val="BookText"/>
        <w:rPr/>
      </w:pPr>
      <w:r>
        <w:rPr>
          <w:rFonts w:ascii="IRNazanin" w:hAnsi="IRNazanin" w:eastAsia="IRNazanin"/>
          <w:color w:val="111111"/>
          <w:sz w:val="28"/>
          <w:sz w:val="28"/>
          <w:szCs w:val="28"/>
          <w:rtl w:val="true"/>
          <w:lang w:bidi="fa-IR"/>
        </w:rPr>
        <w:t xml:space="preserve">فرغ منها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طبعت باسم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آسمانی یا معراج پیغمبر اکرم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أصفهان عامّ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باهتمام حفید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جلال الدین الإژه‌ئی رحمه‌الله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زبدة المعارف؛</w:t>
      </w:r>
    </w:p>
    <w:p>
      <w:pPr>
        <w:pStyle w:val="BookText"/>
        <w:rPr/>
      </w:pPr>
      <w:r>
        <w:rPr>
          <w:rFonts w:ascii="IRNazanin" w:hAnsi="IRNazanin" w:eastAsia="IRNazanin"/>
          <w:color w:val="111111"/>
          <w:sz w:val="28"/>
          <w:sz w:val="28"/>
          <w:szCs w:val="28"/>
          <w:rtl w:val="true"/>
          <w:lang w:bidi="fa-IR"/>
        </w:rPr>
        <w:t>قال الشیخ آقا بزرک الطهرانی رحمه‌الله فی الذریعة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زبدة المعارف فی أصول الدین والمعارف، للمولی علی أکبر الإیجی الإژهی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کتبه باسم السلطان فتحعلی شاه، و فرغ منه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متداول کبیر، وقد طبع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الأسفار لصدر المتألّهین؛</w:t>
      </w:r>
    </w:p>
    <w:p>
      <w:pPr>
        <w:pStyle w:val="BookText"/>
        <w:rPr/>
      </w:pPr>
      <w:r>
        <w:rPr>
          <w:rFonts w:ascii="IRNazanin" w:hAnsi="IRNazanin" w:eastAsia="IRNazanin"/>
          <w:color w:val="111111"/>
          <w:sz w:val="28"/>
          <w:sz w:val="28"/>
          <w:szCs w:val="28"/>
          <w:rtl w:val="true"/>
          <w:lang w:bidi="fa-IR"/>
        </w:rPr>
        <w:t xml:space="preserve">عدّه حفیده الشیخ جلال الدین رحمه‌الله من تصانیفه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شرح علی المجلّد الأوّل من الأسفار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إعتقادات عبد العظیم الحسنی؛</w:t>
      </w:r>
    </w:p>
    <w:p>
      <w:pPr>
        <w:pStyle w:val="BookText"/>
        <w:rPr/>
      </w:pPr>
      <w:r>
        <w:rPr>
          <w:rFonts w:ascii="IRNazanin" w:hAnsi="IRNazanin" w:eastAsia="IRNazanin"/>
          <w:color w:val="111111"/>
          <w:sz w:val="28"/>
          <w:sz w:val="28"/>
          <w:szCs w:val="28"/>
          <w:rtl w:val="true"/>
          <w:lang w:bidi="fa-IR"/>
        </w:rPr>
        <w:t>قال الشیخ الطهرانی قدس‌سره فی ذریعته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اعتقادات عبد العظیم الّتی عرضها علی الإمام علیّ الهادی علیه‌السلام ، فارسی، للمولی علی أکبر بن محمّد باقر الأصفهانی الإیجهی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ذکر فی الروضات تصانیفه ما عدا هذا الکتاب، وقد ألّفه فی عصر السلطان فتح علی شاه بأمر أمین الدولة الحاج محمّد حسین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مر خدای را که جهان شریعت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مکتبة المیرزا محمّد الطهرانی فی سامراء، وتأریخ کتابته سنة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الکافی لثقة الإسلام الکلینی؛</w:t>
      </w:r>
    </w:p>
    <w:p>
      <w:pPr>
        <w:pStyle w:val="BookText"/>
        <w:rPr/>
      </w:pPr>
      <w:r>
        <w:rPr>
          <w:rFonts w:ascii="IRNazanin" w:hAnsi="IRNazanin" w:eastAsia="IRNazanin"/>
          <w:color w:val="111111"/>
          <w:sz w:val="28"/>
          <w:sz w:val="28"/>
          <w:szCs w:val="28"/>
          <w:rtl w:val="true"/>
          <w:lang w:bidi="fa-IR"/>
        </w:rPr>
        <w:t xml:space="preserve">نسبه إلیه حفیده عند ترجمة جدّه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قواعد الأحکام للعلاّمة الحلّی رحمه‌الله ؛</w:t>
      </w:r>
    </w:p>
    <w:p>
      <w:pPr>
        <w:pStyle w:val="BookText"/>
        <w:rPr/>
      </w:pPr>
      <w:r>
        <w:rPr>
          <w:rFonts w:ascii="IRNazanin" w:hAnsi="IRNazanin" w:eastAsia="IRNazanin"/>
          <w:color w:val="111111"/>
          <w:sz w:val="28"/>
          <w:sz w:val="28"/>
          <w:szCs w:val="28"/>
          <w:rtl w:val="true"/>
          <w:lang w:bidi="fa-IR"/>
        </w:rPr>
        <w:t>ذکره حفیدُه فی آخر الزبدة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اللمعة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ذکره حفیدُه فی آخر الزبدة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مفاتیح الأحکام للفیض الکاشانی رحمه‌الله ؛ نسبه إلیه حفیده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71" w:name="pg3709_21919"/>
    </w:p>
    <w:p>
      <w:pPr>
        <w:pStyle w:val="Heading3"/>
        <w:numPr>
          <w:ilvl w:val="2"/>
          <w:numId w:val="1"/>
        </w:numPr>
        <w:rPr/>
      </w:pPr>
      <w:bookmarkStart w:id="72" w:name="__RefHeading___Toc594071_2281741623"/>
      <w:bookmarkStart w:id="73" w:name="_Toc26"/>
      <w:bookmarkEnd w:id="71"/>
      <w:bookmarkEnd w:id="72"/>
      <w:r>
        <w:rPr>
          <w:rtl w:val="true"/>
        </w:rPr>
        <w:t>وفاته ومدفنه</w:t>
      </w:r>
      <w:bookmarkEnd w:id="73"/>
    </w:p>
    <w:p>
      <w:pPr>
        <w:pStyle w:val="BookText"/>
        <w:rPr/>
      </w:pPr>
      <w:r>
        <w:rPr>
          <w:rFonts w:ascii="IRNazanin" w:hAnsi="IRNazanin" w:eastAsia="IRNazanin"/>
          <w:color w:val="111111"/>
          <w:sz w:val="28"/>
          <w:sz w:val="28"/>
          <w:szCs w:val="28"/>
          <w:rtl w:val="true"/>
          <w:lang w:bidi="fa-IR"/>
        </w:rPr>
        <w:t>ضبط وفاةَ المولی الإیجهی قدس‌سره معاصرُه المطّلع علی أحواله السیّد الجلیل والعالم الخبیر محمّد باقر الچهارسوقی الأصفهانی رحمه‌الله ، فقد قال فی روضاته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رحمه‌الله فی حادی عشر شهر شوّال سنة اثنتین وثلاثین ومائتین بعد الألف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بأصفهان، و دفن فی مزارها الکبیر المعروف بتخت فولاد، قریبة من بقعة لسان الأرض المشهور، قریبًا لمرقد مولانا إسماعیل الخاجوئی المتقدّم ذکره من جهة فوق الرأس ـ قدّس اللّه لهما کریم النفس وطیّب منهما حریم الرمس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bookmarkStart w:id="74" w:name="pg3709_21921"/>
    </w:p>
    <w:p>
      <w:pPr>
        <w:pStyle w:val="Heading3"/>
        <w:numPr>
          <w:ilvl w:val="2"/>
          <w:numId w:val="1"/>
        </w:numPr>
        <w:rPr/>
      </w:pPr>
      <w:bookmarkStart w:id="75" w:name="__RefHeading___Toc594073_2281741623"/>
      <w:bookmarkStart w:id="76" w:name="_Toc27"/>
      <w:bookmarkEnd w:id="74"/>
      <w:bookmarkEnd w:id="75"/>
      <w:r>
        <w:rPr>
          <w:rtl w:val="true"/>
        </w:rPr>
        <w:t>بین یدی الکتاب</w:t>
      </w:r>
      <w:bookmarkEnd w:id="76"/>
    </w:p>
    <w:p>
      <w:pPr>
        <w:pStyle w:val="BookText"/>
        <w:rPr/>
      </w:pP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وقع النزاع والخلاف فی أوائل القرن الثالث عشر الهجری بین الفاضل المتکلّم المولی علی أکبر الإیجهی الأصفهانی رحمه‌الله ، والعالم الفقیه الّذی انتهت إلیه ریاسة الإمامیّة فی زمانه الحاجّ السیّد محمّد باقر الشفتیّ المعروف بحجّة الإسلام قدس‌سره ، فی مسألة تسلیم النوافل، فجزم الأوّل بکفایة سلام واحد ـ وهو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 ـ وکون الأکثر من التسلیمة بدعة، وجزم الثانی بکون القول بذلک من البدع الواقعة فی الشریعة، فانجرّ الکلام بینهما إلی کتابة رسالتین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الچهارسوقی قدس‌سره فی ترجمة المولی الإیجهی رحمه‌الله ما هذا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أیضًا رسالة فی تعیین کون التسلیم فی الصلاة النافلة واحدة هی التسلیمة الأخیرة، وعدم جواز الإتیان بغیرها نظرًا إلی ما ورد فی نصوص الطائفة من کون کلّ رکعتین منها بتسلیمة واحدة ؛ وقد خالف فیه اجماعهم الظاهر من إطلاقهم التعدّد فی التسلیم بالنسبة إلی الفریضة والنافلة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فی الردّ علی ما ذکره فی تلک الرسالة سیّدنا وسمیّنا العلاّمة المتأخّر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مبسوطة ؛ ثمّ لمّا بلغه ذلک الردّ کتب هو فی جوابه رسالة أخری، وکتب أیضًا جناب السیّد ردًّا آخر علی هذه الرسالة، فسدّ به علیه أبواب المقالة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انّ الحقّ مع أیّ </w:t>
      </w:r>
    </w:p>
    <w:p>
      <w:pPr>
        <w:pStyle w:val="BookText"/>
        <w:rPr/>
      </w:pPr>
      <w:r>
        <w:rPr>
          <w:rFonts w:ascii="IRNazanin" w:hAnsi="IRNazanin" w:eastAsia="IRNazanin"/>
          <w:color w:val="111111"/>
          <w:sz w:val="28"/>
          <w:sz w:val="28"/>
          <w:szCs w:val="28"/>
          <w:rtl w:val="true"/>
          <w:lang w:bidi="fa-IR"/>
        </w:rPr>
        <w:t>الجنابین فی هذه المسألة</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شیخ والدی </w:t>
      </w:r>
      <w:r>
        <w:rPr>
          <w:rStyle w:val="FootnoteAnchor"/>
          <w:rtl w:val="true"/>
        </w:rPr>
        <w:footnoteReference w:id="117"/>
      </w:r>
      <w:r>
        <w:rPr>
          <w:rFonts w:ascii="IRNazanin" w:hAnsi="IRNazanin" w:eastAsia="IRNazanin"/>
          <w:color w:val="111111"/>
          <w:sz w:val="28"/>
          <w:sz w:val="28"/>
          <w:szCs w:val="28"/>
          <w:rtl w:val="true"/>
          <w:lang w:bidi="fa-IR"/>
        </w:rPr>
        <w:t xml:space="preserve">آیة اللّه الحاجّ آقا منیرالدین البروجردی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بیت المحقّق القمّی قدس‌سره ، فی رسالة له أملاها علی بعض تلامذته </w:t>
      </w:r>
      <w:r>
        <w:rPr>
          <w:rStyle w:val="FootnoteAnchor"/>
          <w:rtl w:val="true"/>
        </w:rPr>
        <w:footnoteReference w:id="118"/>
      </w:r>
      <w:r>
        <w:rPr>
          <w:rFonts w:ascii="IRNazanin" w:hAnsi="IRNazanin" w:eastAsia="IRNazanin"/>
          <w:color w:val="111111"/>
          <w:sz w:val="28"/>
          <w:sz w:val="28"/>
          <w:szCs w:val="28"/>
          <w:rtl w:val="true"/>
          <w:lang w:bidi="fa-IR"/>
        </w:rPr>
        <w:t xml:space="preserve">ما هذا کلامه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النزاع فی أوائل القرن السابق بین الفاضل المتکلّم الحاج الرودشتی الأصفهانی، والسیّد النبیه الفقیه الّذی انتهت إلیه ریاسة الإمامیّة فی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الشفتی الجیلانی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سلام النافلة، فجزم الأوّل بکفایة سلام واحد وکون الأکثر من التسلیمة ـ و هو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 ـ بدعة ؛ و جزم الثانی بکون القول بذلک من البدع الواقعة فی الشریعة، فانجرّ الکلام إلی کتابة رسالتین من الطرفین، فنسأل اللّه العصمة من الخطأ فی البین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ولایخفی أنّ هذا القول وإن کان ضعیفًا، إلاّ أنّه لیس ممّا لم یذهب إلیه أحد من الإمامیّة لذهاب شیخ الطائفة و شیخنا المفید إلی وحدة التسلیمة، لکن المشهور علی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لهذه أشهد انّی کنت مقتصرًا فی النافلة بتسلیمة واحدة فی أکثر من أربعین سنة، فحصل الفرق بین النافلة والفریضة سواء قلنا بالوحدة أو التعدّد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77" w:name="pg3709_21925"/>
    </w:p>
    <w:p>
      <w:pPr>
        <w:pStyle w:val="BookText"/>
        <w:rPr/>
      </w:pPr>
      <w:bookmarkEnd w:id="77"/>
      <w:r>
        <w:rPr>
          <w:rFonts w:ascii="IRNazanin" w:hAnsi="IRNazanin" w:eastAsia="IRNazanin"/>
          <w:color w:val="111111"/>
          <w:sz w:val="28"/>
          <w:sz w:val="28"/>
          <w:szCs w:val="28"/>
          <w:rtl w:val="true"/>
          <w:lang w:bidi="fa-IR"/>
        </w:rPr>
        <w:t xml:space="preserve">وقال آیة اللّه الشیخ عبدالکریم الجزی الأصفهانی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ترجمة المولی الإیجهی رحمه‌الله ما لفظه 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تعیین سلام نافله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ومخالفت مرحوم حاجی سیّد محمّد باقر وردّ او و جواب گفتن بر رساله دیگر؛ وظاهر این است که حقّ با سیّد است و آخوند ظاهرا متفرّد است </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أعیان الشیعة للسیّد الأمین رحمه‌الله عند ذکر تألیفات المولی الإیجهی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أنّ النافلة بسلام واحد وهو السلام الأخیر، وانّه لایجوز الإتیان بتسلیمات أخر، وکتب السیّد محمّد باقر ردًّا علیها، فکتب المترجم ردًّا علیه، فکتب السیّد ردًّا علی الردّ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594075_2281741623"/>
      <w:bookmarkStart w:id="79" w:name="_Toc28"/>
      <w:bookmarkEnd w:id="78"/>
      <w:r>
        <w:rPr>
          <w:rtl w:val="true"/>
        </w:rPr>
        <w:t>فهرست ما فی الکتاب</w:t>
      </w:r>
      <w:bookmarkEnd w:id="79"/>
    </w:p>
    <w:p>
      <w:pPr>
        <w:pStyle w:val="BookText"/>
        <w:rPr/>
      </w:pPr>
      <w:r>
        <w:rPr>
          <w:rFonts w:ascii="IRNazanin" w:hAnsi="IRNazanin" w:eastAsia="IRNazanin"/>
          <w:color w:val="111111"/>
          <w:sz w:val="28"/>
          <w:sz w:val="28"/>
          <w:szCs w:val="28"/>
          <w:rtl w:val="true"/>
          <w:lang w:bidi="fa-IR"/>
        </w:rPr>
        <w:t>عزیزی القارئ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الماثل بین یدیک ـ کما قلنا فی بدایة المقدّمة ـ یحتوی علی أربع رسائل فقهیّة حول مسألة سلام النافلة، وهی علی الترتیب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تعیین السلام الأخیر فی النوافل، للمولی علی أکبر الإیجهی رحمه‌الله</w:t>
      </w:r>
    </w:p>
    <w:p>
      <w:pPr>
        <w:pStyle w:val="BookText"/>
        <w:rPr/>
      </w:pPr>
      <w:r>
        <w:rPr>
          <w:rFonts w:ascii="IRNazanin" w:hAnsi="IRNazanin" w:eastAsia="IRNazanin"/>
          <w:color w:val="111111"/>
          <w:sz w:val="28"/>
          <w:sz w:val="28"/>
          <w:szCs w:val="28"/>
          <w:rtl w:val="true"/>
          <w:lang w:bidi="fa-IR"/>
        </w:rPr>
        <w:t>قد وصفها العلاّمة الشیخ آقا بزرگ الطهرانی قدس‌سره بقوله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تعیین السلام الأخیر فی النوافل، للمولی علی أکبر بن محمّد </w:t>
      </w:r>
    </w:p>
    <w:p>
      <w:pPr>
        <w:pStyle w:val="BookText"/>
        <w:rPr/>
      </w:pPr>
      <w:r>
        <w:rPr>
          <w:rFonts w:ascii="IRNazanin" w:hAnsi="IRNazanin" w:eastAsia="IRNazanin"/>
          <w:color w:val="111111"/>
          <w:sz w:val="28"/>
          <w:sz w:val="28"/>
          <w:szCs w:val="28"/>
          <w:rtl w:val="true"/>
          <w:lang w:bidi="fa-IR"/>
        </w:rPr>
        <w:t xml:space="preserve">باقر الإیجی </w:t>
      </w:r>
      <w:r>
        <w:rPr>
          <w:rStyle w:val="FootnoteAnchor"/>
          <w:rtl w:val="true"/>
        </w:rPr>
        <w:footnoteReference w:id="121"/>
      </w:r>
      <w:r>
        <w:rPr>
          <w:rFonts w:ascii="IRNazanin" w:hAnsi="IRNazanin" w:eastAsia="IRNazanin"/>
          <w:color w:val="111111"/>
          <w:sz w:val="28"/>
          <w:sz w:val="28"/>
          <w:szCs w:val="28"/>
          <w:rtl w:val="true"/>
          <w:lang w:bidi="fa-IR"/>
        </w:rPr>
        <w:t xml:space="preserve">الأصفهانی ـ الرادّ علی الفادری المسیحی ـ المتوفّی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فی ردّها السیّد حجّة الإسلام الشفتی رسالة، ثمّ کتب المولی المذکور رسالة أخری فی ردّ حجّة الإسلام ذکر فی </w:t>
      </w:r>
      <w:r>
        <w:rPr>
          <w:rFonts w:eastAsia="IRNazanin" w:cs="IRNazanin"/>
          <w:color w:val="111111"/>
          <w:sz w:val="28"/>
          <w:szCs w:val="28"/>
          <w:rtl w:val="true"/>
          <w:lang w:bidi="fa-IR"/>
        </w:rPr>
        <w:t>(</w:t>
      </w:r>
      <w:r>
        <w:rPr>
          <w:rFonts w:eastAsia="IRNazanin" w:cs="IRNazanin"/>
          <w:color w:val="111111"/>
          <w:sz w:val="28"/>
          <w:szCs w:val="28"/>
          <w:lang w:bidi="fa-IR"/>
        </w:rPr>
        <w:t>10:227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ردّ الرسالة حجّة الإسلام أیضًا، وسدّ علیه أبواب المقالة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فی الروضات فی ترجمته، و کذا فی تذکرة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فی أوّلها بعد البسملة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سألنی رجل عن التسلیم فی النافلة، هل هو مقصور علی التسلیم الأخیر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و برکاته، أو هو علی منوال الفریضة بتقدیم الصلوة علی النبیّ وآله، ثمّ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 والختم بالسلام علیکم؟</w:t>
      </w:r>
    </w:p>
    <w:p>
      <w:pPr>
        <w:pStyle w:val="BookText"/>
        <w:rPr/>
      </w:pPr>
      <w:r>
        <w:rPr>
          <w:rFonts w:ascii="IRNazanin" w:hAnsi="IRNazanin" w:eastAsia="IRNazanin"/>
          <w:color w:val="111111"/>
          <w:sz w:val="28"/>
          <w:sz w:val="28"/>
          <w:szCs w:val="28"/>
          <w:rtl w:val="true"/>
          <w:lang w:bidi="fa-IR"/>
        </w:rPr>
        <w:t xml:space="preserve">قلت فی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بحسب ما وجدته هو الإکتفاء بالسلام الأخیر، إذ العبادات توقیفیّة، وما وقفنا فی أحادیث آل الرسول ـ صلوات اللّه علیهم ـ ولا فی فتاوی علمائنا من الأخباریّین والفقهاء والأصولیّین فتویً صریحًا فی ذلک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بلغ ذلک إلی بعض أماثل السادات </w:t>
      </w:r>
      <w:r>
        <w:rPr>
          <w:rStyle w:val="FootnoteAnchor"/>
          <w:rtl w:val="true"/>
        </w:rPr>
        <w:footnoteReference w:id="123"/>
      </w:r>
      <w:r>
        <w:rPr>
          <w:rFonts w:ascii="Amiri" w:hAnsi="Amiri" w:eastAsia="Amiri" w:cs="Amiri"/>
          <w:color w:val="111111"/>
          <w:sz w:val="28"/>
          <w:sz w:val="28"/>
          <w:szCs w:val="28"/>
          <w:rtl w:val="true"/>
          <w:lang w:bidi="ar-SA"/>
        </w:rPr>
        <w:t xml:space="preserve">ـ زاده اللّه شرفًا وعزًّا وتوفیقًا ـ فتعجّب من ذلک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منه غریب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وبعد أن بلغ إلیّ إستغرابه وتعجّبه، راجعت الکتب فما وجدت فیها غیر ما وجدته سابقًا، ثمّ سمعت موافقة بعض إخوانی و خلاّنی </w:t>
      </w:r>
      <w:r>
        <w:rPr>
          <w:rStyle w:val="FootnoteAnchor"/>
          <w:rtl w:val="true"/>
        </w:rPr>
        <w:footnoteReference w:id="124"/>
      </w:r>
      <w:r>
        <w:rPr>
          <w:rFonts w:ascii="IRNazanin" w:hAnsi="IRNazanin" w:eastAsia="IRNazanin"/>
          <w:color w:val="111111"/>
          <w:sz w:val="28"/>
          <w:sz w:val="28"/>
          <w:szCs w:val="28"/>
          <w:rtl w:val="true"/>
          <w:lang w:bidi="fa-IR"/>
        </w:rPr>
        <w:t xml:space="preserve">له فی ذلک، فأردت أن أذکر فی صفحات و أوراق، وأرسله إلیه لینظر فیه، فإمّا أن یمنّ علی الضعیف بالقبول، أو یردّ علیَّ ببیان الخطأ وکشف الإبهام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المؤلّف قدس‌سره تأریخ التألیف، لکن یبدو من تأریخ فراغ السیّد حجّة الإسلام رحمه‌الله من رسالته الّتی کتبها فی الردّ علی هذه الرسالة، انّه ألّفها قبل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سنة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الردّ علی رسالة تعیین السلام الأخیر فی النوافل، لحجّة الإسلام الشفتی قدس‌سره</w:t>
      </w:r>
    </w:p>
    <w:p>
      <w:pPr>
        <w:pStyle w:val="BookText"/>
        <w:rPr/>
      </w:pPr>
      <w:r>
        <w:rPr>
          <w:rFonts w:ascii="IRNazanin" w:hAnsi="IRNazanin" w:eastAsia="IRNazanin"/>
          <w:color w:val="111111"/>
          <w:sz w:val="28"/>
          <w:sz w:val="28"/>
          <w:szCs w:val="28"/>
          <w:rtl w:val="true"/>
          <w:lang w:bidi="fa-IR"/>
        </w:rPr>
        <w:t xml:space="preserve">قال عنه فی الذریعة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رسالة تعیین السلام الثالث فی النوافل، الّتی کتبها المولی علی أکبر ابن محمّد باقر الإیجی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لحجّة الإسلام السیّد محمّد باقر بن محمّد تقی </w:t>
      </w:r>
      <w:r>
        <w:rPr>
          <w:rStyle w:val="FootnoteAnchor"/>
          <w:rtl w:val="true"/>
        </w:rPr>
        <w:footnoteReference w:id="125"/>
      </w:r>
      <w:r>
        <w:rPr>
          <w:rFonts w:ascii="IRNazanin" w:hAnsi="IRNazanin" w:eastAsia="IRNazanin"/>
          <w:color w:val="111111"/>
          <w:sz w:val="28"/>
          <w:sz w:val="28"/>
          <w:szCs w:val="28"/>
          <w:rtl w:val="true"/>
          <w:lang w:bidi="fa-IR"/>
        </w:rPr>
        <w:t xml:space="preserve">الموسوی الجیلانی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ومرّ الردّ علی ردّ الرسالة لمؤلّف أصلها </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المؤلّف قدس‌سره فی أوّله بعد خطبة مختصرة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بلغنی عن بعض الأفاضل ـ حشره اللّه مع سادات الأواخر والأوائل ـ فی تسلیم النوافل ما کان إعتقادی أنّه مخالف للواقع، ومنافر للمتخلّف ممّن هو للشریعة حافظ و صادع، فأبرزت هذه الکلمات فی إبانة الحقّ فی ذلک وإزهاق الباطل، هنالک أرجو من اللّه سبحانه أن لایکون قصدی فیه إلاّ ابتغاء مرضاته، وإحقاق الحقّ فی سبیله ودینه وشریعته، بحقّ کُمَّل خلیقته محمّد سیّد رسله وعترته و آله ـ صلوات اللّه وسلامه علیه و علیهم إلی بقاء أرضه و سمائه ـ وهو أنّه لایجوز الجمع فی تسلیم النوافل بین الصیغ الثلاث المعهودة فی تسلیم الفرائض، بل یجب الإقتصار فیه بصیغة السلام علیکم و رحمة اللّه و 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رحمه‌الله منه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سنة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الردّ علی ردّ رسالة تعیین السلام الأخیر فی النوافل، للمولی الإیجهی رحمه‌الله</w:t>
      </w:r>
    </w:p>
    <w:p>
      <w:pPr>
        <w:pStyle w:val="BookText"/>
        <w:rPr/>
      </w:pPr>
      <w:r>
        <w:rPr>
          <w:rFonts w:ascii="IRNazanin" w:hAnsi="IRNazanin" w:eastAsia="IRNazanin"/>
          <w:color w:val="111111"/>
          <w:sz w:val="28"/>
          <w:sz w:val="28"/>
          <w:szCs w:val="28"/>
          <w:rtl w:val="true"/>
          <w:lang w:bidi="fa-IR"/>
        </w:rPr>
        <w:t xml:space="preserve">قال المحقّق الطهرانی رحمه‌الله فی موضع من ذریعته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علی ردّ رسالة تعیین السلام الثالث فی النوافل؛ الرادّ علی رسالة التعیین هو الحاجّ السیّد محمّد باقر کما یأتی، والردّ علی الردّ لصاحب رسالة التعیین وهو المولی علی أکبر الإیجی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ذکره فی الروضات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علی مَن جوّز التسلیمات الثلاث فی النافلة، للمولی علی أکبر بن </w:t>
      </w:r>
    </w:p>
    <w:p>
      <w:pPr>
        <w:pStyle w:val="BookText"/>
        <w:rPr/>
      </w:pPr>
      <w:r>
        <w:rPr>
          <w:rFonts w:ascii="IRNazanin" w:hAnsi="IRNazanin" w:eastAsia="IRNazanin"/>
          <w:color w:val="111111"/>
          <w:sz w:val="28"/>
          <w:sz w:val="28"/>
          <w:szCs w:val="28"/>
          <w:rtl w:val="true"/>
          <w:lang w:bidi="fa-IR"/>
        </w:rPr>
        <w:t xml:space="preserve">محمّد باقر الإیجی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واختار تعین السلام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التکملة، ومرّ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لأنّه بعد ما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تعیین السلام الأخیر فی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حجّة الإسلام السیّد محمّد باقر الأصفهانی، فألّف هذا الکتاب ردًّا علی حجّة الإسلام</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فی أوّله بعد الخطبة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بعد ما کتبت رسالة فی بیان التسلیم وأحوالها، وفی النافلة وآدابها، وجعلتها مفصولة بفصول عشرة، وأودعت فی کلّ فصل بیان حکم من أحکام تلک المسئلة، و أودعت فی عاشرها أنّ التسلیم فی النافلة بمقتضی الروایات وملاحظة فتاوی الأصحاب هو التسلیم الآخر، وصل </w:t>
      </w:r>
      <w:r>
        <w:rPr>
          <w:rStyle w:val="FootnoteAnchor"/>
          <w:rtl w:val="true"/>
        </w:rPr>
        <w:footnoteReference w:id="129"/>
      </w:r>
      <w:r>
        <w:rPr>
          <w:rFonts w:ascii="IRNazanin" w:hAnsi="IRNazanin" w:eastAsia="IRNazanin"/>
          <w:color w:val="111111"/>
          <w:sz w:val="28"/>
          <w:sz w:val="28"/>
          <w:szCs w:val="28"/>
          <w:rtl w:val="true"/>
          <w:lang w:bidi="fa-IR"/>
        </w:rPr>
        <w:t xml:space="preserve">إلیّ من السیّد السند الجلیل، شمس سماء المحامد والفضائل، بدر سماء الأماجد والأفاضل، سمیّ خامس آل الرسول وباقر العلوم مولانا السیّد محمّد باقر ـ زاده اللّه عزًّا وإکرامًا ـ رسالة فی هذا الباب علی خلاف ما أدّی إلیه نظری و بلغ إلیه فهمی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فأردت أن أذکر ما أفاده فی تلک الرسالة بعباراته الوافیة وألفاظه الشافیة، وأضمّ إلیه ما خلج بخاطری من الردّ والإیراد، أو النقض والإبرام، ولکن بعین‌الإنصاف، لا اللجج والإعتساف، واللّه علی ما أقول </w:t>
      </w:r>
    </w:p>
    <w:p>
      <w:pPr>
        <w:pStyle w:val="BookText"/>
        <w:rPr/>
      </w:pPr>
      <w:r>
        <w:rPr>
          <w:rFonts w:ascii="IRNazanin" w:hAnsi="IRNazanin" w:eastAsia="IRNazanin"/>
          <w:color w:val="111111"/>
          <w:sz w:val="28"/>
          <w:sz w:val="28"/>
          <w:szCs w:val="28"/>
          <w:rtl w:val="true"/>
          <w:lang w:bidi="fa-IR"/>
        </w:rPr>
        <w:t xml:space="preserve">شهید، و هو حسبی و نعم الوکیل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منه المؤلّف قدس‌سره فی نیف و عشرین من ربیع الأوّل سنة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الردّ علی ردّ المولی الإیجهی رحمه‌الله ، لحجّة الإسلام الشفتی قدس‌سره</w:t>
      </w:r>
    </w:p>
    <w:p>
      <w:pPr>
        <w:pStyle w:val="BookText"/>
        <w:rPr/>
      </w:pPr>
      <w:r>
        <w:rPr>
          <w:rFonts w:ascii="IRNazanin" w:hAnsi="IRNazanin" w:eastAsia="IRNazanin"/>
          <w:color w:val="111111"/>
          <w:sz w:val="28"/>
          <w:sz w:val="28"/>
          <w:szCs w:val="28"/>
          <w:rtl w:val="true"/>
          <w:lang w:bidi="fa-IR"/>
        </w:rPr>
        <w:t xml:space="preserve">قال فی الذریعة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علی رسالة تعیین السلام الثالث، أیضًا للسیّد حجّة الإسلام، کتبها ثانیًا بعد ردّ المولی الإیجی الردّ الأوّل الّذی مرّ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ردّ الرسالة </w:t>
      </w:r>
      <w:r>
        <w:rPr>
          <w:rFonts w:eastAsia="IRNazanin" w:cs="IRNazanin"/>
          <w:color w:val="111111"/>
          <w:sz w:val="28"/>
          <w:szCs w:val="28"/>
          <w:rtl w:val="true"/>
          <w:lang w:bidi="fa-IR"/>
        </w:rPr>
        <w:t xml:space="preserve">..." »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المصنّف ـ أعلی اللّه مقامه ـ فی أوّله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ورد عن سیّد البشر صلی‌الله‌علیه‌و‌آله ما هذا لفظه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ظهرت البِدَع فی الدین، فلیُظهِرِ العالم علمَه، فَمَن لم یفعل فعلیه لعنة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وأفشی فی الناس بعض العلماء المعاصرین ما کان اعتقادی انّه من البدع فی الدین، عزمت أن أصرف بعض أوقاتی لرفع هذه البدعة، فسلکت فیه مسلکًا یضاهی مسالک الأمر بالمعروف، فکتبت إلی بعض أجلّة العلماء العظام وأعزّة الفضلاء الکرام </w:t>
      </w:r>
      <w:r>
        <w:rPr>
          <w:rStyle w:val="FootnoteAnchor"/>
          <w:rtl w:val="true"/>
        </w:rPr>
        <w:footnoteReference w:id="131"/>
      </w:r>
      <w:r>
        <w:rPr>
          <w:rFonts w:ascii="IRNazanin" w:hAnsi="IRNazanin" w:eastAsia="IRNazanin"/>
          <w:color w:val="111111"/>
          <w:sz w:val="28"/>
          <w:sz w:val="28"/>
          <w:szCs w:val="28"/>
          <w:rtl w:val="true"/>
          <w:lang w:bidi="fa-IR"/>
        </w:rPr>
        <w:t xml:space="preserve">ـ أدام اللّه تعالی ظلاله علی رؤس الأنام ـ انّ تلک المسئلة اشتهرت من بعض الأجلّة واعتقادی أنّها من البدع الّتی یجب السعی فی إبطالها، فلیکفّ نفسه عنها، فانّه علی خلافها إتّفاق علماء الشیعة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هو ـ دام ظلّه العالی ـ أرسل رقعتی إلیه، لکن لم یظهر منه أثر و لم یبرز منه ثمر، بل زاد إصراره فی اعتقاده، و بلغ إلیّ انّه أخذ أن یکتب فی ترویجه رسالة، فکتبت فی إبطاله رسالة و أبرزت الحال فی ذلک بحیث یصل مَن لاحظه بعین الإنصاف والبصیرة إلی حقیقة الحال من غیر شکّ و ریبة، فأرسلتها إلیه بعد إرساله رسالته إلیّ، فرأیتها مشتملة علی ما ستقف علیه فی المباحث الآتیة، و کففت نفسی عن إبرازها احترازًا عن إشاعة الفاحشة، لکنّه أخذ فی الردّ علی رسالتی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أن وصل ردّه إلیّ رأیته أوهن من بیت العنکبوت وانّه لأوهن البیوت، ثمّ کففت نفسی أیضًا إلی أن انقضی سنة و ثلثة أشهر، ثمّ أخذت فی الردّ علیه وإظهار الشنایع الّتی صدرت منه للباعث الّذی ستقف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فرغ المصنّف قدس‌سره منه فی سنة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80" w:name="pg3709_21939"/>
    </w:p>
    <w:p>
      <w:pPr>
        <w:pStyle w:val="Heading3"/>
        <w:numPr>
          <w:ilvl w:val="2"/>
          <w:numId w:val="1"/>
        </w:numPr>
        <w:rPr/>
      </w:pPr>
      <w:bookmarkStart w:id="81" w:name="__RefHeading___Toc594077_2281741623"/>
      <w:bookmarkStart w:id="82" w:name="_Toc29"/>
      <w:bookmarkEnd w:id="80"/>
      <w:bookmarkEnd w:id="81"/>
      <w:r>
        <w:rPr>
          <w:rtl w:val="true"/>
        </w:rPr>
        <w:t>عملنا فی التحقیق</w:t>
      </w:r>
      <w:bookmarkEnd w:id="82"/>
    </w:p>
    <w:p>
      <w:pPr>
        <w:pStyle w:val="Heading4"/>
        <w:numPr>
          <w:ilvl w:val="3"/>
          <w:numId w:val="1"/>
        </w:numPr>
        <w:rPr/>
      </w:pPr>
      <w:bookmarkStart w:id="83" w:name="__RefHeading___Toc594079_2281741623"/>
      <w:bookmarkStart w:id="84" w:name="_Toc30"/>
      <w:bookmarkEnd w:id="83"/>
      <w:r>
        <w:rPr>
          <w:rtl w:val="true"/>
        </w:rPr>
        <w:t>النسخ المعتمدة</w:t>
      </w:r>
      <w:r>
        <w:rPr>
          <w:rtl w:val="true"/>
        </w:rPr>
        <w:t>:</w:t>
      </w:r>
      <w:bookmarkEnd w:id="84"/>
    </w:p>
    <w:p>
      <w:pPr>
        <w:pStyle w:val="BookText"/>
        <w:rPr/>
      </w:pPr>
      <w:r>
        <w:rPr>
          <w:rFonts w:ascii="IRNazanin" w:hAnsi="IRNazanin" w:eastAsia="IRNazanin"/>
          <w:color w:val="111111"/>
          <w:sz w:val="28"/>
          <w:sz w:val="28"/>
          <w:szCs w:val="28"/>
          <w:rtl w:val="true"/>
          <w:lang w:bidi="fa-IR"/>
        </w:rPr>
        <w:t xml:space="preserve">اعتمدت فی تحقیق الرسائل الأربع علی هذه النسخ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تعیین السلام الأخیر فی النوافل، للمولی علی أکبر الإیجهی رحمه‌الله ؛ توجد نسخته الأصلیّة بخطّ المؤلّف فی مکتبة شیخنا العلاّمة المحقّق آیة اللّه الحاجّ السیّد محمّد علی الروضاتی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أحفاد صاحب الروضات أعلی اللّه مقامهما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الردّ علی رسالة تعیین السلام الأخیر فیالنوافل، لحجّة الإسلام الشفتی قدس‌سره ، توجد منه نسختان مخطوطتان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ـ النسخة الموجودة فی مکتبة ملک فی طهران، ضمن المجموعة المرقّمة </w:t>
      </w:r>
      <w:r>
        <w:rPr>
          <w:rFonts w:eastAsia="IRNazanin" w:cs="IRNazanin"/>
          <w:color w:val="111111"/>
          <w:sz w:val="28"/>
          <w:szCs w:val="28"/>
          <w:rtl w:val="true"/>
          <w:lang w:bidi="fa-IR"/>
        </w:rPr>
        <w:t xml:space="preserve">: </w:t>
      </w:r>
      <w:r>
        <w:rPr>
          <w:rFonts w:eastAsia="IRNazanin" w:cs="IRNazanin"/>
          <w:color w:val="111111"/>
          <w:sz w:val="28"/>
          <w:szCs w:val="28"/>
          <w:lang w:bidi="fa-IR"/>
        </w:rPr>
        <w:t>3557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رمزنا لها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النسخة المحفوظة فی مؤسّسة کاشف الغطاء العامّة فی النجف الأشرف برقم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مذکورة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و هی ناقصة من آخرها ؛ و قد رمزنا لها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الردّ علی ردّ رسالة تعیین السلام الأخیر فی النوافل، للمولی الإیجهی رحمه‌الله ؛ توجد نسخته الأصلیّة بخطّ المؤلّف فی مکتبة المحقّق المرحوم آیة اللّه السیّد محمّد علی الروضاتی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بعد أن اطّلعتُ فی عامّ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زرت سیّدنا الروضاتی فی </w:t>
      </w:r>
      <w:bookmarkStart w:id="85" w:name="pg3709_21941"/>
    </w:p>
    <w:p>
      <w:pPr>
        <w:pStyle w:val="BookText"/>
        <w:rPr/>
      </w:pPr>
      <w:bookmarkEnd w:id="85"/>
      <w:r>
        <w:rPr>
          <w:rFonts w:ascii="IRNazanin" w:hAnsi="IRNazanin" w:eastAsia="IRNazanin"/>
          <w:color w:val="111111"/>
          <w:sz w:val="28"/>
          <w:sz w:val="28"/>
          <w:szCs w:val="28"/>
          <w:rtl w:val="true"/>
          <w:lang w:bidi="fa-IR"/>
        </w:rPr>
        <w:t>بیته الشریف بأصفهان، علی انّه اقتنی هاتین الرسالتین للمولی الإیجهی رحمه‌الله ، فاستدعیت منه بأن تفضّل علیّ بتقدیم مصوّرة منهما للتحقیق والنشر، فقد لبّی قدس‌سره طلبی هذا کما هو سجیّته الکریمة حول التراث والکتب المخطوطة، و قام بنفسه بتصحیحهما مع کلّ تدقیق و عنایة، و کتب علیهما بعض الحواشی، فجزاه اللّه عن الإسلام و أهله أفضل الجزاء و أوفاه، و أجزل له أهنأ ثوابه و أرضاه، و حشره فی حضیرة قدسه مع أجداده الطاهرین سلام اللّه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الردّ علی ردّ المولی الإیجهی رحمه‌الله ، أیضًا لحجّة الإسلام الشفتی قدس‌سره ؛ توجد منه نسختان مخطوطتان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ـ النسخة الموجودة فی مکتبة ملک، ضمن المجموعة المرقّمة </w:t>
      </w:r>
      <w:r>
        <w:rPr>
          <w:rFonts w:eastAsia="IRNazanin" w:cs="IRNazanin"/>
          <w:color w:val="111111"/>
          <w:sz w:val="28"/>
          <w:szCs w:val="28"/>
          <w:lang w:bidi="fa-IR"/>
        </w:rPr>
        <w:t>3557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 رمزنا لها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النسخة الموجودة فی مکتبة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الوطنیّة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ضمن المجموعة المرقّمة</w:t>
      </w:r>
      <w:r>
        <w:rPr>
          <w:rFonts w:eastAsia="IRNazanin" w:cs="IRNazanin"/>
          <w:color w:val="111111"/>
          <w:sz w:val="28"/>
          <w:szCs w:val="28"/>
          <w:rtl w:val="true"/>
          <w:lang w:bidi="fa-IR"/>
        </w:rPr>
        <w:t xml:space="preserve">: </w:t>
      </w:r>
      <w:r>
        <w:rPr>
          <w:rFonts w:eastAsia="IRNazanin" w:cs="IRNazanin"/>
          <w:color w:val="111111"/>
          <w:sz w:val="28"/>
          <w:szCs w:val="28"/>
          <w:lang w:bidi="fa-IR"/>
        </w:rPr>
        <w:t>2953</w:t>
      </w:r>
      <w:r>
        <w:rPr>
          <w:rFonts w:ascii="IRNazanin" w:hAnsi="IRNazanin" w:eastAsia="IRNazanin"/>
          <w:color w:val="111111"/>
          <w:sz w:val="28"/>
          <w:sz w:val="28"/>
          <w:szCs w:val="28"/>
          <w:rtl w:val="true"/>
          <w:lang w:bidi="fa-IR"/>
        </w:rPr>
        <w:t xml:space="preserve">، مذکورة فی فهرس المکتبة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رمزنا لها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Heading4"/>
        <w:numPr>
          <w:ilvl w:val="3"/>
          <w:numId w:val="1"/>
        </w:numPr>
        <w:rPr/>
      </w:pPr>
      <w:bookmarkStart w:id="86" w:name="__RefHeading___Toc594081_2281741623"/>
      <w:bookmarkStart w:id="87" w:name="_Toc31"/>
      <w:bookmarkEnd w:id="86"/>
      <w:r>
        <w:rPr>
          <w:rtl w:val="true"/>
        </w:rPr>
        <w:t>منهجنا فی التحقیق</w:t>
      </w:r>
      <w:r>
        <w:rPr>
          <w:rtl w:val="true"/>
        </w:rPr>
        <w:t>:</w:t>
      </w:r>
      <w:bookmarkEnd w:id="87"/>
    </w:p>
    <w:p>
      <w:pPr>
        <w:pStyle w:val="BookText"/>
        <w:rPr/>
      </w:pPr>
      <w:r>
        <w:rPr>
          <w:rFonts w:ascii="IRNazanin" w:hAnsi="IRNazanin" w:eastAsia="IRNazanin"/>
          <w:color w:val="111111"/>
          <w:sz w:val="28"/>
          <w:sz w:val="28"/>
          <w:szCs w:val="28"/>
          <w:rtl w:val="true"/>
          <w:lang w:bidi="fa-IR"/>
        </w:rPr>
        <w:t xml:space="preserve">وکان منهج التحقیق وفق المراحل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 الحروف ومقابلة النسخ الخطّیة بعضها مع بعض، و تثبیت موارد الإختلاف فی الهامش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تقویم النصوص علی المنهج المتّفق علیه عند المحقّقین، والإشارة إلی موارد الإختلاف بین النسخ فی الهامش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إستخراج الأقوال وکلمات الفقهاء من مصادرها الّتی وصلت إلینا، وإلاّ فمن مصادر أخری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تقطیع النصوص إلی فقرات ومقاطع مع اضافة بعض العناوین المناسبة بین معقوفین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ولقد بذلت قصاری جهدی فی تحقیق هذه الرسائل وإخراجها إلی عالم النور، فما وجد فیها من خلل أو خطأ فهو عن قصور لا تقصیر، وأسأل اللّه تعالی أن یتقبّل منّی هذا القلیل بقبول حسن، وأسأله ـ سبحانه ـ أن یوفّقنی لإحیاء سائر آثار جدّنا حجّة الإسلام ـ زاد اللّه فی علوّ درجته فی دار السلام ـ جزاءً لجزیل خدماته المبارکة فی إحیاء الشریعة الغرّاء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 دعوانا أن الحمد للّه ربّ العالمین، والسلام علیکم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أصفهان</w:t>
      </w:r>
    </w:p>
    <w:p>
      <w:pPr>
        <w:pStyle w:val="BookText"/>
        <w:rPr/>
      </w:pPr>
      <w:r>
        <w:rPr>
          <w:rFonts w:ascii="IRNazanin" w:hAnsi="IRNazanin" w:eastAsia="IRNazanin"/>
          <w:color w:val="111111"/>
          <w:sz w:val="28"/>
          <w:sz w:val="28"/>
          <w:szCs w:val="28"/>
          <w:rtl w:val="true"/>
          <w:lang w:bidi="fa-IR"/>
        </w:rPr>
        <w:t>السیّد مهدی الشفتی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88" w:name="pg3709_21945"/>
    </w:p>
    <w:p>
      <w:pPr>
        <w:pStyle w:val="Heading3"/>
        <w:numPr>
          <w:ilvl w:val="2"/>
          <w:numId w:val="1"/>
        </w:numPr>
        <w:rPr/>
      </w:pPr>
      <w:bookmarkStart w:id="89" w:name="__RefHeading___Toc594083_2281741623"/>
      <w:bookmarkStart w:id="90" w:name="_Toc32"/>
      <w:bookmarkEnd w:id="88"/>
      <w:bookmarkEnd w:id="89"/>
      <w:r>
        <w:rPr>
          <w:rtl w:val="true"/>
        </w:rPr>
        <w:t>نماذج من صور النسخ الخطیة</w:t>
      </w:r>
      <w:bookmarkEnd w:id="90"/>
    </w:p>
    <w:p>
      <w:pPr>
        <w:pStyle w:val="BookText"/>
        <w:rPr/>
      </w:pPr>
      <w:r>
        <w:rPr>
          <w:rtl w:val="true"/>
        </w:rPr>
        <mc:AlternateContent>
          <mc:Choice Requires="wps">
            <w:drawing>
              <wp:inline distT="0" distB="0" distL="0" distR="0">
                <wp:extent cx="4914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5" o:detectmouseclick="t"/>
                <v:stroke color="#3465a4" joinstyle="round" endcap="flat"/>
                <w10:wrap type="none"/>
              </v:shape>
            </w:pict>
          </mc:Fallback>
        </mc:AlternateConten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343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7"/>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68" o:detectmouseclick="t"/>
                <v:stroke color="#3465a4" joinstyle="round" endcap="flat"/>
                <w10:wrap type="none"/>
              </v:shape>
            </w:pict>
          </mc:Fallback>
        </mc:AlternateConten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508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0"/>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71" o:detectmouseclick="t"/>
                <v:stroke color="#3465a4" joinstyle="round" endcap="flat"/>
                <w10:wrap type="none"/>
              </v:shape>
            </w:pict>
          </mc:Fallback>
        </mc:AlternateConten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572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3"/>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74" o:detectmouseclick="t"/>
                <v:stroke color="#3465a4" joinstyle="round" endcap="flat"/>
                <w10:wrap type="none"/>
              </v:shape>
            </w:pict>
          </mc:Fallback>
        </mc:AlternateConten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749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77" o:detectmouseclick="t"/>
                <v:stroke color="#3465a4" joinstyle="round" endcap="flat"/>
                <w10:wrap type="none"/>
              </v:shape>
            </w:pict>
          </mc:Fallback>
        </mc:AlternateConten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27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0" o:detectmouseclick="t"/>
                <v:stroke color="#3465a4" joinstyle="round" endcap="flat"/>
                <w10:wrap type="none"/>
              </v:shape>
            </w:pict>
          </mc:Fallback>
        </mc:AlternateConten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686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83" o:detectmouseclick="t"/>
                <v:stroke color="#3465a4" joinstyle="round" endcap="flat"/>
                <w10:wrap type="none"/>
              </v:shape>
            </w:pict>
          </mc:Fallback>
        </mc:AlternateConten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851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86" o:detectmouseclick="t"/>
                <v:stroke color="#3465a4" joinstyle="round" endcap="flat"/>
                <w10:wrap type="none"/>
              </v:shape>
            </w:pict>
          </mc:Fallback>
        </mc:AlternateConten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495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8"/>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89" o:detectmouseclick="t"/>
                <v:stroke color="#3465a4" joinstyle="round" endcap="flat"/>
                <w10:wrap type="none"/>
              </v:shape>
            </w:pict>
          </mc:Fallback>
        </mc:AlternateConten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724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91"/>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92" o:detectmouseclick="t"/>
                <v:stroke color="#3465a4" joinstyle="round" endcap="flat"/>
                <w10:wrap type="none"/>
              </v:shape>
            </w:pict>
          </mc:Fallback>
        </mc:AlternateConten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851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9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95" o:detectmouseclick="t"/>
                <v:stroke color="#3465a4" joinstyle="round" endcap="flat"/>
                <w10:wrap type="none"/>
              </v:shape>
            </w:pict>
          </mc:Fallback>
        </mc:AlternateConten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800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97"/>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98" o:detectmouseclick="t"/>
                <v:stroke color="#3465a4" joinstyle="round" endcap="flat"/>
                <w10:wrap type="none"/>
              </v:shape>
            </w:pict>
          </mc:Fallback>
        </mc:AlternateConten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91" w:name="pg3709_21967"/>
    </w:p>
    <w:p>
      <w:pPr>
        <w:pStyle w:val="Heading2"/>
        <w:numPr>
          <w:ilvl w:val="1"/>
          <w:numId w:val="1"/>
        </w:numPr>
        <w:rPr/>
      </w:pPr>
      <w:bookmarkStart w:id="92" w:name="__RefHeading___Toc594085_2281741623"/>
      <w:bookmarkStart w:id="93" w:name="_Toc33"/>
      <w:bookmarkEnd w:id="91"/>
      <w:bookmarkEnd w:id="92"/>
      <w:r>
        <w:rPr>
          <w:rtl w:val="true"/>
        </w:rPr>
        <w:t>الرسالة الأولی</w:t>
      </w:r>
      <w:r>
        <w:rPr>
          <w:rtl w:val="true"/>
        </w:rPr>
        <w:t xml:space="preserve">: </w:t>
      </w:r>
      <w:r>
        <w:rPr>
          <w:rtl w:val="true"/>
        </w:rPr>
        <w:t>فِی تَعیِینِ السَلامِ الأَخِیرِ فِی النَوَافِل للمولی الإیجهی رحمه‌الله</w:t>
      </w:r>
      <w:bookmarkEnd w:id="93"/>
    </w:p>
    <w:p>
      <w:pPr>
        <w:pStyle w:val="Heading3"/>
        <w:numPr>
          <w:ilvl w:val="2"/>
          <w:numId w:val="1"/>
        </w:numPr>
        <w:rPr/>
      </w:pPr>
      <w:bookmarkStart w:id="94" w:name="__RefHeading___Toc594087_2281741623"/>
      <w:bookmarkStart w:id="95" w:name="_Toc34"/>
      <w:bookmarkEnd w:id="94"/>
      <w:r>
        <w:rPr>
          <w:rtl w:val="true"/>
        </w:rPr>
        <w:t>اشارة</w:t>
      </w:r>
      <w:bookmarkEnd w:id="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رِسَالَةٌ</w:t>
      </w:r>
    </w:p>
    <w:p>
      <w:pPr>
        <w:pStyle w:val="BookText"/>
        <w:rPr/>
      </w:pPr>
      <w:r>
        <w:rPr>
          <w:rFonts w:ascii="Amiri" w:hAnsi="Amiri" w:eastAsia="Amiri" w:cs="Amiri"/>
          <w:color w:val="111111"/>
          <w:sz w:val="28"/>
          <w:sz w:val="28"/>
          <w:szCs w:val="28"/>
          <w:rtl w:val="true"/>
          <w:lang w:bidi="ar-SA"/>
        </w:rPr>
        <w:t>فِی تَعیِینِ السَلامِ الأَخِیرِ فِی النَوَافِل</w:t>
      </w:r>
    </w:p>
    <w:p>
      <w:pPr>
        <w:pStyle w:val="BookText"/>
        <w:rPr/>
      </w:pPr>
      <w:r>
        <w:rPr>
          <w:rFonts w:ascii="Amiri" w:hAnsi="Amiri" w:eastAsia="Amiri" w:cs="Amiri"/>
          <w:color w:val="111111"/>
          <w:sz w:val="28"/>
          <w:sz w:val="28"/>
          <w:szCs w:val="28"/>
          <w:rtl w:val="true"/>
          <w:lang w:bidi="ar-SA"/>
        </w:rPr>
        <w:t>تَألیفُ</w:t>
      </w:r>
    </w:p>
    <w:p>
      <w:pPr>
        <w:pStyle w:val="BookText"/>
        <w:rPr/>
      </w:pPr>
      <w:r>
        <w:rPr>
          <w:rFonts w:ascii="Amiri" w:hAnsi="Amiri" w:eastAsia="Amiri" w:cs="Amiri"/>
          <w:color w:val="111111"/>
          <w:sz w:val="28"/>
          <w:sz w:val="28"/>
          <w:szCs w:val="28"/>
          <w:rtl w:val="true"/>
          <w:lang w:bidi="ar-SA"/>
        </w:rPr>
        <w:t>العَالِمِ المُتکَلِّمِ الزَاهِد</w:t>
      </w:r>
    </w:p>
    <w:p>
      <w:pPr>
        <w:pStyle w:val="BookText"/>
        <w:rPr/>
      </w:pPr>
      <w:r>
        <w:rPr>
          <w:rFonts w:ascii="Amiri" w:hAnsi="Amiri" w:eastAsia="Amiri" w:cs="Amiri"/>
          <w:color w:val="111111"/>
          <w:sz w:val="28"/>
          <w:sz w:val="28"/>
          <w:szCs w:val="28"/>
          <w:rtl w:val="true"/>
          <w:lang w:bidi="ar-SA"/>
        </w:rPr>
        <w:t>المولی عَلِی أَکبَر الإِیجِهِی الأصفَهَانِی قدس‌سره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تَحقِیقُ</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السَیّد مَهدِی الشَفتِیّ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 والاعتصام بالمنّان الحمید</w:t>
      </w:r>
    </w:p>
    <w:p>
      <w:pPr>
        <w:pStyle w:val="BookText"/>
        <w:rPr/>
      </w:pPr>
      <w:r>
        <w:rPr>
          <w:rFonts w:ascii="IRNazanin" w:hAnsi="IRNazanin" w:eastAsia="IRNazanin"/>
          <w:color w:val="111111"/>
          <w:sz w:val="28"/>
          <w:sz w:val="28"/>
          <w:szCs w:val="28"/>
          <w:rtl w:val="true"/>
          <w:lang w:bidi="fa-IR"/>
        </w:rPr>
        <w:t>سألنی رجل عن التسلیم فی النافلة، هل هو مقصور علی التسلیم الأخیر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و برکاته، أو هو علی منوال الفریضة بتقدیم الصلوة علی النبیّ و آله، ثمّ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والختم بالسلام علیکم ؟ قلت فی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بحسب ما وجدته هو الإکتفاء بالسلام الأخیر، إذ العبادات توقیفیّة، و ما وقفنا فی أحادیث آل الرسول ـ صلوات اللّه علیهم ـ ولا فی فتاوی علمائنا من الأخباریّین و الفقهاء و الأصولیّین فتویً صریحًا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بلغ ذلک إلی بعض أماثل السادات </w:t>
      </w:r>
      <w:r>
        <w:rPr>
          <w:rStyle w:val="FootnoteAnchor"/>
          <w:rtl w:val="true"/>
        </w:rPr>
        <w:footnoteReference w:id="132"/>
      </w:r>
      <w:r>
        <w:rPr>
          <w:rFonts w:ascii="Amiri" w:hAnsi="Amiri" w:eastAsia="Amiri" w:cs="Amiri"/>
          <w:color w:val="111111"/>
          <w:sz w:val="28"/>
          <w:sz w:val="28"/>
          <w:szCs w:val="28"/>
          <w:rtl w:val="true"/>
          <w:lang w:bidi="ar-SA"/>
        </w:rPr>
        <w:t xml:space="preserve">ـ زاده اللّه شرفًا و عزًّا وتوفیقًا ـ فتعجّب من ذلک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منه غریب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أن بلغ إلیّ إستغرابه و تعجّبه ، راجعت الکتب فما وجدت فیها غیر ما وجدته سابقًا ، ثمّ سمعت موافقة بعض إخوانی و خلاّنی </w:t>
      </w:r>
      <w:r>
        <w:rPr>
          <w:rStyle w:val="FootnoteAnchor"/>
          <w:rtl w:val="true"/>
        </w:rPr>
        <w:footnoteReference w:id="133"/>
      </w:r>
      <w:r>
        <w:rPr>
          <w:rFonts w:ascii="IRNazanin" w:hAnsi="IRNazanin" w:eastAsia="IRNazanin"/>
          <w:color w:val="111111"/>
          <w:sz w:val="28"/>
          <w:sz w:val="28"/>
          <w:szCs w:val="28"/>
          <w:rtl w:val="true"/>
          <w:lang w:bidi="fa-IR"/>
        </w:rPr>
        <w:t xml:space="preserve">له فی ذلک ، فأردت </w:t>
      </w:r>
      <w:bookmarkStart w:id="96" w:name="pg3709_21973"/>
    </w:p>
    <w:p>
      <w:pPr>
        <w:pStyle w:val="BookText"/>
        <w:rPr/>
      </w:pPr>
      <w:bookmarkEnd w:id="96"/>
      <w:r>
        <w:rPr>
          <w:rFonts w:ascii="IRNazanin" w:hAnsi="IRNazanin" w:eastAsia="IRNazanin"/>
          <w:color w:val="111111"/>
          <w:sz w:val="28"/>
          <w:sz w:val="28"/>
          <w:szCs w:val="28"/>
          <w:rtl w:val="true"/>
          <w:lang w:bidi="fa-IR"/>
        </w:rPr>
        <w:t xml:space="preserve">أن أذکر فی صفحات و أوراق، وأرسله إلیه لینظر فیه، فإمّا أن یمنّ علی الضعیف بالقبول، أو یردّ علیَّ ببیان الخطاءِ وکشف الإبهام، و رفع الشبهة بإظهار الحقّ والصواب، إذ المعصوم من عصمه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وفوق کلّ ذی علم علیم </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لمّا کانت مسئلة التسلیم فی الصلوة مطرح الأنظار، و معرکة الآراء، وکشف الحقّ و رفع الحجاب عن وجه المسئلة موقوف علی ذکر الروایات و نقل الفتاوی وعبارات الأصحاب، وکان التسلیم من أجل إختلاف الروایات من الغوامض ومشکلات المسائل الفقهیّة، رأیت أن أذکره علی وجه التمام لیکون تلک الرسالة بعد الإتمام ممّا ینتفع به من کان طالبًا، و ذخیرة لی یوم الحشر والمعاد، فنقول وباللّه التوفیق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إختلف أصحابنا فی التسلیم الواقع آخر الصلوة هل هو واجب أو مستحبّ ؟ و هل هو جزء من الصلوة أو خارج عنها ؟ و علی کلّ تقدیر هل یتعیّن المخرج، أو یتخیّر المصلّی ؟ و هل فیه ترتیب، أو لا ؟ و هل یحتاج إلی نیّة الخروج، أو لا ؟ وهل یتعدّد للإمام والمأموم والمنفرد ، أو لا ؟ و نحن نذکر تفصیل ذلک فی فصول</w:t>
      </w:r>
      <w:r>
        <w:rPr>
          <w:rFonts w:eastAsia="IRNazanin" w:cs="IRNazanin"/>
          <w:color w:val="111111"/>
          <w:sz w:val="28"/>
          <w:szCs w:val="28"/>
          <w:rtl w:val="true"/>
          <w:lang w:bidi="fa-IR"/>
        </w:rPr>
        <w:t>.</w:t>
      </w:r>
    </w:p>
    <w:p>
      <w:pPr>
        <w:pStyle w:val="Heading3"/>
        <w:numPr>
          <w:ilvl w:val="2"/>
          <w:numId w:val="1"/>
        </w:numPr>
        <w:rPr/>
      </w:pPr>
      <w:bookmarkStart w:id="97" w:name="__RefHeading___Toc594089_2281741623"/>
      <w:bookmarkStart w:id="98" w:name="_Toc35"/>
      <w:bookmarkEnd w:id="97"/>
      <w:r>
        <w:rPr>
          <w:rtl w:val="true"/>
        </w:rPr>
        <w:t xml:space="preserve">الفصل الأوّل </w:t>
      </w:r>
      <w:r>
        <w:rPr>
          <w:rtl w:val="true"/>
        </w:rPr>
        <w:t xml:space="preserve">: </w:t>
      </w:r>
      <w:r>
        <w:rPr>
          <w:rtl w:val="true"/>
        </w:rPr>
        <w:t>فی وجوب التسلیم و ندبه</w:t>
      </w:r>
      <w:bookmarkEnd w:id="98"/>
    </w:p>
    <w:p>
      <w:pPr>
        <w:pStyle w:val="Heading4"/>
        <w:numPr>
          <w:ilvl w:val="3"/>
          <w:numId w:val="1"/>
        </w:numPr>
        <w:rPr/>
      </w:pPr>
      <w:bookmarkStart w:id="99" w:name="__RefHeading___Toc594091_2281741623"/>
      <w:bookmarkStart w:id="100" w:name="_Toc36"/>
      <w:bookmarkEnd w:id="99"/>
      <w:r>
        <w:rPr>
          <w:rtl w:val="true"/>
        </w:rPr>
        <w:t>اشارة</w:t>
      </w:r>
      <w:bookmarkEnd w:id="10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وجوبه و ندبه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الجلیل المرتضی علم الهدی ـ قدّس اللّه روحه ـ فی الناصریّة </w:t>
      </w:r>
      <w:r>
        <w:rPr>
          <w:rStyle w:val="FootnoteAnchor"/>
          <w:rtl w:val="true"/>
        </w:rPr>
        <w:footnoteReference w:id="135"/>
      </w:r>
      <w:r>
        <w:rPr>
          <w:rFonts w:ascii="Amiri" w:hAnsi="Amiri" w:eastAsia="Amiri" w:cs="Amiri"/>
          <w:color w:val="111111"/>
          <w:sz w:val="28"/>
          <w:sz w:val="28"/>
          <w:szCs w:val="28"/>
          <w:rtl w:val="true"/>
          <w:lang w:bidi="ar-SA"/>
        </w:rPr>
        <w:t xml:space="preserve">والمحمّدیّة </w:t>
      </w:r>
      <w:r>
        <w:rPr>
          <w:rStyle w:val="FootnoteAnchor"/>
          <w:rtl w:val="true"/>
        </w:rPr>
        <w:footnoteReference w:id="136"/>
      </w:r>
      <w:r>
        <w:rPr>
          <w:rFonts w:ascii="IRNazanin" w:hAnsi="IRNazanin" w:eastAsia="IRNazanin"/>
          <w:color w:val="111111"/>
          <w:sz w:val="28"/>
          <w:sz w:val="28"/>
          <w:szCs w:val="28"/>
          <w:rtl w:val="true"/>
          <w:lang w:bidi="fa-IR"/>
        </w:rPr>
        <w:t xml:space="preserve">بالوجوب، و وافقه فی ذلک أبو الصلاح </w:t>
      </w:r>
      <w:r>
        <w:rPr>
          <w:rStyle w:val="FootnoteAnchor"/>
          <w:rtl w:val="true"/>
        </w:rPr>
        <w:footnoteReference w:id="137"/>
      </w:r>
      <w:r>
        <w:rPr>
          <w:rFonts w:ascii="IRNazanin" w:hAnsi="IRNazanin" w:eastAsia="IRNazanin"/>
          <w:color w:val="111111"/>
          <w:sz w:val="28"/>
          <w:sz w:val="28"/>
          <w:szCs w:val="28"/>
          <w:rtl w:val="true"/>
          <w:lang w:bidi="fa-IR"/>
        </w:rPr>
        <w:t xml:space="preserve">، و سلاّر بن عبد العزیز الدیلمی </w:t>
      </w:r>
      <w:r>
        <w:rPr>
          <w:rStyle w:val="FootnoteAnchor"/>
          <w:rtl w:val="true"/>
        </w:rPr>
        <w:footnoteReference w:id="138"/>
      </w:r>
      <w:r>
        <w:rPr>
          <w:rFonts w:ascii="IRNazanin" w:hAnsi="IRNazanin" w:eastAsia="IRNazanin"/>
          <w:color w:val="111111"/>
          <w:sz w:val="28"/>
          <w:sz w:val="28"/>
          <w:szCs w:val="28"/>
          <w:rtl w:val="true"/>
          <w:lang w:bidi="fa-IR"/>
        </w:rPr>
        <w:t xml:space="preserve">، وابن أبی عقیل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وابن زهرة </w:t>
      </w:r>
      <w:r>
        <w:rPr>
          <w:rStyle w:val="FootnoteAnchor"/>
          <w:rtl w:val="true"/>
        </w:rPr>
        <w:footnoteReference w:id="140"/>
      </w:r>
      <w:r>
        <w:rPr>
          <w:rFonts w:ascii="IRNazanin" w:hAnsi="IRNazanin" w:eastAsia="IRNazanin"/>
          <w:color w:val="111111"/>
          <w:sz w:val="28"/>
          <w:sz w:val="28"/>
          <w:szCs w:val="28"/>
          <w:rtl w:val="true"/>
          <w:lang w:bidi="fa-IR"/>
        </w:rPr>
        <w:t xml:space="preserve">، والقطب الراوندیّ </w:t>
      </w:r>
      <w:r>
        <w:rPr>
          <w:rStyle w:val="FootnoteAnchor"/>
          <w:rtl w:val="true"/>
        </w:rPr>
        <w:footnoteReference w:id="141"/>
      </w:r>
      <w:r>
        <w:rPr>
          <w:rFonts w:ascii="IRNazanin" w:hAnsi="IRNazanin" w:eastAsia="IRNazanin"/>
          <w:color w:val="111111"/>
          <w:sz w:val="28"/>
          <w:sz w:val="28"/>
          <w:szCs w:val="28"/>
          <w:rtl w:val="true"/>
          <w:lang w:bidi="fa-IR"/>
        </w:rPr>
        <w:t xml:space="preserve">، و صاحب البُشری </w:t>
      </w:r>
      <w:r>
        <w:rPr>
          <w:rStyle w:val="FootnoteAnchor"/>
          <w:rtl w:val="true"/>
        </w:rPr>
        <w:footnoteReference w:id="142"/>
      </w:r>
      <w:r>
        <w:rPr>
          <w:rFonts w:ascii="IRNazanin" w:hAnsi="IRNazanin" w:eastAsia="IRNazanin"/>
          <w:color w:val="111111"/>
          <w:sz w:val="28"/>
          <w:sz w:val="28"/>
          <w:szCs w:val="28"/>
          <w:rtl w:val="true"/>
          <w:lang w:bidi="fa-IR"/>
        </w:rPr>
        <w:t xml:space="preserve">، والمحقّق السعید أبوالقاسم فی الشرائع و النافع و المعتبر </w:t>
      </w:r>
      <w:r>
        <w:rPr>
          <w:rStyle w:val="FootnoteAnchor"/>
          <w:rtl w:val="true"/>
        </w:rPr>
        <w:footnoteReference w:id="143"/>
      </w:r>
      <w:r>
        <w:rPr>
          <w:rFonts w:ascii="IRNazanin" w:hAnsi="IRNazanin" w:eastAsia="IRNazanin"/>
          <w:color w:val="111111"/>
          <w:sz w:val="28"/>
          <w:sz w:val="28"/>
          <w:szCs w:val="28"/>
          <w:rtl w:val="true"/>
          <w:lang w:bidi="fa-IR"/>
        </w:rPr>
        <w:t xml:space="preserve">، و الشیخ المحقّق القمقام علیّ بن عبد العالی </w:t>
      </w:r>
      <w:r>
        <w:rPr>
          <w:rStyle w:val="FootnoteAnchor"/>
          <w:rtl w:val="true"/>
        </w:rPr>
        <w:footnoteReference w:id="144"/>
      </w:r>
      <w:r>
        <w:rPr>
          <w:rFonts w:ascii="IRNazanin" w:hAnsi="IRNazanin" w:eastAsia="IRNazanin"/>
          <w:color w:val="111111"/>
          <w:sz w:val="28"/>
          <w:sz w:val="28"/>
          <w:szCs w:val="28"/>
          <w:rtl w:val="true"/>
          <w:lang w:bidi="fa-IR"/>
        </w:rPr>
        <w:t xml:space="preserve">، وسبط الشهید الثانی </w:t>
      </w:r>
      <w:r>
        <w:rPr>
          <w:rStyle w:val="FootnoteAnchor"/>
          <w:rtl w:val="true"/>
        </w:rPr>
        <w:footnoteReference w:id="145"/>
      </w:r>
      <w:r>
        <w:rPr>
          <w:rFonts w:ascii="IRNazanin" w:hAnsi="IRNazanin" w:eastAsia="IRNazanin"/>
          <w:color w:val="111111"/>
          <w:sz w:val="28"/>
          <w:sz w:val="28"/>
          <w:szCs w:val="28"/>
          <w:rtl w:val="true"/>
          <w:lang w:bidi="fa-IR"/>
        </w:rPr>
        <w:t xml:space="preserve">، و جملة من متأخّری المتأخّرین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الشیخ المفید محمّد بن محمّد بن النعمان </w:t>
      </w:r>
      <w:r>
        <w:rPr>
          <w:rStyle w:val="FootnoteAnchor"/>
          <w:rtl w:val="true"/>
        </w:rPr>
        <w:footnoteReference w:id="147"/>
      </w:r>
      <w:r>
        <w:rPr>
          <w:rFonts w:ascii="IRNazanin" w:hAnsi="IRNazanin" w:eastAsia="IRNazanin"/>
          <w:color w:val="111111"/>
          <w:sz w:val="28"/>
          <w:sz w:val="28"/>
          <w:szCs w:val="28"/>
          <w:rtl w:val="true"/>
          <w:lang w:bidi="fa-IR"/>
        </w:rPr>
        <w:t xml:space="preserve">، و الشیخ الجلیل أبو جعفر الطوسی فی بعض کتبه </w:t>
      </w:r>
      <w:r>
        <w:rPr>
          <w:rStyle w:val="FootnoteAnchor"/>
          <w:rtl w:val="true"/>
        </w:rPr>
        <w:footnoteReference w:id="148"/>
      </w:r>
      <w:r>
        <w:rPr>
          <w:rFonts w:ascii="IRNazanin" w:hAnsi="IRNazanin" w:eastAsia="IRNazanin"/>
          <w:color w:val="111111"/>
          <w:sz w:val="28"/>
          <w:sz w:val="28"/>
          <w:szCs w:val="28"/>
          <w:rtl w:val="true"/>
          <w:lang w:bidi="fa-IR"/>
        </w:rPr>
        <w:t xml:space="preserve">، و العلاّمة فی غیر المنتهی </w:t>
      </w:r>
      <w:r>
        <w:rPr>
          <w:rStyle w:val="FootnoteAnchor"/>
          <w:rtl w:val="true"/>
        </w:rPr>
        <w:footnoteReference w:id="149"/>
      </w:r>
      <w:r>
        <w:rPr>
          <w:rFonts w:ascii="IRNazanin" w:hAnsi="IRNazanin" w:eastAsia="IRNazanin"/>
          <w:color w:val="111111"/>
          <w:sz w:val="28"/>
          <w:sz w:val="28"/>
          <w:szCs w:val="28"/>
          <w:rtl w:val="true"/>
          <w:lang w:bidi="fa-IR"/>
        </w:rPr>
        <w:t xml:space="preserve">، و ابن البرّاج </w:t>
      </w:r>
      <w:r>
        <w:rPr>
          <w:rStyle w:val="FootnoteAnchor"/>
          <w:rtl w:val="true"/>
        </w:rPr>
        <w:footnoteReference w:id="15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وابن إدریس </w:t>
      </w:r>
      <w:r>
        <w:rPr>
          <w:rStyle w:val="FootnoteAnchor"/>
          <w:rtl w:val="true"/>
        </w:rPr>
        <w:footnoteReference w:id="151"/>
      </w:r>
      <w:r>
        <w:rPr>
          <w:rFonts w:ascii="IRNazanin" w:hAnsi="IRNazanin" w:eastAsia="IRNazanin"/>
          <w:color w:val="111111"/>
          <w:sz w:val="28"/>
          <w:sz w:val="28"/>
          <w:szCs w:val="28"/>
          <w:rtl w:val="true"/>
          <w:lang w:bidi="fa-IR"/>
        </w:rPr>
        <w:t xml:space="preserve">إلی الإستحباب، و وافقهم فی ذلک مولانا الفاضل البارع الورع المقدّس الأردبیلیُّ </w:t>
      </w:r>
      <w:r>
        <w:rPr>
          <w:rStyle w:val="FootnoteAnchor"/>
          <w:rtl w:val="true"/>
        </w:rPr>
        <w:footnoteReference w:id="152"/>
      </w:r>
      <w:r>
        <w:rPr>
          <w:rFonts w:ascii="IRNazanin" w:hAnsi="IRNazanin" w:eastAsia="IRNazanin"/>
          <w:color w:val="111111"/>
          <w:sz w:val="28"/>
          <w:sz w:val="28"/>
          <w:szCs w:val="28"/>
          <w:rtl w:val="true"/>
          <w:lang w:bidi="fa-IR"/>
        </w:rPr>
        <w:t xml:space="preserve">، و نسج علی منواله السیّد السند فی المدارک </w:t>
      </w:r>
      <w:r>
        <w:rPr>
          <w:rStyle w:val="FootnoteAnchor"/>
          <w:rtl w:val="true"/>
        </w:rPr>
        <w:footnoteReference w:id="153"/>
      </w:r>
      <w:r>
        <w:rPr>
          <w:rFonts w:ascii="IRNazanin" w:hAnsi="IRNazanin" w:eastAsia="IRNazanin"/>
          <w:color w:val="111111"/>
          <w:sz w:val="28"/>
          <w:sz w:val="28"/>
          <w:szCs w:val="28"/>
          <w:rtl w:val="true"/>
          <w:lang w:bidi="fa-IR"/>
        </w:rPr>
        <w:t xml:space="preserve">، وتبعه الفاضل الخراسانی فی الکفایة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والراجح عندی هو الأوَّل، و استدلّ علیه فی المنتهی </w:t>
      </w:r>
      <w:r>
        <w:rPr>
          <w:rStyle w:val="FootnoteAnchor"/>
          <w:rtl w:val="true"/>
        </w:rPr>
        <w:footnoteReference w:id="155"/>
      </w:r>
      <w:r>
        <w:rPr>
          <w:rFonts w:ascii="Amiri" w:hAnsi="Amiri" w:eastAsia="Amiri" w:cs="Amiri"/>
          <w:color w:val="111111"/>
          <w:sz w:val="28"/>
          <w:sz w:val="28"/>
          <w:szCs w:val="28"/>
          <w:rtl w:val="true"/>
          <w:lang w:bidi="ar-SA"/>
        </w:rPr>
        <w:t xml:space="preserve">بوجوه،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سلّموا تسلیمًا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للوجوب، و لا یجب فی غیر الصلوة بالإجماع، فیجب فیها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الصلوة الطهور، و تحریمها التکبیر، وتحلیلها التسلیم </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و المصدر المضاف یفید العموم، و یلزم منه انحصار التحلیل فی التسلیم، ولأنّ التسلیم وقع خبرًا عن التحلیل، فیکون مساویًا أو أعمّ منه لاستحالة الإخبار بالأخصّ عن الأعمّ، و لأنّ النحویّین اتّفقوا علی أنّ الخبر إذا کان مفردًا کان هو المبتدء علی معنی أنّ ما صدق علیه انّه تحلیل صدق علیه أنّه تسلیم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مواظبة النبیّ صلی‌الله‌علیه‌و‌آله علی الخروج به من الصلوة، بحیث لم ینقل إلینا خروجه بغیره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سهل بن سعد الساعدیُّ أنّ النبیّ صلی‌الله‌علیه‌و‌آله کان یسلّم فی الصلوة عن یمینه و یساره، و قد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کما رأیتمونی أصلّی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عبداللّه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نسیت من الأشیاءِ فلم أنس تسلیم رسول اللّه صلی‌الله‌علیه‌و‌آله عن </w:t>
      </w:r>
    </w:p>
    <w:p>
      <w:pPr>
        <w:pStyle w:val="BookText"/>
        <w:rPr/>
      </w:pPr>
      <w:r>
        <w:rPr>
          <w:rFonts w:ascii="IRNazanin" w:hAnsi="IRNazanin" w:eastAsia="IRNazanin"/>
          <w:color w:val="111111"/>
          <w:sz w:val="28"/>
          <w:sz w:val="28"/>
          <w:szCs w:val="28"/>
          <w:rtl w:val="true"/>
          <w:lang w:bidi="fa-IR"/>
        </w:rPr>
        <w:t xml:space="preserve">یمینه و شماله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روت عائشة أنّ النبیّ صلی‌الله‌علیه‌و‌آله کان یسلّم فی الصلوة تسلیمة واحدة تلقاء وجهه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مواظبة ساداتنا و أئمّتنا المعصومین ـ سلام اللّه علیهم أجمعین ـ علی التسلیم، و قد صلّی تعلیمًا لحمّاد، و قال بعد الإتیان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حمّاد هکذا صلّ </w:t>
      </w:r>
      <w:r>
        <w:rPr>
          <w:rStyle w:val="FootnoteAnchor"/>
          <w:rtl w:val="true"/>
        </w:rPr>
        <w:footnoteReference w:id="161"/>
      </w:r>
      <w:r>
        <w:rPr>
          <w:rFonts w:ascii="IRNazanin" w:hAnsi="IRNazanin" w:eastAsia="IRNazanin"/>
          <w:color w:val="111111"/>
          <w:sz w:val="28"/>
          <w:sz w:val="28"/>
          <w:szCs w:val="28"/>
          <w:rtl w:val="true"/>
          <w:lang w:bidi="fa-IR"/>
        </w:rPr>
        <w:t xml:space="preserve">، خرج ما علم إستحبابه، وبقی الباقی تحت الأمر المفید للوجوب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مواظبة السلف إلی الخلف، حتّی ادّعی بعضهم أنّ التسلیم فی آخر الصلوة من ضروریّات الدین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مرسل من طرقکم فلا یعمل به،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أنّه مرسل، فإنّ الأمّة تلقّته بالقبول، و نقله العامّة و الخاصّة، و مثل هذا الحدیث البالغ فی الشهرة غایتها قد یحذف رواتها </w:t>
      </w:r>
      <w:r>
        <w:rPr>
          <w:rStyle w:val="FootnoteAnchor"/>
          <w:rtl w:val="true"/>
        </w:rPr>
        <w:footnoteReference w:id="162"/>
      </w:r>
      <w:r>
        <w:rPr>
          <w:rFonts w:ascii="IRNazanin" w:hAnsi="IRNazanin" w:eastAsia="IRNazanin"/>
          <w:color w:val="111111"/>
          <w:sz w:val="28"/>
          <w:sz w:val="28"/>
          <w:szCs w:val="28"/>
          <w:rtl w:val="true"/>
          <w:lang w:bidi="fa-IR"/>
        </w:rPr>
        <w:t xml:space="preserve">إعتمادًا علی شهرتها </w:t>
      </w:r>
      <w:r>
        <w:rPr>
          <w:rStyle w:val="FootnoteAnchor"/>
          <w:rtl w:val="true"/>
        </w:rPr>
        <w:footnoteReference w:id="163"/>
      </w:r>
      <w:r>
        <w:rPr>
          <w:rFonts w:ascii="IRNazanin" w:hAnsi="IRNazanin" w:eastAsia="IRNazanin"/>
          <w:color w:val="111111"/>
          <w:sz w:val="28"/>
          <w:sz w:val="28"/>
          <w:szCs w:val="28"/>
          <w:rtl w:val="true"/>
          <w:lang w:bidi="fa-IR"/>
        </w:rPr>
        <w:t xml:space="preserve">، علی أنّ الشیخ الرئیس عروة الإسلام أبا جعفر محمّد بن یعقوب الکلینی، والشیخ الصدوق ثقة الإسلام محمّد بن علیّ 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الأجلّ المرتضی </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ـ قدّس اللّه أرواحهم ـ رووا هذا الحدیث مسندًا عن علیّ بن محمّد بن عبداللّه، عن سهل بن </w:t>
      </w:r>
    </w:p>
    <w:p>
      <w:pPr>
        <w:pStyle w:val="BookText"/>
        <w:rPr/>
      </w:pPr>
      <w:r>
        <w:rPr>
          <w:rFonts w:ascii="IRNazanin" w:hAnsi="IRNazanin" w:eastAsia="IRNazanin"/>
          <w:color w:val="111111"/>
          <w:sz w:val="28"/>
          <w:sz w:val="28"/>
          <w:szCs w:val="28"/>
          <w:rtl w:val="true"/>
          <w:lang w:bidi="fa-IR"/>
        </w:rPr>
        <w:t xml:space="preserve">زیاد، عن جعفر بن محمّد الأشعریّ، عن القدّاح،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الصلوة الطهور، و تحریمها التکبیر، و تحلیلها التسلیم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سلّم، فهؤلاء الرؤساء العظام و الفقهاء الفخام هم العمدة فی ضبط الأحادیث، و لو لا علم هؤلاءِ الثلثة ـ قدّس اللّه روحهم ـ بصحّته لما أرسلوه، ولما حکموا بأنّه من قوله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السیّد الأجلّ المرتضی لا یعمل بأخبار الآحاد، و مذهبه مشهور، وإنکاره معروف، فلو لم یکن إشتهار هذا الحدیث فی زمانه و بلوغه حدًّا یخرجه عن الآحاد، لم یحسن منه تعویله علیه و جعله دلیلاً علی الوجوب، فظهر انّ الحدیث کان من المتواترات، أو من المحفوفة بالقرائن المفیدة للعلم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لنا علی الوجوب ـ مضافًا إلی الإجماع المنقول من کلّ من جعل التکبیر جزءًا من الصلوة ـ روایات،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إخوتی موسی و إسحاق و محمّدًا بنی جعفر علیه‌السلام یسلّمون فی الصلوة علی الیمین والشمال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السلم علیکم ورحمة اللّه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والعبادات توقیفیّه، و إشتغال الذمّة یحتاج إلی البرائة الیقینیّة، و أصالة العدم یسقط إعتباره لأجل الإشتغال الیقینیّ، و النقض برفع الیدین فی التکبیر بأنّهم واظبوا علی ذلک مع عدم وجوبه مدفوع بخروجه بالإجماع، و لو لا الإجماع علی عدم الوجوب لقلنا بوجوبه، و لیس الإجماع هنا کما کان هناک، نعم یرد علیه أنّ فی الروایة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رحمة اللّه، و الأکثر علی عدم وجوبها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زرارة بن أعین، و محمّد بن مسلم،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صلّی فی السفر أربعًا، أیعید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قرئت علیه آیة التقصیر و فسّرت له، فصلّی أربعًا أعاد، و إن لم یکن قرئت علیه ولم یعلمها، فلا إعادة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بإعادة الصلوة إذا صلّی أربعًا، لأجل الزیادة فی الصلوة، فلو کان التسلیم أمرًا زائدًا خارجًا عن الصلوة، لما کان للحکم بالإعادة وجه، إذ قد تمّ صلوته بتمام التشهد و الزائد خارج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البطلان فی تلک الصورة لأجل نیّة الأربع، فالفساد سابق، ولذا حکم ببطلانه وإعادتها، و لیس لأجل عروض المبطل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مخالف لإطلاق الحدیث، نعم له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الحکم بالإعادة لأجل بقاءِ الأجزاء المندوبة، وهذا القدر یکفی لصحّة الحکم بالإعادة، لکن یظهر ضعفه بما ورد فی الروایة، وسیأتی من وقوع الحدث قبل التسلیم و الحکم بالصحّة و عدم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عبداللّه بن علیّ الحلبیُّ،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تدر أربعًا صلّیت أو خمسًا، أم نقصت أم زدت، فتشهّد و سلّم و اسجُد سجدتی السهو بغیر رکوع و لا قرائة، یتشهّد فیهما تشهّدًا خفیفًا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للوجوب و لا فرق بین الشاکّ و غیره، إذ لا قائل بالفصل، فإنّ کلّ من یقول بوجوب التسلیم علی من شکّ بین الأربع و الخمس، قال بوجوب التسلیم </w:t>
      </w:r>
    </w:p>
    <w:p>
      <w:pPr>
        <w:pStyle w:val="BookText"/>
        <w:rPr/>
      </w:pPr>
      <w:r>
        <w:rPr>
          <w:rFonts w:ascii="IRNazanin" w:hAnsi="IRNazanin" w:eastAsia="IRNazanin"/>
          <w:color w:val="111111"/>
          <w:sz w:val="28"/>
          <w:sz w:val="28"/>
          <w:szCs w:val="28"/>
          <w:rtl w:val="true"/>
          <w:lang w:bidi="fa-IR"/>
        </w:rPr>
        <w:t xml:space="preserve">مطلقًا، فالقول بالفرق خرق للإجماع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رجل نسی أن یجلس فی الرکعتین الأوّلتین،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ذکر قبل أن یرکع فلیجلس، وإن لم یذکر حتّی یرکع فلیتم الصلوة حتّی إذا فرغ، فلیسلّم و لیسجد سجدتی السهو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إبن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الرجل صلّی الرکعتین من المکتوبة، فلا یجلس فیها </w:t>
      </w:r>
      <w:r>
        <w:rPr>
          <w:rStyle w:val="FootnoteAnchor"/>
          <w:rtl w:val="true"/>
        </w:rPr>
        <w:footnoteReference w:id="171"/>
      </w:r>
      <w:r>
        <w:rPr>
          <w:rFonts w:ascii="IRNazanin" w:hAnsi="IRNazanin" w:eastAsia="IRNazanin"/>
          <w:color w:val="111111"/>
          <w:sz w:val="28"/>
          <w:sz w:val="28"/>
          <w:szCs w:val="28"/>
          <w:rtl w:val="true"/>
          <w:lang w:bidi="fa-IR"/>
        </w:rPr>
        <w:t xml:space="preserve">حتّی یرکع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صلوته، ثمّ یسلّم ویسجد سجدتی السهو و هو جالس قبل أن یتکلّم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رجل صلّی رکعتین، فلا یدری رکعتان هی أو أربع،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یسلّم ثمّ یقوم، إلخ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زرارة و فضیل و محمّد بن مسلم،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صلوة المغرب فی الخوف فرِّقهم فرقتین، فیصلّی بفرقة رکعتین، ثمّ 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وأشار إلیهم بیده، فقام کلّ إنسان منهم فیصلّی رکعة، ثمّ سلّموا و قاموا مقام أصحابهم، و جائت الطائفة الأخری فکبّروا ودخلوا فی الصلوة و قام الإمام فصلّی بهم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سلّم، ثمّ قام کلّ رجل منهم فصلّی رکعة فشفعها بالّتی صلّی مع الإمام ثمّ قام فصلّی رکعة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لیس فیها قرائة، فتمّت للإمام ثلاث رکعات، وللأولین رکعتان فی جماعة و للآخرین وحدانًا، فصار للأوّلین التکبیر وافتتاح </w:t>
      </w:r>
    </w:p>
    <w:p>
      <w:pPr>
        <w:pStyle w:val="BookText"/>
        <w:rPr/>
      </w:pPr>
      <w:r>
        <w:rPr>
          <w:rFonts w:ascii="IRNazanin" w:hAnsi="IRNazanin" w:eastAsia="IRNazanin"/>
          <w:color w:val="111111"/>
          <w:sz w:val="28"/>
          <w:sz w:val="28"/>
          <w:szCs w:val="28"/>
          <w:rtl w:val="true"/>
          <w:lang w:bidi="fa-IR"/>
        </w:rPr>
        <w:t xml:space="preserve">الصلوة، و للآخرین التسلیم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لا التسلیم من الواجبات، لما بقی لهم من أجزاء الصلوة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عبداللّه بن علیّ الحلبی، عن أبی عبداللّه علیه‌السلام فی الرجل یکون خلف الإمام، فیطیل الإمام التشهّد،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یسلّم من خلفه و یمضی فی حاجته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عبدالحمید بن عواض،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تؤمّ قومًا أجزاک تسلیمة واحدة عن یمینک، و إن کنت مع إمام فتسلیمتین، و إن کنت وحدک فواحدة، مستقبل القبلة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الأخبار کلّها صحیحة السند، صریحة الدلالة، إذ الجمل الخبریّة فیها بمعنی الإنشاء، وروایة زرارة فی حکایة إمام القوم و تفریق المأمومین فرقتین، أبلغ فی الدلالة علی وجوب التسلیم، لاقتضاء المقام الإیجاز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حسنة إبن أبی عمیر عن بعض أصحابه، عن أبی عبداللّه علیه‌السلام قال فی رجل صلّی فلم یدر إثنتین صلّی أم ثلثًا أم أربعًا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فیصلّی رکعتین من قیام، ثمّ یصلّی رکعتین من جلوس و یسلّم،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أربع رکعات </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کانت الرکعتان نافلة، و إلاّ تمّت الأربع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حسنة زرارة، عن أبی جعفر علیه‌السلام فی حدیث طویل،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ذکرت أنّک لم تصلّ العصر حتّی دخل وقت المغرب ولم تخف فوتها، فصلّ العصر، ثمّ صلّ </w:t>
      </w:r>
    </w:p>
    <w:p>
      <w:pPr>
        <w:pStyle w:val="BookText"/>
        <w:rPr/>
      </w:pPr>
      <w:r>
        <w:rPr>
          <w:rFonts w:ascii="IRNazanin" w:hAnsi="IRNazanin" w:eastAsia="IRNazanin"/>
          <w:color w:val="111111"/>
          <w:sz w:val="28"/>
          <w:sz w:val="28"/>
          <w:szCs w:val="28"/>
          <w:rtl w:val="true"/>
          <w:lang w:bidi="fa-IR"/>
        </w:rPr>
        <w:t xml:space="preserve">المغرب وإن‌کنت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صلّیت من المغرب رکعتین، ثمّ ذکرت العصر فانوها العصر، ثمّ سلّم، ثمّ صلّ المغرب، إلخ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حسنة الحلبی </w:t>
      </w:r>
      <w:r>
        <w:rPr>
          <w:rStyle w:val="FootnoteAnchor"/>
          <w:rtl w:val="true"/>
        </w:rPr>
        <w:footnoteReference w:id="183"/>
      </w:r>
      <w:r>
        <w:rPr>
          <w:rFonts w:ascii="IRNazanin" w:hAnsi="IRNazanin" w:eastAsia="IRNazanin"/>
          <w:color w:val="111111"/>
          <w:sz w:val="28"/>
          <w:sz w:val="28"/>
          <w:szCs w:val="28"/>
          <w:rtl w:val="true"/>
          <w:lang w:bidi="fa-IR"/>
        </w:rPr>
        <w:t xml:space="preserve">، و موثّقة عمّار بن موسی الساباطیّ، و موثّقة غالب بن عثمان </w:t>
      </w:r>
      <w:r>
        <w:rPr>
          <w:rStyle w:val="FootnoteAnchor"/>
          <w:rtl w:val="true"/>
        </w:rPr>
        <w:footnoteReference w:id="184"/>
      </w:r>
      <w:r>
        <w:rPr>
          <w:rFonts w:ascii="IRNazanin" w:hAnsi="IRNazanin" w:eastAsia="IRNazanin"/>
          <w:color w:val="111111"/>
          <w:sz w:val="28"/>
          <w:sz w:val="28"/>
          <w:szCs w:val="28"/>
          <w:rtl w:val="true"/>
          <w:lang w:bidi="fa-IR"/>
        </w:rPr>
        <w:t xml:space="preserve">، وغیرها، و لو لا مخافة الإطناب لذکرتها بمتونها و طرقها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استدلّ بعض فقهائنا علی وجوب التسلیم،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من التسلیم واجب، و لا شیء من التسلیم فی غیر الصلوة بواجب، فشیء من التسلیم واجب فی الصلوة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الصغری فلقوله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سلّموا تسلیمًا </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 و أمّا الکبری فبالإجماع، وهذا قیاس مختلّ النظام، أو لیس علی وتیرة الأشکال الأربعة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خروجه عن وتیرة الأشکال الأربعة لا یوجب الخلل، إلاّ إذا لم یستلزم النتیجة، والإستلزام هنا ظاهر، فإنّه إذا ثبت وجوب التسلیم و ثبت عدم وجوبه فی حال من الأحوال فی غیر الصلوة، لزم وجوبه فیها ألبتّة، و کم من قیاس لیس علی وتیرة الأشکال الأربعة و مع هذا ینتج، نحو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مقتول بالسیف ؛ والسیف آلة حدیدیّة، فإنّه ینتج أنّ زیدًا مقتول بآلة حدیدیّة، فلا یرد علیه أنّ القیاس المذکور مختلّ النظام لاختلال الحدّ الأوسط </w:t>
      </w:r>
      <w:r>
        <w:rPr>
          <w:rFonts w:eastAsia="IRNazanin" w:cs="IRNazanin"/>
          <w:color w:val="111111"/>
          <w:sz w:val="28"/>
          <w:szCs w:val="28"/>
          <w:rtl w:val="true"/>
          <w:lang w:bidi="fa-IR"/>
        </w:rPr>
        <w:t xml:space="preserve">. </w:t>
      </w:r>
      <w:bookmarkStart w:id="101" w:name="pg3709_21991"/>
    </w:p>
    <w:p>
      <w:pPr>
        <w:pStyle w:val="Heading4"/>
        <w:numPr>
          <w:ilvl w:val="3"/>
          <w:numId w:val="1"/>
        </w:numPr>
        <w:rPr/>
      </w:pPr>
      <w:bookmarkStart w:id="102" w:name="__RefHeading___Toc594093_2281741623"/>
      <w:bookmarkStart w:id="103" w:name="_Toc37"/>
      <w:bookmarkEnd w:id="101"/>
      <w:bookmarkEnd w:id="102"/>
      <w:r>
        <w:rPr>
          <w:rtl w:val="true"/>
        </w:rPr>
        <w:t>أدلّة القائلین بندب التسلیم</w:t>
      </w:r>
      <w:bookmarkEnd w:id="103"/>
    </w:p>
    <w:p>
      <w:pPr>
        <w:pStyle w:val="BookText"/>
        <w:rPr/>
      </w:pPr>
      <w:r>
        <w:rPr>
          <w:rFonts w:ascii="IRNazanin" w:hAnsi="IRNazanin" w:eastAsia="IRNazanin"/>
          <w:color w:val="111111"/>
          <w:sz w:val="28"/>
          <w:sz w:val="28"/>
          <w:szCs w:val="28"/>
          <w:rtl w:val="true"/>
          <w:lang w:bidi="fa-IR"/>
        </w:rPr>
        <w:t xml:space="preserve">أمّا القائلون بالندب، فاحتجّوا بوجوه،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الوجوب زیادة فی التکلیف، والأصل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العامّة عن عبداللّه بن مسعود، عن النبیّ صلی‌الله‌علیه‌و‌آله لمّا علّمه التشهّد،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هذا فقد مضت صلوتک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عن زرارة،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ثمّ یجلس، ثمّ یحدث قبل أن یسلّم،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تمّت صلوته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التسلیم واجبًا لوجب علیه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الفضیل، و زرارة، و محمّد بن مسلم،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 من الشهادتین فقد مضت صلوته، فإن کان مستعجلاً فی أمر یخاف فوته </w:t>
      </w:r>
      <w:r>
        <w:rPr>
          <w:rStyle w:val="FootnoteAnchor"/>
          <w:rtl w:val="true"/>
        </w:rPr>
        <w:footnoteReference w:id="190"/>
      </w:r>
      <w:r>
        <w:rPr>
          <w:rFonts w:ascii="IRNazanin" w:hAnsi="IRNazanin" w:eastAsia="IRNazanin"/>
          <w:color w:val="111111"/>
          <w:sz w:val="28"/>
          <w:sz w:val="28"/>
          <w:szCs w:val="28"/>
          <w:rtl w:val="true"/>
          <w:lang w:bidi="fa-IR"/>
        </w:rPr>
        <w:t xml:space="preserve">فسلّم وانصرف أجزأ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الخبر یدلّ علی إنقضاء الصلوة بالفراغ من الشهادتین، ولو کان واجبًا لم ینقض الصلوة إلاّ بالفراغ منه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زرارة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صلّی خمسًا؟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جلس فی الرابعة قدر التشهّد، فقد تمّت صلوته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التسلیم واجبًا لکان الزیادة فی أثناء الصلوة، فتبطل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علیّ بن جعفر عن أخیه موسی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خلف الإمام فیطول التشهّد فیأخذ الرجل البول، أو یتخوّف علی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یفوت </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أو یعرض له وجع، کیف یصنع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و ینصرف ویدع الإمام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مسلم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استویت جالسًا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و أشهد أنّ محمّدًا عبده و رسوله، ثمّ تنصرف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 من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صلوتنا هذه تکبیر وقرائة ورکوع وسجود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بقوم صلوة، فقعدت للتشهّد، ثمّ قمت و نسیت أن أسلّم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سلّمت علینا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تسلّم و أنت جالس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علیک، ولو </w:t>
      </w:r>
      <w:bookmarkStart w:id="104" w:name="pg3709_21995"/>
    </w:p>
    <w:p>
      <w:pPr>
        <w:pStyle w:val="BookText"/>
        <w:rPr/>
      </w:pPr>
      <w:bookmarkEnd w:id="104"/>
      <w:r>
        <w:rPr>
          <w:rFonts w:ascii="Amiri" w:hAnsi="Amiri" w:eastAsia="Amiri" w:cs="Amiri"/>
          <w:color w:val="111111"/>
          <w:sz w:val="28"/>
          <w:sz w:val="28"/>
          <w:szCs w:val="28"/>
          <w:rtl w:val="true"/>
          <w:lang w:bidi="ar-SA"/>
        </w:rPr>
        <w:t xml:space="preserve">نسیت حتّی </w:t>
      </w:r>
      <w:r>
        <w:rPr>
          <w:rStyle w:val="FootnoteAnchor"/>
          <w:rtl w:val="true"/>
        </w:rPr>
        <w:footnoteReference w:id="199"/>
      </w:r>
      <w:r>
        <w:rPr>
          <w:rFonts w:ascii="IRNazanin" w:hAnsi="IRNazanin" w:eastAsia="IRNazanin"/>
          <w:color w:val="111111"/>
          <w:sz w:val="28"/>
          <w:sz w:val="28"/>
          <w:szCs w:val="28"/>
          <w:rtl w:val="true"/>
          <w:lang w:bidi="fa-IR"/>
        </w:rPr>
        <w:t xml:space="preserve">قالوا لک ذلک إستقبلهم </w:t>
      </w:r>
      <w:r>
        <w:rPr>
          <w:rStyle w:val="FootnoteAnchor"/>
          <w:rtl w:val="true"/>
        </w:rPr>
        <w:footnoteReference w:id="200"/>
      </w:r>
      <w:r>
        <w:rPr>
          <w:rFonts w:ascii="IRNazanin" w:hAnsi="IRNazanin" w:eastAsia="IRNazanin"/>
          <w:color w:val="111111"/>
          <w:sz w:val="28"/>
          <w:sz w:val="28"/>
          <w:szCs w:val="28"/>
          <w:rtl w:val="true"/>
          <w:lang w:bidi="fa-IR"/>
        </w:rPr>
        <w:t xml:space="preserve">بوجهک،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الجمهور عن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دخل المسجد ورسول اللّه صلی‌الله‌علیه‌و‌آله جالس فی ناحیة المسجد، فصلّی، ثمّ جاء فسلّم علیه صلی‌الله‌علیه‌و‌آله ،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فصلّ، فإنّک لم تصلّ، فرجع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فقال له مثل ذلک، فقال له الرجل فی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یا رسول اللّه،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 إلی الصلوة فأسبغ الوضوء، ثمّ استقبل القبلة فکبّر، ثمّ اقرأ بما تیسّر لک من القرآن، ثمّ ارکع حتّی تطمئنّ راکعًا، ثمّ ارفع رأسک حتّی تعتدل قائمًا، ثمّ اسجد حتّی تطمئنّ ساجدًا، ثمّ ارفع حتّی تستوی قائمًا، ثمّ إفعل ذلک فی صلوتک کلّها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کان التسلیم واجبًا، لکان الواجب ذکره و تعلیمه، لئلاّ یلزم تأخیر البیان عن وقت الحاجة </w:t>
      </w:r>
      <w:r>
        <w:rPr>
          <w:rFonts w:eastAsia="IRNazanin" w:cs="IRNazanin"/>
          <w:color w:val="111111"/>
          <w:sz w:val="28"/>
          <w:szCs w:val="28"/>
          <w:rtl w:val="true"/>
          <w:lang w:bidi="fa-IR"/>
        </w:rPr>
        <w:t>.</w:t>
      </w:r>
    </w:p>
    <w:p>
      <w:pPr>
        <w:pStyle w:val="Heading4"/>
        <w:numPr>
          <w:ilvl w:val="3"/>
          <w:numId w:val="1"/>
        </w:numPr>
        <w:rPr/>
      </w:pPr>
      <w:bookmarkStart w:id="105" w:name="__RefHeading___Toc594095_2281741623"/>
      <w:bookmarkStart w:id="106" w:name="_Toc38"/>
      <w:bookmarkEnd w:id="105"/>
      <w:r>
        <w:rPr>
          <w:rtl w:val="true"/>
        </w:rPr>
        <w:t>فی ردّ الأدلّة</w:t>
      </w:r>
      <w:bookmarkEnd w:id="10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عشرة کاملة عددًا، قاصرة دلالةً، ضعیفة حجّةً، و وجه الضعف أمّا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أصالة العدم لا تجری فی العبادات، لوجوب التأسّی، وإستصحاب تحریم ما یحرم فعله فی الصلوة، و بقاء إشتغال الذمّة الیقینیّ إلی أن یحصل البرائة، وحصر التحلیل فی التسلیم، و وجوب الخروج من الصلوة، و مع هذه کیف یصحّ التمسّک بأصالة العدم ؟ </w:t>
      </w:r>
    </w:p>
    <w:p>
      <w:pPr>
        <w:pStyle w:val="BookText"/>
        <w:rPr/>
      </w:pPr>
      <w:r>
        <w:rPr>
          <w:rFonts w:ascii="IRNazanin" w:hAnsi="IRNazanin" w:eastAsia="IRNazanin"/>
          <w:color w:val="111111"/>
          <w:sz w:val="28"/>
          <w:sz w:val="28"/>
          <w:szCs w:val="28"/>
          <w:rtl w:val="true"/>
          <w:lang w:bidi="fa-IR"/>
        </w:rPr>
        <w:t xml:space="preserve">و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حجّیته سندًا، و عدم صراحته دلالةً، إذ لم یتعرّض فیه للتسلیم أصلاً، و لو کان عدم التعرّض دلیلاً علی عدم الوجوب لکان دلیلاً علی عدم الندب أیضًا، و هو لا یقول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فبأنّه إنّما یدلّ علی أنّ التسلیم لیس جزءًا من الصلوة، وهو لایستلزم عدم الوجوب، فانّ کونه واجبًا خارجًا عنها ـ کما ذکره بعض الأصحاب، و دلّت علیه بعض الأخبار ـ محتمل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أظهر کما یستفاد من تعلیقه علیه‌السلام الإجزاء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مجرّد السکوت عن ذکر التسلیم لا یدلّ علی عدم وجوبه، مع أنّ الإنصراف قد یطلق و یراد منه التسلیم، 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فقد انصرفت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إطلاق الإنصراف و إرادة التسلیم شایع ذایع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سأله علیه‌السلام عن السلام علیک أیّها النبیّ و رحمة اللّه و برکاته إنصراف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فهو إنصراف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یظهر ضعف الدلیل السادس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سابع أدلّته، فهو أنّ تلک الروایة شاهدة لنا لا علینا، فإنّ قولَ یونس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قول الإمام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تسلّم و أنت جالس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وقوع التسلیم منه، فإنّ لفظ </w:t>
      </w:r>
      <w:r>
        <w:rPr>
          <w:rStyle w:val="FootnoteAnchor"/>
          <w:rtl w:val="true"/>
        </w:rPr>
        <w:footnoteReference w:id="20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الإستفهام عن النفی یفید </w:t>
      </w:r>
      <w:r>
        <w:rPr>
          <w:rStyle w:val="FootnoteAnchor"/>
          <w:rtl w:val="true"/>
        </w:rPr>
        <w:footnoteReference w:id="207"/>
      </w:r>
      <w:r>
        <w:rPr>
          <w:rFonts w:ascii="IRNazanin" w:hAnsi="IRNazanin" w:eastAsia="IRNazanin"/>
          <w:color w:val="111111"/>
          <w:sz w:val="28"/>
          <w:sz w:val="28"/>
          <w:szCs w:val="28"/>
          <w:rtl w:val="true"/>
          <w:lang w:bidi="fa-IR"/>
        </w:rPr>
        <w:t xml:space="preserve">الإثبات، </w:t>
      </w:r>
    </w:p>
    <w:p>
      <w:pPr>
        <w:pStyle w:val="BookText"/>
        <w:rPr/>
      </w:pPr>
      <w:r>
        <w:rPr>
          <w:rFonts w:ascii="IRNazanin" w:hAnsi="IRNazanin" w:eastAsia="IRNazanin"/>
          <w:color w:val="111111"/>
          <w:sz w:val="28"/>
          <w:sz w:val="28"/>
          <w:szCs w:val="28"/>
          <w:rtl w:val="true"/>
          <w:lang w:bidi="fa-IR"/>
        </w:rPr>
        <w:t xml:space="preserve">وبهذا یمتاز </w:t>
      </w:r>
      <w:r>
        <w:rPr>
          <w:rStyle w:val="FootnoteAnchor"/>
          <w:rtl w:val="true"/>
        </w:rPr>
        <w:footnoteReference w:id="208"/>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تفید تقریر النفی، و لهذا قالوا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بِرَبِّکُمْ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قالوا إنّهم لو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لکفروا، وکذا قول إبراهیم فی 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تُؤْمِنْ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علیه‌السلام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بأس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یعطی أنّه إذا کان لم یسلّم لکان علیه بأس، و الّذی یظهر من هذا الحدیث أنّ یونس کان قد أتی بصیغة السلام علینا و علی عباد اللّه الصالحین، و لکن لمّا لم یسلّم علیهم بالعبارة الّتی جرت العادة بسلام بعضهم علی بعض،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سلّمت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ضعف ثامن أدلّتها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سند الحدیث غیر سلیم، و لو أغمضنا النظر عن السند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الحصر إضافیّ لا حقیقیّ، و عدم التعرّض غیر منحصر فی التسلیم، بل کما لم یتعرّض له لم یتعرّض للشهادتین، فما هو جوابکم عن هذا، فهو جواب لنا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الجواب عن الحدیث المنقول عن العامّة، فهو أنّ ذلک الرجل لعلّه لم یسئ فی التسلیم کما هو الظاهر، فإنّ عبارة التسلیم متعارفة شایعة بخلاف سائر الأرکان و الواجبات، و کراما وقع الخلل فی صلوة العامیّ باعتبار القرائة والرکوع والسجود و الطمأنینة، فلذا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ارکع حتّی تطمئنّ راکعًا، ثمّ ارفع رأسک حتّی تعتدل قائمًا، إلخ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بعض المتأخّرین </w:t>
      </w:r>
      <w:r>
        <w:rPr>
          <w:rStyle w:val="FootnoteAnchor"/>
          <w:rtl w:val="true"/>
        </w:rPr>
        <w:footnoteReference w:id="211"/>
      </w:r>
      <w:r>
        <w:rPr>
          <w:rFonts w:ascii="IRNazanin" w:hAnsi="IRNazanin" w:eastAsia="IRNazanin"/>
          <w:color w:val="111111"/>
          <w:sz w:val="28"/>
          <w:sz w:val="28"/>
          <w:szCs w:val="28"/>
          <w:rtl w:val="true"/>
          <w:lang w:bidi="fa-IR"/>
        </w:rPr>
        <w:t xml:space="preserve">من الفقهاء بأنّ تلک الحکایة یحتمل أن یکون قبل فرض التسلیم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بعید جدًّا، لأنّ خبرالمعراج مشتمل علی التسلیم، کما نقلنا، </w:t>
      </w:r>
    </w:p>
    <w:p>
      <w:pPr>
        <w:pStyle w:val="BookText"/>
        <w:rPr/>
      </w:pPr>
      <w:r>
        <w:rPr>
          <w:rFonts w:ascii="IRNazanin" w:hAnsi="IRNazanin" w:eastAsia="IRNazanin"/>
          <w:color w:val="111111"/>
          <w:sz w:val="28"/>
          <w:sz w:val="28"/>
          <w:szCs w:val="28"/>
          <w:rtl w:val="true"/>
          <w:lang w:bidi="fa-IR"/>
        </w:rPr>
        <w:t>و سنذکر فی موضعه إن شاء اللّه أنّه صلی‌الله‌علیه‌و‌آله بعد أن أمره اللّه بالصلوة علی نفسه الزکیّة القدسیّة، رأی فی ذلک المقام قبال وجهه صفوفًا من المقرّبین، فأمره اللّه بالتسلیم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علیکم و رحمة اللّه و برکاته،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السلم، وأنت وذریّتک و أهل بیتک الرحمة و البرکة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صلی‌الله‌علیه‌و‌آله لم یتعرّض للشهادتین أیضًا، فما هو جوابکم عن هذا فهو جواب لنا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ظهر ضعف هذه الوجوه وعدم معارضتها لتلک الأدلّة الصریحة، مضافًا إلی ما نقل من‌الإجماع، بل ادّعی الشیخ الصدوق ـ قدّس اللّه سرّه ـ أنّ القول بوجوب التسلیم من ضروریّات المذهب، و قد عدّ فی الأمالی من المذهب بهذه العبارة بعد أن اجتمع المشایخ و سألوا عن مذهب الإمامیّة بأن یملی علیهم وصف دین الإمامیّة علی الإیجاز والإختصار،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الإمامیّة هو الإقرار بالتوحید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یجزئ فی التشهّد الشهادتان، فما زاد تعبّد، و التسلیم فی الصلوة یجزئ مرّة واحدة، مستقبل القبلة، ویمیل بعینه عن </w:t>
      </w:r>
      <w:r>
        <w:rPr>
          <w:rStyle w:val="FootnoteAnchor"/>
          <w:rtl w:val="true"/>
        </w:rPr>
        <w:footnoteReference w:id="214"/>
      </w:r>
      <w:r>
        <w:rPr>
          <w:rFonts w:ascii="IRNazanin" w:hAnsi="IRNazanin" w:eastAsia="IRNazanin"/>
          <w:color w:val="111111"/>
          <w:sz w:val="28"/>
          <w:sz w:val="28"/>
          <w:szCs w:val="28"/>
          <w:rtl w:val="true"/>
          <w:lang w:bidi="fa-IR"/>
        </w:rPr>
        <w:t xml:space="preserve">یمینه، و من کان فی جمع من أهل الخلاف سلّم تسلیمتین، عن یمینه تسلیمة، و عن یساره تسلیمة ـ کما یفعلون ـ للتقیّة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107" w:name="pg3709_22004"/>
    </w:p>
    <w:p>
      <w:pPr>
        <w:pStyle w:val="Heading3"/>
        <w:numPr>
          <w:ilvl w:val="2"/>
          <w:numId w:val="1"/>
        </w:numPr>
        <w:rPr/>
      </w:pPr>
      <w:bookmarkStart w:id="108" w:name="__RefHeading___Toc594097_2281741623"/>
      <w:bookmarkStart w:id="109" w:name="_Toc39"/>
      <w:bookmarkEnd w:id="107"/>
      <w:bookmarkEnd w:id="108"/>
      <w:r>
        <w:rPr>
          <w:rtl w:val="true"/>
        </w:rPr>
        <w:t xml:space="preserve">الفصل الثانی </w:t>
      </w:r>
      <w:r>
        <w:rPr>
          <w:rtl w:val="true"/>
        </w:rPr>
        <w:t xml:space="preserve">: </w:t>
      </w:r>
      <w:r>
        <w:rPr>
          <w:rtl w:val="true"/>
        </w:rPr>
        <w:t>فی بیان کون التسلیم جزءًا أو خارجًا</w:t>
      </w:r>
      <w:bookmarkEnd w:id="109"/>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التسلیم هل هو جزء من الصلوة أو خارج عنها ؟</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الّتی یمکن أن یستنبط منها ذلک متخالفة، و لأجل إختلاف الروایات إختلف الفقهاء، فقال السیّد المرتضی رضی‌الله‌عنه فی الناصریّة ـ لمّا قال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تکبیرة الإفتتاح من الصلوة، و التسلیم لیس منها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أجد إلی هذه الغایة لأصحابنا نصًّا فی هاتین المسئلتین، ویقوی فی نفسی أنّ تکبیرة الإفتتاح من الصلوة، و أنّ التسلیم أیضًا من جملة الصلوة، و هو رکن من أرکانها، و هی </w:t>
      </w:r>
      <w:r>
        <w:rPr>
          <w:rStyle w:val="FootnoteAnchor"/>
          <w:rtl w:val="true"/>
        </w:rPr>
        <w:footnoteReference w:id="216"/>
      </w:r>
      <w:r>
        <w:rPr>
          <w:rFonts w:ascii="IRNazanin" w:hAnsi="IRNazanin" w:eastAsia="IRNazanin"/>
          <w:color w:val="111111"/>
          <w:sz w:val="28"/>
          <w:sz w:val="28"/>
          <w:szCs w:val="28"/>
          <w:rtl w:val="true"/>
          <w:lang w:bidi="fa-IR"/>
        </w:rPr>
        <w:t xml:space="preserve">مذهب الشافعی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الجزئیّة موثّقة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یقول فی رجل صلّی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جلس فی الرکعتین قبل أن یتشهّد رعف،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فلیخرج ولیغسل أنفه، ثمّ لیرجع ولیتمّ صلوته، فإنّ آخر الصلوة التسلیم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زرارة وفضیل و محمّد بن مسلم،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صلوة المغرب فی الخوف فرِّقهم فرقتین، فیصلّی بفرقة رکعتین، ثمّ جلس بهم، ثمّ أشار إلیهم بیده، فقام کلّ إنسان منهم فیصلّی رکعة، ثمّ سلّموا و قاموا مقام أصحابهم، وجائت الطائفة الأخری فکبّروا و دخلوا فی الصلوة و قام الإمام فیصلّی بهم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سلّم ثمّ قام کلّ رجل منهم فصلّی رکعة فشفعها بالّتی صلّی مع الإمام ثمّ قام </w:t>
      </w:r>
    </w:p>
    <w:p>
      <w:pPr>
        <w:pStyle w:val="BookText"/>
        <w:rPr/>
      </w:pPr>
      <w:r>
        <w:rPr>
          <w:rFonts w:ascii="Amiri" w:hAnsi="Amiri" w:eastAsia="Amiri" w:cs="Amiri"/>
          <w:color w:val="111111"/>
          <w:sz w:val="28"/>
          <w:sz w:val="28"/>
          <w:szCs w:val="28"/>
          <w:rtl w:val="true"/>
          <w:lang w:bidi="ar-SA"/>
        </w:rPr>
        <w:t xml:space="preserve">فصلّی رکعة </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لیس فیها قرائة، فتمّت للإمام ثلث رکعات و للأوَّلین رکعتان فی جماعة وللآخرین وحدانًا، فصار للأوَّلین التکبیر وإفتتاح الصلوة، وللآخرین التسلیم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کونه خارجًا عنها ، صحیحة سلیمان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رجل نسی أن یجلس فی الرکعتین الأولیین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ذکر قبل أن یرکع فلیجلس، و إن لم یذکر حتّی رکع فلیتمّ الصلوة حتّی إذا فرغ فلیسلّم ولیسجد سجدتی السهو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صحیحة إبن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الرجل صلّی الرکعتین من المکتوبة، فلا یجلس فیها </w:t>
      </w:r>
      <w:r>
        <w:rPr>
          <w:rStyle w:val="FootnoteAnchor"/>
          <w:rtl w:val="true"/>
        </w:rPr>
        <w:footnoteReference w:id="222"/>
      </w:r>
      <w:r>
        <w:rPr>
          <w:rFonts w:ascii="IRNazanin" w:hAnsi="IRNazanin" w:eastAsia="IRNazanin"/>
          <w:color w:val="111111"/>
          <w:sz w:val="28"/>
          <w:sz w:val="28"/>
          <w:szCs w:val="28"/>
          <w:rtl w:val="true"/>
          <w:lang w:bidi="fa-IR"/>
        </w:rPr>
        <w:t xml:space="preserve">حتّی یرکع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صلوته، ثمّ یسلّم ویسجد سجدتی السّهو وهو جالس قبل أن یتکلّم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موثّقة غالب بن عثمان،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المکتوبة فینقضی صلوته و یتشهّد، و </w:t>
      </w:r>
      <w:r>
        <w:rPr>
          <w:rStyle w:val="FootnoteAnchor"/>
          <w:rtl w:val="true"/>
        </w:rPr>
        <w:footnoteReference w:id="224"/>
      </w:r>
      <w:r>
        <w:rPr>
          <w:rFonts w:ascii="IRNazanin" w:hAnsi="IRNazanin" w:eastAsia="IRNazanin"/>
          <w:color w:val="111111"/>
          <w:sz w:val="28"/>
          <w:sz w:val="28"/>
          <w:szCs w:val="28"/>
          <w:rtl w:val="true"/>
          <w:lang w:bidi="fa-IR"/>
        </w:rPr>
        <w:t xml:space="preserve">ینام قبل أن یسلّم،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تمّت صلوته، وإن کان رعافًا فاغسله ثمّ ارجع فسلّم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یخطر بالبال أنّه لاطائل فی البحث عن ذلک، لرجوع هذا البحث فی </w:t>
      </w:r>
      <w:bookmarkStart w:id="110" w:name="pg3709_22008"/>
    </w:p>
    <w:p>
      <w:pPr>
        <w:pStyle w:val="BookText"/>
        <w:rPr/>
      </w:pPr>
      <w:bookmarkEnd w:id="110"/>
      <w:r>
        <w:rPr>
          <w:rFonts w:ascii="IRNazanin" w:hAnsi="IRNazanin" w:eastAsia="IRNazanin"/>
          <w:color w:val="111111"/>
          <w:sz w:val="28"/>
          <w:sz w:val="28"/>
          <w:szCs w:val="28"/>
          <w:rtl w:val="true"/>
          <w:lang w:bidi="fa-IR"/>
        </w:rPr>
        <w:t>الحقیقة إلی البحث عن وجوب التسلیم و ندبه، فعلی القول بوجوبه لا معنی لخروجه، و علی القول بندبه لا معنی لدخوله ؛ و لیس بشیء، إذ علی القول بندبه یمکن أن یکون التسلیم من الأجزاء المندوبة کبعض التکبیرات السبع، وکالصلوة علی النبیّ و آله ـ علی القول بندبها فی التشهّد کالصلوة علی الملئکة والأنبیاء والمرسلین ـ و کالقنوت، بل یمکن علی القول بالوجوب منع إستلزامه الدخول باحتمال کونه من الأمور الواجبة الخارجة عن حقیقتها، بل جوّز صاحب البشری جمال الدّین بن طاوس العلوی الفاطمیّ ـ قدّس اللّه روحه، وعطّر مرقده ـ أن یکون الخروج من الصلوة بالسلام علینا وعلی عباد اللّه الصالحین، و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وبرکاته بعد ذلک واجبًا أیضًا و إن کان قد خرج من الصلوة بالأولی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594099_2281741623"/>
      <w:bookmarkStart w:id="112" w:name="_Toc40"/>
      <w:bookmarkEnd w:id="111"/>
      <w:r>
        <w:rPr>
          <w:rtl w:val="true"/>
        </w:rPr>
        <w:t xml:space="preserve">الفصل الثالث </w:t>
      </w:r>
      <w:r>
        <w:rPr>
          <w:rtl w:val="true"/>
        </w:rPr>
        <w:t xml:space="preserve">: </w:t>
      </w:r>
      <w:r>
        <w:rPr>
          <w:rtl w:val="true"/>
        </w:rPr>
        <w:t>فیما یتفرّع علی القولین</w:t>
      </w:r>
      <w:bookmarkEnd w:id="112"/>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یتفرّع علی القولین المذکورین،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التسلیم داخلاً فی الصلوة أو خارجًا عنها، و هو أمور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ظنّ دخول الوقت فصلّی، ثمّ تبیّن فی أثناء التسلیم، فإن قلنا بجزئیّته، صحّت صلوته عند من یکتفی بدخول الوقت فی أثناء الصلوة، کالشیخ والمحقّق وأتباعهما، عملاً بروایة إسمعیل بن رباح </w:t>
      </w:r>
      <w:r>
        <w:rPr>
          <w:rStyle w:val="FootnoteAnchor"/>
          <w:rtl w:val="true"/>
        </w:rPr>
        <w:footnoteReference w:id="228"/>
      </w:r>
      <w:r>
        <w:rPr>
          <w:rFonts w:ascii="IRNazanin" w:hAnsi="IRNazanin" w:eastAsia="IRNazanin"/>
          <w:color w:val="111111"/>
          <w:sz w:val="28"/>
          <w:sz w:val="28"/>
          <w:szCs w:val="28"/>
          <w:rtl w:val="true"/>
          <w:lang w:bidi="fa-IR"/>
        </w:rPr>
        <w:t>،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bookmarkStart w:id="113" w:name="pg3709_22011"/>
    </w:p>
    <w:p>
      <w:pPr>
        <w:pStyle w:val="BookText"/>
        <w:rPr/>
      </w:pPr>
      <w:bookmarkEnd w:id="113"/>
      <w:r>
        <w:rPr>
          <w:rFonts w:ascii="IRNazanin" w:hAnsi="IRNazanin" w:eastAsia="IRNazanin"/>
          <w:color w:val="111111"/>
          <w:sz w:val="28"/>
          <w:sz w:val="28"/>
          <w:szCs w:val="28"/>
          <w:rtl w:val="true"/>
          <w:lang w:bidi="fa-IR"/>
        </w:rPr>
        <w:t xml:space="preserve">صلّیت و زعمت أنّک فی وقت ولم یدخل الوقت، فدخل الوقت وأنت فی الصلوة، فقد أجزأت عنک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بخروجه، بطلت، لوقوع الصلوة بأجمعها خارج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إحتیاجه إلی نیّة مستقلّة، فإن قلنا بخروجه، إفتقر إلی نیّة مستقلّة، إذ هو علی تقدیر کونه خارجًا عن الحقیقة عبادة أخری خارجة، و العبادة یتوقّف علی نیّة التقرّب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قلنا بدخوله، فلا، لإندراجه تحت نیّة الصلوة کسایر أجزائها الواجبة و المندوبة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نذر لمن کان متلبّسًا بالصلوة فی الوقت الفلانیّ، فصادف إشتغاله فی ذلک الوقت بالتسلیم، فإن کان جزءًا إستحقّ المنذور، و إلاّ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تذکّر فی أثناء التسلیم صلوة سابقة فائتة، فإن قلنا بأنّ التسلیم جزء من الصلوة، وجب العدول و صرف النیّة إلی السابقة، و إن کان خارجًا عنها، فلا یصحّ العدول </w:t>
      </w:r>
      <w:r>
        <w:rPr>
          <w:rFonts w:eastAsia="IRNazanin" w:cs="IRNazanin"/>
          <w:color w:val="111111"/>
          <w:sz w:val="28"/>
          <w:szCs w:val="28"/>
          <w:rtl w:val="true"/>
          <w:lang w:bidi="fa-IR"/>
        </w:rPr>
        <w:t>.</w:t>
      </w:r>
    </w:p>
    <w:p>
      <w:pPr>
        <w:pStyle w:val="Heading3"/>
        <w:numPr>
          <w:ilvl w:val="2"/>
          <w:numId w:val="1"/>
        </w:numPr>
        <w:rPr/>
      </w:pPr>
      <w:bookmarkStart w:id="114" w:name="__RefHeading___Toc594101_2281741623"/>
      <w:bookmarkStart w:id="115" w:name="_Toc41"/>
      <w:bookmarkEnd w:id="114"/>
      <w:r>
        <w:rPr>
          <w:rtl w:val="true"/>
        </w:rPr>
        <w:t xml:space="preserve">الفصل الرابع </w:t>
      </w:r>
      <w:r>
        <w:rPr>
          <w:rtl w:val="true"/>
        </w:rPr>
        <w:t xml:space="preserve">: </w:t>
      </w:r>
      <w:r>
        <w:rPr>
          <w:rtl w:val="true"/>
        </w:rPr>
        <w:t>فی أنّ المخرج أیّ الصیغتین</w:t>
      </w:r>
      <w:bookmarkEnd w:id="11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العبارة المخرجة هل هی السلام علینا و علی عباد اللّه الصالحین، أو هی السلام علیکم ؟ إختلف أصحابنا فی ذلک، فذهب الأکثر إلی تعیین الصیغة الثانیة للخروج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شیخنا الشهید فی الدروس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کلّ من قال بوجوب التسلیم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فی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الصیغة الأولی لم یوجبها أحد من العلماء المتقدّمین، وأنّ القائلین بوجوب التسلیم جعلوا الأولی مستحبّة کالتسلیم علی الأنبیاء والمرسلین والملئکة المقرّبین غیر مخرجة من الصلوة، ومن قال بندب التسلیم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الصیغة الأولی مخرجة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والمحقّق رحمه‌الله فی الشرائع </w:t>
      </w:r>
      <w:r>
        <w:rPr>
          <w:rStyle w:val="FootnoteAnchor"/>
          <w:rtl w:val="true"/>
        </w:rPr>
        <w:footnoteReference w:id="232"/>
      </w:r>
      <w:r>
        <w:rPr>
          <w:rFonts w:ascii="IRNazanin" w:hAnsi="IRNazanin" w:eastAsia="IRNazanin"/>
          <w:color w:val="111111"/>
          <w:sz w:val="28"/>
          <w:sz w:val="28"/>
          <w:szCs w:val="28"/>
          <w:rtl w:val="true"/>
          <w:lang w:bidi="fa-IR"/>
        </w:rPr>
        <w:t xml:space="preserve">و المعتبر </w:t>
      </w:r>
      <w:r>
        <w:rPr>
          <w:rStyle w:val="FootnoteAnchor"/>
          <w:rtl w:val="true"/>
        </w:rPr>
        <w:footnoteReference w:id="233"/>
      </w:r>
      <w:r>
        <w:rPr>
          <w:rFonts w:ascii="IRNazanin" w:hAnsi="IRNazanin" w:eastAsia="IRNazanin"/>
          <w:color w:val="111111"/>
          <w:sz w:val="28"/>
          <w:sz w:val="28"/>
          <w:szCs w:val="28"/>
          <w:rtl w:val="true"/>
          <w:lang w:bidi="fa-IR"/>
        </w:rPr>
        <w:t xml:space="preserve">والنافع </w:t>
      </w:r>
      <w:r>
        <w:rPr>
          <w:rStyle w:val="FootnoteAnchor"/>
          <w:rtl w:val="true"/>
        </w:rPr>
        <w:footnoteReference w:id="234"/>
      </w:r>
      <w:r>
        <w:rPr>
          <w:rFonts w:ascii="IRNazanin" w:hAnsi="IRNazanin" w:eastAsia="IRNazanin"/>
          <w:color w:val="111111"/>
          <w:sz w:val="28"/>
          <w:sz w:val="28"/>
          <w:szCs w:val="28"/>
          <w:rtl w:val="true"/>
          <w:lang w:bidi="fa-IR"/>
        </w:rPr>
        <w:t xml:space="preserve">ذهب إلی أنّ المصلّی بالخیار، إن شاء جعل الأولی مخرجة، و إن شاء جعل الثانیة مخرجة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شیخنا الشهید بالغ فی إنکار ذلک القول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قول محدث فی زمان المحقّق أو قبله بزمان یسیر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ظهر من کلام الفاضل یحیی بن سعید فی الجامع وجوب السلام علینا وعلی عباد اللّه الصالحین وتعیینها للخروج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الشهید ـ قدّس اللّه روحه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هذا القول خروج عن الإجماع من حیث لا یشعر قائله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تحقیق حقّ المقام لکشف نقاب الإبهام بذکر روایات وردت عن سادات </w:t>
      </w:r>
    </w:p>
    <w:p>
      <w:pPr>
        <w:pStyle w:val="BookText"/>
        <w:rPr/>
      </w:pPr>
      <w:r>
        <w:rPr>
          <w:rFonts w:ascii="IRNazanin" w:hAnsi="IRNazanin" w:eastAsia="IRNazanin"/>
          <w:color w:val="111111"/>
          <w:sz w:val="28"/>
          <w:sz w:val="28"/>
          <w:szCs w:val="28"/>
          <w:rtl w:val="true"/>
          <w:lang w:bidi="fa-IR"/>
        </w:rPr>
        <w:t xml:space="preserve">الأنام، 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التهذیب </w:t>
      </w:r>
      <w:r>
        <w:rPr>
          <w:rStyle w:val="FootnoteAnchor"/>
          <w:rtl w:val="true"/>
        </w:rPr>
        <w:footnoteReference w:id="238"/>
      </w:r>
      <w:r>
        <w:rPr>
          <w:rFonts w:ascii="Amiri" w:hAnsi="Amiri" w:eastAsia="Amiri" w:cs="Amiri"/>
          <w:color w:val="111111"/>
          <w:sz w:val="28"/>
          <w:sz w:val="28"/>
          <w:szCs w:val="28"/>
          <w:rtl w:val="true"/>
          <w:lang w:bidi="ar-SA"/>
        </w:rPr>
        <w:t xml:space="preserve">بسنده عن سماعة بن مهران </w:t>
      </w:r>
      <w:r>
        <w:rPr>
          <w:rStyle w:val="FootnoteAnchor"/>
          <w:rtl w:val="true"/>
        </w:rPr>
        <w:footnoteReference w:id="239"/>
      </w:r>
      <w:r>
        <w:rPr>
          <w:rFonts w:ascii="IRNazanin" w:hAnsi="IRNazanin" w:eastAsia="IRNazanin"/>
          <w:color w:val="111111"/>
          <w:sz w:val="28"/>
          <w:sz w:val="28"/>
          <w:szCs w:val="28"/>
          <w:rtl w:val="true"/>
          <w:lang w:bidi="fa-IR"/>
        </w:rPr>
        <w:t xml:space="preserve">،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جلست فی الرابعة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و الحمد للّه وخیر الأسماء للّه، أشهد أن لا إله إلاّ اللّه وحده لا شریک له، و أشهد أنّ محمّدًا عبده ورسوله، أرسله بالحقّ بشیرًا و نذیرًا بین یدی الساعة بالهدی و دین الحقّ لیظهره علی الدّین کلّه و لو کره المشرکون، و أشهد أنّ ربّی نعم الربّ </w:t>
      </w:r>
      <w:r>
        <w:rPr>
          <w:rStyle w:val="FootnoteAnchor"/>
          <w:rtl w:val="true"/>
        </w:rPr>
        <w:footnoteReference w:id="240"/>
      </w:r>
      <w:r>
        <w:rPr>
          <w:rFonts w:ascii="IRNazanin" w:hAnsi="IRNazanin" w:eastAsia="IRNazanin"/>
          <w:color w:val="111111"/>
          <w:sz w:val="28"/>
          <w:sz w:val="28"/>
          <w:szCs w:val="28"/>
          <w:rtl w:val="true"/>
          <w:lang w:bidi="fa-IR"/>
        </w:rPr>
        <w:t xml:space="preserve">، و أنّ محمّدًا نعم الرسول، التحیّات للّه، و الصلوات الطاهرات الطیّبات الزاکیات الغادیات الرائحات السابغات الناعمات للّه، ما طاب و طهر و زکی و خلص و صفی فللّه، وأشهد أن لا إله إلاّ اللّه وحده لا شریک له، و أشهد أنّ محمّدًا عبده و رسوله أرسله بالحقّ بشیرًا و نذیرًا بین یدی الساعة، و أشهد أنّ ربّی نعم الربّ، و أنّ محمّدًا نعم الرسول، اللهمّ صلّ علی محمّد و آل محمّد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 رحمة اللّه و برکاته، السلام علی أنبیاء اللّه ورسله، السلام علی جبرئیل و میکائیل و الملئکة المقرّبین، السلام علی محمّد بن عبداللّه خاتم النبیّین لا نبیّ بعده، السلم علینا و علی عباد اللّه الصالحین، ثمّ تسلّم، وأدنی ما یجزی من التشهّد الشهادتان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علی هذا المنوال ذهب الشیخ فی کتاب المصباح </w:t>
      </w:r>
      <w:r>
        <w:rPr>
          <w:rStyle w:val="FootnoteAnchor"/>
          <w:rtl w:val="true"/>
        </w:rPr>
        <w:footnoteReference w:id="242"/>
      </w:r>
      <w:r>
        <w:rPr>
          <w:rFonts w:ascii="IRNazanin" w:hAnsi="IRNazanin" w:eastAsia="IRNazanin"/>
          <w:color w:val="111111"/>
          <w:sz w:val="28"/>
          <w:sz w:val="28"/>
          <w:szCs w:val="28"/>
          <w:rtl w:val="true"/>
          <w:lang w:bidi="fa-IR"/>
        </w:rPr>
        <w:t xml:space="preserve">الّذی ألّفه لعبادة الناس وآداب نوافلهم وفرائضهم و تهجّدهم أیّام السنة ممّا لا مزید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إبن محبوب، عن محمّد بن أحمد، عن العمرکی،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إخوتی موسی وإسحاق ومحمّدًا بنی جعفر علیه‌السلام یسلّمون فی الصلوة عن الیمین و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السلام علیکم و رحمة اللّه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عبدالحمید بن عوّاض،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تؤمّ قومًا أجزأک تسلیمة واحدة عن یمینک، و إن کنت مع إمام فتسلیمتین، و إن کنت وحدک فواحدة، مستقبل القبلة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صفوان، عن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یسلّم واحدة، ومن ورائه یسلّم إثنین، فإن لم یکن علی شماله أحد سلّم واحدة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 عن إبن مسکان،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إمامًا فإنّما التسلیم أن یسلّم </w:t>
      </w:r>
      <w:r>
        <w:rPr>
          <w:rStyle w:val="FootnoteAnchor"/>
          <w:rtl w:val="true"/>
        </w:rPr>
        <w:footnoteReference w:id="246"/>
      </w:r>
      <w:r>
        <w:rPr>
          <w:rFonts w:ascii="IRNazanin" w:hAnsi="IRNazanin" w:eastAsia="IRNazanin"/>
          <w:color w:val="111111"/>
          <w:sz w:val="28"/>
          <w:sz w:val="28"/>
          <w:szCs w:val="28"/>
          <w:rtl w:val="true"/>
          <w:lang w:bidi="fa-IR"/>
        </w:rPr>
        <w:t xml:space="preserve">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علیهم‌السلام </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 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علینا وعلی عباد اللّه الصالحین، فإذا قلت ذلک فقد انقطعت الصلوة، ثمّ تؤذن القوم فتقول و أنت مستقبل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علیکم ورحمة اللّه، و کذلک إذا کنت وحدک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علینا و علی عباد اللّه الصالحین مثل ما سلّمت وأنت </w:t>
      </w:r>
    </w:p>
    <w:p>
      <w:pPr>
        <w:pStyle w:val="BookText"/>
        <w:rPr/>
      </w:pPr>
      <w:r>
        <w:rPr>
          <w:rFonts w:ascii="IRNazanin" w:hAnsi="IRNazanin" w:eastAsia="IRNazanin"/>
          <w:color w:val="111111"/>
          <w:sz w:val="28"/>
          <w:sz w:val="28"/>
          <w:szCs w:val="28"/>
          <w:rtl w:val="true"/>
          <w:lang w:bidi="fa-IR"/>
        </w:rPr>
        <w:t xml:space="preserve">إمام، فإذا کنت فی جماعة فقل مثل ما قلت و سلّم علی مَن علی یمینک وشمالک، فإن لم یکن علی </w:t>
      </w:r>
      <w:r>
        <w:rPr>
          <w:rStyle w:val="FootnoteAnchor"/>
          <w:rtl w:val="true"/>
        </w:rPr>
        <w:footnoteReference w:id="248"/>
      </w:r>
      <w:r>
        <w:rPr>
          <w:rFonts w:ascii="IRNazanin" w:hAnsi="IRNazanin" w:eastAsia="IRNazanin"/>
          <w:color w:val="111111"/>
          <w:sz w:val="28"/>
          <w:sz w:val="28"/>
          <w:szCs w:val="28"/>
          <w:rtl w:val="true"/>
          <w:lang w:bidi="fa-IR"/>
        </w:rPr>
        <w:t xml:space="preserve">شمالک أحد فسلّم علی الّذین عن </w:t>
      </w:r>
      <w:r>
        <w:rPr>
          <w:rStyle w:val="FootnoteAnchor"/>
          <w:rtl w:val="true"/>
        </w:rPr>
        <w:footnoteReference w:id="249"/>
      </w:r>
      <w:r>
        <w:rPr>
          <w:rFonts w:ascii="IRNazanin" w:hAnsi="IRNazanin" w:eastAsia="IRNazanin"/>
          <w:color w:val="111111"/>
          <w:sz w:val="28"/>
          <w:sz w:val="28"/>
          <w:szCs w:val="28"/>
          <w:rtl w:val="true"/>
          <w:lang w:bidi="fa-IR"/>
        </w:rPr>
        <w:t xml:space="preserve">یمینک، و لا تدع التسلیم علی یمینک و إن لم یکن علی شمالک أحد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صاحب الوافی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تؤذن القوم، من الإیذان،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تشعرهم و تشیر إلیهم بقلبک وتقصدهم وتتوجّه إلیهم بباطنک و تخاطبهم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ویستفاد من هذه الأحادیث أنّ آخر أجزاء الصلوة قول المصلّی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علینا و علی عباد اللّه الصالحین، و به ینصرف عن الصلوة، وبعد الإنصراف عنها بذلک یأتی بالتسلیم الّذی هو إذن وإیذان بالإنصراف وتحلیل للصلوة، بقوله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ورحمة اللّه</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ولمّا اشتبه هذا المعنی علی أکثر المتأخّرین من الأصحاب </w:t>
      </w:r>
      <w:r>
        <w:rPr>
          <w:rStyle w:val="FootnoteAnchor"/>
          <w:rtl w:val="true"/>
        </w:rPr>
        <w:footnoteReference w:id="253"/>
      </w:r>
      <w:r>
        <w:rPr>
          <w:rFonts w:ascii="IRNazanin" w:hAnsi="IRNazanin" w:eastAsia="IRNazanin"/>
          <w:color w:val="111111"/>
          <w:sz w:val="28"/>
          <w:sz w:val="28"/>
          <w:szCs w:val="28"/>
          <w:rtl w:val="true"/>
          <w:lang w:bidi="fa-IR"/>
        </w:rPr>
        <w:t xml:space="preserve">، إختلفوا فی صیغة التسلیم المحلِّل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ما أفاده رحمه‌الله إنّ الّذی یستفاد من تلک الروایات أنّ الصیغتین الأولیین من أجزاء الصلوة، سواء کان من الأجزاء المندوبة، أو من الأجزاء الواجبة، و إن کان الأولی منهما من المندوبة بغیر خلاف ؛ 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التسلیم </w:t>
      </w:r>
    </w:p>
    <w:p>
      <w:pPr>
        <w:pStyle w:val="BookText"/>
        <w:rPr/>
      </w:pPr>
      <w:r>
        <w:rPr>
          <w:rFonts w:ascii="IRNazanin" w:hAnsi="IRNazanin" w:eastAsia="IRNazanin"/>
          <w:color w:val="111111"/>
          <w:sz w:val="28"/>
          <w:sz w:val="28"/>
          <w:szCs w:val="28"/>
          <w:rtl w:val="true"/>
          <w:lang w:bidi="fa-IR"/>
        </w:rPr>
        <w:t xml:space="preserve">المحلِّل هو التسلیم الأخیر، إذ الإذن و الإیذان والإشعار بالتحلیل </w:t>
      </w:r>
      <w:r>
        <w:rPr>
          <w:rStyle w:val="FootnoteAnchor"/>
          <w:rtl w:val="true"/>
        </w:rPr>
        <w:footnoteReference w:id="255"/>
      </w:r>
      <w:r>
        <w:rPr>
          <w:rFonts w:ascii="IRNazanin" w:hAnsi="IRNazanin" w:eastAsia="IRNazanin"/>
          <w:color w:val="111111"/>
          <w:sz w:val="28"/>
          <w:sz w:val="28"/>
          <w:szCs w:val="28"/>
          <w:rtl w:val="true"/>
          <w:lang w:bidi="fa-IR"/>
        </w:rPr>
        <w:t xml:space="preserve">المحرِّم فی الصلوة وقع بتلک الصیغة الأخیرة، و هی لیست داخلة فی الصلوة، بل هی کلام الآدمیّین، بخلاف الأولیین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فی حدیث معراج سیّدنا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علی نفسک و علی أهل بیتک،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 و علی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فعل </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 ثمّ التفت فإذًا بصفوف من الملئکة و المرسلین و النبیّین،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سلّم علیهم،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علیکم و رحمة اللّه وبرکاته، 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السلم، و التحیّة و الرحمة و البرکات أنت و ذریّتک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أجل ذلک کان السلم واحدة تجاه القبلة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هذا الحدیث الطویل الذیل، المشتمل علی غوامض الأسرار ودقایق الربوبیّة، الشاهد متنه علی صدوره من خزنة الأسرار و حملة التنزیل وأهل بیت العصمة والطهارة و التأویل، أنّ التسلیم المحلِّل هو السلم علیکم، والصیغتان الأولیان لیستا داخلتین فی التسلیم، و لا من أجزاء الصلوة فی أوّل الأمر و بدو تأسیس أساس هذه العبادة، و غایة ما یستفاد من بعض الأخبار فی صیغة السلم علینا و علی عباد اللّه الصالحین به یتحقّق الإنقطاع، وأمّا إنّه هو المحلِّل و مصداق قول الرسول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تحلیلها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و لما یتحقّق به الإنقطاع، إشتبه علی بعض الأصحاب بجواز الإکتفاء به فی التحلیل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شیخنا الصدوق ـ عطّر اللّه مرقده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إذا صلّیت الرکعة الرابعة، فتشهّد وقل فی تشهّدک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إلی آخر ما رواه الشیخ فی التهذیب،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علینا وعلی عباد اللّه الصالحین، و یجزیک فی 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الشهادتان </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وهذا أفضل، لأنّها العبادة، ثمّ تسلّم و أنت مستقبل القبلة، و تمیل بعینک إلی یمینک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إمامًا </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 و إن کنت خلف إمام یؤتم به </w:t>
      </w:r>
      <w:r>
        <w:rPr>
          <w:rStyle w:val="FootnoteAnchor"/>
          <w:rtl w:val="true"/>
        </w:rPr>
        <w:footnoteReference w:id="260"/>
      </w:r>
      <w:r>
        <w:rPr>
          <w:rFonts w:ascii="IRNazanin" w:hAnsi="IRNazanin" w:eastAsia="IRNazanin"/>
          <w:color w:val="111111"/>
          <w:sz w:val="28"/>
          <w:sz w:val="28"/>
          <w:szCs w:val="28"/>
          <w:rtl w:val="true"/>
          <w:lang w:bidi="fa-IR"/>
        </w:rPr>
        <w:t xml:space="preserve">، فسلّم تجاه القبلة واحدة ردًّا علی الإمام، و تسلّم علی یمینک واحدة، وعلی یسارک واحدة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یستفاد من کلام الصدوق ما استفدناه من روایة التهذیب بوجه أوضح، إذ الشیخ الصدوق ـ عطّر اللّه مرقده ـ بعد أن ذکر التشهّد الکامل و ذکر صیغتی السلام فی ذیل أذکار التشهّد،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ویجزیه أن یکتفی فی التشهّد بالشهادتین بدون ذکر شیء من ذلک، ثمّ قال بعد الفراغ من التشهّد الکامل، و بعد الإفتاء بجواز الإکتفاء بالأقلّ، ثمّ تسلّم، إلی آخره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أیضًا یشهد بأنّ المحلِّل هو الصیغة الأخیرة، إذ فتاوی الصدوق مطابق لمتون الروایات، و کیف یجوز للصدوق أن یدخل فی الصلوة کلمة أو حرفًا من غیر إذن من أئمّتنا، مع أنّک عرفت الطباق و الوفاق بذکر الروایات، و إلی هذا ذهب السیّد السند الأجلّ المرتضی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أبو الصلاح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الّذی نراه نحن أنّه لا یخرج من الصلوة إلاّ بأحد التسلیمتین </w:t>
      </w:r>
      <w:r>
        <w:rPr>
          <w:rStyle w:val="FootnoteAnchor"/>
          <w:rtl w:val="true"/>
        </w:rPr>
        <w:footnoteReference w:id="264"/>
      </w:r>
      <w:r>
        <w:rPr>
          <w:rFonts w:ascii="IRNazanin" w:hAnsi="IRNazanin" w:eastAsia="IRNazanin"/>
          <w:color w:val="111111"/>
          <w:sz w:val="28"/>
          <w:sz w:val="28"/>
          <w:szCs w:val="28"/>
          <w:rtl w:val="true"/>
          <w:lang w:bidi="fa-IR"/>
        </w:rPr>
        <w:t xml:space="preserve">، إمّا السلام علینا، و إمّا السلام علیکم، و بأیّهما بدء کان خارجًا من الصلوة، لقوله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وتحلیلها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صادق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أیّد فتواه بروایة أبی بصیر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إمامًا فإنّما التسلیم أن یسلّم علی النبیّ و آله، 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فإذا قلت ذلک فقد انقطعت الصلوة، ثمّ تؤذن القوم و أنت مستقبل القبلة،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اعتبر مسمّی التسلیم خرج بالتسلیم علی النبیّ وآله،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التسلیم علی النبیّ صلی‌الله‌علیه‌و‌آله من جملة أذکار الصلوة، جار مجری الدعاء والثناء علی اللّه تعالی، لروایة أبی کهمش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عن السلم علیک أیّها النبیّ و رحمة اللّه و برکاته، هل إنصراف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علینا وعلی عباد اللّه الصالحین، فهو إنصراف </w:t>
      </w:r>
      <w:r>
        <w:rPr>
          <w:rStyle w:val="FootnoteAnchor"/>
          <w:rtl w:val="true"/>
        </w:rPr>
        <w:footnoteReference w:id="266"/>
      </w:r>
      <w:r>
        <w:rPr>
          <w:rFonts w:ascii="IRNazanin" w:hAnsi="IRNazanin" w:eastAsia="IRNazanin"/>
          <w:color w:val="111111"/>
          <w:sz w:val="28"/>
          <w:sz w:val="28"/>
          <w:szCs w:val="28"/>
          <w:rtl w:val="true"/>
          <w:lang w:bidi="fa-IR"/>
        </w:rPr>
        <w:t xml:space="preserve">، و لروایة الحلبی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علینا وعلی عباد اللّه الصالحین، فقد إنصرفت من الصلوة،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أنّه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علیکم، فقد خرج به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علماء الإسلام کافّة، ولایختلفون فیه، </w:t>
      </w:r>
    </w:p>
    <w:p>
      <w:pPr>
        <w:pStyle w:val="BookText"/>
        <w:rPr/>
      </w:pPr>
      <w:r>
        <w:rPr>
          <w:rFonts w:ascii="IRNazanin" w:hAnsi="IRNazanin" w:eastAsia="IRNazanin"/>
          <w:color w:val="111111"/>
          <w:sz w:val="28"/>
          <w:sz w:val="28"/>
          <w:szCs w:val="28"/>
          <w:rtl w:val="true"/>
          <w:lang w:bidi="fa-IR"/>
        </w:rPr>
        <w:t>وإنّما الخلاف فی أنّه هل یتعیّن هذه الصیغة للخروج ولا یصحّ من الصیغة الأخری، أو یقع الخروج بکلّ منهما ؟</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منعقد علی أنّ الخروج من الصلوة لابدّ أن یکون إمّا بالسلام علیکم، أو فعل المنافی، و صیغة السلام علینا وعلی عباد اللّه الصالحین لیس شیئًا من ذلک،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أن نمنع ذلک،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والمنقول عن أهل البیت علیهم‌السلام أنّ الخروج یتحقّق بتلک الصیغة، فانحصار الخروج بالصیغة أو الفعل المنافی بعد ورود الروایات الصریحة الدلالة علی الخروج بصیغة السلام علینا فی محلّ المنع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إحتججتم بفعل النبیّ صلی‌الله‌علیه‌و‌آله وهو لم یخرج من الصلوة إلاّ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فیجب الإقتصار علیه،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علی الجواز قول النبیّ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تحلیلها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صادق علی کلّ ما یسمّی تسلیمًا، عدا ما یقصد به الدعاء للنبیّ والأئمّة علیه و علیهم السلم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عرفت أنّ التسلیم لغةً و عرفًا و شرعًا إنّما هو السلام علیکم، دون السلام علینا، وسیأتی زیادة توضیح لذلک، مضافًا إلی ما ذکرنا من الروایات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برکاته </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إبن بابویه </w:t>
      </w:r>
      <w:r>
        <w:rPr>
          <w:rStyle w:val="FootnoteAnchor"/>
          <w:rtl w:val="true"/>
        </w:rPr>
        <w:footnoteReference w:id="270"/>
      </w:r>
      <w:r>
        <w:rPr>
          <w:rFonts w:ascii="IRNazanin" w:hAnsi="IRNazanin" w:eastAsia="IRNazanin"/>
          <w:color w:val="111111"/>
          <w:sz w:val="28"/>
          <w:sz w:val="28"/>
          <w:szCs w:val="28"/>
          <w:rtl w:val="true"/>
          <w:lang w:bidi="fa-IR"/>
        </w:rPr>
        <w:t xml:space="preserve">، وإبن أبی عقیل وابن الجنید </w:t>
      </w:r>
      <w:r>
        <w:rPr>
          <w:rStyle w:val="FootnoteAnchor"/>
          <w:rtl w:val="true"/>
        </w:rPr>
        <w:footnoteReference w:id="27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p>
    <w:p>
      <w:pPr>
        <w:pStyle w:val="BookText"/>
        <w:rPr/>
      </w:pP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علیکم ورحمة اللّه و برکاته، کان حسنًا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ما رواه انّ علیًّا علیه‌السلام کان یسلّم عن یمینه و شماله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طریق الخاصّة ما رواه البزنطیّ عن إبن أبی یعفور، عن الصادق علیه‌السلام فی تسلیم الإمام و هو مستقبل القبلة،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علیکم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رواه أبو بصیر عن الصادق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السیّد ـ صاحب المدارک ـ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الواجب ـ علی القول بوجوب التسلیم ـ هو السلام علیکم، لأنّ الأخبار المتضمّنة للسلام علینا انّما یدلّ علی کونها قاطعة للصلوة خاصّة، وهو لایستلزم الوجوب، والأخبار السابقة الدالّة علی حصول الإنصراف من الصلوة، أو إنقطاع الصلوة، أو إفساد الصلوة بذلک، غیر دالّة علی الوجوب، و ما تضمّن الأمر بها فضعیف السند، قاصر الدلالة، فاحتجاج المحقّق علی وجوب إحدی الصیغتین تخییرًا لصدق التسلیم علیها، فیتناولها عموم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تحلیلها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لأنّ التعریف للعهد، والمعهود المعروف منه بین الخاصّة والعامّة السلام علیکم، کما یعلم من تتبّع الأحادیث، حیث یذکر فیها ألفاظ التسلیم المستحبّة والسلم علینا وعلی عباد اللّه الصالحین، ثمّ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یسلّم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کلام جیّد، و لا یرد علیه أنّ الأخبار المستفیضة مصرّحة بحصول الإنصراف و التحلیل الواجب بالسلام علینا، فکما یعلم من الأخبار الّتی ذکرها معهودیّة السلام علیکم، فکذا یعلم من المستفیضة شمول التسلیم الواجب للسلام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الورود أنّ غایة ما یستفاد من تلک الأخبار ـ مع الإغماض عن سندها ـ وقوع الإنصراف بتلک الصیغة، وأمّا وقوع التسلیم المحلِّل فلا، وقد عرفت خبر المعراج و خلوّها من تلک الصیغة، وعرفت الأخبار الکثیرة المشتملة علی ذکر التشهّد الکامل، وأنّ تلک الصیغة من أجزاء التشهّد الکامل، وأنّه یکفی فی التشهّد الشهادتان، والتسلیم وقع منهم علیهم‌السلام بعد ذلک محلِّلاً، ولو وقع التحلیل والإنصراف بالصیغة المذکورة فما فائدة ذکر التسلیم بعد حصول التحلیل من الأولی ؟</w:t>
      </w:r>
    </w:p>
    <w:p>
      <w:pPr>
        <w:pStyle w:val="BookText"/>
        <w:rPr/>
      </w:pPr>
      <w:r>
        <w:rPr>
          <w:rFonts w:ascii="IRNazanin" w:hAnsi="IRNazanin" w:eastAsia="IRNazanin"/>
          <w:color w:val="111111"/>
          <w:sz w:val="28"/>
          <w:sz w:val="28"/>
          <w:szCs w:val="28"/>
          <w:rtl w:val="true"/>
          <w:lang w:bidi="fa-IR"/>
        </w:rPr>
        <w:t xml:space="preserve">قال الشهید رحمه‌الله فی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یوجب الصیغة الأولی أحد من القدماء، وانّ القائل بوجوب التسلیم یجعل تلک الصیغة من المستحبّات، کالتسلیم علی الأنبیاء والمرسلین والملئکة المقرّبین، غیر مخرجة من الصلوة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بالتخییر بین الصیغتین، و إن ذهب إلیه أکثر المتأخّرین کالمحقّق فی الشرائع و النافع و المعتبر، و العلاّمة فی المنتهی و الإرشاد و القواعد، إلاّ أنّه قال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قائل به من القدماء ؛ و القول بوجوب صیغة السلام علینا خروج عن </w:t>
      </w:r>
    </w:p>
    <w:p>
      <w:pPr>
        <w:pStyle w:val="BookText"/>
        <w:rPr/>
      </w:pPr>
      <w:r>
        <w:rPr>
          <w:rFonts w:ascii="IRNazanin" w:hAnsi="IRNazanin" w:eastAsia="IRNazanin"/>
          <w:color w:val="111111"/>
          <w:sz w:val="28"/>
          <w:sz w:val="28"/>
          <w:szCs w:val="28"/>
          <w:rtl w:val="true"/>
          <w:lang w:bidi="fa-IR"/>
        </w:rPr>
        <w:t>الإجماع من حیث لا یشعر به قائله ؛ والقول بأنّه بأیّهما بدء کان الاخر مستحبًّا، یلزم منه إستحباب صیغة السلام علینا بعد أن بدء بالسلام علیکم أوَّلاً، و لم نعرف هذا الترتیب من السلف إلی الخلف قولاً و فعلاً، و لذا أنکره الشهید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قول محدث فی زمان المحقّق أو قبله بیسیر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یأت به خبر منقول و لا مصنّف مشهور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 الشهید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الإحتیاط للدین الإتیان بالصیغتین بادئًا بالسلام علینا، خروجًا عن خلاف المتأخّرین، و إحترازًا عن مخالفة تلک الروایات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هنا سؤال، و هو أنّ القائلین باستحباب الصیغتین یذهبون إلی أنّ آخر أجزاء الصلوةِ الصلوةُ علی النبیّ و آله، کما صرّح به الشیخ فی الإستبصار، وهو ظاهر الباقین، و به خبر صحیح رواه زرارة و محمّد بن مسلم عن مولینا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 من الشهادتین فقد مضت الصلوة </w:t>
      </w:r>
      <w:r>
        <w:rPr>
          <w:rStyle w:val="FootnoteAnchor"/>
          <w:rtl w:val="true"/>
        </w:rPr>
        <w:footnoteReference w:id="280"/>
      </w:r>
      <w:r>
        <w:rPr>
          <w:rFonts w:ascii="IRNazanin" w:hAnsi="IRNazanin" w:eastAsia="IRNazanin"/>
          <w:color w:val="111111"/>
          <w:sz w:val="28"/>
          <w:sz w:val="28"/>
          <w:szCs w:val="28"/>
          <w:rtl w:val="true"/>
          <w:lang w:bidi="fa-IR"/>
        </w:rPr>
        <w:t xml:space="preserve">، و إن کان مستعجلاً فی أمر یخاف فوته فسلّم و انصرف أجزأ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إنقطاع الصلوة بصیغة السلام علینا و علی عباد اللّه الصالحین و قد انقطعت الصلوة قبل ذلک بانتهاء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یحتاج إلی قاطع، و قد دلّت الأخبار الأخر بأنّ صیغة السلام علینا قاطعة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أمران یفسدان الناس صلوتهم،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اسمک و تعالی جدّک، فإنّها قول الجنّ، ذکرها تعالی حکایة، والآخر 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w:t>
      </w:r>
    </w:p>
    <w:p>
      <w:pPr>
        <w:pStyle w:val="BookText"/>
        <w:rPr/>
      </w:pPr>
      <w:r>
        <w:rPr>
          <w:rFonts w:ascii="IRNazanin" w:hAnsi="IRNazanin" w:eastAsia="IRNazanin"/>
          <w:color w:val="111111"/>
          <w:sz w:val="28"/>
          <w:sz w:val="28"/>
          <w:szCs w:val="28"/>
          <w:rtl w:val="true"/>
          <w:lang w:bidi="fa-IR"/>
        </w:rPr>
        <w:t xml:space="preserve">عباد اللّه الصالحین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الخبر یدلّ علی أنّ تلک الصیغة مفسد وقاطع </w:t>
      </w:r>
      <w:r>
        <w:rPr>
          <w:rStyle w:val="FootnoteAnchor"/>
          <w:rtl w:val="true"/>
        </w:rPr>
        <w:footnoteReference w:id="283"/>
      </w:r>
      <w:r>
        <w:rPr>
          <w:rFonts w:ascii="IRNazanin" w:hAnsi="IRNazanin" w:eastAsia="IRNazanin"/>
          <w:color w:val="111111"/>
          <w:sz w:val="28"/>
          <w:sz w:val="28"/>
          <w:szCs w:val="28"/>
          <w:rtl w:val="true"/>
          <w:lang w:bidi="fa-IR"/>
        </w:rPr>
        <w:t xml:space="preserve">للصلوة، و الحال أنّ الصلوة قد إنتهت بالصلوة علی النبیّ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الصادق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نسی الرجل أن یسلّم، فإذا ولّی وجهه عن القبلة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علینا و علی عباد اللّه الصالحین فقد فرغ من صلوته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بهذا الخبر استدلّ فی التهذیب علی قول المفید رحمه‌الله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فی الصلوة سنّة، ولیس بفرض یفسد الصلوة بترکه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تصریح بأنّ السلام المتنازع فیه وجوبًا وإستحبابًا هو السلام علیکم، ویدلّ أیضًا علی أنّ التسلیم إذا أطلق فالمراد هو السلام علیکم، فتذکّر ما ذکر سابقًا، ولیکن علی ذکر منک لما سیأتی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لرفع ذلک الإشکال هو إلتزام أنّ المصلّی قبل هذه الصیغة یکون فی مستحبّات الصلوة و إن کانت الواجبات قد انتهت، و بعد هذه الصیغة لا یبقی للصلوة أثر، و یبقی ما بعدها تعقیبًا لا صلوة، و قد أشعر به روایة الحلبی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ذکرت اللّه و رسوله، فهو من الصلوة، 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فقد انصرفت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116" w:name="pg3709_22037"/>
    </w:p>
    <w:p>
      <w:pPr>
        <w:pStyle w:val="BookText"/>
        <w:rPr/>
      </w:pPr>
      <w:bookmarkEnd w:id="116"/>
      <w:r>
        <w:rPr>
          <w:rFonts w:ascii="IRNazanin" w:hAnsi="IRNazanin" w:eastAsia="IRNazanin"/>
          <w:color w:val="111111"/>
          <w:sz w:val="28"/>
          <w:sz w:val="28"/>
          <w:szCs w:val="28"/>
          <w:rtl w:val="true"/>
          <w:lang w:bidi="fa-IR"/>
        </w:rPr>
        <w:t xml:space="preserve">و بهذا یظهر أنّه لا منافات بین القول بندبیّة السلام و کونه مُخرجًا، إلاّ أنّه یلزم منه بقاؤه فی الصلوة بدون الصیغتین و إن طال، و لا إستبعاد فیه حتّی یخرج عن کونه مصلِّیًا، أو یأتی بمناف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فی الصلوة یلزمه تحریم ما یجب ترکه و وجوب ما یجب فعله، و الأمران منفیّان هنا، فینتفی ملزومهما، لأنّ إنتفاء اللازم یستلزم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إنحصار البقاء فی الصلوة بلزوم ترک المحرّم، وفعل الواجب علی الإطلاق إنّما ذلک قبل الفراغ من الواجبات، و أمّا مع الفراغ فینتفی هذان اللازمان و یبقی ما فی اللوازم من المحافظة علی الشروط، و ثواب المصلّی، وإستجابة الدعاء </w:t>
      </w:r>
      <w:r>
        <w:rPr>
          <w:rFonts w:eastAsia="IRNazanin" w:cs="IRNazanin"/>
          <w:color w:val="111111"/>
          <w:sz w:val="28"/>
          <w:szCs w:val="28"/>
          <w:rtl w:val="true"/>
          <w:lang w:bidi="fa-IR"/>
        </w:rPr>
        <w:t>.</w:t>
      </w:r>
    </w:p>
    <w:p>
      <w:pPr>
        <w:pStyle w:val="Heading3"/>
        <w:numPr>
          <w:ilvl w:val="2"/>
          <w:numId w:val="1"/>
        </w:numPr>
        <w:rPr/>
      </w:pPr>
      <w:bookmarkStart w:id="117" w:name="__RefHeading___Toc594103_2281741623"/>
      <w:bookmarkStart w:id="118" w:name="_Toc42"/>
      <w:bookmarkEnd w:id="117"/>
      <w:r>
        <w:rPr>
          <w:rtl w:val="true"/>
        </w:rPr>
        <w:t xml:space="preserve">الفصل الخامس </w:t>
      </w:r>
      <w:r>
        <w:rPr>
          <w:rtl w:val="true"/>
        </w:rPr>
        <w:t xml:space="preserve">: </w:t>
      </w:r>
      <w:r>
        <w:rPr>
          <w:rtl w:val="true"/>
        </w:rPr>
        <w:t>فی تعداد المذاهب فی التسلیم</w:t>
      </w:r>
      <w:bookmarkEnd w:id="118"/>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حصر المذاهب و تلخیص الأقوال تسهیلاً للإطّلاع،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الفقهاء فی باب التسلیم ستّة،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بندبیّة التسلیم بکلتی الصیغتین، کما هو مذهب أکثر القدماء، و قد عرفت ضعفها بما ألقینا إلیک من تواتر النقل عن سیّدنا رسول اللّه و عترته الطاهرین و الأخبار الصحیحة والإجماع المنقول و نقل الصدوق أنّ وجوب التسلیم من دین الإمامیّة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التسلیم بکلتی الصیغتین، أمّا السلام علیکم فبإجماع الأمّة، وأمّا وجوب الأخری فبالأخبار المذکورة سابقًا، و قد عرفتها و عرفت ما فیها سندًا و دلالةً </w:t>
      </w:r>
      <w:r>
        <w:rPr>
          <w:rFonts w:eastAsia="IRNazanin" w:cs="IRNazanin"/>
          <w:color w:val="111111"/>
          <w:sz w:val="28"/>
          <w:szCs w:val="28"/>
          <w:rtl w:val="true"/>
          <w:lang w:bidi="fa-IR"/>
        </w:rPr>
        <w:t xml:space="preserve">. </w:t>
      </w:r>
      <w:bookmarkStart w:id="119" w:name="pg3709_22039"/>
    </w:p>
    <w:p>
      <w:pPr>
        <w:pStyle w:val="BookText"/>
        <w:rPr/>
      </w:pPr>
      <w:bookmarkEnd w:id="119"/>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السلام علینا خاصّة، و قد عرفت قائله، و انّه خرج من الإجماع من حیث لایشعر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السلام علیکم عینًا، لإجماع الأمّة و ورود الأخبار، وینافیه بأوّل النظر ما دلّ علی الإنقطاع بالصیغة الأخری، ولکن قد عرفت بدقیق النظر حقیقة الحال و إرتفاع المنافات، و نقلنا من المحدِّث الکاشانی ـ صاحب الوافی ـ و وافقه الشیخ البحرانی </w:t>
      </w:r>
      <w:r>
        <w:rPr>
          <w:rStyle w:val="FootnoteAnchor"/>
          <w:rtl w:val="true"/>
        </w:rPr>
        <w:footnoteReference w:id="288"/>
      </w:r>
      <w:r>
        <w:rPr>
          <w:rFonts w:ascii="Amiri" w:hAnsi="Amiri" w:eastAsia="Amiri" w:cs="Amiri"/>
          <w:color w:val="111111"/>
          <w:sz w:val="28"/>
          <w:sz w:val="28"/>
          <w:szCs w:val="28"/>
          <w:rtl w:val="true"/>
          <w:lang w:bidi="ar-SA"/>
        </w:rPr>
        <w:t xml:space="preserve">ـ قدّس اللّه روحهما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الصیغتین تخییرًا، جمعًا بین ما دلّ علیه الأخبار، و ما أجمع علیه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السلام علیکم أو المنافی تخییرًا، و هو قول شنیع، وأشنع منه وجوب إحدی الصیغتین أو المنافی تخییرًا، و قد عرفت نقلاً من الشهید أنّ الإحتیاط یقتضی أن یأتی بالصیغتین بادئًا بالسلام علینا، لا بالعکس، لأنّه لم یأت به خبر و لا تصنیف، مع إعتقاد ندب السلام علینا، و وجوب السلام علیکم، وقد عرفت من تضاعیف تلک الأخبار و الروایات و فتاوی الفقهاء أنّ ذلک ورد فی الصلوة الفریضة، و سیأتی ما یزید ذلک إیضاحًا </w:t>
      </w:r>
      <w:r>
        <w:rPr>
          <w:rFonts w:eastAsia="IRNazanin" w:cs="IRNazanin"/>
          <w:color w:val="111111"/>
          <w:sz w:val="28"/>
          <w:szCs w:val="28"/>
          <w:rtl w:val="true"/>
          <w:lang w:bidi="fa-IR"/>
        </w:rPr>
        <w:t>.</w:t>
      </w:r>
    </w:p>
    <w:p>
      <w:pPr>
        <w:pStyle w:val="Heading3"/>
        <w:numPr>
          <w:ilvl w:val="2"/>
          <w:numId w:val="1"/>
        </w:numPr>
        <w:rPr/>
      </w:pPr>
      <w:bookmarkStart w:id="120" w:name="__RefHeading___Toc594105_2281741623"/>
      <w:bookmarkStart w:id="121" w:name="_Toc43"/>
      <w:bookmarkEnd w:id="120"/>
      <w:r>
        <w:rPr>
          <w:rtl w:val="true"/>
        </w:rPr>
        <w:t xml:space="preserve">الفصل السادس </w:t>
      </w:r>
      <w:r>
        <w:rPr>
          <w:rtl w:val="true"/>
        </w:rPr>
        <w:t xml:space="preserve">: </w:t>
      </w:r>
      <w:r>
        <w:rPr>
          <w:rtl w:val="true"/>
        </w:rPr>
        <w:t>فی بیان مواضع تعدّد التسلیم وکیفیّة أدائه</w:t>
      </w:r>
      <w:bookmarkEnd w:id="121"/>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مواضع تعدّد التسلیم و کیفیّة أدائه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المصلّی فی حال التسلیم إمّا منفرد، أو إمام، أو مأموم، أمّا المنفرد </w:t>
      </w:r>
    </w:p>
    <w:p>
      <w:pPr>
        <w:pStyle w:val="BookText"/>
        <w:rPr/>
      </w:pPr>
      <w:r>
        <w:rPr>
          <w:rFonts w:ascii="IRNazanin" w:hAnsi="IRNazanin" w:eastAsia="IRNazanin"/>
          <w:color w:val="111111"/>
          <w:sz w:val="28"/>
          <w:sz w:val="28"/>
          <w:szCs w:val="28"/>
          <w:rtl w:val="true"/>
          <w:lang w:bidi="fa-IR"/>
        </w:rPr>
        <w:t>فیسلّم تسلیمًا واحدًا تجاه القبلة، و هذا الإتّجاه لیس بواجب إتّفاقًا، بل علی الإستحباب، و الإمام یسلّم تسلیمة واحدة عن یمینه، و المأموم یسلّم تسلیمتین یمینًا و 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هذا التفصیل صحیحة عبد الحمید بن عواض،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تؤمّ قومًا أجزاک تسلیمة واحدة عن یمینک، وإن کنت مع إمام فتسلیمتین، و إن کنت وحدک فواحدة مستقبل القبلة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أبی بصیر السابقة ما یدلّ علی أنّ الإمام یسلّم إلی القبلة لقوله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تؤذن القوم، فتقول و أنت مستقبل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موثّقة أخری له أیضًا، 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کنت إمامًا فسلّم تسلیمة واحدة و أنت مستقبل القبلة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الجمع بینهما بالتخییر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المنفرد، فظاهر الأصحاب الإتّفاق علی أنّه یسلّم تسلیمة واحدة إلی القبلة، و أکثر الأخبار تدلّ علی ذلک، و لکن روی المحقّق فی المعتبر عن جامع البزنطیّ، عن عبد الکریم،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وحدک فسلّم تسلیمة واحدة عن یمینک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الترجیح فی الأوَّل، لکثرة الروایة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المأموم، فظاهرهم الإتّفاق علی أنّه یسلِّم مرَّتین، و الأخبار مصرَّحة به، إلاّ انّهم صرّحوا بأنّ المنفرد مع تسلیمه إلی القبلة یؤمی بمؤخّر عینه إلی یمینه، </w:t>
      </w:r>
    </w:p>
    <w:p>
      <w:pPr>
        <w:pStyle w:val="BookText"/>
        <w:rPr/>
      </w:pPr>
      <w:r>
        <w:rPr>
          <w:rFonts w:ascii="IRNazanin" w:hAnsi="IRNazanin" w:eastAsia="IRNazanin"/>
          <w:color w:val="111111"/>
          <w:sz w:val="28"/>
          <w:sz w:val="28"/>
          <w:szCs w:val="28"/>
          <w:rtl w:val="true"/>
          <w:lang w:bidi="fa-IR"/>
        </w:rPr>
        <w:t xml:space="preserve">ولم أقف علی نصّ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ذکروا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المأموم یؤمی بصفحة وجهه إلی یمینه و یساره حال التسلیم، و لیس فی الأخبار أزید من قولهم علیهم‌السلام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وسلِّم علی مَن علی یمینک و شمالک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لا یستلزم ما ذکروه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تأمّل، إذ الظاهر من أمثال ذلک أنّه یتحقّق بالإشارة لا بمحض توجّه القلب والقصد القلبیّ، کما یظهر بالتأمّل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واکتفی الصدوقان باستحباب التسلیم من المأموم علی الیسار بالحایط، إن لم یکن علی یساره أحد من المأمومین </w:t>
      </w:r>
      <w:r>
        <w:rPr>
          <w:rStyle w:val="FootnoteAnchor"/>
          <w:rtl w:val="true"/>
        </w:rPr>
        <w:footnoteReference w:id="294"/>
      </w:r>
      <w:r>
        <w:rPr>
          <w:rFonts w:ascii="IRNazanin" w:hAnsi="IRNazanin" w:eastAsia="IRNazanin"/>
          <w:color w:val="111111"/>
          <w:sz w:val="28"/>
          <w:sz w:val="28"/>
          <w:szCs w:val="28"/>
          <w:rtl w:val="true"/>
          <w:lang w:bidi="fa-IR"/>
        </w:rPr>
        <w:t>، و الشهید بعد نقل هذه الحکایة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باتّباعهما، لأنّهما جلیلان لا یعوّلان إلاّ عن ثبت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جعفر أنّه رأی إخوته موسی و إسحاق و محمّدًا بنی جعفر، أنّهم یسلِّمون عن الجانبین السلام علیکم و رحمة اللّه، السلام علیکم ورحمة اللّه، خالیة عن التقیید، و یشمل بإطلاقه الإمام و المأموم و المنفرد، وفیه دلالة علی إستحباب التسلیم مرَّتین للإمام و المنفرد أیضًا، إلاّ أنّ الأشهر بین فقهائنا ـ رضوان اللّه علیهم ـ الواحدة فیهما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یناسب هذا المقام إیراده، ذکر حدیث رواه الصدوق عروة الإسلام ـ قدّس اللّه روحه ـ فی العلل بسنده إلی مفضَّل بن عمر، أنّه سأله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علّة یسلّم علی الیمین و لا یسلّم علی الشمال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الملک الموکّل بالیمین یکتب الحسنات </w:t>
      </w:r>
      <w:r>
        <w:rPr>
          <w:rStyle w:val="FootnoteAnchor"/>
          <w:rtl w:val="true"/>
        </w:rPr>
        <w:footnoteReference w:id="296"/>
      </w:r>
      <w:r>
        <w:rPr>
          <w:rFonts w:ascii="IRNazanin" w:hAnsi="IRNazanin" w:eastAsia="IRNazanin"/>
          <w:color w:val="111111"/>
          <w:sz w:val="28"/>
          <w:sz w:val="28"/>
          <w:szCs w:val="28"/>
          <w:rtl w:val="true"/>
          <w:lang w:bidi="fa-IR"/>
        </w:rPr>
        <w:t xml:space="preserve">، والّذی علی الشمال یکتب السیّئات، و الصلوة حسنات لیس فیها </w:t>
      </w:r>
    </w:p>
    <w:p>
      <w:pPr>
        <w:pStyle w:val="BookText"/>
        <w:rPr/>
      </w:pPr>
      <w:r>
        <w:rPr>
          <w:rFonts w:ascii="IRNazanin" w:hAnsi="IRNazanin" w:eastAsia="IRNazanin"/>
          <w:color w:val="111111"/>
          <w:sz w:val="28"/>
          <w:sz w:val="28"/>
          <w:szCs w:val="28"/>
          <w:rtl w:val="true"/>
          <w:lang w:bidi="fa-IR"/>
        </w:rPr>
        <w:t xml:space="preserve">سیّئات، فلهذا یسلّم علی الیمین و لا یسلّم علی الیسار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علی الیمین واحد، ولکن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 علیکم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قد سلّم علی الملک بالیمین و علی من فی الیسار، وفضّل صاحب الیمین علیه بالإیماء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لا یکون الإیماء فی التسلیم بالوجه کلّه، ولکن یکون بالأنف لمن یصلّی وحده و بالعین لِمَن یصلّی بقوم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مقعد الملکین من إبن آدم الشِدقین، وصاحب الیمین علی الشِدق الأیمن، و یسلّم المصلّی علیه لیثبت له صلوته فی صحیفته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یسلِّم المأموم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واحدة ردًّا علی الإمام وعلی الملکین الموکّلین به </w:t>
      </w:r>
      <w:r>
        <w:rPr>
          <w:rStyle w:val="FootnoteAnchor"/>
          <w:rtl w:val="true"/>
        </w:rPr>
        <w:footnoteReference w:id="300"/>
      </w:r>
      <w:r>
        <w:rPr>
          <w:rFonts w:ascii="IRNazanin" w:hAnsi="IRNazanin" w:eastAsia="IRNazanin"/>
          <w:color w:val="111111"/>
          <w:sz w:val="28"/>
          <w:sz w:val="28"/>
          <w:szCs w:val="28"/>
          <w:rtl w:val="true"/>
          <w:lang w:bidi="fa-IR"/>
        </w:rPr>
        <w:t xml:space="preserve">، ویکون الثانیة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یمینه والملکین الموکّلین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 ویکون الثالثة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یساره والملکین الموکّلین به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هذا الحدیث یظهر صحّة ما ذکرنا من الإحتمال من أنّ التسلیم علی مَن علی یمینه فیه إشعار بالإیماء، و کنتُ غافلاً عن هذا الحدیث حین کتابتی ذلک التوجیه، و الحمد للّه علی ظهور الحقّ، و فی الحدیث فوائد کثیرة یظهر بإمعان النظر، واللّه الموفِّق </w:t>
      </w:r>
      <w:r>
        <w:rPr>
          <w:rFonts w:eastAsia="IRNazanin" w:cs="IRNazanin"/>
          <w:color w:val="111111"/>
          <w:sz w:val="28"/>
          <w:szCs w:val="28"/>
          <w:rtl w:val="true"/>
          <w:lang w:bidi="fa-IR"/>
        </w:rPr>
        <w:t xml:space="preserve">. </w:t>
      </w:r>
      <w:bookmarkStart w:id="122" w:name="pg3709_22048"/>
    </w:p>
    <w:p>
      <w:pPr>
        <w:pStyle w:val="Heading3"/>
        <w:numPr>
          <w:ilvl w:val="2"/>
          <w:numId w:val="1"/>
        </w:numPr>
        <w:rPr/>
      </w:pPr>
      <w:bookmarkStart w:id="123" w:name="__RefHeading___Toc594107_2281741623"/>
      <w:bookmarkStart w:id="124" w:name="_Toc44"/>
      <w:bookmarkEnd w:id="122"/>
      <w:bookmarkEnd w:id="123"/>
      <w:r>
        <w:rPr>
          <w:rtl w:val="true"/>
        </w:rPr>
        <w:t xml:space="preserve">الفصل السابع </w:t>
      </w:r>
      <w:r>
        <w:rPr>
          <w:rtl w:val="true"/>
        </w:rPr>
        <w:t xml:space="preserve">: </w:t>
      </w:r>
      <w:r>
        <w:rPr>
          <w:rtl w:val="true"/>
        </w:rPr>
        <w:t>فی إستحباب قصد الردّ</w:t>
      </w:r>
      <w:bookmarkEnd w:id="124"/>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الشهید </w:t>
      </w:r>
      <w:r>
        <w:rPr>
          <w:rStyle w:val="FootnoteAnchor"/>
          <w:rtl w:val="true"/>
        </w:rPr>
        <w:footnoteReference w:id="305"/>
      </w:r>
      <w:r>
        <w:rPr>
          <w:rFonts w:ascii="IRNazanin" w:hAnsi="IRNazanin" w:eastAsia="IRNazanin"/>
          <w:color w:val="111111"/>
          <w:sz w:val="28"/>
          <w:sz w:val="28"/>
          <w:szCs w:val="28"/>
          <w:rtl w:val="true"/>
          <w:lang w:bidi="fa-IR"/>
        </w:rPr>
        <w:t xml:space="preserve">انّه یستحبّ أن یقصد الإمام التسلیم علی الأنبیاء والحفظة والأئمَّة ـ سلام اللّه علیهم ـ والمأمومین بصیغة الخطاب، و قد ذکر المصلّی فی مستحبّات تشهّد الأنبیاء والمرسلین والأئمّة المعصومین والحفظة والملئکة المقرّبین، فالمناسب أن یقصد أولئک المذکورین و هؤلاء الحاضرین، وخطاب الجمع یعمّهم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المأمومون فیقصدون بأولی التسلیمتین الردّ علی الإمام، ویحتمل وجوب هذا القصد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حُیِّیتُم بِتَحِیَّةٍ فَحَیُّوا بِأَحْسَنَ مِنْها أَوْ رُدُّوها </w:t>
      </w:r>
      <w:r>
        <w:rPr>
          <w:rFonts w:eastAsia="Amiri" w:cs="Amiri" w:ascii="Amiri" w:hAnsi="Amiri"/>
          <w:color w:val="111111"/>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 فلمّا وقع التحیّة من الإمام علیهم فردّ التحیِّة واجب، و لا یتحقّق الواجب إلاّ بالقصد من المأموم، و یحتمل الإستحباب، لأنّ الإمام لم یکن تسلیمه لقصد التحیّة، بل غرضه الإیذان و الإعلام بالإنصراف و التحلیل، کما مرّ فی خبر أبی بصیر، و فی خبر عمّار بن موسی الساباطیّ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التسلیم ما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إذن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ما ذکرنا سابقًا ولیکن علی ذکر منک، أنّ التسلیم إذا أطلق یراد منه السلام المتعارف، و بالجملة لیس التسلیم من الإمام محض التحیّة للمأمومین، والوجهان ینسحبان فی المأموم أیضًا، یعنی انّ إحتمال الوجوب و الندب کما یأتی فی الإمام، کذلک یجری تلک فی المأمومین، لجریان ذینک الإحتمالین فی </w:t>
      </w:r>
    </w:p>
    <w:p>
      <w:pPr>
        <w:pStyle w:val="BookText"/>
        <w:rPr/>
      </w:pPr>
      <w:r>
        <w:rPr>
          <w:rFonts w:ascii="IRNazanin" w:hAnsi="IRNazanin" w:eastAsia="IRNazanin"/>
          <w:color w:val="111111"/>
          <w:sz w:val="28"/>
          <w:sz w:val="28"/>
          <w:szCs w:val="28"/>
          <w:rtl w:val="true"/>
          <w:lang w:bidi="fa-IR"/>
        </w:rPr>
        <w:t xml:space="preserve">المأمومین أیضًا بالنسبة إلی مأموم آخر، و إذا وقع التسلیم من الإمام والمأموم علی الإقتران من غیر تقدّم من أحدهما علی الآخر، أجزأ، و لا ردّ لتکافؤهم فی التحیّة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التسلیم الثانی من المأموم، فقصد به الأنبیاء والحفظة والمأمومین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المنفرد، فیقصد بتسلیمه الأنبیاء و الحفظة و الأئمّة علیهم‌السلام و سائر المؤمنین من الجنّ والإنس، فقال شیخنا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المأموم یسلّم تسلیمة واحدة ردًّا علی الإمام، ویسلّم تسلیمتین علی مَن علی یمینه و علی مَن علی یساره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الشهید </w:t>
      </w:r>
      <w:r>
        <w:rPr>
          <w:rStyle w:val="FootnoteAnchor"/>
          <w:rtl w:val="true"/>
        </w:rPr>
        <w:footnoteReference w:id="309"/>
      </w:r>
      <w:r>
        <w:rPr>
          <w:rFonts w:ascii="IRNazanin" w:hAnsi="IRNazanin" w:eastAsia="IRNazanin"/>
          <w:color w:val="111111"/>
          <w:sz w:val="28"/>
          <w:sz w:val="28"/>
          <w:szCs w:val="28"/>
          <w:rtl w:val="true"/>
          <w:lang w:bidi="fa-IR"/>
        </w:rPr>
        <w:t xml:space="preserve">أنّه کان فی نظر الصدوق أنّ التسلیمتین من المأموم لیس لأجل الردّ، بل انّهما عبادة محضة، وردت من الشارع متعلّقة بالصلوة، و قد سلّم علی المأمومین، فالردّ منهم واجب علیهم، و التسلیمتان عبادتان، فبقی الجواب علیهم، فلابدّ لهم من تسلیم الردّ علی الإمام، و لمّا کان الردّ واجبًا فی غیر الصلوة لم یکف عنه تسلیم الصلوة، وإنّما قدّم الردّ لأنّه واجب مضیَّق، إذ هو حقّ آدمیّ، وأمّا أصحابنا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التسلیمة تؤدّی وظیفتی الردّ والتعبّد به فی الصلوة، کما فی إجتزاء العاطس فی حال رفع رأسه من الرکوع بالتحمید عن تحمید العاطس وعن تحمید الصلوة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یتمّ حسنًا علی القول باستحباب التسلیم، و أمّا علی القول بوجوبه، فظاهر الأصحاب أنّ الأُولی من المأموم للردّ علی الإمام، والثانیة لإخراج المصلّی من الصلوة، و لهذا إحتاج إلی تسلیمتین، وهذا لا یتمّ إذا لم یکن علی یساره أحد، أو حینئذ یکتفی بتسلیمة واحدة علی مَن علی یمینه بعد تسلیم الردّ، </w:t>
      </w:r>
      <w:bookmarkStart w:id="125" w:name="pg3709_22051"/>
    </w:p>
    <w:p>
      <w:pPr>
        <w:pStyle w:val="BookText"/>
        <w:rPr/>
      </w:pPr>
      <w:bookmarkEnd w:id="125"/>
      <w:r>
        <w:rPr>
          <w:rFonts w:ascii="IRNazanin" w:hAnsi="IRNazanin" w:eastAsia="IRNazanin"/>
          <w:color w:val="111111"/>
          <w:sz w:val="28"/>
          <w:sz w:val="28"/>
          <w:szCs w:val="28"/>
          <w:rtl w:val="true"/>
          <w:lang w:bidi="fa-IR"/>
        </w:rPr>
        <w:t xml:space="preserve">وکانت التسلیمة محصّلة للردّ علی یمینه و للإخراج من الصلوة، وإنّما شرعیة الثانیة لیعمّ علی منَ علی یمینه و یساره، لأنّه بصیغة الخطاب، فإذا وجهه إلی أحد الجانبین أختصّ به، و بقی الجانب الآخر بغیر تسلیم </w:t>
      </w:r>
      <w:r>
        <w:rPr>
          <w:rFonts w:eastAsia="IRNazanin" w:cs="IRNazanin"/>
          <w:color w:val="111111"/>
          <w:sz w:val="28"/>
          <w:szCs w:val="28"/>
          <w:rtl w:val="true"/>
          <w:lang w:bidi="fa-IR"/>
        </w:rPr>
        <w:t>.</w:t>
      </w:r>
    </w:p>
    <w:p>
      <w:pPr>
        <w:pStyle w:val="Heading3"/>
        <w:numPr>
          <w:ilvl w:val="2"/>
          <w:numId w:val="1"/>
        </w:numPr>
        <w:rPr/>
      </w:pPr>
      <w:bookmarkStart w:id="126" w:name="__RefHeading___Toc594109_2281741623"/>
      <w:bookmarkStart w:id="127" w:name="_Toc45"/>
      <w:bookmarkEnd w:id="126"/>
      <w:r>
        <w:rPr>
          <w:rtl w:val="true"/>
        </w:rPr>
        <w:t>الفصل الثامن</w:t>
      </w:r>
      <w:r>
        <w:rPr>
          <w:rtl w:val="true"/>
        </w:rPr>
        <w:t xml:space="preserve">: </w:t>
      </w:r>
      <w:r>
        <w:rPr>
          <w:rtl w:val="true"/>
        </w:rPr>
        <w:t>فی بیان انّ القیدین الاخرین فی السلام هل هو واجب أو ندب</w:t>
      </w:r>
      <w:bookmarkEnd w:id="127"/>
    </w:p>
    <w:p>
      <w:p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فی التسلیم ـ علی تقدیر الوجوب ـ و رحمة اللّه ؟ الأظهر عدم الوجوب، و کأنّه لا خلاف فی عدم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والمشهور بین القائلین بوجوب التسلیم هو السلم علیکم، و علیه یدلّ جملة من الأخبار، لصحیحة أبی بکر الحضرمیّ عن الصادق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أصلّی بقوم،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واحدة، و لا تلتفت، 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 أیّها النبیّ و رحمة اللّه وبرکاته، السلم علیکم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موثّقة یونس بن یعقوب، و ما رواه المحقّق عن جامع البزنطیّ </w:t>
      </w:r>
      <w:r>
        <w:rPr>
          <w:rStyle w:val="FootnoteAnchor"/>
          <w:rtl w:val="true"/>
        </w:rPr>
        <w:footnoteReference w:id="311"/>
      </w:r>
      <w:r>
        <w:rPr>
          <w:rFonts w:ascii="IRNazanin" w:hAnsi="IRNazanin" w:eastAsia="IRNazanin"/>
          <w:color w:val="111111"/>
          <w:sz w:val="28"/>
          <w:sz w:val="28"/>
          <w:szCs w:val="28"/>
          <w:rtl w:val="true"/>
          <w:lang w:bidi="fa-IR"/>
        </w:rPr>
        <w:t xml:space="preserve">، وروایة المفضّل المرویّة فی العلل، و بذلک صرّح إبن بابویه فی الفقیه والمقنع </w:t>
      </w:r>
      <w:r>
        <w:rPr>
          <w:rStyle w:val="FootnoteAnchor"/>
          <w:rtl w:val="true"/>
        </w:rPr>
        <w:footnoteReference w:id="312"/>
      </w:r>
      <w:r>
        <w:rPr>
          <w:rFonts w:ascii="IRNazanin" w:hAnsi="IRNazanin" w:eastAsia="IRNazanin"/>
          <w:color w:val="111111"/>
          <w:sz w:val="28"/>
          <w:sz w:val="28"/>
          <w:szCs w:val="28"/>
          <w:rtl w:val="true"/>
          <w:lang w:bidi="fa-IR"/>
        </w:rPr>
        <w:t xml:space="preserve">، وهو الّذی إلیه الإطلاق من الأخبار الکثیرة الواردة فی المسئلة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الشیخ أبو الصلاح بزیادة و رحمة اللّه </w:t>
      </w:r>
      <w:r>
        <w:rPr>
          <w:rStyle w:val="FootnoteAnchor"/>
          <w:rtl w:val="true"/>
        </w:rPr>
        <w:footnoteReference w:id="313"/>
      </w:r>
      <w:r>
        <w:rPr>
          <w:rFonts w:ascii="IRNazanin" w:hAnsi="IRNazanin" w:eastAsia="IRNazanin"/>
          <w:color w:val="111111"/>
          <w:sz w:val="28"/>
          <w:sz w:val="28"/>
          <w:szCs w:val="28"/>
          <w:rtl w:val="true"/>
          <w:lang w:bidi="fa-IR"/>
        </w:rPr>
        <w:t xml:space="preserve">، و لعلّ مستنده صحیحة علیّ بن جعفر، أنّه رأی إخوته موسی و إسحاق و محمّدًا بنی جعفر أنّهم یسلّمون فی </w:t>
      </w:r>
      <w:bookmarkStart w:id="128" w:name="pg3709_22054"/>
    </w:p>
    <w:p>
      <w:pPr>
        <w:pStyle w:val="BookText"/>
        <w:rPr/>
      </w:pPr>
      <w:bookmarkEnd w:id="128"/>
      <w:r>
        <w:rPr>
          <w:rFonts w:ascii="IRNazanin" w:hAnsi="IRNazanin" w:eastAsia="IRNazanin"/>
          <w:color w:val="111111"/>
          <w:sz w:val="28"/>
          <w:sz w:val="28"/>
          <w:szCs w:val="28"/>
          <w:rtl w:val="true"/>
          <w:lang w:bidi="fa-IR"/>
        </w:rPr>
        <w:t xml:space="preserve">الصلوة یمینًا و شمالاً السلام علیکم و رحمة اللّه، السلام علیکم ورحمة اللّه </w:t>
      </w:r>
      <w:r>
        <w:rPr>
          <w:rStyle w:val="FootnoteAnchor"/>
          <w:rtl w:val="true"/>
        </w:rPr>
        <w:footnoteReference w:id="314"/>
      </w:r>
      <w:r>
        <w:rPr>
          <w:rFonts w:ascii="IRNazanin" w:hAnsi="IRNazanin" w:eastAsia="IRNazanin"/>
          <w:color w:val="111111"/>
          <w:sz w:val="28"/>
          <w:sz w:val="28"/>
          <w:szCs w:val="28"/>
          <w:rtl w:val="true"/>
          <w:lang w:bidi="fa-IR"/>
        </w:rPr>
        <w:t xml:space="preserve">، والظاهر حملها علی الإستحباب، و الإحتیاط یقتضی المحافظة علی ذکرها، بل مع ذکر و برکاته، لأجل خبر المعراج المرویّ فی الکافی المشتملة علی الأمر بالسلام، 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و برکاته </w:t>
      </w:r>
      <w:r>
        <w:rPr>
          <w:rFonts w:eastAsia="IRNazanin" w:cs="IRNazanin"/>
          <w:color w:val="111111"/>
          <w:sz w:val="28"/>
          <w:szCs w:val="28"/>
          <w:rtl w:val="true"/>
          <w:lang w:bidi="fa-IR"/>
        </w:rPr>
        <w:t>.</w:t>
      </w:r>
    </w:p>
    <w:p>
      <w:pPr>
        <w:pStyle w:val="Heading3"/>
        <w:numPr>
          <w:ilvl w:val="2"/>
          <w:numId w:val="1"/>
        </w:numPr>
        <w:rPr/>
      </w:pPr>
      <w:bookmarkStart w:id="129" w:name="__RefHeading___Toc594111_2281741623"/>
      <w:bookmarkStart w:id="130" w:name="_Toc46"/>
      <w:bookmarkEnd w:id="129"/>
      <w:r>
        <w:rPr>
          <w:rtl w:val="true"/>
        </w:rPr>
        <w:t>الفصل التاسع</w:t>
      </w:r>
      <w:r>
        <w:rPr>
          <w:rtl w:val="true"/>
        </w:rPr>
        <w:t xml:space="preserve">: </w:t>
      </w:r>
      <w:r>
        <w:rPr>
          <w:rtl w:val="true"/>
        </w:rPr>
        <w:t>فی تحقیق وجوب نیّة الخروج وعدم الوجوب</w:t>
      </w:r>
      <w:bookmarkEnd w:id="130"/>
    </w:p>
    <w:p>
      <w:pPr>
        <w:pStyle w:val="BookText"/>
        <w:rPr/>
      </w:pPr>
      <w:r>
        <w:rPr>
          <w:rFonts w:ascii="IRNazanin" w:hAnsi="IRNazanin" w:eastAsia="IRNazanin"/>
          <w:color w:val="111111"/>
          <w:sz w:val="28"/>
          <w:sz w:val="28"/>
          <w:szCs w:val="28"/>
          <w:rtl w:val="true"/>
          <w:lang w:bidi="fa-IR"/>
        </w:rPr>
        <w:t xml:space="preserve">الفصل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نیّة الخروج فی التسلیم علی تقدیر وجوبه ؟ 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ینوی بها ذلک </w:t>
      </w:r>
      <w:r>
        <w:rPr>
          <w:rStyle w:val="FootnoteAnchor"/>
          <w:rtl w:val="true"/>
        </w:rPr>
        <w:footnoteReference w:id="315"/>
      </w:r>
      <w:r>
        <w:rPr>
          <w:rFonts w:ascii="IRNazanin" w:hAnsi="IRNazanin" w:eastAsia="IRNazanin"/>
          <w:color w:val="111111"/>
          <w:sz w:val="28"/>
          <w:sz w:val="28"/>
          <w:szCs w:val="28"/>
          <w:rtl w:val="true"/>
          <w:lang w:bidi="fa-IR"/>
        </w:rPr>
        <w:t>، و لیس بصریح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الحکم بوجوب نیّة الخروج أنّ نظم السلام یناقض الصلوة فی وضعه من حیث هو خطاب للآدمیّین، و من ثَمَّ تبطل الصلوة بفعله فی أثنائها عامدًا، وإذا لم یقترن به نیّة تصیر به إلی التحلیل کان مناقضًا للصلوة مبطلاً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ضعیف جدًّا، لأنّ الصلوة قد انتهت بواجباتها و مندوباتها، وهذه الصیغة إیذان وإعلام بالتحلیل، فکیف یسری عدم النیّة للخروج فی بطلان عبادة قد انقضت جامعة للأرکان، والواجبات مشتملة علی الأذکار والقرائة والحرکات، مع عدم نصّ صریح أو غیر صریح فی هذا الباب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و یلوح من الخبر السالف فی تضاعیف ما تلونا علیک أنّه إذا کان قد نسی التسلیم و 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أنّ صلوته صحیحة، ولا شکّ أنّه لم یقصد به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قد مرّ سابقًا أنّه إن وقع منه حدث قبل </w:t>
      </w:r>
    </w:p>
    <w:p>
      <w:pPr>
        <w:pStyle w:val="BookText"/>
        <w:rPr/>
      </w:pPr>
      <w:r>
        <w:rPr>
          <w:rFonts w:ascii="IRNazanin" w:hAnsi="IRNazanin" w:eastAsia="IRNazanin"/>
          <w:color w:val="111111"/>
          <w:sz w:val="28"/>
          <w:sz w:val="28"/>
          <w:szCs w:val="28"/>
          <w:rtl w:val="true"/>
          <w:lang w:bidi="fa-IR"/>
        </w:rPr>
        <w:t>التسلیم لم تبطل صلوته، فکیف بمجرّد عدم النیّة تبطل و الحال أنّه لم یکن فی الصلوة، فکیف تبطله ؟</w:t>
      </w:r>
    </w:p>
    <w:p>
      <w:pPr>
        <w:pStyle w:val="BookText"/>
        <w:rPr/>
      </w:pPr>
      <w:r>
        <w:rPr>
          <w:rFonts w:ascii="IRNazanin" w:hAnsi="IRNazanin" w:eastAsia="IRNazanin"/>
          <w:color w:val="111111"/>
          <w:sz w:val="28"/>
          <w:sz w:val="28"/>
          <w:szCs w:val="28"/>
          <w:rtl w:val="true"/>
          <w:lang w:bidi="fa-IR"/>
        </w:rPr>
        <w:t xml:space="preserve">فظهر أنّ القول بعدم الوجوب قویّ جدًّا، مضافًا إلی أصالة عدم الوجوب وأنّ نیّة الصلوة فی مفتتح التکبیر مشتملة علی ذلک و إن کان ذلک مخرجًا، و لأنّ جمیع العبادات کانت خالیة من نیّة الخروج، فیکون هنا کذلک، و لأنّ مناط النیّة الإقدام علی الأفعال، لا الإقدام علی ترک الفعل، و لعلّ بناء القائل بعدم الوجوب علی أنّ التسلیم جزء من الصلوة ـ کما اختاره السیّد الجلیل المرتضی </w:t>
      </w:r>
      <w:r>
        <w:rPr>
          <w:rStyle w:val="FootnoteAnchor"/>
          <w:rtl w:val="true"/>
        </w:rPr>
        <w:footnoteReference w:id="316"/>
      </w:r>
      <w:r>
        <w:rPr>
          <w:rFonts w:ascii="IRNazanin" w:hAnsi="IRNazanin" w:eastAsia="IRNazanin"/>
          <w:color w:val="111111"/>
          <w:sz w:val="28"/>
          <w:sz w:val="28"/>
          <w:szCs w:val="28"/>
          <w:rtl w:val="true"/>
          <w:lang w:bidi="fa-IR"/>
        </w:rPr>
        <w:t xml:space="preserve">ـ و بناء القائل بوجوب النیّة کون التسلیم أو خارجًا عنها، إذ علی الأوَّل یتوجّه عدم الوجوب لاشتمال نیّة الصلوة علیه، و علی الثانی یتوجّه الوجوب لأنّه عبادة خارجة مستقلّة، و لا یتحقّق العبادة صحیحة إلاّ بالنیّة، و لأنّ الأصحاب خصوصًا المتأخّرین یوجبون علی المعتمر و الحاجّ نیّة التحلیل لجمیع المحلِّلات، فلیکن التسلیم کذلک، لأنّه محلِّل من الصلوة بالنصّ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تقدیر الوجوب، فهی بسیطة، لیست مثل نیّة الصلوة من تعیِّن الوجه والنوع و الغایة والأداء و القضاء، بل إذا بلغ المصلّی إلی الغایة یقصد بقلبه أنّ هذا أوان الخروج،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علیکم، و إذا قصد المصلّی فی هذا الخروج من صلوة لیس متلبّسًا بها، مثل أن یقصد أخرج من صلوة الصبح و الحال أنّه متلبّس بالظهر، ویقول مقارنًا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فهل یصحّ صلوته أو یبطل ؟ قال الشهید قدس‌سره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وقع منه ذلک عمدًا بطلت صلوته، و إن کان غلطًا ففیه إشکال، منشاؤه النظر إلی قصده فی الحال فتبطل، وإلی أنّه فی حکم الساهی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والأقرب صحّة الصلوة إن قلنا بعدم وجوب نیّة الخروج، لأنّها علی ما افتتحت علیه، و إن قلنا بوجوب نیّة الخروج احتمل ذلک أیضًا صرفًا للنیّة إلی الممکن، و أنّ الغالط کالقاصد إلی ما هو بصدده، وإن کان صرفًا للنیّة سهوًا، فالأقرب أنّه کالتسلیم ناسیًا فی أثناء الصلوة، فیجب له سجدتا السهو، ثمّ یجب التسلیم ثانیًا بنیّة الخروج، 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نیّة الخروج، لم یضرّ الخطأ فی التعیین نسیانًا کالغلط، أمّا العمد فیبطل علی تقدیری القول بالوجوب و عدمه، وکذا لو سلّم بنیّة عدم الخروج، فإنّه یبطل علی القولین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لی فی حکمه رحمه‌الله ببطلان الصلوة بمجرّد نیّة صلوة لیس متلبسًا بها، نظر یظهر بالتأمّل فیما ذکرناه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الشهید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وقت نیّة الخروج ـ علی القول بالوجوب ـ عند التسلیم مقارنة له، فلو نوی الخروج قبل التسلیم بطلت الصلوة، لوجوب إستمرار حکم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نوی قبل التسلیم الخروج عند التسلیم لم یبطل، إلاّ أنّه لایکتفی بتلک النیّة، بل یجب علیه النیّة مقارنة لأوَّله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منه قدس‌سره لا یخلوا عن المناقشة، إذ قد ثبت فی محلّه أنّ نیّة المنافی قبل صدوره من المصلّی هل یبطل الصلوة، أو لا یبطل، بل إذا صدر منه المنافی للصلوة والحال أنّه فی أثناء الصلوة، فکیف یبطل بمجرّد نیّة الخروج و لم یصدر منه ما ینافی الصلوة مثل التکلّم و إستدبار القبلة و غیره ؟ </w:t>
      </w:r>
      <w:bookmarkStart w:id="131" w:name="pg3709_22060"/>
    </w:p>
    <w:p>
      <w:pPr>
        <w:pStyle w:val="BookText"/>
        <w:rPr/>
      </w:pPr>
      <w:bookmarkEnd w:id="131"/>
      <w:r>
        <w:rPr>
          <w:rFonts w:ascii="IRNazanin" w:hAnsi="IRNazanin" w:eastAsia="IRNazanin"/>
          <w:color w:val="111111"/>
          <w:sz w:val="28"/>
          <w:sz w:val="28"/>
          <w:szCs w:val="28"/>
          <w:rtl w:val="true"/>
          <w:lang w:bidi="fa-IR"/>
        </w:rPr>
        <w:t xml:space="preserve">و لیعلم أنّه وقع الخلاف بین الأصحاب فی أنّ المصلّی لو قال فی موضع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و نوی الخروج به، فهل یجزیه، أو لا، بل لابدّ من الإتیان بما هو المقرّر فی الشرع ؟ فقال بعضهم </w:t>
      </w:r>
      <w:r>
        <w:rPr>
          <w:rStyle w:val="FootnoteAnchor"/>
          <w:rtl w:val="true"/>
        </w:rPr>
        <w:footnoteReference w:id="319"/>
      </w:r>
      <w:r>
        <w:rPr>
          <w:rFonts w:ascii="IRNazanin" w:hAnsi="IRNazanin" w:eastAsia="IRNazanin"/>
          <w:color w:val="111111"/>
          <w:sz w:val="28"/>
          <w:sz w:val="28"/>
          <w:szCs w:val="28"/>
          <w:rtl w:val="true"/>
          <w:lang w:bidi="fa-IR"/>
        </w:rPr>
        <w:t xml:space="preserve">بالجواز،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تسلیم فی العرف، و قد ورد فی القرآن بصورتها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بُعد، لأنّه مخالف للمنقول عن صاحب الشرع، ولانسلّم وقوع إسم التسلیم الشرعی علیه، و لا یلزم من وروده فی القرآن التعبّد به فی الصلوة </w:t>
      </w:r>
      <w:r>
        <w:rPr>
          <w:rStyle w:val="FootnoteAnchor"/>
          <w:rtl w:val="true"/>
        </w:rPr>
        <w:footnoteReference w:id="320"/>
      </w:r>
      <w:r>
        <w:rPr>
          <w:rFonts w:ascii="IRNazanin" w:hAnsi="IRNazanin" w:eastAsia="IRNazanin"/>
          <w:color w:val="111111"/>
          <w:sz w:val="28"/>
          <w:sz w:val="28"/>
          <w:szCs w:val="28"/>
          <w:rtl w:val="true"/>
          <w:lang w:bidi="fa-IR"/>
        </w:rPr>
        <w:t>، سیّما بعد ورود الروایات، و خبر حمّاد، والأوامر الواردة فی هذا الباب، ومواظبة النبیّ وآله الأبرار، وتوقیفیّة العبادات،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فلایجزیه إتّفاقًا بلا خلاف</w:t>
      </w:r>
      <w:r>
        <w:rPr>
          <w:rFonts w:eastAsia="IRNazanin" w:cs="IRNazanin"/>
          <w:color w:val="111111"/>
          <w:sz w:val="28"/>
          <w:szCs w:val="28"/>
          <w:rtl w:val="true"/>
          <w:lang w:bidi="fa-IR"/>
        </w:rPr>
        <w:t>.</w:t>
      </w:r>
    </w:p>
    <w:p>
      <w:pPr>
        <w:pStyle w:val="Heading3"/>
        <w:numPr>
          <w:ilvl w:val="2"/>
          <w:numId w:val="1"/>
        </w:numPr>
        <w:rPr/>
      </w:pPr>
      <w:bookmarkStart w:id="132" w:name="__RefHeading___Toc594113_2281741623"/>
      <w:bookmarkStart w:id="133" w:name="_Toc47"/>
      <w:bookmarkEnd w:id="132"/>
      <w:r>
        <w:rPr>
          <w:rtl w:val="true"/>
        </w:rPr>
        <w:t xml:space="preserve">الفصل العاشر </w:t>
      </w:r>
      <w:r>
        <w:rPr>
          <w:rtl w:val="true"/>
        </w:rPr>
        <w:t xml:space="preserve">: </w:t>
      </w:r>
      <w:r>
        <w:rPr>
          <w:rtl w:val="true"/>
        </w:rPr>
        <w:t>فی بیان التسلیم فی النوافل</w:t>
      </w:r>
      <w:bookmarkEnd w:id="133"/>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تسلیم النوافل ؛ هل التسلیم فی الصلوات المندوبة والنوافل المرتّبة مثل التسلیم فی الفریضة کمًّا و کیفًا ؟ والخلاف الواقع من الفقهاء کما وقع فی الفریضة، فهل یکون الخلاف منهم فی النافلة أیضًا، أو لا، بل التسلیم فی النافلة هو التسلیم الأخیر فی الفریضة، و هو السلام علیکم و رحمة اللّه وبرکاته، علی التفصیل الّذی سبق ذکره فی القیدین الأخیرین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ذکرنا فی مفتتح الرسالة أنّ هذه المسئلة صارت منشأً لتحریر الرسالة وتنمیق هذه الأوراق، فنقول وباللّه التوفیق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قد استوفینا فی هذه الأوراق ذکر الروایات المنقولة عن ساداتنا و موالینا الأبرار، لیحصل للناظر بصیرة فی مسئلة التسلیم فی الصلوة، و لیظهر له بعد اطّلاعه علی الروایات حقّیّة ما ادّعیناه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أدّی إلیه فهمی، و بلغ إلیه نظری، واللّه لا یؤاخذنی بفهمی، أنّ النافلة لایکون کالفریضة، بل یکتفی فیه بالتسلیم الواحد، إذ قد عرفت دلالة تلک الروایات علی أنّها فی بیان الفریضة، و فی النافلة لم یصل إلینا خبر زائدًا علی اشتماله علی التسلیمة فی کلّ رکعتین، وعرفت من تضاعیف ما ألقینا علیک أنّ التسلیم لغةً و عرفًا و شرعًا هو ما یتبادر عند الإطلاق، والمتبادر هو التسلیم الشائع، و إن کان قد ورد أنّ صیغة السلام علینا مخرجة، و لم یرد فی باب النافلة إلاّ الأمر بالتسلیمة، مثل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 تسلیمة </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 و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تسلّم تسلیمة واحدة </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وأنا لا أقول و لا أدّعی أزید من ذلک، فإن کان لإخواننا المعاصرین وشرکائنا فی طلب الحقّ والیقین، روایة صریحة فی بیان التسلیم فی النافلة، أو فتوی من علمائنا السابقین وسلفنا الصالحین، فلیأتوا فی ذلک بشیء مبین، فأنا لم نر فی مصنّفاتهم و کتبهم فی بیان الصلوات المندوبة سوی التسلیمة فی کلّ رکعتین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وشیخنا أبو جعفر الطوسی ذکر فی مصباحه المتهجّد آداب نوافل الفرائض الیومیّة، من التکبیر المفتتح به إلی التسلیم المختتم به ممّا لا مزید علیه، ولم یذکر إلاّ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تسلّم،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یتوهّم أنّه لعلّه اکتفی بأقلّ ما یجزی من التسلیم، إذ الشیخ ذکر فی النافلة التکبیرات السبع فی الإفتتاح، و ذکر الأدعیة المأثورة بین کلّ تکبیرتین، وذکر دعاء التوجّه، وذکر التسبیحات فی الرکوع والسجود، سبعًا أو خمسًا، وهکذا الأدعیة قبل ذکر الرکوع، وقبل ذکر التسبیح فی السجود، ثمّ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یجلس للتشهّد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و الأسماء الحسنی کلّها للّه، أشهد أن لا إله إلاّ اللّه وحده لا شریک له، و أشهد أنّ محمّدًا عبده ورسوله، اللهمّ صلّ علی محمّد و آل محمّد، وتقبّل شفاعته فی أمّته، وارفع درجته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تسلّم تجاه القبلة بمؤخّر عینه إلی یمینه،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الفریضة، فقال فی تشهّدها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والأسماء الحسنی کلّها للّه، أشهد أن لا إله إلاّ اللّه وحده لاشریک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أیّها النبیّ و رحمة اللّه و برکاته، السلام علی جمیع أنبیاء اللّه ورسله وملائکته، السلام علی الأئمّة الهادین المهدیّین، السلام علینا وعلی عباد اللّه الصالحین، ثمّ تسلّم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ورحمة اللّه وبرکاته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آخر ما ذکر فی المصباح، من أراد الإطّلاع فعلیه بمطالعته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یورد فی النافلة إلاّ التسلیمة الواحدة، و التسلیمة فی العرف والشرع هو السلام الشائع بین الناس الوارد عنهم علیهم‌السلام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والوجه فی أنّ تلک التسلیمة محلِّلة للصلوة کما أنّ التکبیرة محرِّمة أنّ هذا التسلیم کلام الآدمیّین و خطاب مع الآدمیّین، فیصرف المصلّی من التوجّه إلی اللّه إلی التوجّه إلی الخلق، فکما أنّ أوّل التکبیر یجعل کلام الآدمیّین علی المصلّی حرامًا، </w:t>
      </w:r>
    </w:p>
    <w:p>
      <w:pPr>
        <w:pStyle w:val="BookText"/>
        <w:rPr/>
      </w:pPr>
      <w:r>
        <w:rPr>
          <w:rFonts w:ascii="IRNazanin" w:hAnsi="IRNazanin" w:eastAsia="IRNazanin"/>
          <w:color w:val="111111"/>
          <w:sz w:val="28"/>
          <w:sz w:val="28"/>
          <w:szCs w:val="28"/>
          <w:rtl w:val="true"/>
          <w:lang w:bidi="fa-IR"/>
        </w:rPr>
        <w:t xml:space="preserve">کذلک جعل آخر الصلوة کلام الآدمیّین حلالاً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معنی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تحریمها التکبیر وتحلیلها التسلیم </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 فالتکبیر جعل التکلّم حرامًا، فکذلک جعل تحلیلها بکلام الآدمییّن، فمادام المصلّی متوجّهًا إلی اللّه و لم یتکلّم بکلام الآدمیّین، فهو فی الصلوة وکان متکلّما معه و مناجیًا ذاکرًا لربّه، مشتغلاً بصلوته و عبادته، ولذا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 رحمة اللّه لم یتحقّق به الإنصراف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لا ورود تلک الأخبار فی تحقّق الإنصراف بالسلام علینا، لقلنا بمثل ما قلنا فی السلام علیک أیّها النبیّ و رحمة اللّه و برکاته من عدم الإنصراف، ولذا احتاجوا فی دعوی الإنصراف بالتمسّک بالروایات، بخلاف التحلیل الحاصل من التسلیم الشائع، فإنّ مستندهم إجماع الأمّة قاطبة، ولیس إلاّ لأجل أنّ السلم الشائع کلام الآدمیّین، وإذا حضر بعد الغیبة فأوّل کلامه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علیکم، ولمّا کانت الصلوة معراج المؤمن و کان مسافرًا إلی اللّه، مهاجرًا عن الخلق، وبعد رجعته عن اللّه إلی الخلق، کان فی حکم الغایب إذا حضر، فأوَّل لقائه وتکلّمه بعد حضوره هذا التسلیم، فجعل الشارع لأوَّل غیبته عن الناس علامة، فجعل التکبیر علامة لغیبته و مهاجرًا عن الناس، مسافرًا إلی اللّه، مناجیًا ربّه بأنواع الکلام، وجعل لآخر سفره و رجوعه إلی وطنه وحضوره مع أهله و ولده و أخواته علامة، وتلک هی الکلام الّذی یبتدء الناس فی لقائهم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لیت شعری ما الباعث لإخواننا و خلاّئنا ـ سلّمهم اللّه عن الآفات، و وفّقهم لتحصیل الخیرات و السعادات ـ علی دعوی ذلک، و الحال أنّ العبادات توقیفیّة، </w:t>
      </w:r>
    </w:p>
    <w:p>
      <w:pPr>
        <w:pStyle w:val="BookText"/>
        <w:rPr/>
      </w:pPr>
      <w:r>
        <w:rPr>
          <w:rFonts w:ascii="IRNazanin" w:hAnsi="IRNazanin" w:eastAsia="IRNazanin"/>
          <w:color w:val="111111"/>
          <w:sz w:val="28"/>
          <w:sz w:val="28"/>
          <w:szCs w:val="28"/>
          <w:rtl w:val="true"/>
          <w:lang w:bidi="fa-IR"/>
        </w:rPr>
        <w:t xml:space="preserve">والروایات خالیة، وکتب الدعوات والعبادات بالتسلیمة الواحدة مشحونة، وفتاویهم علی ذلک متطابقة، فالحکم بانسحاب التسلیمة مع الصیغتین الواردتین فی الفرائض فی النافلة، غیر مسموعة، إلاّ مع البرهان، فإن کان مستندهم القیاس، فکلاّ و حاشا عنهم والقیاس، ولو لم یکن بأیدینا إلاّ کلام الشیخ فی المصباح لکفی، لأنّه لا یقول إلاّ عن ثبت، کما قال شیخنا الشهید </w:t>
      </w:r>
      <w:r>
        <w:rPr>
          <w:rStyle w:val="FootnoteAnchor"/>
          <w:rtl w:val="true"/>
        </w:rPr>
        <w:footnoteReference w:id="325"/>
      </w:r>
      <w:r>
        <w:rPr>
          <w:rFonts w:ascii="IRNazanin" w:hAnsi="IRNazanin" w:eastAsia="IRNazanin"/>
          <w:color w:val="111111"/>
          <w:sz w:val="28"/>
          <w:sz w:val="28"/>
          <w:szCs w:val="28"/>
          <w:rtl w:val="true"/>
          <w:lang w:bidi="fa-IR"/>
        </w:rPr>
        <w:t>متابعة الصدوق ووالده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لأنّهما جلیلان لا یعولان إلاّ عن ثبت، لأنّه الشیخ الجلیل، ذو الشأن الرفیع، رئیس الفرقة، عروة الإسلام، عماد الطائفة الإمامیّة ـ شکر اللّه سعیه، وأجزل مثوبته، و رفع درجته ـ لا یقول إلاّ لأجل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وفّقنا اللّه تعالی لإلهام الحقّ و الصواب، و جنّبنا عن التعسّف، و أرشدنا لطریق النجاة، و حیث وصل الکلام إلی هذا المقام، وانتهی جریان القلم بما حظّه من هذا البیان، فلنمسک عنان القلم فی هذا المضمار خوفًا لملال الأصحاب، ولنختم بالحمد للّه ربّ العالمین، والصلوة علی سیّد المرسلین وآله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والمرجوّ من الإخوان و الملتمس من جنابهم أن ینظروا فیه بعین الرأفة والإنصاف، فإن وجدوا خطأ فیه، فإنّ الخطا و السهو من الإنسان کالطبیعة الثانیة، والمعصوم من عصمه اللّه، وعلیهم بإصلاحه، و إن وجدوا ما یخالف رأیهم وطریقتهم، فلیظهروه، لینظر فیه إمّا بالقبول أو القیام بالجواب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کتب بیمناه الداثرة أقلّ الخلیقة علی أکبر ـ عفی اللّه عن جرائمه </w:t>
      </w:r>
      <w:r>
        <w:rPr>
          <w:rFonts w:eastAsia="IRNazanin" w:cs="IRNazanin"/>
          <w:color w:val="111111"/>
          <w:sz w:val="28"/>
          <w:szCs w:val="28"/>
          <w:rtl w:val="true"/>
          <w:lang w:bidi="fa-IR"/>
        </w:rPr>
        <w:t xml:space="preserve">. </w:t>
      </w:r>
      <w:bookmarkStart w:id="134" w:name="pg3709_22065"/>
    </w:p>
    <w:p>
      <w:pPr>
        <w:pStyle w:val="Heading2"/>
        <w:numPr>
          <w:ilvl w:val="1"/>
          <w:numId w:val="1"/>
        </w:numPr>
        <w:rPr/>
      </w:pPr>
      <w:bookmarkStart w:id="135" w:name="__RefHeading___Toc594115_2281741623"/>
      <w:bookmarkStart w:id="136" w:name="_Toc48"/>
      <w:bookmarkEnd w:id="134"/>
      <w:bookmarkEnd w:id="135"/>
      <w:r>
        <w:rPr>
          <w:rtl w:val="true"/>
        </w:rPr>
        <w:t>الرسالة الثانیة</w:t>
      </w:r>
      <w:r>
        <w:rPr>
          <w:rtl w:val="true"/>
        </w:rPr>
        <w:t xml:space="preserve">: </w:t>
      </w:r>
      <w:r>
        <w:rPr>
          <w:rtl w:val="true"/>
        </w:rPr>
        <w:t>الرَدُّ عَلی رِسَالَةِ تَعیِینِ السَلامِ الأخِیرِ فِی النَوَافِل لحجّة الإسلام الشفتی قدس‌سره</w:t>
      </w:r>
      <w:bookmarkEnd w:id="136"/>
    </w:p>
    <w:p>
      <w:pPr>
        <w:pStyle w:val="Heading3"/>
        <w:numPr>
          <w:ilvl w:val="2"/>
          <w:numId w:val="1"/>
        </w:numPr>
        <w:rPr/>
      </w:pPr>
      <w:bookmarkStart w:id="137" w:name="__RefHeading___Toc594117_2281741623"/>
      <w:bookmarkStart w:id="138" w:name="_Toc49"/>
      <w:bookmarkEnd w:id="137"/>
      <w:r>
        <w:rPr>
          <w:rtl w:val="true"/>
        </w:rPr>
        <w:t>اشارة</w:t>
      </w:r>
      <w:bookmarkEnd w:id="13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الرَدُّ عَلی</w:t>
      </w:r>
    </w:p>
    <w:p>
      <w:pPr>
        <w:pStyle w:val="BookText"/>
        <w:rPr/>
      </w:pPr>
      <w:r>
        <w:rPr>
          <w:rFonts w:ascii="Amiri" w:hAnsi="Amiri" w:eastAsia="Amiri" w:cs="Amiri"/>
          <w:color w:val="111111"/>
          <w:sz w:val="28"/>
          <w:sz w:val="28"/>
          <w:szCs w:val="28"/>
          <w:rtl w:val="true"/>
          <w:lang w:bidi="ar-SA"/>
        </w:rPr>
        <w:t>رِسَالَةِ تَعیِینِ السَلامِ الأخِیرِ فِی النَوَافِل</w:t>
      </w:r>
    </w:p>
    <w:p>
      <w:pPr>
        <w:pStyle w:val="BookText"/>
        <w:rPr/>
      </w:pPr>
      <w:r>
        <w:rPr>
          <w:rFonts w:ascii="Amiri" w:hAnsi="Amiri" w:eastAsia="Amiri" w:cs="Amiri"/>
          <w:color w:val="111111"/>
          <w:sz w:val="28"/>
          <w:sz w:val="28"/>
          <w:szCs w:val="28"/>
          <w:rtl w:val="true"/>
          <w:lang w:bidi="ar-SA"/>
        </w:rPr>
        <w:t>تَألِیفُ</w:t>
      </w:r>
    </w:p>
    <w:p>
      <w:pPr>
        <w:pStyle w:val="BookText"/>
        <w:rPr/>
      </w:pPr>
      <w:r>
        <w:rPr>
          <w:rFonts w:ascii="Amiri" w:hAnsi="Amiri" w:eastAsia="Amiri" w:cs="Amiri"/>
          <w:color w:val="111111"/>
          <w:sz w:val="28"/>
          <w:sz w:val="28"/>
          <w:szCs w:val="28"/>
          <w:rtl w:val="true"/>
          <w:lang w:bidi="ar-SA"/>
        </w:rPr>
        <w:t>العَلاّمةِ الفَقِیهِ المُحَقِّق</w:t>
      </w:r>
    </w:p>
    <w:p>
      <w:pPr>
        <w:pStyle w:val="BookText"/>
        <w:rPr/>
      </w:pPr>
      <w:r>
        <w:rPr>
          <w:rFonts w:ascii="Amiri" w:hAnsi="Amiri" w:eastAsia="Amiri" w:cs="Amiri"/>
          <w:color w:val="111111"/>
          <w:sz w:val="28"/>
          <w:sz w:val="28"/>
          <w:szCs w:val="28"/>
          <w:rtl w:val="true"/>
          <w:lang w:bidi="ar-SA"/>
        </w:rPr>
        <w:t>السَیِّد مُحَمَّد بَاقِرِ بنِ مُحَمَّد نقی الشَفتِیّ قدس‌سره</w:t>
      </w:r>
    </w:p>
    <w:p>
      <w:pPr>
        <w:pStyle w:val="BookText"/>
        <w:rPr/>
      </w:pPr>
      <w:r>
        <w:rPr>
          <w:rFonts w:ascii="Amiri" w:hAnsi="Amiri" w:eastAsia="Amiri" w:cs="Amiri"/>
          <w:color w:val="111111"/>
          <w:sz w:val="28"/>
          <w:sz w:val="28"/>
          <w:szCs w:val="28"/>
          <w:rtl w:val="true"/>
          <w:lang w:bidi="ar-SA"/>
        </w:rPr>
        <w:t>المُشتَهرِ بِحُجَّةِ الإِسلام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تَحقِیقُ</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السَیِّد مَهدِی الشَفتِیّ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 و به نستعین</w:t>
      </w:r>
    </w:p>
    <w:p>
      <w:pPr>
        <w:pStyle w:val="BookText"/>
        <w:rPr/>
      </w:pPr>
      <w:r>
        <w:rPr>
          <w:rFonts w:ascii="IRNazanin" w:hAnsi="IRNazanin" w:eastAsia="IRNazanin"/>
          <w:color w:val="111111"/>
          <w:sz w:val="28"/>
          <w:sz w:val="28"/>
          <w:szCs w:val="28"/>
          <w:rtl w:val="true"/>
          <w:lang w:bidi="fa-IR"/>
        </w:rPr>
        <w:t xml:space="preserve">نحمدک یا من لم یزل بنا عطوفًا رؤفًا </w:t>
      </w:r>
      <w:r>
        <w:rPr>
          <w:rStyle w:val="FootnoteAnchor"/>
          <w:rtl w:val="true"/>
        </w:rPr>
        <w:footnoteReference w:id="326"/>
      </w:r>
      <w:r>
        <w:rPr>
          <w:rFonts w:ascii="IRNazanin" w:hAnsi="IRNazanin" w:eastAsia="IRNazanin"/>
          <w:color w:val="111111"/>
          <w:sz w:val="28"/>
          <w:sz w:val="28"/>
          <w:szCs w:val="28"/>
          <w:rtl w:val="true"/>
          <w:lang w:bidi="fa-IR"/>
        </w:rPr>
        <w:t xml:space="preserve">، و نسبّحک یا من لم یکن له أحد کفوًا وشبیهًا، ونصلّی علی من قرّر النوافل لتکمیل الفرائض جبرًا و علاجًا، وعترته وآله الّذین هم کانوا للشریعة رکنًا و قوامًا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یقول العبد الملتجئ إلی رأفة ربّه الغافر ابن محمّد نقی الموسویّ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بلغنی عن بعض الأفاضل ـ حشره‌اللّه مع سادات الأواخر والأوائل‌ـ فی تسلیم النوافل ما کان إعتقادی أنّه مخالف للواقع، و منافر للمتخلّف ممّن هو للشریعة حافظ و صادع، فأبرزت هذه الکلمات فی إبانة الحقّ فی ذلک وإزهاق الباطل، هنالک أرجو من اللّه سبحانه أن لا یکون قصدی فیه إلاّ ابتغاء مرضاته، وإحقاق الحقّ فی سبیله و دینه و شریعته، بحقّ کُمَّل خلیقته محمّد سیّد رسله وعترته و آله ـ صلوات اللّه و سلامه علیه و علیهم إلی بقاء أرضه و سمائه ـ وهو أنّه لایجوز الجمع فی تسلیم النوافل بین الصیغ الثلث المعهودة فی تسلیم الفرائض، بل یجب الإقتصار فیه بصیغة السلام علیکم و رحمة اللّه و برکاته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المطلب ینحلّ إلی مطلبین </w:t>
      </w:r>
      <w:r>
        <w:rPr>
          <w:rFonts w:eastAsia="IRNazanin" w:cs="IRNazanin"/>
          <w:color w:val="111111"/>
          <w:sz w:val="28"/>
          <w:szCs w:val="28"/>
          <w:rtl w:val="true"/>
          <w:lang w:bidi="fa-IR"/>
        </w:rPr>
        <w:t xml:space="preserve">: </w:t>
      </w:r>
      <w:bookmarkStart w:id="139" w:name="pg3709_22068"/>
    </w:p>
    <w:p>
      <w:pPr>
        <w:pStyle w:val="Heading3"/>
        <w:numPr>
          <w:ilvl w:val="2"/>
          <w:numId w:val="1"/>
        </w:numPr>
        <w:rPr/>
      </w:pPr>
      <w:bookmarkStart w:id="140" w:name="__RefHeading___Toc594119_2281741623"/>
      <w:bookmarkStart w:id="141" w:name="_Toc50"/>
      <w:bookmarkEnd w:id="139"/>
      <w:bookmarkEnd w:id="140"/>
      <w:r>
        <w:rPr>
          <w:rtl w:val="true"/>
        </w:rPr>
        <w:t>الردّ علی ما ذکره من انّه یجب الإقتصار فی تسلیم النوافل بصیغة السلام علیکم ولایجوز العدول عنها إلی غیرها</w:t>
      </w:r>
      <w:bookmarkEnd w:id="1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المطلب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الإقتصار فی تسلیم النوافل بصیغة السلام علیکم، ولایجوز العدول عنها إلی غیرها و لو کان السلام علینا و 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هذا المطلب ممّا لاینبغی التأمّل فی فساده، بل التحقیق أنّ حکم النوافل فی ذلک حکم الفرائض، فکما أنّه لا یجب الإقتصار فی تسلیم الفرائض بالصیغة المذکورة، بل یجوز فیها </w:t>
      </w:r>
      <w:r>
        <w:rPr>
          <w:rStyle w:val="FootnoteAnchor"/>
          <w:rtl w:val="true"/>
        </w:rPr>
        <w:footnoteReference w:id="327"/>
      </w:r>
      <w:r>
        <w:rPr>
          <w:rFonts w:ascii="IRNazanin" w:hAnsi="IRNazanin" w:eastAsia="IRNazanin"/>
          <w:color w:val="111111"/>
          <w:sz w:val="28"/>
          <w:sz w:val="28"/>
          <w:szCs w:val="28"/>
          <w:rtl w:val="true"/>
          <w:lang w:bidi="fa-IR"/>
        </w:rPr>
        <w:t xml:space="preserve">العدول عنها إلی صیغة السلام علینا وعلی عباد اللّه الصالحین للنصوص المعتبرة المستفیضة، فکذلک الحال فی النوافل، ولاتفاوت بینهما فی ذلک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شیخ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تعالی ضریحه </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فی موضع من التهذیب </w:t>
      </w:r>
      <w:r>
        <w:rPr>
          <w:rStyle w:val="FootnoteAnchor"/>
          <w:rtl w:val="true"/>
        </w:rPr>
        <w:footnoteReference w:id="329"/>
      </w:r>
      <w:r>
        <w:rPr>
          <w:rFonts w:ascii="IRNazanin" w:hAnsi="IRNazanin" w:eastAsia="IRNazanin"/>
          <w:color w:val="111111"/>
          <w:sz w:val="28"/>
          <w:sz w:val="28"/>
          <w:szCs w:val="28"/>
          <w:rtl w:val="true"/>
          <w:lang w:bidi="fa-IR"/>
        </w:rPr>
        <w:t>دعوی إجماع الشیعة علیه، کما ستقف علی عبارته بتوفیق اللّه وهدایته وإعانته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والدلیل علی هذا المرام إطلاقات النصوص الواردة عن سادات الأنام ـ علیهم آلاف التحیّة والسلام من المنعم الفیّاض الوهّاب العلاّم ـ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المشهور بین العامّة والخاصّة من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تحلیلها التسلیم </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 بناء علی أنّ التسلیم فیه کما یشمل السلام علیکم، یشمل السلام علینا أیضًا، فکما أنّ مقتضاه أنّ الأوّل محلِّل ومخرج من الصلوة، فکذا الثانی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مقتضاه جواز الإقتصار فی مقام التسلیم بالأوَّل، فکذلک الحال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الصلوة فیه أعمّ من الفرائض والنوافل، فمقتضاه ثبوت الحکم المذکور فی القسمین،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الإیراد علیه من وجهین،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الحدیث المذکور مرویّ عن طرق العامّة، ولم یوجد مسندًا فی طرقنا، فما کان علی هذه المثابة لایصحّ التعویل علیه فی إثبات الأحکام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لفظ التسلیم فیه وإن کان مطلقًا، لکن التمسّک بالمطلقات فی أفرادها مشروط بتواطئها، و هو مفقود فیما نحن فیه، لشیوع هذا اللفظ فی صیغة السلام علیکم، کما اعترف به جماعة من المحقّقین، و یشهد له تتبّع النصوص الصادرة من الأئمّة الطاهرین ـ علیهم الصلوات من فاطر السموات والأرضین ـ فینصرف لفظ التسلیم فی الحدیث إلیه، فلایصحّ التمسّک به فیما أنتم بصدد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الجواب عن الأوَّل، فهو أنّ ذلک الإیراد و إن صدر عن جماعة من الأوتاد ـ کالعلاّمة و شیخنا الشهید و غیرهما ؛ قال فی المختلف بعد أن حکی إستدلال القائلین بوجوب التسلیم بالروایة المذکورة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المنع من الروایة، فإنّها لم تنقل </w:t>
      </w:r>
      <w:r>
        <w:rPr>
          <w:rStyle w:val="FootnoteAnchor"/>
          <w:rtl w:val="true"/>
        </w:rPr>
        <w:footnoteReference w:id="331"/>
      </w:r>
      <w:r>
        <w:rPr>
          <w:rFonts w:ascii="IRNazanin" w:hAnsi="IRNazanin" w:eastAsia="IRNazanin"/>
          <w:color w:val="111111"/>
          <w:sz w:val="28"/>
          <w:sz w:val="28"/>
          <w:szCs w:val="28"/>
          <w:rtl w:val="true"/>
          <w:lang w:bidi="fa-IR"/>
        </w:rPr>
        <w:t xml:space="preserve">إلینا متّصلة الرجال، و إن کانت من المشاهیر، إلاّ أنّ المراسیل لیست حجّة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الذکری بعد أن حکی عن المحقّق فی المعتبر </w:t>
      </w:r>
      <w:r>
        <w:rPr>
          <w:rStyle w:val="FootnoteAnchor"/>
          <w:rtl w:val="true"/>
        </w:rPr>
        <w:footnoteReference w:id="333"/>
      </w:r>
      <w:r>
        <w:rPr>
          <w:rFonts w:ascii="IRNazanin" w:hAnsi="IRNazanin" w:eastAsia="IRNazanin"/>
          <w:color w:val="111111"/>
          <w:sz w:val="28"/>
          <w:sz w:val="28"/>
          <w:szCs w:val="28"/>
          <w:rtl w:val="true"/>
          <w:lang w:bidi="fa-IR"/>
        </w:rPr>
        <w:t xml:space="preserve">الإستدلال بالروایة وغیرها ما هذا لفظه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مناقشات،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المطالبة بصحّة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وتحلیلها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فإنّا لم نره مسندًا فی أخبار الأصحاب، وإنّما هو من طریق العامّة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لکنّها ممّا لا وقع لها </w:t>
      </w:r>
      <w:r>
        <w:rPr>
          <w:rStyle w:val="FootnoteAnchor"/>
          <w:rtl w:val="true"/>
        </w:rPr>
        <w:footnoteReference w:id="335"/>
      </w:r>
      <w:r>
        <w:rPr>
          <w:rFonts w:ascii="IRNazanin" w:hAnsi="IRNazanin" w:eastAsia="IRNazanin"/>
          <w:color w:val="111111"/>
          <w:sz w:val="28"/>
          <w:sz w:val="28"/>
          <w:szCs w:val="28"/>
          <w:rtl w:val="true"/>
          <w:lang w:bidi="fa-IR"/>
        </w:rPr>
        <w:t xml:space="preserve">، لأنّا وجدناها فی طرقنا بأسانید متعدّدة،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باب النوادر من طهارة الکافی، عن علیّ بن محمّد، عن سهل بن زیاد، عن جعفر بن محمّد الأشعریّ، عن القدّاح، عن أبی عبد 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إفتتاح الصلوة الوضوء، وتحریمها التکبیر، وتحلیلها التسلیم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مرویّ فی أوائل الفقیه، فی باب إفتتاح الصلوة و تحریمها وتحلیلها، مرسلاً عن مولانا أمیرالمؤمنین علیه‌السلام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العیون، فی باب ما کتبه مولانا الرضا علیه‌السلام للمأمون من محض الإسلام، عن عبد الواحد بن عبدوس النیسابوریّ، عن علیّ بن محمّد بن قتیبة، عن الفضل بن شاذان، عن مولانا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أن یقول فی التشهّد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لأنّ تحلیل الصلوة التسلیم، فإذا قلت هذا فقد سلّمت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فیه أیضًا فی الباب المتقدّم علی الباب المذکور، بذلک السند، عن مولانا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جعل التسلیم تحلیلاً للصلاة </w:t>
      </w:r>
      <w:r>
        <w:rPr>
          <w:rStyle w:val="FootnoteAnchor"/>
          <w:rtl w:val="true"/>
        </w:rPr>
        <w:footnoteReference w:id="339"/>
      </w:r>
      <w:r>
        <w:rPr>
          <w:rFonts w:ascii="IRNazanin" w:hAnsi="IRNazanin" w:eastAsia="IRNazanin"/>
          <w:color w:val="111111"/>
          <w:sz w:val="28"/>
          <w:sz w:val="28"/>
          <w:szCs w:val="28"/>
          <w:rtl w:val="true"/>
          <w:lang w:bidi="fa-IR"/>
        </w:rPr>
        <w:t xml:space="preserve">و لم یجعل بدله تکبیرًا أو تسبیحًا أو ضربًا آخر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لمّا کان فی الدخول فی الصلوة تحریم الکلام للمخلوقین والتوجّه إلی الخالق، کان تحلیلها کلام المخلوقین والإنتقال </w:t>
      </w:r>
    </w:p>
    <w:p>
      <w:pPr>
        <w:pStyle w:val="BookText"/>
        <w:rPr/>
      </w:pPr>
      <w:r>
        <w:rPr>
          <w:rFonts w:ascii="IRNazanin" w:hAnsi="IRNazanin" w:eastAsia="IRNazanin"/>
          <w:color w:val="111111"/>
          <w:sz w:val="28"/>
          <w:sz w:val="28"/>
          <w:szCs w:val="28"/>
          <w:rtl w:val="true"/>
          <w:lang w:bidi="fa-IR"/>
        </w:rPr>
        <w:t xml:space="preserve">عنها، و ابتداء المخلوقین فی الکلام إنّما هو التسلیم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مرویّ فی العلل، فی باب علل الشرائع و أصول الإسلام، بذلک السند أیضًا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جلالة قدر الفضل بن شاذان ممّا لا یفتقر إلی البیان، و أمّا عبدالواحد بن عبدوس فإنّه و إن لم یذکر فی غالب کتب الرجال، لکن کثرة ذکره الصدوق ـ قدّس اللّه تعالی </w:t>
      </w:r>
      <w:r>
        <w:rPr>
          <w:rStyle w:val="FootnoteAnchor"/>
          <w:rtl w:val="true"/>
        </w:rPr>
        <w:footnoteReference w:id="342"/>
      </w:r>
      <w:r>
        <w:rPr>
          <w:rFonts w:ascii="Amiri" w:hAnsi="Amiri" w:eastAsia="Amiri" w:cs="Amiri"/>
          <w:color w:val="111111"/>
          <w:sz w:val="28"/>
          <w:sz w:val="28"/>
          <w:szCs w:val="28"/>
          <w:rtl w:val="true"/>
          <w:lang w:bidi="ar-SA"/>
        </w:rPr>
        <w:t>روحه ـ مترضِّیًا أو مترحِّمًا، تدلّ علی جلالة قدره ووثاقته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العلل بعد أن أورد الحدیث الطویل المشتمل علی ما ذکر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محمّد بن عبدوس النیسابوریّ العطّار رضی‌الله‌عنه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العیون </w:t>
      </w:r>
      <w:r>
        <w:rPr>
          <w:rStyle w:val="FootnoteAnchor"/>
          <w:rtl w:val="true"/>
        </w:rPr>
        <w:footnoteReference w:id="344"/>
      </w:r>
      <w:r>
        <w:rPr>
          <w:rFonts w:ascii="IRNazanin" w:hAnsi="IRNazanin" w:eastAsia="IRNazanin"/>
          <w:color w:val="111111"/>
          <w:sz w:val="28"/>
          <w:sz w:val="28"/>
          <w:szCs w:val="28"/>
          <w:rtl w:val="true"/>
          <w:lang w:bidi="fa-IR"/>
        </w:rPr>
        <w:t xml:space="preserve">بعد إیراده الحدیث الطویل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محمّد بن عبدوس النیسابوریّ العطّار رحمه‌الله </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الرابع والثلاثون </w:t>
      </w:r>
      <w:r>
        <w:rPr>
          <w:rStyle w:val="FootnoteAnchor"/>
          <w:rtl w:val="true"/>
        </w:rPr>
        <w:footnoteReference w:id="346"/>
      </w:r>
      <w:r>
        <w:rPr>
          <w:rFonts w:ascii="IRNazanin" w:hAnsi="IRNazanin" w:eastAsia="IRNazanin"/>
          <w:color w:val="111111"/>
          <w:sz w:val="28"/>
          <w:sz w:val="28"/>
          <w:szCs w:val="28"/>
          <w:rtl w:val="true"/>
          <w:lang w:bidi="fa-IR"/>
        </w:rPr>
        <w:t xml:space="preserve">ما کتبه الرضا علیه‌السلام للمأمون من محض الإسلام وشرائع الدین، عن عبدالواحد المذکور، عن ابن قتیبة، عن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المأمون علیّ بن موسی الرضا علیهماالسلام أن یکتب له محض الإسلام علی الإیجاز والإختصار،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محض الإسلام شهادة أن لا إله إلاّ اللّه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أورد الحدیث بطوله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بذلک حمزة بن محمّد بن أحمد بن أبی جعفر بن محمّد بن </w:t>
      </w:r>
      <w:r>
        <w:rPr>
          <w:rStyle w:val="FootnoteAnchor"/>
          <w:rtl w:val="true"/>
        </w:rPr>
        <w:footnoteReference w:id="347"/>
      </w:r>
      <w:r>
        <w:rPr>
          <w:rFonts w:ascii="IRNazanin" w:hAnsi="IRNazanin" w:eastAsia="IRNazanin"/>
          <w:color w:val="111111"/>
          <w:sz w:val="28"/>
          <w:sz w:val="28"/>
          <w:szCs w:val="28"/>
          <w:rtl w:val="true"/>
          <w:lang w:bidi="fa-IR"/>
        </w:rPr>
        <w:t>زید بن علیّ بن الحسین بن علیّ بن أبی طالب علیهم‌السلام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حدّثنی أبو نصر قنبر بن علیّ بن شاذان، عن أبیه، عن الفضل بن شاذان، عن الرضا علیه‌السلام ؛ و ذکر أشیاء تخالف </w:t>
      </w:r>
      <w:r>
        <w:rPr>
          <w:rStyle w:val="FootnoteAnchor"/>
          <w:rtl w:val="true"/>
        </w:rPr>
        <w:footnoteReference w:id="348"/>
      </w:r>
      <w:r>
        <w:rPr>
          <w:rFonts w:ascii="IRNazanin" w:hAnsi="IRNazanin" w:eastAsia="IRNazanin"/>
          <w:color w:val="111111"/>
          <w:sz w:val="28"/>
          <w:sz w:val="28"/>
          <w:szCs w:val="28"/>
          <w:rtl w:val="true"/>
          <w:lang w:bidi="fa-IR"/>
        </w:rPr>
        <w:t xml:space="preserve">حدیث ابن عبدوس،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عبدالواحد بن محمّد بن عبدوس رضی‌الله‌عنه عندی أصحّ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دلالة علی کمال الوثوق والإعتماد </w:t>
      </w:r>
      <w:r>
        <w:rPr>
          <w:rStyle w:val="FootnoteAnchor"/>
          <w:rtl w:val="true"/>
        </w:rPr>
        <w:footnoteReference w:id="350"/>
      </w:r>
      <w:r>
        <w:rPr>
          <w:rFonts w:ascii="IRNazanin" w:hAnsi="IRNazanin" w:eastAsia="IRNazanin"/>
          <w:color w:val="111111"/>
          <w:sz w:val="28"/>
          <w:sz w:val="28"/>
          <w:szCs w:val="28"/>
          <w:rtl w:val="true"/>
          <w:lang w:bidi="fa-IR"/>
        </w:rPr>
        <w:t xml:space="preserve">بعبد الواحد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مشیخة الفقیه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کان فیه عن الفضل بن شاذان من العلل الّتی ذکرها عن الرضا علیه‌السلام ، فقد رویته عن عبدالواحد بن عبدوس النیسابوریّ العطّار رضی‌الله‌عنه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الفاضل السیّد المصطفی فی رجاله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عبدالواحد المذکور من مشایخ الصدوق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السیّد السند صاحب المدارک فی کتاب الصوم من المدارک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عبدالواحد بن 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یوثَّق صریحًا لکنّه </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من مشایخ الصدوق المعتبرین، الّذین أخذ </w:t>
      </w:r>
      <w:r>
        <w:rPr>
          <w:rStyle w:val="FootnoteAnchor"/>
          <w:rtl w:val="true"/>
        </w:rPr>
        <w:footnoteReference w:id="354"/>
      </w:r>
      <w:r>
        <w:rPr>
          <w:rFonts w:ascii="IRNazanin" w:hAnsi="IRNazanin" w:eastAsia="IRNazanin"/>
          <w:color w:val="111111"/>
          <w:sz w:val="28"/>
          <w:sz w:val="28"/>
          <w:szCs w:val="28"/>
          <w:rtl w:val="true"/>
          <w:lang w:bidi="fa-IR"/>
        </w:rPr>
        <w:t xml:space="preserve">عنهم الحدیث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ما ستقف علیه من تصحیح العلاّمة و شیخنا الشهید الثانی ـ قدّس اللّه تعالی روحهما ـ الحدیث الآتی نعته، وهو فی سنده، فالظاهر أنّ حدیثه معدود من </w:t>
      </w:r>
    </w:p>
    <w:p>
      <w:pPr>
        <w:pStyle w:val="BookText"/>
        <w:rPr/>
      </w:pPr>
      <w:r>
        <w:rPr>
          <w:rFonts w:ascii="IRNazanin" w:hAnsi="IRNazanin" w:eastAsia="IRNazanin"/>
          <w:color w:val="111111"/>
          <w:sz w:val="28"/>
          <w:sz w:val="28"/>
          <w:szCs w:val="28"/>
          <w:rtl w:val="true"/>
          <w:lang w:bidi="fa-IR"/>
        </w:rPr>
        <w:t xml:space="preserve">الصحاح لو لم یکن فی سنده مانع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بن محمّد بن قتیبة، ففی رجال النجاشی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اعتمد أبو عمرو الکَشّیّ فی کتاب الرجال، أبوالحسن، صاحب الفضل بن شاذان و راویة کتبه، له کتب، إلی آخره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الکلام منه یدلّ علی مدحه من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لدلالته علی أنّه معتمد الکشّیّ، وکونه مصاحبًا للفضل بن شاذان الّذی لایخفی جلالة قدره، وکونه راویة کتبه لاسیّما بالتاء الدالّة علی المبالغة، و کونه صاحب کتب ومصنّفها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شیخ الطائفة فی رجاله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بن القتیبی، تلمیذ الفضل بن شاذان، فاضل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العلاّمة فی الخلاصة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تلمیذ الفضل بن شاذان، فاضل، علیه اعتمد أبو عمرو الکشّیّ فی کتاب الرجال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دلالة کلمات هؤلاء الأماجد العظام علی مدح هذا الرجل ممّا لایخفی علی أولی الأبصار و الأفهام، مضافًا إلی أنّ العلاّمة فی کتاب الکفّارات من التحریر </w:t>
      </w:r>
      <w:r>
        <w:rPr>
          <w:rStyle w:val="FootnoteAnchor"/>
          <w:rtl w:val="true"/>
        </w:rPr>
        <w:footnoteReference w:id="359"/>
      </w:r>
      <w:r>
        <w:rPr>
          <w:rFonts w:ascii="IRNazanin" w:hAnsi="IRNazanin" w:eastAsia="IRNazanin"/>
          <w:color w:val="111111"/>
          <w:sz w:val="28"/>
          <w:sz w:val="28"/>
          <w:szCs w:val="28"/>
          <w:rtl w:val="true"/>
          <w:lang w:bidi="fa-IR"/>
        </w:rPr>
        <w:t xml:space="preserve">، و شیخنا الشهید الثانی فی کتاب الصوم من الروضة </w:t>
      </w:r>
      <w:r>
        <w:rPr>
          <w:rStyle w:val="FootnoteAnchor"/>
          <w:rtl w:val="true"/>
        </w:rPr>
        <w:footnoteReference w:id="360"/>
      </w:r>
      <w:r>
        <w:rPr>
          <w:rFonts w:ascii="IRNazanin" w:hAnsi="IRNazanin" w:eastAsia="IRNazanin"/>
          <w:color w:val="111111"/>
          <w:sz w:val="28"/>
          <w:sz w:val="28"/>
          <w:szCs w:val="28"/>
          <w:rtl w:val="true"/>
          <w:lang w:bidi="fa-IR"/>
        </w:rPr>
        <w:t xml:space="preserve">، صحّحا الحدیث الدالّ علی من أفطر فی نهار رمضان بالمحرم وجب علیه الکفّارات الثلث، و فی سنده هذان الرجلان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ممّا یدلّ علی جلالة قدر هذا الرجل و غایة احتیاطه، ما ذکره شیخنا الصدوق فی العلل والعیون بعد أن أورد الحدیث الطویل المشتمل علی کثیر من العلل للأحکام الشرعیّة،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عبدالواحد بن محمّد بن عبدوس النیسابوریّ العطّار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محمّد بن قتیبة النیسابوریّ،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للفضل بن شاذان لمّا سمعت منه هذه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هذه العلل الّتی ذکرتها من الإستنباط و الإستخراج، و هی من نتایج العقل، أو هی ممّا سمعته ورویته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لأعلم مراد اللّه عزّوجلّ بما فرض، ولامراد رسوله صلی‌الله‌علیه‌و‌آله </w:t>
      </w:r>
      <w:r>
        <w:rPr>
          <w:rStyle w:val="FootnoteAnchor"/>
          <w:rtl w:val="true"/>
        </w:rPr>
        <w:footnoteReference w:id="363"/>
      </w:r>
      <w:r>
        <w:rPr>
          <w:rFonts w:ascii="IRNazanin" w:hAnsi="IRNazanin" w:eastAsia="IRNazanin"/>
          <w:color w:val="111111"/>
          <w:sz w:val="28"/>
          <w:sz w:val="28"/>
          <w:szCs w:val="28"/>
          <w:rtl w:val="true"/>
          <w:lang w:bidi="fa-IR"/>
        </w:rPr>
        <w:t>بما شرع و سنّ، و لا أعلِّل ذلک من ذات نفسی، بل سمعتها من مولای أبی الحسن علیّ بن موسی الرضا علیهماالسلام المرّة بعد المرّة، و الشیء بعد الشیء، فجمعتها،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فأحدّث بها عنک عن الرضا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دلالته علی ما ذکر غیر خفیّة، فحدیثه لو لم یحکم بصحّته، فلا شبهة فی کونه حسنًا قریبًا منه، فالحدیثان المذکوران فی أعلی مراتب الحسان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الخصال فی ضمن الحدیث المشتمل علی شرائع الدین عن الأعمش، عن جعفر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فی التشهّد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لأنّ تحلیل الصلوة هو التسلیم، وإذا قلت هذا فقد سلّمت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متعلّق الإیراد إنّما هو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تحریمها التکبیر، وتحلیلها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والمذکور فی النصوص المذکورة انّما هو الجزء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الإستدلال انّما هو بالجزء الثانی فقط، وقد وجد فی أخبارنا بأسانید متعدّدة، وهو یکفی فیما نحن فیه، فعدم ذکر الجزء الأوّل غیر مضرّ، مضافًا إلی أنّ الحدیث المرویّ فی باب النوادر من طهارة الکافی، مشتمل علیهما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الجواب عن الإیراد الثانی ـ أی کون المتبادر من التسلیم هو السلام علیکم، فلا یمکن التمسّک به فی الإقتصار بالسلام علینا ـ فهو أنّ ذلک و إن کان مسلّمًا فی کلمات جماعة من الأصحاب </w:t>
      </w:r>
      <w:r>
        <w:rPr>
          <w:rStyle w:val="FootnoteAnchor"/>
          <w:rtl w:val="true"/>
        </w:rPr>
        <w:footnoteReference w:id="366"/>
      </w:r>
      <w:r>
        <w:rPr>
          <w:rFonts w:ascii="IRNazanin" w:hAnsi="IRNazanin" w:eastAsia="IRNazanin"/>
          <w:color w:val="111111"/>
          <w:sz w:val="28"/>
          <w:sz w:val="28"/>
          <w:szCs w:val="28"/>
          <w:rtl w:val="true"/>
          <w:lang w:bidi="fa-IR"/>
        </w:rPr>
        <w:t xml:space="preserve">، بل فی موثّقة أبی بصیر المشتملة علی التشهّد الطویل المرویّة فی التهذیب دلالة علیه، لأنّه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 رحمة اللّه و برکاته، السلام علی أنبیاء اللّه و رسله، السلام علی جبرئیل ومیکائیل والملائکة المقرّبین، السلام علی محمّد بن عبداللّه خاتم النبیّین لا نبیّ بعده، السلام علینا و علی عباد اللّه الصالحین، ثمّ تسلّم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الإتیان بصیغة السلام علینا و غیرها، دلیل علی أنّ التسلیم المطلق لا ینصرف إلاّ إلی السلام علیکم ـ لکنّه فی النبویّ المذکور ونحوه </w:t>
      </w:r>
      <w:r>
        <w:rPr>
          <w:rStyle w:val="FootnoteAnchor"/>
          <w:rtl w:val="true"/>
        </w:rPr>
        <w:footnoteReference w:id="368"/>
      </w:r>
      <w:r>
        <w:rPr>
          <w:rFonts w:ascii="IRNazanin" w:hAnsi="IRNazanin" w:eastAsia="IRNazanin"/>
          <w:color w:val="111111"/>
          <w:sz w:val="28"/>
          <w:sz w:val="28"/>
          <w:szCs w:val="28"/>
          <w:rtl w:val="true"/>
          <w:lang w:bidi="fa-IR"/>
        </w:rPr>
        <w:t xml:space="preserve">غیر مسلّم، و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أنّک قد عرفت ممّا ذکرناه نصًّا صریحًا علی خلاف ذلک، و انّه فی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تحلیلها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لقول السلام علینا وعلی عباد اللّه الصالحین، لقوله علیه‌السلام فی الحسن المتقدّم القریب من الصحیح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لایجوز أن تقول فی التشهّد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لأنّ </w:t>
      </w:r>
    </w:p>
    <w:p>
      <w:pPr>
        <w:pStyle w:val="BookText"/>
        <w:rPr/>
      </w:pPr>
      <w:r>
        <w:rPr>
          <w:rFonts w:ascii="IRNazanin" w:hAnsi="IRNazanin" w:eastAsia="IRNazanin"/>
          <w:color w:val="111111"/>
          <w:sz w:val="28"/>
          <w:sz w:val="28"/>
          <w:szCs w:val="28"/>
          <w:rtl w:val="true"/>
          <w:lang w:bidi="fa-IR"/>
        </w:rPr>
        <w:t xml:space="preserve">تحلیل الصلوة التسلیم، فإذا قلت هذا فقد سلّمت </w:t>
      </w:r>
      <w:r>
        <w:rPr>
          <w:rFonts w:eastAsia="IRNazanin" w:cs="IRNazanin"/>
          <w:color w:val="111111"/>
          <w:sz w:val="28"/>
          <w:szCs w:val="28"/>
          <w:rtl w:val="true"/>
          <w:lang w:bidi="fa-IR"/>
        </w:rPr>
        <w:t xml:space="preserve">»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ما تقدّم من الخصال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فالإیراد المذکور حینئذ إجتهاد فی مقابلة النصّ، فلا یعتنی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التمسّک به فیما نحن فیه غیر صحیح، لکون المتبادر من الصلوة الفریضة، فلا یصحّ التمسّک به فی إثبات الحکم بالإضافة إلی النافلة ؛ لوضوح تطرّق المنع إلی ذلک، بل الظاهر منها أنّ الشیئین المذکورین من الإفتتاح والتحریم بالتکبیر، و التحلیل بالتسلیم، بالإضافة إلی مهیّة الصلوة کائنة ما کانت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ما ذکر فی صدره ـ علی ما فی باب النوادر من الکافی ـ وهو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إفتتاح الصلوة الوضوء، و تحریمها التکبیر </w:t>
      </w:r>
      <w:r>
        <w:rPr>
          <w:rStyle w:val="FootnoteAnchor"/>
          <w:rtl w:val="true"/>
        </w:rPr>
        <w:footnoteReference w:id="371"/>
      </w:r>
      <w:r>
        <w:rPr>
          <w:rFonts w:ascii="IRNazanin" w:hAnsi="IRNazanin" w:eastAsia="IRNazanin"/>
          <w:color w:val="111111"/>
          <w:sz w:val="28"/>
          <w:sz w:val="28"/>
          <w:szCs w:val="28"/>
          <w:rtl w:val="true"/>
          <w:lang w:bidi="fa-IR"/>
        </w:rPr>
        <w:t>، إلی آخره ؛ إذ الضمیر 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تحریمها وتحلیلها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الصلوة المذکورة فی أوّل الحدیث، و هی الّتی تفتتح بالوضوء، ومعلوم أنّها أعمّ من الفریضة والنافلة، و هو مسلّم بالإضافة إلی تحریمها التکبیر، فیکون کذلک بالنسبة إلی التحلیل بالتسلیم أیضًا،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إطلاقات النصوص المشار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أواخر السرائر ـ ویمکن جعله صحیحًا ـ نقلاً عن کتاب حریز، عن أبی بصیر، عن مولانا الباقر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إفصل بین کلّ رکعتین من نوافلک بالتسلیم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التسلیم فیه یشمل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 علی عباد اللّه الصالحین أیضًا، کما عرفت من الحدیثین المذکورین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لذلک أیضًا الموثّق ـ کالصحیح ـ المرویّ فی باب أحکام السهو من زیادات التهذیب، عن یونس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بقوم </w:t>
      </w:r>
    </w:p>
    <w:p>
      <w:pPr>
        <w:pStyle w:val="BookText"/>
        <w:rPr/>
      </w:pPr>
      <w:r>
        <w:rPr>
          <w:rFonts w:ascii="IRNazanin" w:hAnsi="IRNazanin" w:eastAsia="IRNazanin"/>
          <w:color w:val="111111"/>
          <w:sz w:val="28"/>
          <w:sz w:val="28"/>
          <w:szCs w:val="28"/>
          <w:rtl w:val="true"/>
          <w:lang w:bidi="fa-IR"/>
        </w:rPr>
        <w:t xml:space="preserve">صلوة، فقعدت للتشهّد ثمّ قمت و نسیت أن أسلّم علیهم،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سلّمت علینا،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تسلّم و أنت جالس؟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علیک، و لو نسیت حین قالوا لک ذلک استقبلتهم بوجهک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الظاهر من صدر الحدیث و ذیله أنّ المنسیّ هو السلام علیکم، و مع ذلک قال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تسلِّم وأنت جالس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المراد من السؤال غیر السلام علیکم، والظاهر أنّه السلام علینا وعلی عباد اللّه الصالحین ؛ و کذا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الظاهر أنّ المراد منه أنّه سلّم حال الجلوس، لما قرّر فی محلّه أنّ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هی لنقض النفی المتقدّم، و دلالته علی ثبوت المنفیّ، سواء کان ذلک النفی مجرّدًا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أکلت الیوم،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أی أکلت ؛ أو مقرونًا بالإستفهام، فهی حینئذ لنقض النفی الّذی بعد الإستفهام، و دلالته علی تقریر المنفی وثبوته، کما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أَیَحْسَبُ الإِنْسَانُ أَنْ لَنْ نَّجْمَعَ عِظَامَهُ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نجمع عظامه </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الفرق 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Style w:val="FootnoteAnchor"/>
          <w:rtl w:val="true"/>
        </w:rPr>
        <w:footnoteReference w:id="377"/>
      </w:r>
      <w:r>
        <w:rPr>
          <w:rFonts w:ascii="IRNazanin" w:hAnsi="IRNazanin" w:eastAsia="IRNazanin"/>
          <w:color w:val="111111"/>
          <w:sz w:val="28"/>
          <w:sz w:val="28"/>
          <w:szCs w:val="28"/>
          <w:rtl w:val="true"/>
          <w:lang w:bidi="fa-IR"/>
        </w:rPr>
        <w:t xml:space="preserve">هو لتقریر ما سبق وإثباته، سواء کان نفیًا أم إثباتًا، فمقتضی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قام زید، إنتفاء القیام من زید، کما أنّ مقتضاه بعد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زید، ثبوته، و لهذا فی الجواب عن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أَلَسْتُ بِرَبِّکُمْ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الوجه فی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لکفروا جمیعًا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فعلی هذا مقتضی قوله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تسلِّم وأنت جالس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السلام منه فی تلک الحالة، وقد عرفت أنّه غیر السلام علیکم، والظاهر أنّه السلام علینا و علی عباد اللّه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دلّ الحدیث علی إطلاق التسلیم علیه أیضًا، فیکون لفظ التسلیم فیما استدللنا لإثبات المرام أعمّ من السلام علیکم و السلام علینا،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تنبیهٌ</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ذیل الحدیث، و 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نسیت حین قالوا لک ذلک استقبلتهم بوجهک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کذا وجد فی نسخ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نسیت حین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 لا یبعد أن یکون ذلک من تصرّف النسّاخ، وکان فی الأصل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شئت حین قالوا لک ذلک استقبلتهم بوجهک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معنی الحدیث علی هذا أنّه بعد قولک السلام علینا وعلی عباد اللّه الصالحین، یتحقّق </w:t>
      </w:r>
      <w:r>
        <w:rPr>
          <w:rStyle w:val="FootnoteAnchor"/>
          <w:rtl w:val="true"/>
        </w:rPr>
        <w:footnoteReference w:id="379"/>
      </w:r>
      <w:r>
        <w:rPr>
          <w:rFonts w:ascii="IRNazanin" w:hAnsi="IRNazanin" w:eastAsia="IRNazanin"/>
          <w:color w:val="111111"/>
          <w:sz w:val="28"/>
          <w:sz w:val="28"/>
          <w:szCs w:val="28"/>
          <w:rtl w:val="true"/>
          <w:lang w:bidi="fa-IR"/>
        </w:rPr>
        <w:t xml:space="preserve">الخروج من الصلوة، فلا یضرّک حینئذ نسیان السلام علیکم، لکن حین قالوا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سلّمت علینا، إن شئت استقبلتهم بوجهک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والدلیل علی هذا التغییر هو أنّ هذا الحدیث مرویّ فی قرب الإسناد فی الباب الّذی ذکر فیه الأحادیث المرویّة عن مولانا موسی بن جعفر علیهماالسلام ، عن محمّد بن عبدالحمید، عن یونس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w:t>
      </w:r>
    </w:p>
    <w:p>
      <w:pPr>
        <w:pStyle w:val="BookText"/>
        <w:rPr/>
      </w:pPr>
      <w:r>
        <w:rPr>
          <w:rFonts w:ascii="IRNazanin" w:hAnsi="IRNazanin" w:eastAsia="IRNazanin"/>
          <w:color w:val="111111"/>
          <w:sz w:val="28"/>
          <w:sz w:val="28"/>
          <w:szCs w:val="28"/>
          <w:rtl w:val="true"/>
          <w:lang w:bidi="fa-IR"/>
        </w:rPr>
        <w:t xml:space="preserve">بقومی صلوة، فقمت و لم أسلّم علیهم، نسیت،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سلّمت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لَم تسلّم و أنت جالس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شیء علیک، فلو شئت حین قالوا لک استقبلتهم بوجهک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إطلاقات المشار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المرویّ فی باب التشهّد فی الرکعتین الأولیین و الرابعة و التسلیم من الکافی، و باب کیفیّة الصلوة من زیادات التهذیب،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فقد انصرفت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معلوم 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ذلک فی الصلوة فهو أعمّ من المفروضة والمسنونة، کما لایخفی علی من له درک و فطانة </w:t>
      </w:r>
      <w:r>
        <w:rPr>
          <w:rStyle w:val="FootnoteAnchor"/>
          <w:rtl w:val="true"/>
        </w:rPr>
        <w:footnoteReference w:id="382"/>
      </w:r>
      <w:r>
        <w:rPr>
          <w:rFonts w:ascii="IRNazanin" w:hAnsi="IRNazanin" w:eastAsia="IRNazanin"/>
          <w:color w:val="111111"/>
          <w:sz w:val="28"/>
          <w:sz w:val="28"/>
          <w:szCs w:val="28"/>
          <w:rtl w:val="true"/>
          <w:lang w:bidi="fa-IR"/>
        </w:rPr>
        <w:t xml:space="preserve">، علی انّا لم‌نجد أحدًا من العلماء من فرّق </w:t>
      </w:r>
      <w:r>
        <w:rPr>
          <w:rStyle w:val="FootnoteAnchor"/>
          <w:rtl w:val="true"/>
        </w:rPr>
        <w:footnoteReference w:id="383"/>
      </w:r>
      <w:r>
        <w:rPr>
          <w:rFonts w:ascii="IRNazanin" w:hAnsi="IRNazanin" w:eastAsia="IRNazanin"/>
          <w:color w:val="111111"/>
          <w:sz w:val="28"/>
          <w:sz w:val="28"/>
          <w:szCs w:val="28"/>
          <w:rtl w:val="true"/>
          <w:lang w:bidi="fa-IR"/>
        </w:rPr>
        <w:t>بین المقامین، کما لا یخفی علی من تصفّح کلماتهم فی البین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توهّم </w:t>
      </w:r>
      <w:r>
        <w:rPr>
          <w:rStyle w:val="FootnoteAnchor"/>
          <w:rtl w:val="true"/>
        </w:rPr>
        <w:footnoteReference w:id="384"/>
      </w:r>
      <w:r>
        <w:rPr>
          <w:rFonts w:ascii="IRNazanin" w:hAnsi="IRNazanin" w:eastAsia="IRNazanin"/>
          <w:color w:val="111111"/>
          <w:sz w:val="28"/>
          <w:sz w:val="28"/>
          <w:szCs w:val="28"/>
          <w:rtl w:val="true"/>
          <w:lang w:bidi="fa-IR"/>
        </w:rPr>
        <w:t xml:space="preserve">استفادة ذلک من کلام شیخ الطائفة ـ نوّر اللّه مضجعه ـ فی المصباح، حیث أنّه اقتصر فی تسلیم نافلة الزوال بصیغة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Style w:val="FootnoteAnchor"/>
          <w:rtl w:val="true"/>
        </w:rPr>
        <w:footnoteReference w:id="385"/>
      </w:r>
      <w:r>
        <w:rPr>
          <w:rFonts w:ascii="IRNazanin" w:hAnsi="IRNazanin" w:eastAsia="IRNazanin"/>
          <w:color w:val="111111"/>
          <w:sz w:val="28"/>
          <w:sz w:val="28"/>
          <w:szCs w:val="28"/>
          <w:rtl w:val="true"/>
          <w:lang w:bidi="fa-IR"/>
        </w:rPr>
        <w:t xml:space="preserve">، فغیر جیّد، لجواز أن یکون ذلک من باب الإکتفاء بأحد الأمرین المخیّرین، بل هو المتعیّن، لما ستقف من عبارته الدالّة علیه </w:t>
      </w:r>
      <w:r>
        <w:rPr>
          <w:rFonts w:eastAsia="IRNazanin" w:cs="IRNazanin"/>
          <w:color w:val="111111"/>
          <w:sz w:val="28"/>
          <w:szCs w:val="28"/>
          <w:rtl w:val="true"/>
          <w:lang w:bidi="fa-IR"/>
        </w:rPr>
        <w:t xml:space="preserve">. </w:t>
      </w:r>
      <w:bookmarkStart w:id="142" w:name="pg3709_22080"/>
    </w:p>
    <w:p>
      <w:pPr>
        <w:pStyle w:val="Heading3"/>
        <w:numPr>
          <w:ilvl w:val="2"/>
          <w:numId w:val="1"/>
        </w:numPr>
        <w:rPr/>
      </w:pPr>
      <w:bookmarkStart w:id="143" w:name="__RefHeading___Toc594121_2281741623"/>
      <w:bookmarkStart w:id="144" w:name="_Toc51"/>
      <w:bookmarkEnd w:id="142"/>
      <w:bookmarkEnd w:id="143"/>
      <w:r>
        <w:rPr>
          <w:rtl w:val="true"/>
        </w:rPr>
        <w:t>الردّ علی ما ذکره من انّه لایجوز الجمع فی مقام تسلیم النوافل بین السلام علیکم وغیره من صیغتی التسلیم</w:t>
      </w:r>
      <w:bookmarkEnd w:id="144"/>
    </w:p>
    <w:p>
      <w:pPr>
        <w:pStyle w:val="BookText"/>
        <w:rPr/>
      </w:pPr>
      <w:r>
        <w:rPr>
          <w:rFonts w:ascii="IRNazanin" w:hAnsi="IRNazanin" w:eastAsia="IRNazanin"/>
          <w:color w:val="111111"/>
          <w:sz w:val="28"/>
          <w:sz w:val="28"/>
          <w:szCs w:val="28"/>
          <w:rtl w:val="true"/>
          <w:lang w:bidi="fa-IR"/>
        </w:rPr>
        <w:t xml:space="preserve">والمطلب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لا یجوز الجمع فی مقام تسلیم النوافل بین السلام علیکم و غیره من صیغتی التسلیم، و أنّ ذلک من خواصّ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أیضًا غیر صحیح، بل نقول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یجوز ذلک فی الفرائض یجوز فی النوافل أیضًا، بل یمکن أن یقال بعنوان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ثبت </w:t>
      </w:r>
      <w:r>
        <w:rPr>
          <w:rStyle w:val="FootnoteAnchor"/>
          <w:rtl w:val="true"/>
        </w:rPr>
        <w:footnoteReference w:id="387"/>
      </w:r>
      <w:r>
        <w:rPr>
          <w:rFonts w:ascii="IRNazanin" w:hAnsi="IRNazanin" w:eastAsia="IRNazanin"/>
          <w:color w:val="111111"/>
          <w:sz w:val="28"/>
          <w:sz w:val="28"/>
          <w:szCs w:val="28"/>
          <w:rtl w:val="true"/>
          <w:lang w:bidi="fa-IR"/>
        </w:rPr>
        <w:t xml:space="preserve">فی الفرائض، یمکن الحکم بثبوته فی النوافل بمجرّد ذلک، إلاّ إذا قام الدلیل علی خلافه، فلا نفتقر فی الحکم بثبوت الأمور الثابتة </w:t>
      </w:r>
      <w:r>
        <w:rPr>
          <w:rStyle w:val="FootnoteAnchor"/>
          <w:rtl w:val="true"/>
        </w:rPr>
        <w:footnoteReference w:id="388"/>
      </w:r>
      <w:r>
        <w:rPr>
          <w:rFonts w:ascii="IRNazanin" w:hAnsi="IRNazanin" w:eastAsia="IRNazanin"/>
          <w:color w:val="111111"/>
          <w:sz w:val="28"/>
          <w:sz w:val="28"/>
          <w:szCs w:val="28"/>
          <w:rtl w:val="true"/>
          <w:lang w:bidi="fa-IR"/>
        </w:rPr>
        <w:t xml:space="preserve">فی الفرائض فی النوافل إلی دلیل علی حدة، فما لم یقم دلیل علی الإختصاص </w:t>
      </w:r>
      <w:r>
        <w:rPr>
          <w:rStyle w:val="FootnoteAnchor"/>
          <w:rtl w:val="true"/>
        </w:rPr>
        <w:footnoteReference w:id="389"/>
      </w:r>
      <w:r>
        <w:rPr>
          <w:rFonts w:ascii="IRNazanin" w:hAnsi="IRNazanin" w:eastAsia="IRNazanin"/>
          <w:color w:val="111111"/>
          <w:sz w:val="28"/>
          <w:sz w:val="28"/>
          <w:szCs w:val="28"/>
          <w:rtl w:val="true"/>
          <w:lang w:bidi="fa-IR"/>
        </w:rPr>
        <w:t xml:space="preserve">، یحکم بالإشتراک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شئت أن یتّضح لک حقیقة الحال، فاستمع لما أتلو علیک،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المناسب تصویر المرام بمثال یناسب المقام،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ما نحن فیه معجون رکّبه سلطان حکیم من أجزاء متعدّدة بعضها ممّا یتوقّف علیه تأثیره، فعدمه یستلزم انتفاؤه، و بعضها ممّا لم یکن کذلک، فهو ممّا لم یتوقّف علیه تأثیره، لکنّه ممّا توقّف علیه کماله، فانتفاؤه لم یکن مستلزمًا لانتفاء أصل الثمرة، لکنّه ممّا توقّف علیه کمال تلک الثمرة، فله مدخلیّة فی کمالها لا </w:t>
      </w:r>
      <w:r>
        <w:rPr>
          <w:rStyle w:val="FootnoteAnchor"/>
          <w:rtl w:val="true"/>
        </w:rPr>
        <w:footnoteReference w:id="391"/>
      </w:r>
      <w:r>
        <w:rPr>
          <w:rFonts w:ascii="IRNazanin" w:hAnsi="IRNazanin" w:eastAsia="IRNazanin"/>
          <w:color w:val="111111"/>
          <w:sz w:val="28"/>
          <w:sz w:val="28"/>
          <w:szCs w:val="28"/>
          <w:rtl w:val="true"/>
          <w:lang w:bidi="fa-IR"/>
        </w:rPr>
        <w:t xml:space="preserve">فی أصلها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یعیّن ذلک السلطان اسمًا مخصوصًا لذلک المعجون، ثمّ یطلبه من عبیده فی </w:t>
      </w:r>
    </w:p>
    <w:p>
      <w:pPr>
        <w:pStyle w:val="BookText"/>
        <w:rPr/>
      </w:pPr>
      <w:r>
        <w:rPr>
          <w:rFonts w:ascii="IRNazanin" w:hAnsi="IRNazanin" w:eastAsia="IRNazanin"/>
          <w:color w:val="111111"/>
          <w:sz w:val="28"/>
          <w:sz w:val="28"/>
          <w:szCs w:val="28"/>
          <w:rtl w:val="true"/>
          <w:lang w:bidi="fa-IR"/>
        </w:rPr>
        <w:t xml:space="preserve">ضمن ذلک الإسم تارة </w:t>
      </w:r>
      <w:r>
        <w:rPr>
          <w:rStyle w:val="FootnoteAnchor"/>
          <w:rtl w:val="true"/>
        </w:rPr>
        <w:footnoteReference w:id="392"/>
      </w:r>
      <w:r>
        <w:rPr>
          <w:rFonts w:ascii="IRNazanin" w:hAnsi="IRNazanin" w:eastAsia="IRNazanin"/>
          <w:color w:val="111111"/>
          <w:sz w:val="28"/>
          <w:sz w:val="28"/>
          <w:szCs w:val="28"/>
          <w:rtl w:val="true"/>
          <w:lang w:bidi="fa-IR"/>
        </w:rPr>
        <w:t>بعنوان الحتم و الإلزام، و أخری من باب الندب والرجحان، فإذا بیّن ذلک المعجون بأجزائه المقوِّمة و المکمِّلة فیما إذا کان متعلِّقًا للطلب الحتمیّ، یغنی ذلک عن بیانه فیما إذا کان متعلِّقًا للطلب الندبیّ، فلایفتقر حینئذ إلی بیان مجدّد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عثرنا علی طلبه </w:t>
      </w:r>
      <w:r>
        <w:rPr>
          <w:rStyle w:val="FootnoteAnchor"/>
          <w:rtl w:val="true"/>
        </w:rPr>
        <w:footnoteReference w:id="393"/>
      </w:r>
      <w:r>
        <w:rPr>
          <w:rFonts w:ascii="IRNazanin" w:hAnsi="IRNazanin" w:eastAsia="IRNazanin"/>
          <w:color w:val="111111"/>
          <w:sz w:val="28"/>
          <w:sz w:val="28"/>
          <w:szCs w:val="28"/>
          <w:rtl w:val="true"/>
          <w:lang w:bidi="fa-IR"/>
        </w:rPr>
        <w:t xml:space="preserve">الندبیّ المتعلّق بإتیان ذلک المعجون فی ضمن ذلک الإسم، یحکم </w:t>
      </w:r>
      <w:r>
        <w:rPr>
          <w:rStyle w:val="FootnoteAnchor"/>
          <w:rtl w:val="true"/>
        </w:rPr>
        <w:footnoteReference w:id="394"/>
      </w:r>
      <w:r>
        <w:rPr>
          <w:rFonts w:ascii="IRNazanin" w:hAnsi="IRNazanin" w:eastAsia="IRNazanin"/>
          <w:color w:val="111111"/>
          <w:sz w:val="28"/>
          <w:sz w:val="28"/>
          <w:szCs w:val="28"/>
          <w:rtl w:val="true"/>
          <w:lang w:bidi="fa-IR"/>
        </w:rPr>
        <w:t xml:space="preserve">بأنّه لا تفاوت بین المطلوب حینئذ وبینه إذا کان متعلّقًا للطلب الحتمیّ إلاّ من حیث جواز الإخلال وعدمه، فکما یحکم بحصول أصل الإمتثال فی الطلب الحتمیّ فیما إذا راعی الأجزاء المقوِّمة، لکن الإمتثال </w:t>
      </w:r>
      <w:r>
        <w:rPr>
          <w:rStyle w:val="FootnoteAnchor"/>
          <w:rtl w:val="true"/>
        </w:rPr>
        <w:footnoteReference w:id="395"/>
      </w:r>
      <w:r>
        <w:rPr>
          <w:rFonts w:ascii="IRNazanin" w:hAnsi="IRNazanin" w:eastAsia="IRNazanin"/>
          <w:color w:val="111111"/>
          <w:sz w:val="28"/>
          <w:sz w:val="28"/>
          <w:szCs w:val="28"/>
          <w:rtl w:val="true"/>
          <w:lang w:bidi="fa-IR"/>
        </w:rPr>
        <w:t xml:space="preserve">علی وجه الکمال متوقّف علی مراعاة الأجزاء بأسرها ولو کانت مکمِّلة، فکذلک فی الطلب الندبیّ،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ممّا لا شبهة فیه و لا شکّ یعتریه </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تحقّق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مهیّة الصلوة مثل ذلک المعجون، فإنّ لها أجزاء واجبة وأجزاء مندوبة، والأجزاء الواجبة ممّا توقّف علیه أصل </w:t>
      </w:r>
      <w:r>
        <w:rPr>
          <w:rStyle w:val="FootnoteAnchor"/>
          <w:rtl w:val="true"/>
        </w:rPr>
        <w:footnoteReference w:id="397"/>
      </w:r>
      <w:r>
        <w:rPr>
          <w:rFonts w:ascii="IRNazanin" w:hAnsi="IRNazanin" w:eastAsia="IRNazanin"/>
          <w:color w:val="111111"/>
          <w:sz w:val="28"/>
          <w:sz w:val="28"/>
          <w:szCs w:val="28"/>
          <w:rtl w:val="true"/>
          <w:lang w:bidi="fa-IR"/>
        </w:rPr>
        <w:t xml:space="preserve">الثمرة المطلوبة فی الصلوة، فلا یحصل الإمتثال حال الإخلال بها، و الأجزاء المندوبة ممّا توقّف علیه کمالها لا أصلها، فانتفاؤها لا یوجب انتفاء أصل الإمتثال، واللفظ </w:t>
      </w:r>
      <w:r>
        <w:rPr>
          <w:rStyle w:val="FootnoteAnchor"/>
          <w:rtl w:val="true"/>
        </w:rPr>
        <w:footnoteReference w:id="398"/>
      </w:r>
      <w:r>
        <w:rPr>
          <w:rFonts w:ascii="IRNazanin" w:hAnsi="IRNazanin" w:eastAsia="IRNazanin"/>
          <w:color w:val="111111"/>
          <w:sz w:val="28"/>
          <w:sz w:val="28"/>
          <w:szCs w:val="28"/>
          <w:rtl w:val="true"/>
          <w:lang w:bidi="fa-IR"/>
        </w:rPr>
        <w:t xml:space="preserve">الّذی عیّن لها الشارع هو لفظ الصلوة، فطلبها </w:t>
      </w:r>
      <w:r>
        <w:rPr>
          <w:rStyle w:val="FootnoteAnchor"/>
          <w:rtl w:val="true"/>
        </w:rPr>
        <w:footnoteReference w:id="399"/>
      </w:r>
      <w:r>
        <w:rPr>
          <w:rFonts w:ascii="IRNazanin" w:hAnsi="IRNazanin" w:eastAsia="IRNazanin"/>
          <w:color w:val="111111"/>
          <w:sz w:val="28"/>
          <w:sz w:val="28"/>
          <w:szCs w:val="28"/>
          <w:rtl w:val="true"/>
          <w:lang w:bidi="fa-IR"/>
        </w:rPr>
        <w:t>تارةً فی ضمن ذلک الإسم بعنوان الحتم والإیجاب، و أخری فی ضمنه أیضًا بعنوان الرجحان والاستحباب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والمفروض أنّها بینت </w:t>
      </w:r>
      <w:r>
        <w:rPr>
          <w:rStyle w:val="FootnoteAnchor"/>
          <w:rtl w:val="true"/>
        </w:rPr>
        <w:footnoteReference w:id="400"/>
      </w:r>
      <w:r>
        <w:rPr>
          <w:rFonts w:ascii="IRNazanin" w:hAnsi="IRNazanin" w:eastAsia="IRNazanin"/>
          <w:color w:val="111111"/>
          <w:sz w:val="28"/>
          <w:sz w:val="28"/>
          <w:szCs w:val="28"/>
          <w:rtl w:val="true"/>
          <w:lang w:bidi="fa-IR"/>
        </w:rPr>
        <w:t xml:space="preserve">بأجزائها الواجبة والمندوبة فیما إذا کانت متعلّقة للطلب الحتمیّ، فمعلومیّتها فی هذه الحالة تکفی فی العلم بالمطلوب فی حالة أخری </w:t>
      </w:r>
      <w:r>
        <w:rPr>
          <w:rStyle w:val="FootnoteAnchor"/>
          <w:rtl w:val="true"/>
        </w:rPr>
        <w:footnoteReference w:id="401"/>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کانت متعلّقة للطلب الندبیّ، إذ المفروض أنّ المطلوب فی ضمن ذلک الإسم صار متعلّق طلب الأمر، فإذا لم یقترن بالقرینة الدالّة علی المغایرة، یظهر أنّ المراد تلک المهیّة بجمیع أجزائها کما لا یخفی، ففی صورة کونها متعلّقة للطلب الندبیّ لایفتقر فی الحکم ببقاء أجزائها إلی دلیل مجدّد، فجمیع أجزائها ـ واجبة کانت أو مستحبّة ـ الّتی علمت فی الصورة الأولی، محکومة بالبقاء فی الصورة الثانیة، إلاّ إذا دلّ الدلیل علی خلافه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الحال فی جمیع المهیّات الجعلیّة کالوضوء والغسل و نحوهما، فلانفتقر فی الحکم باستحباب المضمضة والإستنشاق مثلاً فی الوضوء المستحبّ إلی دلیل، وکذا الحال فی الأشباه والأمثال </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المفروض أنّ الجمع بین صیغ التسلیم الثلث راجح فی الفرائض، فیکون کذلک فی النوافل، نظرًا إلی انتفاء الدلیل الدالّ علی انتفائه فیها، وهذه قاعدة وجیهة، ومن هنا </w:t>
      </w:r>
      <w:r>
        <w:rPr>
          <w:rStyle w:val="FootnoteAnchor"/>
          <w:rtl w:val="true"/>
        </w:rPr>
        <w:footnoteReference w:id="403"/>
      </w:r>
      <w:r>
        <w:rPr>
          <w:rFonts w:ascii="IRNazanin" w:hAnsi="IRNazanin" w:eastAsia="IRNazanin"/>
          <w:color w:val="111111"/>
          <w:sz w:val="28"/>
          <w:sz w:val="28"/>
          <w:szCs w:val="28"/>
          <w:rtl w:val="true"/>
          <w:lang w:bidi="fa-IR"/>
        </w:rPr>
        <w:t xml:space="preserve">نحکم باستحباب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إلی آخره، فی تشهّد النافلة، مع أنّ الحدیث المشتمل علیه مورده الفریضة، و هکذا الحال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تقبّل شفاعته فی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لهذا لا یمکن لأحد أن یدّعی أنّ الإتیان بهما فی النوافل غیر جایز نظرًا إلی </w:t>
      </w:r>
    </w:p>
    <w:p>
      <w:pPr>
        <w:pStyle w:val="BookText"/>
        <w:rPr/>
      </w:pPr>
      <w:r>
        <w:rPr>
          <w:rFonts w:ascii="IRNazanin" w:hAnsi="IRNazanin" w:eastAsia="IRNazanin"/>
          <w:color w:val="111111"/>
          <w:sz w:val="28"/>
          <w:sz w:val="28"/>
          <w:szCs w:val="28"/>
          <w:rtl w:val="true"/>
          <w:lang w:bidi="fa-IR"/>
        </w:rPr>
        <w:t xml:space="preserve">عدم ثبوتهما </w:t>
      </w:r>
      <w:r>
        <w:rPr>
          <w:rStyle w:val="FootnoteAnchor"/>
          <w:rtl w:val="true"/>
        </w:rPr>
        <w:footnoteReference w:id="404"/>
      </w:r>
      <w:r>
        <w:rPr>
          <w:rFonts w:ascii="IRNazanin" w:hAnsi="IRNazanin" w:eastAsia="IRNazanin"/>
          <w:color w:val="111111"/>
          <w:sz w:val="28"/>
          <w:sz w:val="28"/>
          <w:szCs w:val="28"/>
          <w:rtl w:val="true"/>
          <w:lang w:bidi="fa-IR"/>
        </w:rPr>
        <w:t>فیها، لکون النصوص المشتملة علیهما موردها الفریضة، و هکذا الحال فی کثیر من الأمور المندوبة فی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ما دلّ الدلیل علی ثبوته فی الفرائض، یحکم بثبوته فی النوافل، إلاّ إذا دلّ الدلیل علی عدمه ؛ فنحکم باستحباب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و قوّته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الأخذ بالقیام </w:t>
      </w:r>
      <w:r>
        <w:rPr>
          <w:rStyle w:val="FootnoteAnchor"/>
          <w:rtl w:val="true"/>
        </w:rPr>
        <w:footnoteReference w:id="405"/>
      </w:r>
      <w:r>
        <w:rPr>
          <w:rFonts w:ascii="IRNazanin" w:hAnsi="IRNazanin" w:eastAsia="IRNazanin"/>
          <w:color w:val="111111"/>
          <w:sz w:val="28"/>
          <w:sz w:val="28"/>
          <w:szCs w:val="28"/>
          <w:rtl w:val="true"/>
          <w:lang w:bidi="fa-IR"/>
        </w:rPr>
        <w:t xml:space="preserve">من السجود فیها، و التحمید بعد الإنتصاب من الرکوع وبعد السمعلة، و الدعاء فی کلٍّ من الرکوع و السجود، و غیرها من الآداب والأقوال الراجحة المتکثّرة، و إن لم یظهر لنا دلیل مختصّ بالنوافل، بل لو کان إطلاق فی بعض ما ذکر لم نکن مفتقرین فی الحکم بالثبوت إلیه فی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القاعدة و إن کانت وجیهة، لکنّها مبنیّة علی تسلیم اتّحاد المهیّة، و هو ممنوع، فالتمسّک بها فیما أنتم بصدده مصادرة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 ظهور الأمر وعدم الإفتقار إلی الإستدلال ـ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الإستدلال علیه من نصوص متعدّدة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المعروف الّذی أطبقت المشایخ الثلاثة ـ نوّر اللّه تعالی ضرائحهم ـ علی روایته عن حمّاد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تحسن أن تصلّی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أنا أحفظ کتاب حریز فی الصلوة،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علیک یا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فصلّ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بین یدیه متوجِّهًا إلی القبلة، فاستفتحت الصلوة فرکعت وسجدت،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تحسن أن تصلّی، ما أقبح بالرجل منکم یأتی علیه ستّون سنة أو </w:t>
      </w:r>
    </w:p>
    <w:p>
      <w:pPr>
        <w:pStyle w:val="BookText"/>
        <w:rPr/>
      </w:pPr>
      <w:r>
        <w:rPr>
          <w:rFonts w:ascii="IRNazanin" w:hAnsi="IRNazanin" w:eastAsia="IRNazanin"/>
          <w:color w:val="111111"/>
          <w:sz w:val="28"/>
          <w:sz w:val="28"/>
          <w:szCs w:val="28"/>
          <w:rtl w:val="true"/>
          <w:lang w:bidi="fa-IR"/>
        </w:rPr>
        <w:t xml:space="preserve">سبعون سنة، فلا یقیم صلوة واحدة بحدودها 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فأصابنی فی نفسی الذلّ،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فعلّمنی الصلوة، فقام أبو عبداللّه علیه‌السلام مستقبل القبلة منتصبًا، فأرسل یدیه جمیعًا علی فخذیه قد ضمّ أصابعه و قرب بین قدمیه حتّی کان بینهما قدر ثلث أصابع منفرجات، واستقبل بأصابع رجلیه جمیعًا القبلة لم یحرّفهما عن القبلة، و قال بخشوع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قرأ الحمد بترتیل و قل هو اللّه أحد، ثمّ صبر هنیئة بقدر ما یتنفّس و هو قائم، ثمّ رفع یدیه حیال وجهه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 أکبر و هو قائم، ثمّ رکع وملأ کفّیه من رکبتیه منفرجات، و ردّ رکبتیه إلی خلفه حتّی استوی ظهره، حتّی لو صبّ علیه قطرة من ماء أو دهن لم تزل لاستواء ظهره، و مدّ عنقه و غمض عینیه، ثمّ سبّح ثلثًا بترتیل،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 بحمده، ثمّ استوی قائمًا، فلمّا استمکن من القیام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ثمّ کبّر و هو قائم، و رفع یدیه حیال وجهه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سجد وبسط کفّیه مضمومتی الأصابع بین یدی رکبتیه حیال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ربّی الأعلی وبحمده، ثلث مرّات، و لم یضع شیئًا من جسده علی شیء منه، و سجد علی ثمانیة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الکفّین، و الرکبتین، و أنامل إبهامی الرجلین، والجبهة و الأنف،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منها فرض یسجد علیها، و هی الّتی ذکرها اللّه ـ عزّوجلّ ـ فی کتابه،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الْمَسجِدَ لِلَّهِ فَلاَ تَدْعُوا مَعَ اللّه‌ِ أَحَدًا </w:t>
      </w:r>
      <w:r>
        <w:rPr>
          <w:rFonts w:eastAsia="Amiri" w:cs="Amiri" w:ascii="Amiri" w:hAnsi="Amiri"/>
          <w:color w:val="111111"/>
          <w:sz w:val="28"/>
          <w:szCs w:val="28"/>
          <w:rtl w:val="true"/>
          <w:lang w:bidi="ar-SA"/>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 وهی الجبهة، والکفّان، والإبهامان، والرکبتان ؛ و وضع الأنف علی الأرض سنّة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رفع رأسه من السجود، فلمّا استوی جالسًا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 أکبر، ثمّ قعد علی فخذه </w:t>
      </w:r>
    </w:p>
    <w:p>
      <w:pPr>
        <w:pStyle w:val="BookText"/>
        <w:rPr/>
      </w:pPr>
      <w:r>
        <w:rPr>
          <w:rFonts w:ascii="IRNazanin" w:hAnsi="IRNazanin" w:eastAsia="IRNazanin"/>
          <w:color w:val="111111"/>
          <w:sz w:val="28"/>
          <w:sz w:val="28"/>
          <w:szCs w:val="28"/>
          <w:rtl w:val="true"/>
          <w:lang w:bidi="fa-IR"/>
        </w:rPr>
        <w:t xml:space="preserve">الأیسر و قد وضع ظاهر قدمه الأیمن علی بطن قدمه الأیسر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ربّی و أتوب إلیه، ثمّ کبّر و هو جالس و سجد السجدة الثانیة، و قال کما قال فی الأولی، ولم یضع شیئًا من بدنه علی شیء منه فی رکوع و لا سجود کان مجنِّحًا، و لم یضع ذراعیه علی الأرض، فصلّی رکعتین علی هذا و یداه مضمومتا الأصابع و هو جالس فی التشهّد، فلمّا فرغ من التشهّد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حمّاد هکذا صلّ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الدلالة علی المرام هو أنّ الظاهر أنّ ما صدر منه علیه‌السلام هو النافلة، ومقتضی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الصلوة ـ واجبة کانت أو مستحبّة ـ علی النحو الصادر منه علیه‌السلام ، و هو إنّما یکون عند اتّحاد المهیّة، و هو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أخری و هی أنّ الصلوة الصادرة منه علیه‌السلام هی النافلة، و الصلوة فی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هکذا 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الفریضة فقط کما </w:t>
      </w:r>
      <w:r>
        <w:rPr>
          <w:rStyle w:val="FootnoteAnchor"/>
          <w:rtl w:val="true"/>
        </w:rPr>
        <w:footnoteReference w:id="408"/>
      </w:r>
      <w:r>
        <w:rPr>
          <w:rFonts w:ascii="IRNazanin" w:hAnsi="IRNazanin" w:eastAsia="IRNazanin"/>
          <w:color w:val="111111"/>
          <w:sz w:val="28"/>
          <w:sz w:val="28"/>
          <w:szCs w:val="28"/>
          <w:rtl w:val="true"/>
          <w:lang w:bidi="fa-IR"/>
        </w:rPr>
        <w:t xml:space="preserve">یلائمه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أقبح بالرجل منکم یأتی علیه ستّون سنة، أو سبعون سنة، فلا یقیم صلوة واحدة بحدودها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أعمّ من الفریضة و النافلة ؛ و أمّا احتمال إرادة النافلة فقط، فلایذهب إلیه وهم، کما لایخفی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 </w:t>
      </w:r>
      <w:r>
        <w:rPr>
          <w:rStyle w:val="FootnoteAnchor"/>
          <w:rtl w:val="true"/>
        </w:rPr>
        <w:footnoteReference w:id="409"/>
      </w:r>
      <w:r>
        <w:rPr>
          <w:rFonts w:ascii="IRNazanin" w:hAnsi="IRNazanin" w:eastAsia="IRNazanin"/>
          <w:color w:val="111111"/>
          <w:sz w:val="28"/>
          <w:sz w:val="28"/>
          <w:szCs w:val="28"/>
          <w:rtl w:val="true"/>
          <w:lang w:bidi="fa-IR"/>
        </w:rPr>
        <w:t xml:space="preserve">من الإحتمالین المذکورین یثبت المرام، کما لا یخفی علی أولی التأمّل و الأفهام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علیه أیضًا صدر الحدیث ، و هو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حمّاد لاتحسن أن 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الصلوة فی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تحسن أن 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فیها التردید الّذی </w:t>
      </w:r>
    </w:p>
    <w:p>
      <w:pPr>
        <w:pStyle w:val="BookText"/>
        <w:rPr/>
      </w:pPr>
      <w:r>
        <w:rPr>
          <w:rFonts w:ascii="IRNazanin" w:hAnsi="IRNazanin" w:eastAsia="IRNazanin"/>
          <w:color w:val="111111"/>
          <w:sz w:val="28"/>
          <w:sz w:val="28"/>
          <w:szCs w:val="28"/>
          <w:rtl w:val="true"/>
          <w:lang w:bidi="fa-IR"/>
        </w:rPr>
        <w:t xml:space="preserve">ذکرناه، و الظاهر أنّ الصلوة الّتی أخذ بها حمّاد فی حضوره علیه‌السلام هی النافلة، و ذلک لایکون إلاّ لأجل اتّحاد المهیّة فی النوعین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المرویّ فی باب التفویض إلی رسول اللّه صلی‌الله‌علیه‌و‌آله من أصول الکافی، عن فضیل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 لبعض أصحاب قیس الماصر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ـ عزّوجلّ ـ أدّب نبیّه فأحسن أدبه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اللّه ـ عزّوجلّ ـ فرض الصلوة رکعتین رکعتین، عشر رکعات، فأضاف رسول اللّه صلی‌الله‌علیه‌و‌آله إلی الرکعتین رکعتین، و إلی المغرب رکعة، فصارت عدیلة الفریضة، لایجوز ترکهنّ إلاّ فی سفر، و أفرد الرکعة فی المغرب، فترکها قائمة فی السفر والحضر، فأجاز اللّه ـ عزّوجلّ ـ له ذلک کلّه، فصارت الفریضة سبع عشرة رکعة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سنّ </w:t>
      </w:r>
      <w:r>
        <w:rPr>
          <w:rStyle w:val="FootnoteAnchor"/>
          <w:rtl w:val="true"/>
        </w:rPr>
        <w:footnoteReference w:id="410"/>
      </w:r>
      <w:r>
        <w:rPr>
          <w:rFonts w:ascii="IRNazanin" w:hAnsi="IRNazanin" w:eastAsia="IRNazanin"/>
          <w:color w:val="111111"/>
          <w:sz w:val="28"/>
          <w:sz w:val="28"/>
          <w:szCs w:val="28"/>
          <w:rtl w:val="true"/>
          <w:lang w:bidi="fa-IR"/>
        </w:rPr>
        <w:t xml:space="preserve">رسول اللّه صلی‌الله‌علیه‌و‌آله النوافل أربعًا و ثلثین رکعة مثلی الفریضة، فأجاز اللّه ـ عزّوجلّ ـ له ذلک، والفریضة و النافلة إحدی و خمسون رکعة، منها رکعتان بعد العتمة جالسًا، تعدّ برکعةٍ مکان الوتر، و فرض اللّه فی السنة صوم شهر رمضان، وسنّ رسول اللّه صلی‌الله‌علیه‌و‌آله صوم شعبان و ثلثة أیّام فی کلّ شهر مثلی الفریضة، فأجاز اللّه ـ عزّوجلّ ـ له ذلک، الحدیث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استفادة المرام فی مواضع منه ممّا لا یخفی علی أولی التأمّل والأفهام، والنصوص علی هذا المضمون کثیرة، و فیما ذکرناه کفایة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ذلک، 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دلیل یدلّ علی لزوم الإقتصار فی النوافل </w:t>
      </w:r>
    </w:p>
    <w:p>
      <w:pPr>
        <w:pStyle w:val="BookText"/>
        <w:rPr/>
      </w:pPr>
      <w:r>
        <w:rPr>
          <w:rFonts w:ascii="IRNazanin" w:hAnsi="IRNazanin" w:eastAsia="IRNazanin"/>
          <w:color w:val="111111"/>
          <w:sz w:val="28"/>
          <w:sz w:val="28"/>
          <w:szCs w:val="28"/>
          <w:rtl w:val="true"/>
          <w:lang w:bidi="fa-IR"/>
        </w:rPr>
        <w:t xml:space="preserve">بصیغة السلام علیکم، و عدم جواز الجمع بینها و بین غیرها، و ذلک لأنّ شیخ الطائفة اقتصر فی المصباح </w:t>
      </w:r>
      <w:r>
        <w:rPr>
          <w:rStyle w:val="FootnoteAnchor"/>
          <w:rtl w:val="true"/>
        </w:rPr>
        <w:footnoteReference w:id="412"/>
      </w:r>
      <w:r>
        <w:rPr>
          <w:rFonts w:ascii="IRNazanin" w:hAnsi="IRNazanin" w:eastAsia="IRNazanin"/>
          <w:color w:val="111111"/>
          <w:sz w:val="28"/>
          <w:sz w:val="28"/>
          <w:szCs w:val="28"/>
          <w:rtl w:val="true"/>
          <w:lang w:bidi="fa-IR"/>
        </w:rPr>
        <w:t xml:space="preserve">فی نافلة الزوال بالصیغة المذکورة و لم یجمع بینها و بین غیرها، و منه یظهر عدم جواز الجمع، إذ لو جاز ذلک لما اقتصر بها، لا سیّما </w:t>
      </w:r>
      <w:r>
        <w:rPr>
          <w:rStyle w:val="FootnoteAnchor"/>
          <w:rtl w:val="true"/>
        </w:rPr>
        <w:footnoteReference w:id="413"/>
      </w:r>
      <w:r>
        <w:rPr>
          <w:rFonts w:ascii="IRNazanin" w:hAnsi="IRNazanin" w:eastAsia="IRNazanin"/>
          <w:color w:val="111111"/>
          <w:sz w:val="28"/>
          <w:sz w:val="28"/>
          <w:szCs w:val="28"/>
          <w:rtl w:val="true"/>
          <w:lang w:bidi="fa-IR"/>
        </w:rPr>
        <w:t xml:space="preserve">أنّه لم یقتصر فی ذلک التشهّد علی القدر الواجب، بل ذکر فیه بعض الأمور المندوبة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إلی آخره،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تقبّل شفاعته فی أمّته وارفع درجته، و خصوصًا أنّه لم یقتصر فی تشهّد صلوة الظهر بالواحدة، بل جمع بین الصیغ الثلاث، فلو کان الجمع ثابتًا فی النوافل لفعل کما فی فریضة الظهر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ضعف هذا الکلام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قول الفقیه الواحد لایصلح أن یکون دلیلاً علی حکم شرعیّ حتّی یعدل به عن مقتضی القاعدة الّتی أبرزناها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صرّح فی التهذیب بجواز الجمع بین الصیغتین فی تشهّد النوافل، حیث قال بعد أن أورد جملة من النصوص الدالّة علی </w:t>
      </w:r>
      <w:r>
        <w:rPr>
          <w:rStyle w:val="FootnoteAnchor"/>
          <w:rtl w:val="true"/>
        </w:rPr>
        <w:footnoteReference w:id="414"/>
      </w:r>
      <w:r>
        <w:rPr>
          <w:rFonts w:ascii="IRNazanin" w:hAnsi="IRNazanin" w:eastAsia="IRNazanin"/>
          <w:color w:val="111111"/>
          <w:sz w:val="28"/>
          <w:sz w:val="28"/>
          <w:szCs w:val="28"/>
          <w:rtl w:val="true"/>
          <w:lang w:bidi="fa-IR"/>
        </w:rPr>
        <w:t xml:space="preserve">التخییر بین التسلیم فی رکعتی الشفع و عدمه ـ الّتی منها صحیحة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فی رکعتی الوتر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سلّمت وإن شئت لم تسلّم </w:t>
      </w:r>
      <w:r>
        <w:rPr>
          <w:rStyle w:val="FootnoteAnchor"/>
          <w:rtl w:val="true"/>
        </w:rPr>
        <w:footnoteReference w:id="415"/>
      </w:r>
      <w:r>
        <w:rPr>
          <w:rFonts w:ascii="IRNazanin" w:hAnsi="IRNazanin" w:eastAsia="IRNazanin"/>
          <w:color w:val="111111"/>
          <w:sz w:val="28"/>
          <w:sz w:val="28"/>
          <w:szCs w:val="28"/>
          <w:rtl w:val="true"/>
          <w:lang w:bidi="fa-IR"/>
        </w:rPr>
        <w:t xml:space="preserve">ـ ما هذا 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التسلیم المخیّر فیه هنا محمول علی التسلیم المخصوص، لأنّ عندنا أنّ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فی التشهّد فقد انقطعت صلوته ، فإن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و برکاته، جاز، وإن لم یقل جاز أیضًا، فکان التخییر إنّما تناول هذا الضرب من </w:t>
      </w:r>
    </w:p>
    <w:p>
      <w:pPr>
        <w:pStyle w:val="BookText"/>
        <w:rPr/>
      </w:pPr>
      <w:r>
        <w:rPr>
          <w:rFonts w:ascii="IRNazanin" w:hAnsi="IRNazanin" w:eastAsia="IRNazanin"/>
          <w:color w:val="111111"/>
          <w:sz w:val="28"/>
          <w:sz w:val="28"/>
          <w:szCs w:val="28"/>
          <w:rtl w:val="true"/>
          <w:lang w:bidi="fa-IR"/>
        </w:rPr>
        <w:t xml:space="preserve">التسلیم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الکلام منه ـ قدّس اللّه روحه ـ تصریح بجواز الجمع بین السلام علینا وعلی عباد اللّه الصالحین، و بین السلام علیکم فی تشهّد الشفع، بل فی تشهّد مطلق النوافل، بل مطلق التشهّد، وظاهره دعوی إجماع الشیعة علیه، و مع ذلک لا وجه للتعویل علی ما یوهمه کلامه فی المصباح، فالحمد للّه الموفّق للرشاد و الفلاح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انّ شیخ الطائفة فی هذا الإقتصار تابع شیخنا المفید فی المقنعة، فإنّه اقتصر فی تسلیم نافلة الزوال بتلک الصیغة، بل عبارته فی هذا التوهّم أقوی، لأنّه قال ـ بعد أن ذکر الآداب المعتبرة فی الجلوس للتشهّد ـ ما هذا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یتشهّد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و الحمد للّه، والأسماء الحسنی کلّها للّه، أشهد أن لا إله إلاّ اللّه وحده لاشریک له، و أشهد أنّ محمدًا عبده ورسوله، أرسله بالحقّ بشیرًا ونذیرًا بین یدی الساعة صلّی اللّه علیه وآله الطاهرین، و یسلّم تجاه القبلة تسلیمة واحدة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ورحمة اللّه و برکاته، و یمیل مع التسلیمة بعینه إلی یمینه </w:t>
      </w:r>
      <w:r>
        <w:rPr>
          <w:rStyle w:val="FootnoteAnchor"/>
          <w:rtl w:val="true"/>
        </w:rPr>
        <w:footnoteReference w:id="417"/>
      </w:r>
      <w:r>
        <w:rPr>
          <w:rFonts w:ascii="IRNazanin" w:hAnsi="IRNazanin" w:eastAsia="IRNazanin"/>
          <w:color w:val="111111"/>
          <w:sz w:val="28"/>
          <w:sz w:val="28"/>
          <w:szCs w:val="28"/>
          <w:rtl w:val="true"/>
          <w:lang w:bidi="fa-IR"/>
        </w:rPr>
        <w:t xml:space="preserve">إنتهی کلامه أعلی اللّه 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تسلیمة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یوهم عدم جواز الإثنین، أسقطه شیخ الطائفة فی المصباح فقال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یسلّم تجاه القبلة، یؤمی بمؤخّر عینه </w:t>
      </w:r>
      <w:r>
        <w:rPr>
          <w:rStyle w:val="FootnoteAnchor"/>
          <w:rtl w:val="true"/>
        </w:rPr>
        <w:footnoteReference w:id="418"/>
      </w:r>
      <w:r>
        <w:rPr>
          <w:rFonts w:ascii="IRNazanin" w:hAnsi="IRNazanin" w:eastAsia="IRNazanin"/>
          <w:color w:val="111111"/>
          <w:sz w:val="28"/>
          <w:sz w:val="28"/>
          <w:szCs w:val="28"/>
          <w:rtl w:val="true"/>
          <w:lang w:bidi="fa-IR"/>
        </w:rPr>
        <w:t xml:space="preserve">إلی یمینه،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w:t>
      </w:r>
    </w:p>
    <w:p>
      <w:pPr>
        <w:pStyle w:val="BookText"/>
        <w:rPr/>
      </w:pPr>
      <w:r>
        <w:rPr>
          <w:rFonts w:ascii="IRNazanin" w:hAnsi="IRNazanin" w:eastAsia="IRNazanin"/>
          <w:color w:val="111111"/>
          <w:sz w:val="28"/>
          <w:sz w:val="28"/>
          <w:szCs w:val="28"/>
          <w:rtl w:val="true"/>
          <w:lang w:bidi="fa-IR"/>
        </w:rPr>
        <w:t xml:space="preserve">علیکم ورحمة اللّه وبرکاته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من ملاحظة کلامه ظنّ قویّ أنّ مقصوده من هذا الإسقاط لئلاّ یذهب الوهم إلی ما یستدعیه ذلک القید من عدم جواز الجمع بینها و بین غیرها، فکیف یجعل کلامه دلیلاً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الفاضل سلاّر بن عبد العزیز لم یراع الوجه الّذی ذکرناه، فأتی بمثل عبارة المقنعة، قال فی المراسم فی نافلة الزوال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یجلس فیتشهّد بأن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420"/>
      </w:r>
      <w:r>
        <w:rPr>
          <w:rFonts w:ascii="IRNazanin" w:hAnsi="IRNazanin" w:eastAsia="IRNazanin"/>
          <w:color w:val="111111"/>
          <w:sz w:val="28"/>
          <w:sz w:val="28"/>
          <w:szCs w:val="28"/>
          <w:rtl w:val="true"/>
          <w:lang w:bidi="fa-IR"/>
        </w:rPr>
        <w:t xml:space="preserve">یسلّم تجاه القبلة تسلیمة واحدة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ورحمة اللّه وبرکاته، و ینحرف بوجهه یمینًا، و یتمّ ثمانی رکعات کلّ رکعتین بتسلیمة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علی کیفیّة ما 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ذکر فی کلامه ما یرشد إلی أنّ ما یستدعیه القید المذکور لم یکن مرادًا له، حیث قال بعده من غیر 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یؤذِّن ویقیم، و یصلّی الظهر أربع رکعات </w:t>
      </w:r>
      <w:r>
        <w:rPr>
          <w:rStyle w:val="FootnoteAnchor"/>
          <w:rtl w:val="true"/>
        </w:rPr>
        <w:footnoteReference w:id="422"/>
      </w:r>
      <w:r>
        <w:rPr>
          <w:rFonts w:ascii="IRNazanin" w:hAnsi="IRNazanin" w:eastAsia="IRNazanin"/>
          <w:color w:val="111111"/>
          <w:sz w:val="28"/>
          <w:sz w:val="28"/>
          <w:szCs w:val="28"/>
          <w:rtl w:val="true"/>
          <w:lang w:bidi="fa-IR"/>
        </w:rPr>
        <w:t xml:space="preserve">بتسلیمة واحدة ؛ إلی آخره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جواز الجمع بین صیغ التسلیم فی فریضة الظهر مثلاً ممّا لا ریب فیه، وإن کان الأمر فی النوافل أیضًا کذلک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ممّا یؤیّد أنّ مرادهما لیس الإقتصار بصیغة السلام علیکم، ما ذکراه فی المقنعة والمراسم فی تسلیم الفرائض الیومیّة، حیث ذکرا بعد الفراغ من التشهّد ومستحبّاته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 رحمة اللّه و برکاته، و یؤمی بوجهه إلی القبلة و یقول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الأئمّة الراشدین، السلام علینا </w:t>
      </w:r>
      <w:r>
        <w:rPr>
          <w:rStyle w:val="FootnoteAnchor"/>
          <w:rtl w:val="true"/>
        </w:rPr>
        <w:footnoteReference w:id="425"/>
      </w:r>
      <w:r>
        <w:rPr>
          <w:rFonts w:ascii="IRNazanin" w:hAnsi="IRNazanin" w:eastAsia="IRNazanin"/>
          <w:color w:val="111111"/>
          <w:sz w:val="28"/>
          <w:sz w:val="28"/>
          <w:szCs w:val="28"/>
          <w:rtl w:val="true"/>
          <w:lang w:bidi="fa-IR"/>
        </w:rPr>
        <w:t xml:space="preserve">و علی عباد اللّه الصالحین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یذکرا السلام علیکم، مع أنّهما بالغا فی ذکر المستحبّات فی التشهّد والتسلیم، فیتوهّم من ذلک أنّهما لم یقولا باستحباب السلام علیکم بعد السلام علینا، والظاهر أنّه لیس کذلک، والدلیل علیه من کلام المقنعة هو أنّه ذکر فی هذا المقام بعد السلام علینا و علی عباد اللّه الصالحین ما هذا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فعل ذلک، فقد فرغ من صلوته، و خرج منها بهذا التسلیم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یظهر أنّه یقول بوجوب التسلیم کما لا یخفی، و ذکر فیما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السلام فی الصلوة سنّة، لیس بفرض یفسد </w:t>
      </w:r>
      <w:r>
        <w:rPr>
          <w:rStyle w:val="FootnoteAnchor"/>
          <w:rtl w:val="true"/>
        </w:rPr>
        <w:footnoteReference w:id="428"/>
      </w:r>
      <w:r>
        <w:rPr>
          <w:rFonts w:ascii="IRNazanin" w:hAnsi="IRNazanin" w:eastAsia="IRNazanin"/>
          <w:color w:val="111111"/>
          <w:sz w:val="28"/>
          <w:sz w:val="28"/>
          <w:szCs w:val="28"/>
          <w:rtl w:val="true"/>
          <w:lang w:bidi="fa-IR"/>
        </w:rPr>
        <w:t xml:space="preserve">بترکه الصلوة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بین الکلامین منافات، و الظاهر أنّ المراد بالسلام هنا هو السلام علیکم، والحکم باستحبابه لا ینافی الحکم بوجوب السلام علینا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علی أنّ المراد ذلک، ما ذکره شیخ الطائفة فی التهذیب، حیث قال بعد أن عنون العبارة المذکورة من المقنعة ـ و 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فی الصلوة سنّة، لیس بفرض یفسد بترکه الصلوة ـ ما هذا لفظه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ذلک ما رواه الحسین بن سعید، عن فضالة، عن حسین بن </w:t>
      </w:r>
    </w:p>
    <w:p>
      <w:pPr>
        <w:pStyle w:val="BookText"/>
        <w:rPr/>
      </w:pPr>
      <w:r>
        <w:rPr>
          <w:rFonts w:ascii="IRNazanin" w:hAnsi="IRNazanin" w:eastAsia="IRNazanin"/>
          <w:color w:val="111111"/>
          <w:sz w:val="28"/>
          <w:sz w:val="28"/>
          <w:szCs w:val="28"/>
          <w:rtl w:val="true"/>
          <w:lang w:bidi="fa-IR"/>
        </w:rPr>
        <w:t xml:space="preserve">عثمان، عن سماعة، عن أبی بصیر،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نسی الرجل أن یسلّم فإذا ولّی وجهه عن القبلة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فقد فرغ من صلوته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لوضوح أنّ التمسّک به فی استحباب السلام ـ مع أنّ مقتضاه توقّف الفراغ من الصلوة بقول السلام علینا إلی آخره ـ إنّما یصحّ إذا حمل السلام فی عبارة المقنعة علی السلام علیکم، إذ بعد تحقّق الفراغ من الصلوة بالسلام علینا یتّجه القول باستحباب السلام علیکم، فیتّضح أمر الإستدلال کما لا یخفی علی أولی التأمّل والأفضال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المقال یظهر الإلتیام بین جملة من الکلمات المتنافرة فی المقام الصادرة من جماعة من فحول الأعلام ؛ قال شیخ الطائفة فی المبسوط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التسلیم ، ففی أصحابنا من جعله فرضًا، و منهم من جعله ندبًا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قال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التسلیم سنّة،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فقد خرج من الصلوة، و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فرض، فبتسلیمة واحدة یخرج من الصلوة </w:t>
      </w:r>
      <w:r>
        <w:rPr>
          <w:rStyle w:val="FootnoteAnchor"/>
          <w:rtl w:val="true"/>
        </w:rPr>
        <w:footnoteReference w:id="431"/>
      </w:r>
      <w:r>
        <w:rPr>
          <w:rFonts w:ascii="IRNazanin" w:hAnsi="IRNazanin" w:eastAsia="IRNazanin"/>
          <w:color w:val="111111"/>
          <w:sz w:val="28"/>
          <w:sz w:val="28"/>
          <w:szCs w:val="28"/>
          <w:rtl w:val="true"/>
          <w:lang w:bidi="fa-IR"/>
        </w:rPr>
        <w:t>؛ إنتهی کلامه رفع اللّه مقامه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بالتسلیم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السادس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السلام علیکم، لأنّه الشایع فی کلمات قدماء الأصحاب، فمعنی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قال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p>
    <w:p>
      <w:pPr>
        <w:pStyle w:val="BookText"/>
        <w:rPr/>
      </w:pPr>
      <w:r>
        <w:rPr>
          <w:rFonts w:ascii="IRNazanin" w:hAnsi="IRNazanin" w:eastAsia="IRNazanin"/>
          <w:color w:val="111111"/>
          <w:sz w:val="28"/>
          <w:sz w:val="28"/>
          <w:szCs w:val="28"/>
          <w:rtl w:val="true"/>
          <w:lang w:bidi="fa-IR"/>
        </w:rPr>
        <w:t>آخره، انّ من یقول باستحباب السلام علیکم یقول بتحقّق الخروج من الصلوة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و یکون السلام علینا واجبًا، ومن یقول بوجوب السلام علیکم یقول بتحقّق الخروج بقوله دفعة واحدة، ویکون الدفعة الأخری مستحبّة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ادریس فی موضع من السرائر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والتسلیم الأظهر أنّه مستحبّ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فیما بعد ذلک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التسلیم سنّة و لیس بفرض، فمن ترکه متعمّدًا لا تبطل صلوته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فیما بعد ذلک ـ فی من شکّ بین الإثنین و الثلث، بعد الحکم بوجوب اتیان رکعة ـ ما هذا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أتی به </w:t>
      </w:r>
      <w:r>
        <w:rPr>
          <w:rStyle w:val="FootnoteAnchor"/>
          <w:rtl w:val="true"/>
        </w:rPr>
        <w:footnoteReference w:id="432"/>
      </w:r>
      <w:r>
        <w:rPr>
          <w:rFonts w:ascii="IRNazanin" w:hAnsi="IRNazanin" w:eastAsia="IRNazanin"/>
          <w:color w:val="111111"/>
          <w:sz w:val="28"/>
          <w:sz w:val="28"/>
          <w:szCs w:val="28"/>
          <w:rtl w:val="true"/>
          <w:lang w:bidi="fa-IR"/>
        </w:rPr>
        <w:t>فالواجب علیه السلام، والإتیان بعد السلام برکعة إحتیاطًا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أیضًا فیما بعد جمیع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w:t>
      </w:r>
      <w:r>
        <w:rPr>
          <w:rStyle w:val="FootnoteAnchor"/>
          <w:rtl w:val="true"/>
        </w:rPr>
        <w:footnoteReference w:id="433"/>
      </w:r>
      <w:r>
        <w:rPr>
          <w:rFonts w:ascii="IRNazanin" w:hAnsi="IRNazanin" w:eastAsia="IRNazanin"/>
          <w:color w:val="111111"/>
          <w:sz w:val="28"/>
          <w:sz w:val="28"/>
          <w:szCs w:val="28"/>
          <w:rtl w:val="true"/>
          <w:lang w:bidi="fa-IR"/>
        </w:rPr>
        <w:t xml:space="preserve">أحدث بعد سلامه و قبل الإتیان بالتشهّد المنسیّ وقبل سجدتی السهو، فلا تبطل صلوته بحدثه الناقض لطهارته، بعد سلامه منها، لأنّه بسلامه انفصل منها، فلم یکن حدثه فی صلوته، بل بعد خروجه منها بالتسلیم الواجب علیه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فإذا کان المنسیّ هو التشهّد الأخیر، وأحدث ما ینقض طهارته قبل الإتیان به، فالواجب علیه إعادة صلوته من أوّلها، مستأنفًا لها، لأنّه بعد فی قید صلوته لم یخرج منها، ولافرغ بسلام یجب علیه </w:t>
      </w:r>
      <w:r>
        <w:rPr>
          <w:rStyle w:val="FootnoteAnchor"/>
          <w:rtl w:val="true"/>
        </w:rPr>
        <w:footnoteReference w:id="434"/>
      </w:r>
      <w:r>
        <w:rPr>
          <w:rFonts w:ascii="IRNazanin" w:hAnsi="IRNazanin" w:eastAsia="IRNazanin"/>
          <w:color w:val="111111"/>
          <w:sz w:val="28"/>
          <w:sz w:val="28"/>
          <w:szCs w:val="28"/>
          <w:rtl w:val="true"/>
          <w:lang w:bidi="fa-IR"/>
        </w:rPr>
        <w:t xml:space="preserve">إنتهی کلامه أعلی اللّه 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بالتسلیم الّذی صرّح باستحبابه مرّتین هو السلام علیکم، لما عرفت من أنّ الشایع استعماله فیه، و المراد من السلام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فالواجب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السلام علینا، وهکذا الحال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بسلامه انفصل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ولافرغ بسلام یجب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المراد بالتسلیم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بالتسلیم الواجب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فعلی هذا یرتفع المنافات بین هذه الکلمات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ما صدر من جماعة من الأصحاب کالعلاّمة، و صاحب المدارک، وغیرهم ـ نوّر اللّه تعالی مراقدهم ـ من النسبة إلی ابن ادریس القول باستحباب التسلیم علی وجه الإطلاق ـ وإن کان مأخوذًا من العبارتین المذکورتین أوّلاً ـ لکنّه لیس علی ما ینبغی، لما عرفت من أنّ الجمع بین کلماته هو القول بوجوب السلام علینا، واستحباب السلام علیکم، و لا یمکن حمل التسلیم فی کلام الّذین نسبوا إلی ابن ادریس القول باستحبابه علی ذلک، لما یظهر بعد الرجوع إلی کلماتهم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قید الوحدة فی کلام شیخنا المفید و تلمیذه المذکور للإحتراز عن الإتیان بتلک الصیغة ـ أی السلام علیکم ـ مرّتین، کما فی الفرائض بالنسبة إلی المأموم فقط علی المشهور بین الأصحاب، أو إلی الإمام أیضًا فیما إذا </w:t>
      </w:r>
    </w:p>
    <w:p>
      <w:pPr>
        <w:pStyle w:val="BookText"/>
        <w:rPr/>
      </w:pPr>
      <w:r>
        <w:rPr>
          <w:rFonts w:ascii="IRNazanin" w:hAnsi="IRNazanin" w:eastAsia="IRNazanin"/>
          <w:color w:val="111111"/>
          <w:sz w:val="28"/>
          <w:sz w:val="28"/>
          <w:szCs w:val="28"/>
          <w:rtl w:val="true"/>
          <w:lang w:bidi="fa-IR"/>
        </w:rPr>
        <w:t xml:space="preserve">لم یقف قدّام الصفّ علی قول ابن الجنید، والتقیید بقید الوحدة للتنبیه علی هذا المرام معروفٌ فیما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المرتضی فی جمل العلم والعمل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فی تسلیم الفرائض، ثمّ یسلّم تسلیمة واحدة مستقبل القبلة، وإن کان مأمومًا سلّم تسلیمتین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الإنتصار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انفردت به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بأنّ المنفرد والإمام </w:t>
      </w:r>
      <w:r>
        <w:rPr>
          <w:rStyle w:val="FootnoteAnchor"/>
          <w:rtl w:val="true"/>
        </w:rPr>
        <w:footnoteReference w:id="436"/>
      </w:r>
      <w:r>
        <w:rPr>
          <w:rFonts w:ascii="IRNazanin" w:hAnsi="IRNazanin" w:eastAsia="IRNazanin"/>
          <w:color w:val="111111"/>
          <w:sz w:val="28"/>
          <w:sz w:val="28"/>
          <w:szCs w:val="28"/>
          <w:rtl w:val="true"/>
          <w:lang w:bidi="fa-IR"/>
        </w:rPr>
        <w:t xml:space="preserve">یسلّم تسلیمة واحدة مستقبل القبلة، و إن کان مأمومًا یسلّم تسلیمتین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عباراتهم الّتی لا یفتقر إلی الذکر، و لیس مقصودهم أن لایأتی من صیغ التسلیم إلاّ واحدة منهما کما لا یخفی، بل المراد أن لا یأتی بالسلام علیکم إلاّ مرّة واحدة، و لا یبعد أن یکون المراد من عبارة المقنعة و المراسم هذا المعنی، فعلی هذا لا دخل لها فیما نحن بصدد بیانه کما لا یخفی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فلنعد إلی المطلوب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الکلام المذکور من شیخ الطائفة فی التهذیب صریح فی جواز الجمع فی تسلیم النوافل بین السلام علینا والسلام علیکم، بل ظاهره علی ما عرفت دعوی إجماع علماء الشیعة علیه، فلا وجه للجمود علی ما یوهمه کلامه فی المصباح، مضافًا إلی انّک بعد الإحاطة بما أسلفناه یختلّ أمر الإیهام أیضًا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ینبغی التأمّل فی جواز الجمع بینهما فی النوافل لثبوت ذلک فی الفریضة، فیحکم بثبوته فی النافلة بناءً علی القاعدة المذکورة، و لأنّ ظاهر شیخ الطائفة دعوی إجماع علماء الشیعة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الجمع بین السلام علیکم، و السلام علینا، و أمّا بینه و بین السلام علیک أیّها النبیّ ورحمة اللّه و برکاته، و یمکن الإستدلال علیه ـ مضافًا إلی کونه ممّا اقتضته القاعدة المذکورة ـ بالصحیح المرویّ فی باب التشهّد فی الرکعتین الأولیین و الرابعة و التسلیم من الکافی، و باب کیفیّة الصلوة من زیادات التهذیب، عن الحلبی،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ذکرت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به و النبیّ صلی‌الله‌علیه‌و‌آله فهو من الصلوة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السلام المذکور ذکر للنبیّ صلی‌الله‌علیه‌و‌آله ، فمقتضی الصحیح المذکور أن یکون من أجزاء الصلوة، و لمّا انتفی احتمال الوجوب للأدلّة الدالّة علیه، یحمل علی الرجحان، و معلوم أنّ الصلوة فیه أعمّ من النوافل والفرائض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الإستدلال أیضًا بما رواه شیخنا الصدوق فی باب أحکام السهو فی الصلوة من الفقیه، و شیخ الطائفة فی باب کیفیّة الصلوة من زیادات التهذیب، عن أبی کهمش </w:t>
      </w:r>
      <w:r>
        <w:rPr>
          <w:rStyle w:val="FootnoteAnchor"/>
          <w:rtl w:val="true"/>
        </w:rPr>
        <w:footnoteReference w:id="440"/>
      </w:r>
      <w:r>
        <w:rPr>
          <w:rFonts w:ascii="IRNazanin" w:hAnsi="IRNazanin" w:eastAsia="IRNazanin"/>
          <w:color w:val="111111"/>
          <w:sz w:val="28"/>
          <w:sz w:val="28"/>
          <w:szCs w:val="28"/>
          <w:rtl w:val="true"/>
          <w:lang w:bidi="fa-IR"/>
        </w:rPr>
        <w:t xml:space="preserve">،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الرکعتین الأولیین </w:t>
      </w:r>
      <w:r>
        <w:rPr>
          <w:rStyle w:val="FootnoteAnchor"/>
          <w:rtl w:val="true"/>
        </w:rPr>
        <w:footnoteReference w:id="441"/>
      </w:r>
      <w:r>
        <w:rPr>
          <w:rFonts w:ascii="IRNazanin" w:hAnsi="IRNazanin" w:eastAsia="IRNazanin"/>
          <w:color w:val="111111"/>
          <w:sz w:val="28"/>
          <w:sz w:val="28"/>
          <w:szCs w:val="28"/>
          <w:rtl w:val="true"/>
          <w:lang w:bidi="fa-IR"/>
        </w:rPr>
        <w:t xml:space="preserve">إذا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جلست فیها </w:t>
      </w:r>
      <w:r>
        <w:rPr>
          <w:rStyle w:val="FootnoteAnchor"/>
          <w:rtl w:val="true"/>
        </w:rPr>
        <w:footnoteReference w:id="443"/>
      </w:r>
      <w:r>
        <w:rPr>
          <w:rFonts w:ascii="IRNazanin" w:hAnsi="IRNazanin" w:eastAsia="IRNazanin"/>
          <w:color w:val="111111"/>
          <w:sz w:val="28"/>
          <w:sz w:val="28"/>
          <w:szCs w:val="28"/>
          <w:rtl w:val="true"/>
          <w:lang w:bidi="fa-IR"/>
        </w:rPr>
        <w:t xml:space="preserve">للتشهّد،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جالس </w:t>
      </w:r>
      <w:r>
        <w:rPr>
          <w:rFonts w:eastAsia="IRNazanin" w:cs="IRNazanin"/>
          <w:color w:val="111111"/>
          <w:sz w:val="28"/>
          <w:szCs w:val="28"/>
          <w:rtl w:val="true"/>
          <w:lang w:bidi="fa-IR"/>
        </w:rPr>
        <w:t xml:space="preserve">]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ورحمة اللّه و برکاته إنصراف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فهو الإنصراف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الدلالة هو أنّ الرکعتین الأولیین اللّتین یکون الإنصراف من الصلوة فیهما مطلوبًا، لم توجدا فی الفرائض الیومیّة إلاّ فریضة الصبح، وذکر الأولیین غیر ملائم لها، بخلافه إذا کان المراد منهما النوافل، لإمکان أن یکون المقصود الأولیین من نوافل الزوال و نوافل العصر أو المغرب أو صلوة اللیل،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السؤال أنّ السائل یعتقد جواز السلام علیک أیّها النبیّ فی تشهّدهما، لکن لم یعلم أنّه یحصل منه الإنصراف من الصلوة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علیه‌السلام عنه، و قرّره علیه‌السلام علی هذا الإعتقاد، وأجاب بأنّه لایحصل منه الإنصراف، بل الإنصراف یتحقّق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دلّ الحدیث علی جواز الجمع بینهما فی النافلة، علی أنّا لا نفتقر فی اثبات المرام إلی دعوی الظهور، لکفایة الإطلاق فی ذلک، لأنّه علیه‌السلام لم یفرّق بین النافلة والفریضة، و انتفاء التفرقة منه علیه‌السلام مع قیام الاحتمال فی موارد السؤال دلیل علی انتفائها فی نفس الأمر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المناقشة فی ذلک لاحتمال أن یکون المراد من الحدیث التنبیه علی </w:t>
      </w:r>
    </w:p>
    <w:p>
      <w:pPr>
        <w:pStyle w:val="BookText"/>
        <w:rPr/>
      </w:pPr>
      <w:r>
        <w:rPr>
          <w:rFonts w:ascii="IRNazanin" w:hAnsi="IRNazanin" w:eastAsia="IRNazanin"/>
          <w:color w:val="111111"/>
          <w:sz w:val="28"/>
          <w:sz w:val="28"/>
          <w:szCs w:val="28"/>
          <w:rtl w:val="true"/>
          <w:lang w:bidi="fa-IR"/>
        </w:rPr>
        <w:t xml:space="preserve">فساد ما علیه العامّة، حیث انّهم یوردون فی التشهّد الأوّل أیضًا السلام علینا وعلی عباد اللّه الصالحین، کما یوردون السلام علیک أیّها النبیّ و رحمة اللّه وبرکاته فیه، ولمّا علم السائل أنّ التسلیم انّما هو فی التشهّد الآخر، سأل انّه لو أتی به فی التشهّد الأوّل هل ینقطع به الصلوة أو لا ؟ أجاب علیه‌السلام بالإنقطاع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و بعدمه فی السلام علیک أیّها النبیّ ورحمة اللّه وبرکاته، کما یقتضیه الصحیح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یکون مضمون الحدیث من هذه الجهة موافقًا للحسن المرویّ فی باب کیفیّة الصلوة من زیادات التهذیب، عن میسر،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شیئان یفسد الناس بهما صلوتهم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تبارک اسمک و تعالی جدّک ولا إله غیرک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إنّما هو شیء قالته الجنّ بجهالة، فحکی اللّه عزّوجلّ عنهم ؛ وقول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علینا و علی عباد اللّه الصالحین </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الظاهر أنّ المراد إذا کان ذلک فی التشهّد الأوّل، کما یؤمی إلیه ما فی أواخر الخصال فی حدیث شرائع الدین، عن الأعمش، عن جعفر بن محمّد علیهماالسلام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فی افتتاح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عرشک، و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جدّک، و لا یقال فی التشهّد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الحدیث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هذا المعنی و إن کان ملائمًا للأولیین فی السؤال، لکن لا یلائمه الإنصراف فی السؤال و الجواب، کما لا یخفی علی أولی البصیرة و الألباب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الظاهر انّ أحدًا من الأصحاب لم یفرّق بین النوافل و الفرائض فی التسلیم، </w:t>
      </w:r>
    </w:p>
    <w:p>
      <w:pPr>
        <w:pStyle w:val="BookText"/>
        <w:rPr/>
      </w:pPr>
      <w:r>
        <w:rPr>
          <w:rFonts w:ascii="IRNazanin" w:hAnsi="IRNazanin" w:eastAsia="IRNazanin"/>
          <w:color w:val="111111"/>
          <w:sz w:val="28"/>
          <w:sz w:val="28"/>
          <w:szCs w:val="28"/>
          <w:rtl w:val="true"/>
          <w:lang w:bidi="fa-IR"/>
        </w:rPr>
        <w:t xml:space="preserve">واستفادة المرام من کلامهم یمکن من جهات متعدّدة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صرّحوا فی مباحث إعداد الفرائض والنوافل بأنّ غیر الثنائیة من الفرائض بتشهّدین و تسلیم، و الثنائیة منها کالنوافل بتشهّد و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بیّنوا فی مباحث التشهّد والتسلیم کیفیّتهما من دون تنبّه علی التفرقة بین ما کان فی النوافل والفرائض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هذین الکلامین فی المقامین انتفاء التفرقة بینهما فیهما، کما لایخفی علی أولی التأمّل والنهی ؛ فکما لا یمکن لأحد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التشهّد الّذی ذکروه فی مبحثه هو من خواصّ الفرائض، فکذا فی التسلیم، لانتفاء التفرقة بینهما فی ذلک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عرفته من أنّ ظاهر شیخ الطائفة فی التهذیب </w:t>
      </w:r>
      <w:r>
        <w:rPr>
          <w:rStyle w:val="FootnoteAnchor"/>
          <w:rtl w:val="true"/>
        </w:rPr>
        <w:footnoteReference w:id="448"/>
      </w:r>
      <w:r>
        <w:rPr>
          <w:rFonts w:ascii="IRNazanin" w:hAnsi="IRNazanin" w:eastAsia="IRNazanin"/>
          <w:color w:val="111111"/>
          <w:sz w:val="28"/>
          <w:sz w:val="28"/>
          <w:szCs w:val="28"/>
          <w:rtl w:val="true"/>
          <w:lang w:bidi="fa-IR"/>
        </w:rPr>
        <w:t>فی مقام حمل النصوص المشار إلیها، دعوی الإجماع علی أنّه إذا قال المصلّی فی تشهّد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یتحقّق الإنصراف من الصلوة، ثمّ هو یخیّر فی الإتیان بالسلام علیکم و عدمه ؛ و هو بعینه حکم الفرائض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حکی جماعة من فحول الأصحاب هذا الحمل عنه علی نحو یظهر منهم الإذعان بأصل المرام، وإن حکم بعض منهم ببعد حمل النصوص علیه، و ها أنا أتلو کلماتهم علیک لیتبیّن لک حقیقة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شیخنا الشهید ـ قدّس اللّه روحه السعید ـ فی الذکری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الشفع مفصول عن الوتر بالتسلیم فی أشهر الروایات، کما رواه سعد بن </w:t>
      </w:r>
    </w:p>
    <w:p>
      <w:pPr>
        <w:pStyle w:val="BookText"/>
        <w:rPr/>
      </w:pPr>
      <w:r>
        <w:rPr>
          <w:rFonts w:ascii="IRNazanin" w:hAnsi="IRNazanin" w:eastAsia="IRNazanin"/>
          <w:color w:val="111111"/>
          <w:sz w:val="28"/>
          <w:sz w:val="28"/>
          <w:szCs w:val="28"/>
          <w:rtl w:val="true"/>
          <w:lang w:bidi="fa-IR"/>
        </w:rPr>
        <w:t xml:space="preserve">سعد، عن الرضا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الوتر أفصل هو </w:t>
      </w:r>
      <w:r>
        <w:rPr>
          <w:rStyle w:val="FootnoteAnchor"/>
          <w:rtl w:val="true"/>
        </w:rPr>
        <w:footnoteReference w:id="449"/>
      </w:r>
      <w:r>
        <w:rPr>
          <w:rFonts w:ascii="IRNazanin" w:hAnsi="IRNazanin" w:eastAsia="IRNazanin"/>
          <w:color w:val="111111"/>
          <w:sz w:val="28"/>
          <w:sz w:val="28"/>
          <w:szCs w:val="28"/>
          <w:rtl w:val="true"/>
          <w:lang w:bidi="fa-IR"/>
        </w:rPr>
        <w:t>أم وصل؟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Style w:val="FootnoteAnchor"/>
          <w:rtl w:val="true"/>
        </w:rPr>
        <w:footnoteReference w:id="450"/>
      </w:r>
      <w:r>
        <w:rPr>
          <w:rFonts w:ascii="IRNazanin" w:hAnsi="IRNazanin" w:eastAsia="IRNazanin"/>
          <w:color w:val="111111"/>
          <w:sz w:val="28"/>
          <w:sz w:val="28"/>
          <w:szCs w:val="28"/>
          <w:rtl w:val="true"/>
          <w:lang w:bidi="fa-IR"/>
        </w:rPr>
        <w:t xml:space="preserve">؛ و غیرها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یعقوب بن شعیب و معاویة بن عمّار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بین التسلیم و ترکه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کردویه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العبد الصالح عن الوتر،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فی المعتبر إلی ترک هذه الروایات عندنا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أجاب عنها تارةً بالحمل علی التقیّة، و تارةً بأنّ التسلیم المخیّر فیه هو السلام علیکم الأخیرة، ولا تنفی </w:t>
      </w:r>
      <w:r>
        <w:rPr>
          <w:rStyle w:val="FootnoteAnchor"/>
          <w:rtl w:val="true"/>
        </w:rPr>
        <w:footnoteReference w:id="454"/>
      </w:r>
      <w:r>
        <w:rPr>
          <w:rFonts w:ascii="IRNazanin" w:hAnsi="IRNazanin" w:eastAsia="IRNazanin"/>
          <w:color w:val="111111"/>
          <w:sz w:val="28"/>
          <w:sz w:val="28"/>
          <w:szCs w:val="28"/>
          <w:rtl w:val="true"/>
          <w:lang w:bidi="fa-IR"/>
        </w:rPr>
        <w:t xml:space="preserve">السلام علینا </w:t>
      </w:r>
      <w:r>
        <w:rPr>
          <w:rStyle w:val="FootnoteAnchor"/>
          <w:rtl w:val="true"/>
        </w:rPr>
        <w:footnoteReference w:id="455"/>
      </w:r>
      <w:r>
        <w:rPr>
          <w:rFonts w:ascii="IRNazanin" w:hAnsi="IRNazanin" w:eastAsia="IRNazanin"/>
          <w:color w:val="111111"/>
          <w:sz w:val="28"/>
          <w:sz w:val="28"/>
          <w:szCs w:val="28"/>
          <w:rtl w:val="true"/>
          <w:lang w:bidi="fa-IR"/>
        </w:rPr>
        <w:t xml:space="preserve">، إنتهی کلامه أعلی اللّه مقامه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مراده أنّ الشیخ حمل قوله علیه‌السلام فی الجواب عن التسلیم فی رکعتی الشفع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شئت سلّمت و إن شئت لم تسلّم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أنّ التسلیم المخیّر فیه هو السلام علیکم، ولایلزم منه الدلالة علی جواز ترک السلام علینا، حتّی یستفاد منه جواز الوصل بین رکعتی الشفع و رکعة الوتر، والأحادیث الدالّة علی التخییر محمولة علی ما إذا صدر منه السلام علینا و علی عباد اللّه الصالحین، فهو حینئذ مخیّر بین الإتیان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عدمه، و معلوم أنّه لیس المراد الإباحة المحضة، بل الحکم بالتخییر هنا من حیث جواز الترک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یخفی انّ شیخنا الشهید لو لم یکن معتقدًا لجواز الجمع بین الصیغتین وکان ذلک من خواصّ الفرائض، لنبّه علیه قطعًا، ونبّه علی فساد الحمل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المدارک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المعروف من مذهب الأصحاب أنّ الرکعة الثالثة مفصولة عن الأولیین بالتسلیم، و المستند فیه ما رواه الشیخ فی الصحیح عن أبیبصیر، عن أبی عبد 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والوتر ثلث رکعات مفصولة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فی عدّة أخبار التخییر بین الفصل وعدمه، کصحیحة یعقوب بن شعیب،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التسلیم فی رکعتی الوتر،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سلّمت و إن شئت لم تسلّم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رکعتی الوتر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سلّمت وإن شئت لم تسلّم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عنها الشیخ فی التهذیب تارةً بالحمل علی التقیّة، و تارةً بأن السلام المخیّر فیه هو السلام علیکم ورحمة اللّه وبرکاته الواقعة بعد السلام علینا وعلی عباد اللّه الصالحین، لأنّ بالسلام علینا یتحقّق الخروج من الصلوة، فإن شاء أتی بالصیغة الأخری، و إن شاء ترکها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کلّ ذلک خروج عن الظاهر من غیر ضرورة، إلی آخره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هذا الکلام یظهر أنّه اعتقد بمشروعیّة السلام علیکم بعد السلام علینا فی النافلة أیضًا، لکن أجاب بأنّ حمل النصّ الدالّ علی التخییر علی ذلک خروج من الظاهر، فلو لم یکن الإتیان بقول السلام علیکم بعد السلام علینا مشروعًا، لکان الجواب به أولی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البحار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بالتسلیم بین رکعتی الشفع و الوتر هو المعروف من مذهب الأصحاب، و قد ورد فی عدّة أخبار التخییر بین الفصل و الوصل، وأجاب عنها الشیخ تارةً بالحمل علی التقیّة، و تارةً بأنّ السلام المخیّر فیه السلام علیکم ورحمة اللّه و برکاته الواقع بعد السلام علینا و علی عباد اللّه الصالحین، و </w:t>
      </w:r>
      <w:r>
        <w:rPr>
          <w:rStyle w:val="FootnoteAnchor"/>
          <w:rtl w:val="true"/>
        </w:rPr>
        <w:footnoteReference w:id="461"/>
      </w:r>
      <w:r>
        <w:rPr>
          <w:rFonts w:ascii="IRNazanin" w:hAnsi="IRNazanin" w:eastAsia="IRNazanin"/>
          <w:color w:val="111111"/>
          <w:sz w:val="28"/>
          <w:sz w:val="28"/>
          <w:szCs w:val="28"/>
          <w:rtl w:val="true"/>
          <w:lang w:bidi="fa-IR"/>
        </w:rPr>
        <w:t xml:space="preserve">أنّ المراد بالتسلیم ما یستباح به من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 و کلّ ذلک بعید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والأمر فیه کما سلف، و حکی فی الوسائل و کشف اللثام هذا الحمل أیضًا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هؤلاء الأماجد العظام الإذعان بأصل المرام، وإن تأمّل بعضهم فی حمل التسلیم فی النصّ علی ذلک کما هو کذلک، و یظهر من ذلک انّ استحباب الجمع بین الصیغتین إتّفاقیّ عندهم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تنبیهٌ</w:t>
      </w:r>
    </w:p>
    <w:p>
      <w:pPr>
        <w:pStyle w:val="BookText"/>
        <w:rPr/>
      </w:pPr>
      <w:r>
        <w:rPr>
          <w:rFonts w:ascii="IRNazanin" w:hAnsi="IRNazanin" w:eastAsia="IRNazanin"/>
          <w:color w:val="111111"/>
          <w:sz w:val="28"/>
          <w:sz w:val="28"/>
          <w:szCs w:val="28"/>
          <w:rtl w:val="true"/>
          <w:lang w:bidi="fa-IR"/>
        </w:rPr>
        <w:t xml:space="preserve">و من عجیب ما وقع فی هذا المقام ما صدر عن الفاضل المحدّث القاسانی فی وافیه، حیث قال بعد ذکر النصوص المذکورة ما هذا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الأخبار حَمَلها فی التهذیبین تارةً علی أنّ المراد بالتسلیم فیها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دون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ورحمة اللّه و برکاته </w:t>
      </w:r>
      <w:r>
        <w:rPr>
          <w:rStyle w:val="FootnoteAnchor"/>
          <w:rtl w:val="true"/>
        </w:rPr>
        <w:footnoteReference w:id="465"/>
      </w:r>
      <w:r>
        <w:rPr>
          <w:rFonts w:ascii="IRNazanin" w:hAnsi="IRNazanin" w:eastAsia="IRNazanin"/>
          <w:color w:val="111111"/>
          <w:sz w:val="28"/>
          <w:sz w:val="28"/>
          <w:szCs w:val="28"/>
          <w:rtl w:val="true"/>
          <w:lang w:bidi="fa-IR"/>
        </w:rPr>
        <w:t xml:space="preserve">؛ إلی آخر ما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والمؤاخذة فیه من وجهین،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حکاه عنه خلاف ما حملها علیه، لأنّه حملها علی السلام علیکم دون السلام علینا،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حکی ذلک عن التهذیبین، مع أنّ فی الإستبصار لم یذکر الحمل المذکور ؛ واحتمال أن یکون المراد المجموع من حیث المجموع لا کلّ واحد ـ وإن کان قائمًا ـ لکنّه بعید جدًّا، مضافًا إلی انّه لایکفی فی دفع الإیراد الأوّل، لکنّ الإنسان محلّ النسیان، ومن اللّه التأیید و علیه التکلان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کلماتهم فی التنبیه علی الأمور الّتی یختصّ بالفرائض، فلا تحقّق لها فی النوافل وبالعکس،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و الإقامة، لتصریحهم بأنّهما من خواصّ الفرائض الیومیّة، و منه یظهر عدم مشروعیّتهما فی النوافل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الجهر أو الإخفات فی الفرائض الیومیّة فی موضعهما، وقد صرّحوا بعدم وجوبهما فی النافلة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القراءة عن ظهر القلب فی الفرائض مع الإمکان، وصرّحوا </w:t>
      </w:r>
    </w:p>
    <w:p>
      <w:pPr>
        <w:pStyle w:val="BookText"/>
        <w:rPr/>
      </w:pPr>
      <w:r>
        <w:rPr>
          <w:rFonts w:ascii="IRNazanin" w:hAnsi="IRNazanin" w:eastAsia="IRNazanin"/>
          <w:color w:val="111111"/>
          <w:sz w:val="28"/>
          <w:sz w:val="28"/>
          <w:szCs w:val="28"/>
          <w:rtl w:val="true"/>
          <w:lang w:bidi="fa-IR"/>
        </w:rPr>
        <w:t xml:space="preserve">بعدم وجوبه فی النوافل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القرآن فی المکتوبة علی المشهور بین الأصحاب، وقد صرّحوا بجوازه فی النافلة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قراءة العزائم الأربع فی الفریضة، و قد صرّحوا بجوازه فی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إتیان الفرائض جماعة، و قد صرّحوا بعدم جوازه فی النوافل، إلاّ صلوة الإستسقاء وما أصله فرض کالإعادة و العیدین و صلوة الغدیر علی قول، و غیر ذلک من الأمور المتکثّرة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الإقتصار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فی النوافل واجبًا، ولم یکن الجمع بینه و بین غیره من صیغتی التسلیم جایزًا، لنبّهوا علیه قطعًا، بل هو أولی بالتنبّه من أکثر الأمور المذکورة، لوضوح انّ مدخلیّة صیغ التسلیم فی الصلوة أقوی من الإتیان جماعة مثلاً کما لا یخفی، فمن الحکم باستحباب إتیان الفرائض جماعة، لا یتوهّم جوازها فی النوافل، بخلاف الحکم باستحباب الجمع بین صیغ التسلیم فی الصلوة، فهو أولی بالتنبیه، و عدم التنبّه دلیل قویّ علی أنّ ذلک ممّا لایتفاوت فیه الحال بین الفرائض والنوافل، فالحمد للّه العلیّ الماجد الکامل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الإنصاف أنّ المسئلة لیست ممّا یفتقر إلی تطویل القال و التعرّض للإستدلال، ولذلک لا تری الأصحاب متعرّضین لها بخصوصها، لکن ربما کان الشیء من فرط الظهور قد یشتبه فیه الحال، و یختفی فیه طریق السداد والرشاد، فیذهب الوهم إلی خلاف ما علیه، و لو من أهل الفضل والکمال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أللهمّ اهدنا لما تحبّه و ترضی فی الأفعال و الأقوال، و عجّل فرج ولیّک الغائب عن معاینة الأبصار الحاضر فی قلوب الأخیار، واکحل عیوننا بتراب نعاله، فإنّ من طول غیبته یختفی الأحکام ویختلّ مبانی الحلال والحرام، و صلوتک علیه وعلی آبائه و أجداده الکرام العظام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فرغت من تسویده فی منتصف الساعة التاسعة، من اللیلة الخامسة، من السبعة الرابعة من العشر الثالث، من الشهر الأوّل، من السنة الثالثة، من العشر الثالث، من المائة الثالثة، من الألف الثانی بعد الهجرة النبویّة ـ علیه و علی آله آلاف السلام و الثناء و التحیّة ـ ثمّ أسألک یا إلهی بربوبیّتک و ألوهیّتک أن تعجّل فرج ولیّک الحافظ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145" w:name="pg3709_22105"/>
    </w:p>
    <w:p>
      <w:pPr>
        <w:pStyle w:val="Heading2"/>
        <w:numPr>
          <w:ilvl w:val="1"/>
          <w:numId w:val="1"/>
        </w:numPr>
        <w:rPr/>
      </w:pPr>
      <w:bookmarkStart w:id="146" w:name="__RefHeading___Toc594123_2281741623"/>
      <w:bookmarkStart w:id="147" w:name="_Toc52"/>
      <w:bookmarkEnd w:id="145"/>
      <w:bookmarkEnd w:id="146"/>
      <w:r>
        <w:rPr>
          <w:rtl w:val="true"/>
        </w:rPr>
        <w:t>الرسالة الثالثة</w:t>
      </w:r>
      <w:r>
        <w:rPr>
          <w:rtl w:val="true"/>
        </w:rPr>
        <w:t xml:space="preserve">: </w:t>
      </w:r>
      <w:r>
        <w:rPr>
          <w:rtl w:val="true"/>
        </w:rPr>
        <w:t>الرَدُّ عَلی رَدِّ رِسَالَةِ تَعیِینِ السَلامِ الأخِیرِ فِی النَوَافِل للمولی الإیجهی رحمه‌الله</w:t>
      </w:r>
      <w:bookmarkEnd w:id="147"/>
    </w:p>
    <w:p>
      <w:pPr>
        <w:pStyle w:val="Heading3"/>
        <w:numPr>
          <w:ilvl w:val="2"/>
          <w:numId w:val="1"/>
        </w:numPr>
        <w:rPr/>
      </w:pPr>
      <w:bookmarkStart w:id="148" w:name="__RefHeading___Toc594125_2281741623"/>
      <w:bookmarkStart w:id="149" w:name="_Toc53"/>
      <w:bookmarkEnd w:id="148"/>
      <w:r>
        <w:rPr>
          <w:rtl w:val="true"/>
        </w:rPr>
        <w:t>اشارة</w:t>
      </w:r>
      <w:bookmarkEnd w:id="14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الرَدُّ عَلی</w:t>
      </w:r>
    </w:p>
    <w:p>
      <w:pPr>
        <w:pStyle w:val="BookText"/>
        <w:rPr/>
      </w:pPr>
      <w:r>
        <w:rPr>
          <w:rFonts w:ascii="Amiri" w:hAnsi="Amiri" w:eastAsia="Amiri" w:cs="Amiri"/>
          <w:color w:val="111111"/>
          <w:sz w:val="28"/>
          <w:sz w:val="28"/>
          <w:szCs w:val="28"/>
          <w:rtl w:val="true"/>
          <w:lang w:bidi="ar-SA"/>
        </w:rPr>
        <w:t>رَدِّ رِسَالَةِ تَعیِینِ السَلامِ الأخِیرِ فِی النَوَافِل</w:t>
      </w:r>
    </w:p>
    <w:p>
      <w:pPr>
        <w:pStyle w:val="BookText"/>
        <w:rPr/>
      </w:pPr>
      <w:r>
        <w:rPr>
          <w:rFonts w:ascii="Amiri" w:hAnsi="Amiri" w:eastAsia="Amiri" w:cs="Amiri"/>
          <w:color w:val="111111"/>
          <w:sz w:val="28"/>
          <w:sz w:val="28"/>
          <w:szCs w:val="28"/>
          <w:rtl w:val="true"/>
          <w:lang w:bidi="ar-SA"/>
        </w:rPr>
        <w:t>تَألیفُ</w:t>
      </w:r>
    </w:p>
    <w:p>
      <w:pPr>
        <w:pStyle w:val="BookText"/>
        <w:rPr/>
      </w:pPr>
      <w:r>
        <w:rPr>
          <w:rFonts w:ascii="Amiri" w:hAnsi="Amiri" w:eastAsia="Amiri" w:cs="Amiri"/>
          <w:color w:val="111111"/>
          <w:sz w:val="28"/>
          <w:sz w:val="28"/>
          <w:szCs w:val="28"/>
          <w:rtl w:val="true"/>
          <w:lang w:bidi="ar-SA"/>
        </w:rPr>
        <w:t>العَالِم المُتکَلّمِ الزَاهِد</w:t>
      </w:r>
    </w:p>
    <w:p>
      <w:pPr>
        <w:pStyle w:val="BookText"/>
        <w:rPr/>
      </w:pPr>
      <w:r>
        <w:rPr>
          <w:rFonts w:ascii="Amiri" w:hAnsi="Amiri" w:eastAsia="Amiri" w:cs="Amiri"/>
          <w:color w:val="111111"/>
          <w:sz w:val="28"/>
          <w:sz w:val="28"/>
          <w:szCs w:val="28"/>
          <w:rtl w:val="true"/>
          <w:lang w:bidi="ar-SA"/>
        </w:rPr>
        <w:t>المولی عَلِی أکبَر الإِیجِهِی الأصفَهَانِی قدس‌سره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تَحقِیقُ</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السَیِّد مَهدِی الشَفتِیّ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بعد التحمید و التسبیح و التعظیم و التقدیس للعلیّ العلاّم و المهیمن المنّان، ذی الجلال والإکرام، و التصلیة و التسلیم علی مبلّغ الوحی و التنزیل، حامل الرسالات، سیّد الکائنات، معدن البرکات، الّذی ابتعثه بشیرًا و نذیرًا و داعیًا إلی اللّه بإذنه و سراجًا منیرًا، لیهلک من هلک عن بیّنة و یحیی من حیّ عن بیّنة، وعلی آله نجوم سماء القدس، و حملة الوحی والتنزیل، و خزنة السرّ و التأویل، أمناء المعبود، و أسرار اللاّهوت، و ینابیع العلوم عن الحیّ القیّوم ؛ یقول العبد الضعیف، ذو اللّسان الکلیل والید القصیر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بعد ما کتبت رسالة فی بیان التسلیم وأحوالها، وفی النافلة وآدابها، وجعلتها مفصولة بفصول عشرة، و أودعت فی کلّ فصل بیان حکم من أحکام تلک المسئلة، و أودعت فی عاشرها أنّ التسلیم فی النافلة بمقتضی الروایات وملاحظة فتاوی الأصحاب هو التسلیم الآخر، وصل </w:t>
      </w:r>
      <w:r>
        <w:rPr>
          <w:rStyle w:val="FootnoteAnchor"/>
          <w:rtl w:val="true"/>
        </w:rPr>
        <w:footnoteReference w:id="467"/>
      </w:r>
      <w:r>
        <w:rPr>
          <w:rFonts w:ascii="IRNazanin" w:hAnsi="IRNazanin" w:eastAsia="IRNazanin"/>
          <w:color w:val="111111"/>
          <w:sz w:val="28"/>
          <w:sz w:val="28"/>
          <w:szCs w:val="28"/>
          <w:rtl w:val="true"/>
          <w:lang w:bidi="fa-IR"/>
        </w:rPr>
        <w:t xml:space="preserve">إلیّ من السیّد السند الجلیل، شمس سماء المحامد والفضائل، بدر سماء الأماجد والأفاضل، سمیّ خامس آل الرسول </w:t>
      </w:r>
      <w:bookmarkStart w:id="150" w:name="pg3709_22108"/>
    </w:p>
    <w:p>
      <w:pPr>
        <w:pStyle w:val="BookText"/>
        <w:rPr/>
      </w:pPr>
      <w:bookmarkEnd w:id="150"/>
      <w:r>
        <w:rPr>
          <w:rFonts w:ascii="IRNazanin" w:hAnsi="IRNazanin" w:eastAsia="IRNazanin"/>
          <w:color w:val="111111"/>
          <w:sz w:val="28"/>
          <w:sz w:val="28"/>
          <w:szCs w:val="28"/>
          <w:rtl w:val="true"/>
          <w:lang w:bidi="fa-IR"/>
        </w:rPr>
        <w:t xml:space="preserve">وباقر العلوم مولانا السیّد محمّد باقر ـ زاده اللّه عزًّا وإکرامًا ـ رسالة فی هذا الباب علی خلاف ما أدّی إلیه نظری و بلغ إلیه فهمی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بلغ فی ذلک ـ شکر اللّه سعیه و أجزل مثوبته ـ ما بلغ و سعی، و بلغ سعیه مبلغًا لا یصل </w:t>
      </w:r>
      <w:r>
        <w:rPr>
          <w:rStyle w:val="FootnoteAnchor"/>
          <w:rtl w:val="true"/>
        </w:rPr>
        <w:footnoteReference w:id="468"/>
      </w:r>
      <w:r>
        <w:rPr>
          <w:rFonts w:ascii="IRNazanin" w:hAnsi="IRNazanin" w:eastAsia="IRNazanin"/>
          <w:color w:val="111111"/>
          <w:sz w:val="28"/>
          <w:sz w:val="28"/>
          <w:szCs w:val="28"/>
          <w:rtl w:val="true"/>
          <w:lang w:bidi="fa-IR"/>
        </w:rPr>
        <w:t xml:space="preserve">إلیه أیدی أفکار البشر، فأردت أن أذکر ما أفاده فی تلک الرسالة بعباراته الوافیة و ألفاظه الشافیة، و أضمّ إلیه ما خلج بخاطری من الردّ والإیراد، أو النقض و الإبرام، ولکن بعین الإنصاف، لا اللجج و الإعتساف، واللّه علی ما أقول شهید، و هو حسبی و نعم الوکیل </w:t>
      </w:r>
      <w:r>
        <w:rPr>
          <w:rFonts w:eastAsia="IRNazanin" w:cs="IRNazanin"/>
          <w:color w:val="111111"/>
          <w:sz w:val="28"/>
          <w:szCs w:val="28"/>
          <w:rtl w:val="true"/>
          <w:lang w:bidi="fa-IR"/>
        </w:rPr>
        <w:t>.</w:t>
      </w:r>
    </w:p>
    <w:p>
      <w:pPr>
        <w:pStyle w:val="Heading3"/>
        <w:numPr>
          <w:ilvl w:val="2"/>
          <w:numId w:val="1"/>
        </w:numPr>
        <w:rPr/>
      </w:pPr>
      <w:bookmarkStart w:id="151" w:name="__RefHeading___Toc594127_2281741623"/>
      <w:bookmarkStart w:id="152" w:name="_Toc54"/>
      <w:bookmarkEnd w:id="151"/>
      <w:r>
        <w:rPr>
          <w:rtl w:val="true"/>
        </w:rPr>
        <w:t xml:space="preserve">الردّ علی قوله </w:t>
      </w:r>
      <w:r>
        <w:rPr>
          <w:rtl w:val="true"/>
        </w:rPr>
        <w:t xml:space="preserve">: </w:t>
      </w:r>
      <w:r>
        <w:rPr>
          <w:rtl w:val="true"/>
        </w:rPr>
        <w:t>قد بلغنی عن بعض الأفاضل، إلخ</w:t>
      </w:r>
      <w:bookmarkEnd w:id="15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السیّد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بلغنی عن بعض الأفاضل ـ حشره اللّه مع سادات الأواخر والأوائل ـ فی تسلیم النوافل ما کان اعتقادی أنّه مخالف للواقع ومنافر للمتخلّف عَمَّن </w:t>
      </w:r>
      <w:r>
        <w:rPr>
          <w:rStyle w:val="FootnoteAnchor"/>
          <w:rtl w:val="true"/>
        </w:rPr>
        <w:footnoteReference w:id="470"/>
      </w:r>
      <w:r>
        <w:rPr>
          <w:rFonts w:ascii="IRNazanin" w:hAnsi="IRNazanin" w:eastAsia="IRNazanin"/>
          <w:color w:val="111111"/>
          <w:sz w:val="28"/>
          <w:sz w:val="28"/>
          <w:szCs w:val="28"/>
          <w:rtl w:val="true"/>
          <w:lang w:bidi="fa-IR"/>
        </w:rPr>
        <w:t xml:space="preserve">هو للشریعة حافظ و صادع، فأبرزت هذه الکلمات فی إبانة الحقّ فی ذلک، و إزهاق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أرجو من اللّه سبحانه أن لا یکون قصدی فیه إلاّ ابتغاء مرضاته، وإحقاق الحقّ فی سبیله و دینه و شریعته، بحقّ کُمَّل خلیقته محمّد سیّد رسله وعترته وآله ـ صلوات اللّه و سلامه علیه و علیهم إلی بقاء أرضه وسمائه ـ وهو أنّه لایجوز الجمع فی تسلیم النوافل بین الصیغ الثلاث المعهودة فی تسلیم الفرائض، بل یجب الإقتصار فیه بصیغة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علیکم ورحمة اللّه وبرکاته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مخالف للواقع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مراده أنّه الواقع بحسب ما أدّی إلیه فهمه واجتهاده، لا الواقع الواقعی، لأنّه لا یمکنه و لا غیره ذلک إلاّ من عصمه اللّه وأودعه الأسرار والأحکام، نعم، علی مذهب المصوِّبة القائلین بأنّ حکم اللّه تعالی هو ما أدّی إلیه رأی المجتهد ولیس للّه حکم، یصحّ، و ذلک مذهب قبیح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المتخلّف عَمَّن هو للشریعة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رکاکة و بشاعة یظهر لِمَن تتبّع موارد التخلّف، فهل سمعت أحدًا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الشریعة تخلّف </w:t>
      </w:r>
      <w:r>
        <w:rPr>
          <w:rStyle w:val="FootnoteAnchor"/>
          <w:rtl w:val="true"/>
        </w:rPr>
        <w:footnoteReference w:id="471"/>
      </w:r>
      <w:r>
        <w:rPr>
          <w:rFonts w:ascii="IRNazanin" w:hAnsi="IRNazanin" w:eastAsia="IRNazanin"/>
          <w:color w:val="111111"/>
          <w:sz w:val="28"/>
          <w:sz w:val="28"/>
          <w:szCs w:val="28"/>
          <w:rtl w:val="true"/>
          <w:lang w:bidi="fa-IR"/>
        </w:rPr>
        <w:t xml:space="preserve">عن الشارع، أو الشارع تخلّف عن الشریعة ؛ قال رسول اللّه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أهل بیتی کمثل سفینة نوح، من رکبها نجی، و من تخلّف عنها غَرَق </w:t>
      </w:r>
      <w:r>
        <w:rPr>
          <w:rFonts w:eastAsia="IRNazanin" w:cs="IRNazanin"/>
          <w:color w:val="111111"/>
          <w:sz w:val="28"/>
          <w:szCs w:val="28"/>
          <w:rtl w:val="true"/>
          <w:lang w:bidi="fa-IR"/>
        </w:rPr>
        <w:t xml:space="preserve">»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اللّه من تخلّف عن جیش أسامة </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أرجو من اللّه أن لا یکون قصدی إلاّ ابتغاء مرضاته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 و إلاّ فکیف یصحّ التکلیف بالإخلاص و تصفیة السرّ عن شوب ما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المخلصون علی خطر عظیم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بحقّ کُمَّل خلیقته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أدری العامل لهذا الظرف، و ما المقسم علیه، أیقول السیّد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بحقّ کُمَّل خلیقته، فالقسم فی هذا الموضع لأیّ فائدة ؟ هل یکون له منکر لرجائه وهو یدّعیه ولأجل الإنکار أتی بالقسم لیزیل إنکاره 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یَعْلَمُ إنَّا إِلَیْکُمْ لَمُرْسَلُونَ </w:t>
      </w:r>
      <w:r>
        <w:rPr>
          <w:rFonts w:eastAsia="Amiri" w:cs="Amiri" w:ascii="Amiri" w:hAnsi="Amiri"/>
          <w:color w:val="111111"/>
          <w:sz w:val="28"/>
          <w:szCs w:val="28"/>
          <w:rtl w:val="true"/>
          <w:lang w:bidi="ar-SA"/>
        </w:rPr>
        <w:t xml:space="preserve">» </w:t>
      </w:r>
      <w:r>
        <w:rPr>
          <w:rStyle w:val="FootnoteAnchor"/>
          <w:rtl w:val="true"/>
        </w:rPr>
        <w:footnoteReference w:id="4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مراده أن یجعل اللّه تلک الرسالة فی صحیفة حسناته خالصة لوجه اللّه و مرضاته، و جعل کُمَّل خلق اللّه واسطة لقبول دعوته فی عدّ تلک الرسالة من الحسنات، ولکن لیس فی عبارته منه عین و لا أثر، و لعلّ مراده غیر ذلک وفوق ما أدّی إلیه النظر، و هو أعلم بمراده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بقاء أرضه و سمائه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یخلو عن رکاکة، و لعلّه سقط من قلم الناسخ شیء، والمناسب فی أمثال هذه المقامات الإتیان بلفظ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لیفید الدوام بدوام ذلک الأمر، کما تری فی الخطب و التحیّات و الأدعیة والصلوات، کما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خَالِدِیْنَ فِیْهَا مادَامَتِ السَّموَاتُ وَ اْلأَرض </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 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بقاء السَّموات والأرض </w:t>
      </w:r>
      <w:r>
        <w:rPr>
          <w:rFonts w:eastAsia="IRNazanin" w:cs="IRNazanin"/>
          <w:color w:val="111111"/>
          <w:sz w:val="28"/>
          <w:szCs w:val="28"/>
          <w:rtl w:val="true"/>
          <w:lang w:bidi="fa-IR"/>
        </w:rPr>
        <w:t xml:space="preserve">. </w:t>
      </w:r>
      <w:bookmarkStart w:id="153" w:name="pg3709_22111"/>
    </w:p>
    <w:p>
      <w:pPr>
        <w:pStyle w:val="Heading3"/>
        <w:numPr>
          <w:ilvl w:val="2"/>
          <w:numId w:val="1"/>
        </w:numPr>
        <w:rPr/>
      </w:pPr>
      <w:bookmarkStart w:id="154" w:name="__RefHeading___Toc594129_2281741623"/>
      <w:bookmarkStart w:id="155" w:name="_Toc55"/>
      <w:bookmarkEnd w:id="153"/>
      <w:bookmarkEnd w:id="154"/>
      <w:r>
        <w:rPr>
          <w:rtl w:val="true"/>
        </w:rPr>
        <w:t xml:space="preserve">الردّ علی قوله </w:t>
      </w:r>
      <w:r>
        <w:rPr>
          <w:rtl w:val="true"/>
        </w:rPr>
        <w:t xml:space="preserve">: </w:t>
      </w:r>
      <w:r>
        <w:rPr>
          <w:rtl w:val="true"/>
        </w:rPr>
        <w:t>والظاهر أنّ هذا المطلب ممّا لاینبغی التأمّل، إلخ</w:t>
      </w:r>
      <w:bookmarkEnd w:id="155"/>
    </w:p>
    <w:p>
      <w:pPr>
        <w:pStyle w:val="BookText"/>
        <w:rPr/>
      </w:pPr>
      <w:r>
        <w:rPr>
          <w:rFonts w:ascii="IRNazanin" w:hAnsi="IRNazanin" w:eastAsia="IRNazanin"/>
          <w:color w:val="111111"/>
          <w:sz w:val="28"/>
          <w:sz w:val="28"/>
          <w:szCs w:val="28"/>
          <w:rtl w:val="true"/>
          <w:lang w:bidi="fa-IR"/>
        </w:rPr>
        <w:t xml:space="preserve">قال السیّد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هذا المطلب ممّا لا ینبغی التأمّل فی فساده، بل التحقیق أنّ حکم النوافل فی ذلک حکم الفرائض، فکما أنّه لایجب الإقتصار فی تسلیم الفرائض بالصیغة المذکورة، بل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العدول عنها إلی صیغة السلم علینا و علی عباد اللّه الصالحین، للنصوص المعتبرة المستفیضة، فکذا </w:t>
      </w:r>
      <w:r>
        <w:rPr>
          <w:rStyle w:val="FootnoteAnchor"/>
          <w:rtl w:val="true"/>
        </w:rPr>
        <w:footnoteReference w:id="480"/>
      </w:r>
      <w:r>
        <w:rPr>
          <w:rFonts w:ascii="IRNazanin" w:hAnsi="IRNazanin" w:eastAsia="IRNazanin"/>
          <w:color w:val="111111"/>
          <w:sz w:val="28"/>
          <w:sz w:val="28"/>
          <w:szCs w:val="28"/>
          <w:rtl w:val="true"/>
          <w:lang w:bidi="fa-IR"/>
        </w:rPr>
        <w:t xml:space="preserve">الحال فی النوافل، ولا تفاوت بینهما فی ذلک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من شیخ الطائفة ـ نوّر اللّه ضریحه ـ فی موضع من التهذیب </w:t>
      </w:r>
      <w:r>
        <w:rPr>
          <w:rStyle w:val="FootnoteAnchor"/>
          <w:rtl w:val="true"/>
        </w:rPr>
        <w:footnoteReference w:id="481"/>
      </w:r>
      <w:r>
        <w:rPr>
          <w:rFonts w:ascii="IRNazanin" w:hAnsi="IRNazanin" w:eastAsia="IRNazanin"/>
          <w:color w:val="111111"/>
          <w:sz w:val="28"/>
          <w:sz w:val="28"/>
          <w:szCs w:val="28"/>
          <w:rtl w:val="true"/>
          <w:lang w:bidi="fa-IR"/>
        </w:rPr>
        <w:t xml:space="preserve">دعوی إجماع الشیعة علیه، کما ستقف علیه </w:t>
      </w:r>
      <w:r>
        <w:rPr>
          <w:rStyle w:val="FootnoteAnchor"/>
          <w:rtl w:val="true"/>
        </w:rPr>
        <w:footnoteReference w:id="482"/>
      </w:r>
      <w:r>
        <w:rPr>
          <w:rFonts w:ascii="IRNazanin" w:hAnsi="IRNazanin" w:eastAsia="IRNazanin"/>
          <w:color w:val="111111"/>
          <w:sz w:val="28"/>
          <w:sz w:val="28"/>
          <w:szCs w:val="28"/>
          <w:rtl w:val="true"/>
          <w:lang w:bidi="fa-IR"/>
        </w:rPr>
        <w:t xml:space="preserve">بتوفیق اللّه، و الدلیل علی هذا المرام إطلاقات النصوص الواردة عن سادات الأنام، علیهم آلاف التحیّة والسلم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المشهور بین العامّة والخاصّة من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تحلیلها التسلیم </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 بناء علی أنّ التسلیم فیه کما یشمل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علیکم، یشمل السلم علینا أیضًا، فکما أنّ مقتضاه أنّ الأوَّل مُحلِّل ومُخرِج من الصلوة، فکذا الثانی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مقتضاه جواز الإقتصار فی مقام التسلیم بالأوَّل، فکذا الحال بالثانی </w:t>
      </w:r>
      <w:r>
        <w:rPr>
          <w:rStyle w:val="FootnoteAnchor"/>
          <w:rtl w:val="true"/>
        </w:rPr>
        <w:footnoteReference w:id="484"/>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الصلوة فیه أعمّ من الفرائض </w:t>
      </w:r>
    </w:p>
    <w:p>
      <w:pPr>
        <w:pStyle w:val="BookText"/>
        <w:rPr/>
      </w:pPr>
      <w:r>
        <w:rPr>
          <w:rFonts w:ascii="IRNazanin" w:hAnsi="IRNazanin" w:eastAsia="IRNazanin"/>
          <w:color w:val="111111"/>
          <w:sz w:val="28"/>
          <w:sz w:val="28"/>
          <w:szCs w:val="28"/>
          <w:rtl w:val="true"/>
          <w:lang w:bidi="fa-IR"/>
        </w:rPr>
        <w:t xml:space="preserve">والنوافل، فمقتضاه ثبوت الحکم المذکور فی القسمین، و 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الإیراد علیه من وجهین،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الحدیث المذکور مرویّ عن طرق العامّة و لم یوجد مسندًا فی طرقنا، فما کان علی هذه المثابة لا یصحّ التعویل علیه فی إثبات الأحکام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 التسلیم فیه و إن کان مطلقًا، لکن التمسّک فی المطلقات </w:t>
      </w:r>
      <w:r>
        <w:rPr>
          <w:rStyle w:val="FootnoteAnchor"/>
          <w:rtl w:val="true"/>
        </w:rPr>
        <w:footnoteReference w:id="485"/>
      </w:r>
      <w:r>
        <w:rPr>
          <w:rFonts w:ascii="IRNazanin" w:hAnsi="IRNazanin" w:eastAsia="IRNazanin"/>
          <w:color w:val="111111"/>
          <w:sz w:val="28"/>
          <w:sz w:val="28"/>
          <w:szCs w:val="28"/>
          <w:rtl w:val="true"/>
          <w:lang w:bidi="fa-IR"/>
        </w:rPr>
        <w:t xml:space="preserve">فی أفرادها مشروط بتواطئها، و هو مفقود فیما نحن فیه لشیوع هذه اللفظة فی صیغة السلم علیکم، کما اعترف به جماعة من المحقّقین، و یشهد له تتبّع النصوص الصادرة من الأئمِّة الطاهرین علیهم‌السلام ، فینصرف لفظ التسلیم فی الحدیث إلیه، فلا یصحّ التمسّک به فیما أنتم بصدد بیانه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الجواب عن الأوَّل، فهو أنّ ذلک الإیراد و إن صدر عن جماعة من الأوتاد، کالعلاّمة و شیخنا الشهید و غیرهما، قال فی المختلف بعد أن حکی إستدلال القائلین بوجوب التسلیم بالروایة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w:t>
      </w:r>
      <w:r>
        <w:rPr>
          <w:rStyle w:val="FootnoteAnchor"/>
          <w:rtl w:val="true"/>
        </w:rPr>
        <w:footnoteReference w:id="486"/>
      </w:r>
      <w:r>
        <w:rPr>
          <w:rFonts w:ascii="IRNazanin" w:hAnsi="IRNazanin" w:eastAsia="IRNazanin"/>
          <w:color w:val="111111"/>
          <w:sz w:val="28"/>
          <w:sz w:val="28"/>
          <w:szCs w:val="28"/>
          <w:rtl w:val="true"/>
          <w:lang w:bidi="fa-IR"/>
        </w:rPr>
        <w:t xml:space="preserve">من الروایة، فإنّها لم تنقل إلینا متّصلة الرجال و إن کانت من المشاهیر، إلاّ أنّ المراسیل لیس </w:t>
      </w:r>
      <w:r>
        <w:rPr>
          <w:rStyle w:val="FootnoteAnchor"/>
          <w:rtl w:val="true"/>
        </w:rPr>
        <w:footnoteReference w:id="487"/>
      </w:r>
      <w:r>
        <w:rPr>
          <w:rFonts w:ascii="Amiri" w:hAnsi="Amiri" w:eastAsia="Amiri" w:cs="Amiri"/>
          <w:color w:val="111111"/>
          <w:sz w:val="28"/>
          <w:sz w:val="28"/>
          <w:szCs w:val="28"/>
          <w:rtl w:val="true"/>
          <w:lang w:bidi="ar-SA"/>
        </w:rPr>
        <w:t xml:space="preserve">حجّة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الذکری بعد أن حکی عن المحقّق فی المعتبر الإستدلال بالروایة وغیرها،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مناقشات،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المطالبة بصحّة </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وتحلیلها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فإنّا لم نره مسندًا فی أخبار الأخیار </w:t>
      </w:r>
      <w:r>
        <w:rPr>
          <w:rStyle w:val="FootnoteAnchor"/>
          <w:rtl w:val="true"/>
        </w:rPr>
        <w:footnoteReference w:id="489"/>
      </w:r>
      <w:r>
        <w:rPr>
          <w:rFonts w:ascii="IRNazanin" w:hAnsi="IRNazanin" w:eastAsia="IRNazanin"/>
          <w:color w:val="111111"/>
          <w:sz w:val="28"/>
          <w:sz w:val="28"/>
          <w:szCs w:val="28"/>
          <w:rtl w:val="true"/>
          <w:lang w:bidi="fa-IR"/>
        </w:rPr>
        <w:t xml:space="preserve">، وإنّما هو من طریق العامّة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ممّا لا وقع لها، لأنّا وجدناها فی طرقنا بأسانید متعدّدة،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النوادر من طهارة الکافی بسنده عن القداح،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إفتتاح الصلوة الوضوء، و تحریمها التکبیر، و تحلیلها التسلیم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مرویّ فی أوائل الفقیه فی باب إفتتاح الصلوة و تحریمها و تحلیلها، مرسلاً عن مولانا أمیرالمؤمنین علیه‌السلام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العیون فی باب ما کتبه مولانا الرضا علیه‌السلام للمأمون، من محض الإسلام، عن عبد الواحد بن عبدوس النیسابوریّ، عن علیّ بن محمّد بن قتیبة، عن الفضل بن شاذان، عن مولانا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لایجوز أن یقول فی التشهد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علینا و علی عباد اللّه الصالحین، لأنّ تحلیل الصلوة التسلیم، فإذا قلت هذا فقد سلّمت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فیه أیضًا فی الباب المتقدّم علی الباب المذکور بذلک السند، عن مولانا الرضا علیه‌السلام ، إن قیل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جعل التسلیم تحلیلاً للصلوة </w:t>
      </w:r>
      <w:r>
        <w:rPr>
          <w:rStyle w:val="FootnoteAnchor"/>
          <w:rtl w:val="true"/>
        </w:rPr>
        <w:footnoteReference w:id="495"/>
      </w:r>
      <w:r>
        <w:rPr>
          <w:rFonts w:ascii="IRNazanin" w:hAnsi="IRNazanin" w:eastAsia="IRNazanin"/>
          <w:color w:val="111111"/>
          <w:sz w:val="28"/>
          <w:sz w:val="28"/>
          <w:szCs w:val="28"/>
          <w:rtl w:val="true"/>
          <w:lang w:bidi="fa-IR"/>
        </w:rPr>
        <w:t xml:space="preserve">ولم یجعل بدله تکبیرًا أو تسبیحًا أو ضربًا آخر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لمّا کان فی الدخول فی الصلوة تحریم الکلام للمخلوقین والتوجّه إلی الخالق، کان تحلیلها کلام المخلوقین و الإنتقال عنها، وابتداء المخلوقین </w:t>
      </w:r>
    </w:p>
    <w:p>
      <w:pPr>
        <w:pStyle w:val="BookText"/>
        <w:rPr/>
      </w:pPr>
      <w:r>
        <w:rPr>
          <w:rFonts w:ascii="IRNazanin" w:hAnsi="IRNazanin" w:eastAsia="IRNazanin"/>
          <w:color w:val="111111"/>
          <w:sz w:val="28"/>
          <w:sz w:val="28"/>
          <w:szCs w:val="28"/>
          <w:rtl w:val="true"/>
          <w:lang w:bidi="fa-IR"/>
        </w:rPr>
        <w:t xml:space="preserve">فی الکلام هو التسلیم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مرویّ فی العلل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وأصول الإسلام، بذلک السند أیضًا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جلالة قدر الفضل ممّا لا یفتقر إلی البیان، وأمّا ابن عبدوس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شرع فی تعدیله و تعدیل إبن قتیبة، و أطال الکلام باستشهاد علماء الرجال لتصحیح سند الخبرین و جعلهما من الصحاح، أو من أعلی درجات الحسان، وسیظهر لک قصور الخبرین عن الدلالة علی المدّعی،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رواه فی الخصال، عن الأعمش، عن جعفر بن محمّد علیهماالسلام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فی التشهد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علینا و علی عباد اللّه الصالحین، لأنّ تحلیل الصلوة هو التسلیم، وإذا قلت هذا فقد سلّمت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الروایات الثلاث تدلّ علی أنّه إذا أتی المصلّی بتلک الصیغة، فقد خرج من الصلوة و أتی بالتسلیم، ولکن لا یلزم من هذا أن یکون تلک الصیغة مندرجًا </w:t>
      </w:r>
      <w:r>
        <w:rPr>
          <w:rStyle w:val="FootnoteAnchor"/>
          <w:rtl w:val="true"/>
        </w:rPr>
        <w:footnoteReference w:id="499"/>
      </w:r>
      <w:r>
        <w:rPr>
          <w:rFonts w:ascii="IRNazanin" w:hAnsi="IRNazanin" w:eastAsia="IRNazanin"/>
          <w:color w:val="111111"/>
          <w:sz w:val="28"/>
          <w:sz w:val="28"/>
          <w:szCs w:val="28"/>
          <w:rtl w:val="true"/>
          <w:lang w:bidi="fa-IR"/>
        </w:rPr>
        <w:t xml:space="preserve">تحت إطلاق التسلیم بحیث إذا أطلق التسلیم یتبادر منه ذلک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ألیس قد ورد من ساداتنا و موالینا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الفقّاع خمر مجهول، و الفقّاع خمر إستصغره الناس </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 و مع ذلک لا یلزم إندراج الفقّاع تحت إطلاق الخمر، ونحن نعلم قطعًا إذا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علیکم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یتبادر تناول الفقّاع </w:t>
      </w:r>
      <w:r>
        <w:rPr>
          <w:rFonts w:eastAsia="IRNazanin" w:cs="IRNazanin"/>
          <w:color w:val="111111"/>
          <w:sz w:val="28"/>
          <w:szCs w:val="28"/>
          <w:rtl w:val="true"/>
          <w:lang w:bidi="fa-IR"/>
        </w:rPr>
        <w:t xml:space="preserve">. </w:t>
      </w:r>
      <w:bookmarkStart w:id="156" w:name="pg3709_22115"/>
    </w:p>
    <w:p>
      <w:pPr>
        <w:pStyle w:val="BookText"/>
        <w:rPr/>
      </w:pPr>
      <w:bookmarkEnd w:id="156"/>
      <w:r>
        <w:rPr>
          <w:rFonts w:ascii="IRNazanin" w:hAnsi="IRNazanin" w:eastAsia="IRNazanin"/>
          <w:color w:val="111111"/>
          <w:sz w:val="28"/>
          <w:sz w:val="28"/>
          <w:szCs w:val="28"/>
          <w:rtl w:val="true"/>
          <w:lang w:bidi="fa-IR"/>
        </w:rPr>
        <w:t xml:space="preserve">وکذا قد ورد عنهم علیهم‌السلام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رکعة فی الوقت فقد أدرک الصلوة </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 xml:space="preserve">، ولا یتبادر تلک الصلوة الخارجة عن الوقت عند الإطلاق، وکذا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المشعر فقد أدرک الحجّ </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 و کذا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التراب أحد الطهورین </w:t>
      </w:r>
      <w:r>
        <w:rPr>
          <w:rFonts w:eastAsia="IRNazanin" w:cs="IRNazanin"/>
          <w:color w:val="111111"/>
          <w:sz w:val="28"/>
          <w:szCs w:val="28"/>
          <w:rtl w:val="true"/>
          <w:lang w:bidi="fa-IR"/>
        </w:rPr>
        <w:t xml:space="preserve">»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ورد عنهم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صام شهرًا و یومًا فقد صام شهرین متتابعین </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 والحال أنّه لایتبادر ذلک عند الإطلاق، فلا یلزم من حکمهم علیهم‌السلام بأنّ من أتی بتلک الصیغة فقد سلّم أن یکون التسلیم إذا أطلق یتبادر منه ذلک، و لم یرد عنهم علیهم‌السلام فی النافلة إلاّ الإتیان بالتسلیمة أو تسلیمة واحدة، و تلک عند الإطلاق لا یتبادر منه إلاّ التسلیم الشایع الذایع المتبادر، و هو السلم الواقع بین الناس، و کان إبتداء کلامهم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لا ننازع فی أنّه لو أتی بالصیغة الأخری فقد انصرف عن الصلوة، لأنّ تلک الصیغة مفسدة للعبادة، کما هو صریح الروایة الآتیة، والسیّد ـ دام ظلّه ـ معترف بأنّ التسلیم یتبادر منه السلم الشایع بین المخلوقین، فالحدیث النبویّ الّذی استدلّ به لا یضرّنا، و تلک الأحادیث الّتی استشهد بها لإدراج تلک الصیغة تحت إطلاق التسلیم لا ینفعه، فقد ظهر ضعف الأساس و انهدام السقف والبنیان</w:t>
      </w:r>
      <w:r>
        <w:rPr>
          <w:rFonts w:eastAsia="IRNazanin" w:cs="IRNazanin"/>
          <w:color w:val="111111"/>
          <w:sz w:val="28"/>
          <w:szCs w:val="28"/>
          <w:rtl w:val="true"/>
          <w:lang w:bidi="fa-IR"/>
        </w:rPr>
        <w:t>.</w:t>
      </w:r>
    </w:p>
    <w:p>
      <w:pPr>
        <w:pStyle w:val="Heading3"/>
        <w:numPr>
          <w:ilvl w:val="2"/>
          <w:numId w:val="1"/>
        </w:numPr>
        <w:rPr/>
      </w:pPr>
      <w:bookmarkStart w:id="157" w:name="__RefHeading___Toc594131_2281741623"/>
      <w:bookmarkStart w:id="158" w:name="_Toc56"/>
      <w:bookmarkEnd w:id="157"/>
      <w:r>
        <w:rPr>
          <w:rtl w:val="true"/>
        </w:rPr>
        <w:t xml:space="preserve">الردّ علی قوله </w:t>
      </w:r>
      <w:r>
        <w:rPr>
          <w:rtl w:val="true"/>
        </w:rPr>
        <w:t xml:space="preserve">: </w:t>
      </w:r>
      <w:r>
        <w:rPr>
          <w:rtl w:val="true"/>
        </w:rPr>
        <w:t>وأمّا الجواب عن الإیراد الثانی، إلخ</w:t>
      </w:r>
      <w:bookmarkEnd w:id="15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الجواب عن الإیراد الثانی، أی کون المتبادر من التسلیم هو السلم علیکم، فهو أنّ ذلک و إن کان مسلّمًا فی </w:t>
      </w:r>
    </w:p>
    <w:p>
      <w:pPr>
        <w:pStyle w:val="BookText"/>
        <w:rPr/>
      </w:pPr>
      <w:r>
        <w:rPr>
          <w:rFonts w:ascii="IRNazanin" w:hAnsi="IRNazanin" w:eastAsia="IRNazanin"/>
          <w:color w:val="111111"/>
          <w:sz w:val="28"/>
          <w:sz w:val="28"/>
          <w:szCs w:val="28"/>
          <w:rtl w:val="true"/>
          <w:lang w:bidi="fa-IR"/>
        </w:rPr>
        <w:t xml:space="preserve">کلمات الأصحاب،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موثّقة أبی بصیر المشتملة علی التشهد الطویل المرویّة فی التهذیب دلالة علیه، لأنّه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 أیّها النبیّ و رحمة اللّه و برکاته، السلم علی أنبیاء اللّه و رسله، السلم علی جبرئیل ومیکائیل و الملائکة المقرّبین، السلم علی محمّد بن عبداللّه خاتم النبیّین لا نبیّ بعده، السلم علینا و علی عباد اللّه الصالحین، ثم تسلّم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الإتیان بصیغة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 علینا و علی عباد اللّه الصالحین و غیرها دلیل علی أنّ التسلیم المطلق لا ینصرف إلاّ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علیکم، لکنّه فی النبویّ المذکور غیر مسلّم، کیف مع أنّک قد عرفت ممّا ذکرناه نصًّا صریحًا علی خلاف ذلک، و انّه فی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تحلیلها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علینا و علی عباد اللّه الصالحین، لقوله علیه‌السلام فی الحسن المقدّم القریب من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تقول فی التشهد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علینا و علی عباد اللّه الصالحین، لأنّ تحلیل الصلوة التسلیم، فإذا قلت هذا فقد سلّمت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ما تقدّم فی الخصال </w:t>
      </w:r>
      <w:r>
        <w:rPr>
          <w:rStyle w:val="FootnoteAnchor"/>
          <w:rtl w:val="true"/>
        </w:rPr>
        <w:footnoteReference w:id="508"/>
      </w:r>
      <w:r>
        <w:rPr>
          <w:rFonts w:ascii="IRNazanin" w:hAnsi="IRNazanin" w:eastAsia="IRNazanin"/>
          <w:color w:val="111111"/>
          <w:sz w:val="28"/>
          <w:sz w:val="28"/>
          <w:szCs w:val="28"/>
          <w:rtl w:val="true"/>
          <w:lang w:bidi="fa-IR"/>
        </w:rPr>
        <w:t xml:space="preserve">فالإیراد المذکور حینئذ إجتهاد فی مقابل </w:t>
      </w:r>
      <w:r>
        <w:rPr>
          <w:rStyle w:val="FootnoteAnchor"/>
          <w:rtl w:val="true"/>
        </w:rPr>
        <w:footnoteReference w:id="509"/>
      </w:r>
      <w:r>
        <w:rPr>
          <w:rFonts w:ascii="IRNazanin" w:hAnsi="IRNazanin" w:eastAsia="IRNazanin"/>
          <w:color w:val="111111"/>
          <w:sz w:val="28"/>
          <w:sz w:val="28"/>
          <w:szCs w:val="28"/>
          <w:rtl w:val="true"/>
          <w:lang w:bidi="fa-IR"/>
        </w:rPr>
        <w:t xml:space="preserve">النصّ، فلایعتنی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إعتراف السیّد بأنّ المتبادر من التسلیم المطلق هو السلم الشایع بین المخلوقین، و إطباق الأصحاب، و موافقة کلماتهم و عباراتهم، و صراحة موثّقة أبی بصیر علی أنّ التسلیم المطلق هو هذا، کیف یصحّ للسیّد بعد الإعتراف المذکور أن یتمسّک بالحدیث النبویّ فی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وتحلیلها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اندارج تلک الصیغة تحت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وتحلیلها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 مانع فی الحدیث النبویّ لیمنع حمله علی المتبادر ؟ بل الحدیث النبویّ حجّة لنا لا علینا، إذ هو یدلّ علی أنّ المأخوذ فی تلک العبادة، و المعتبر فی مهیّتها وجوهرها، فتحًا و ختمًا، تحریمًا و تحلیلاً،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إفتتاحها التکبیر، إختتامها التسلیم، و کما أنّ التکبیر لا یدلّ علی أزید من اللّه اکبر، فالتسلیم للإختتام لایدلّ علی أزید ممّا یتبادر منه، و هو السلم علیکم، فهذا الحدیث یدلّ علی وجوب التسلیم فی الصلوة تحلیلاً، شرطًا کان أو شطرًا، و لذا تمسّک به القائلون بالوجوب، ولا دلالة فیه علی وضعه لتلک الصیغة بعد وضعه للسلام الشایع، لا لغةً، ولا عرفًا عامًّا، ولا حقیقة شرعیّة، ولا عرفًا خاصًّا، ولا مطابقة ولا تضمّنًا ولا إلتزامًا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من المستفیضة أنّ الآتی بتلک الصیغة أتی بالتسلیم الموجب للإنصراف، و لعلّ منزلتها منزلة فعل مبطل للصلوة کالحدث بعد الفراغ، ولایلزم منه أن یکون التسلیم کلّما أطلق یتبادر منه تلک الصیغة لیلزم أن یکون الحدیث النبویّ باطلاقه حجّة للسیّد ـ دام ظلّه ـ وقد ذکرنا فی الحاشیة السابقة وجه القصور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إنّی لفی تعجّب من السیّد، مع کونه عَلَمًا فی التحقیق و التدقیق، ذا فطانة وکیاسة، و سبق جواده فی میدان الفقاهة، کیف یخفی علیه ذلک و زعم أنّ الحدیث شامل لکلتی الصیغتین باطلاقه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تسلیمه أوّلاً، و حکایته وفاق الأصحاب </w:t>
      </w:r>
      <w:bookmarkStart w:id="159" w:name="pg3709_22118"/>
    </w:p>
    <w:p>
      <w:pPr>
        <w:pStyle w:val="BookText"/>
        <w:rPr/>
      </w:pPr>
      <w:bookmarkEnd w:id="159"/>
      <w:r>
        <w:rPr>
          <w:rFonts w:ascii="IRNazanin" w:hAnsi="IRNazanin" w:eastAsia="IRNazanin"/>
          <w:color w:val="111111"/>
          <w:sz w:val="28"/>
          <w:sz w:val="28"/>
          <w:szCs w:val="28"/>
          <w:rtl w:val="true"/>
          <w:lang w:bidi="fa-IR"/>
        </w:rPr>
        <w:t xml:space="preserve">ثانیًا، و ذکر الموثّقة الصریحة فی البیان ثالثًا، فالمنع بعد تلک التسلیمات لعمر الحبیب کمنع النتیجة بعد تسلیم المقدّمتین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فساد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الإیراد المذکور إجتهاد فی مقابلة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أنّی له بالنصّ ولیس بیده إلاّ تلک الروایات المصرّحة بأنّ الآتی بتلک الصیغة أتی بالتسلیم الموجب للإنصراف، و لذا منعوا من الإتیان بها فی التشهد الأوّل لحصول الإنصراف به، و لیس فی التشهد الأوّل إنصراف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أنّ مجرّد ذلک لا یدلّ علی المدّعی، کما أنّ الفقّاع یطلق علیه الخمر فی الروایات، و لایستلزم الإستعمال أن یکون حقیقة، إذ الإستعمال أعمّ من الحقیقة ـ کما حقّق فی محلّه ـ و قد کان فی خاطری أنّ المحقّق المبرور مولانا آقا محمّد باقر، قد صرّح بذلک فی فوائده العتیق </w:t>
      </w:r>
      <w:r>
        <w:rPr>
          <w:rStyle w:val="FootnoteAnchor"/>
          <w:rtl w:val="true"/>
        </w:rPr>
        <w:footnoteReference w:id="510"/>
      </w:r>
      <w:r>
        <w:rPr>
          <w:rFonts w:ascii="IRNazanin" w:hAnsi="IRNazanin" w:eastAsia="IRNazanin"/>
          <w:color w:val="111111"/>
          <w:sz w:val="28"/>
          <w:sz w:val="28"/>
          <w:szCs w:val="28"/>
          <w:rtl w:val="true"/>
          <w:lang w:bidi="fa-IR"/>
        </w:rPr>
        <w:t xml:space="preserve">، و لیس عندی لأنظر فیه وأنقل کلامه، فلعلّ إطلاق التسلیم علی تلک الصیغة لأجل ملاحظة علاقة و مناسبة </w:t>
      </w:r>
      <w:r>
        <w:rPr>
          <w:rFonts w:eastAsia="IRNazanin" w:cs="IRNazanin"/>
          <w:color w:val="111111"/>
          <w:sz w:val="28"/>
          <w:szCs w:val="28"/>
          <w:rtl w:val="true"/>
          <w:lang w:bidi="fa-IR"/>
        </w:rPr>
        <w:t>.</w:t>
      </w:r>
    </w:p>
    <w:p>
      <w:pPr>
        <w:pStyle w:val="Heading3"/>
        <w:numPr>
          <w:ilvl w:val="2"/>
          <w:numId w:val="1"/>
        </w:numPr>
        <w:rPr/>
      </w:pPr>
      <w:bookmarkStart w:id="160" w:name="__RefHeading___Toc594133_2281741623"/>
      <w:bookmarkStart w:id="161" w:name="_Toc57"/>
      <w:bookmarkEnd w:id="160"/>
      <w:r>
        <w:rPr>
          <w:rtl w:val="true"/>
        </w:rPr>
        <w:t xml:space="preserve">الردّ علی قوله </w:t>
      </w:r>
      <w:r>
        <w:rPr>
          <w:rtl w:val="true"/>
        </w:rPr>
        <w:t xml:space="preserve">: </w:t>
      </w:r>
      <w:r>
        <w:rPr>
          <w:rtl w:val="true"/>
        </w:rPr>
        <w:t>لایقال</w:t>
      </w:r>
      <w:r>
        <w:rPr>
          <w:rtl w:val="true"/>
        </w:rPr>
        <w:t xml:space="preserve">: </w:t>
      </w:r>
      <w:r>
        <w:rPr>
          <w:rtl w:val="true"/>
        </w:rPr>
        <w:t>إنّ التمسّک به فیما نحن فیه غیر صحیح، إلخ</w:t>
      </w:r>
      <w:bookmarkEnd w:id="16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التمسّک به فیما نحن فیه غیر صحیح، لکون المتبادر من الصلوة الفریضة، فلا یصحّ التمسّک به فی إثبات الحکم بالإضافة إلی النافلة، لوضوح تطرّق المنع إلی ذلک، بل الظاهر منها أنّ الشیئین المذکورین من التحریم </w:t>
      </w:r>
      <w:r>
        <w:rPr>
          <w:rStyle w:val="FootnoteAnchor"/>
          <w:rtl w:val="true"/>
        </w:rPr>
        <w:footnoteReference w:id="511"/>
      </w:r>
      <w:r>
        <w:rPr>
          <w:rFonts w:ascii="IRNazanin" w:hAnsi="IRNazanin" w:eastAsia="IRNazanin"/>
          <w:color w:val="111111"/>
          <w:sz w:val="28"/>
          <w:sz w:val="28"/>
          <w:szCs w:val="28"/>
          <w:rtl w:val="true"/>
          <w:lang w:bidi="fa-IR"/>
        </w:rPr>
        <w:t>بالتکبیر، و التحلیل بالتسلیم، بالإضافة إلی مهیّة الصلوة کائنة ما کانت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یؤیّده ما ذکره </w:t>
      </w:r>
      <w:r>
        <w:rPr>
          <w:rStyle w:val="FootnoteAnchor"/>
          <w:rtl w:val="true"/>
        </w:rPr>
        <w:footnoteReference w:id="512"/>
      </w:r>
      <w:r>
        <w:rPr>
          <w:rFonts w:ascii="IRNazanin" w:hAnsi="IRNazanin" w:eastAsia="IRNazanin"/>
          <w:color w:val="111111"/>
          <w:sz w:val="28"/>
          <w:sz w:val="28"/>
          <w:szCs w:val="28"/>
          <w:rtl w:val="true"/>
          <w:lang w:bidi="fa-IR"/>
        </w:rPr>
        <w:t>فی صدره، علی ما فی باب النوادر من الکافی، و 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إفتتاح الصلوة الوضوء، و تحریمها التکبیر، و تحلیلها التسلیم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الضمیر فی هذه راجع إلی الصلوة المذکورة فی أوّل الحدیث، و هی الّتی تفتتح بالوضوء، ومعلوم أنّهما </w:t>
      </w:r>
      <w:r>
        <w:rPr>
          <w:rStyle w:val="FootnoteAnchor"/>
          <w:rtl w:val="true"/>
        </w:rPr>
        <w:footnoteReference w:id="514"/>
      </w:r>
      <w:r>
        <w:rPr>
          <w:rFonts w:ascii="IRNazanin" w:hAnsi="IRNazanin" w:eastAsia="IRNazanin"/>
          <w:color w:val="111111"/>
          <w:sz w:val="28"/>
          <w:sz w:val="28"/>
          <w:szCs w:val="28"/>
          <w:rtl w:val="true"/>
          <w:lang w:bidi="fa-IR"/>
        </w:rPr>
        <w:t xml:space="preserve">أعمّ من الفریضة والنافلة، و هو مسلم بالإضافة إلی تحریمها، فکذا بالإضافة إلی تحلیلها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ندّعی و لا أحد من أهل الحلّ و العقد من المسلمین خلاف ذلک، سواء کان المتبادر منها الفریضة، أو أعمّ، إذ الوضوء شرط لصحّة الصلوة مطلقًا، ولاحاجة إلی إستثناء صلاة المیّت، إذ هی فی الحقیقة دعاء، فکما أنّ الوضوء شرط لمطلقها، فکذلک التحریم والتحلیل مأخوذان فیها مطلقًا، فریضةً کانت أو نافلة، و هل رأیت أحدًا یقول بأنّ النافلة لا تسلیم فیها، بل الکلام فی أنّ التسلیم لیس أمرًا زائدًا علی السلم الشایع، فالصلاة ـ أیّ صلاة کانت ـ محتاجة إلی محلِّل یحصل التحلیل به، کما أنّ الصلوة مطلقًا لها مبدأ به یتحقّق التحریم، ولا یدلّ تلک الأخبار و الآثار علی أمر زائد، بل مدلول تلک الأخبار هو أنّ التحلیل یحصل بالتسلیم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المتبادر من التسلیم هو الکلام الشایع بین المخلوقین المعبّر عنه بالسلام علیکم، و لا ینکر ذلک أحد، حتّی أنّ السیّد ـ سلّمه اللّه، لتقدّس نفسه الزکیّة، مع کونه منازعًا ـ لم یخرج عن الإنصاف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التبادر المذکور إتّفاقیّ، وکلمات الأصحاب متّفقة علی التبادر، بل النصوص مصرّحة بذلک </w:t>
      </w:r>
      <w:r>
        <w:rPr>
          <w:rFonts w:eastAsia="IRNazanin" w:cs="IRNazanin"/>
          <w:color w:val="111111"/>
          <w:sz w:val="28"/>
          <w:szCs w:val="28"/>
          <w:rtl w:val="true"/>
          <w:lang w:bidi="fa-IR"/>
        </w:rPr>
        <w:t xml:space="preserve">» . </w:t>
      </w:r>
      <w:bookmarkStart w:id="162" w:name="pg3709_22120"/>
    </w:p>
    <w:p>
      <w:pPr>
        <w:pStyle w:val="BookText"/>
        <w:rPr/>
      </w:pPr>
      <w:bookmarkEnd w:id="162"/>
      <w:r>
        <w:rPr>
          <w:rFonts w:ascii="IRNazanin" w:hAnsi="IRNazanin" w:eastAsia="IRNazanin"/>
          <w:color w:val="111111"/>
          <w:sz w:val="28"/>
          <w:sz w:val="28"/>
          <w:szCs w:val="28"/>
          <w:rtl w:val="true"/>
          <w:lang w:bidi="fa-IR"/>
        </w:rPr>
        <w:t xml:space="preserve">و لیس بید السیّد إلاّ تلک الأخبار الدالّة علی أنّ المصلّی إذا أتی بالصیغة الأخری فقد أتی بالتسلیم، و هذا القدر لا یکفیه، لأنّی لا أنکر أنّ المصلّی نافلة إذا أتی بتلک الصیغة منفردة أو مع إنضمام السلم الشایع أتی بالمحلِّل، لأنّ بتلک الصیغة یتحقّق الإنصراف، ولکنّ الکلام فی أنّ الوارد علینا من العترة الطاهرة روایة لیس إلاّ الأمر بالتسلیم بقولهم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 تسلیمة </w:t>
      </w:r>
      <w:r>
        <w:rPr>
          <w:rFonts w:eastAsia="IRNazanin" w:cs="IRNazanin"/>
          <w:color w:val="111111"/>
          <w:sz w:val="28"/>
          <w:szCs w:val="28"/>
          <w:rtl w:val="true"/>
          <w:lang w:bidi="fa-IR"/>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وتسلّم تسلیمًا </w:t>
      </w:r>
      <w:r>
        <w:rPr>
          <w:rFonts w:eastAsia="Amiri" w:cs="Amiri" w:ascii="Amiri" w:hAnsi="Amiri"/>
          <w:color w:val="111111"/>
          <w:sz w:val="28"/>
          <w:szCs w:val="28"/>
          <w:rtl w:val="true"/>
          <w:lang w:bidi="ar-SA"/>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 و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کلّ رکعتین تسلیمة واحدة </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الإعتراف بالتبادر و بلوغ الأخبار عنهم بالتسلیمة، أو التسلیمة الواحدة، فلا مجال للسیّد ـ دام ظلّه واجتهاده ـ بأنّ النافلة لابدّ أن یکون تحلیلها کتحلیل الفریضة، والإتیان بالصیغ الثلاث أو الإثنین </w:t>
      </w:r>
      <w:r>
        <w:rPr>
          <w:rStyle w:val="FootnoteAnchor"/>
          <w:rtl w:val="true"/>
        </w:rPr>
        <w:footnoteReference w:id="518"/>
      </w:r>
      <w:r>
        <w:rPr>
          <w:rFonts w:ascii="IRNazanin" w:hAnsi="IRNazanin" w:eastAsia="IRNazanin"/>
          <w:color w:val="111111"/>
          <w:sz w:val="28"/>
          <w:sz w:val="28"/>
          <w:szCs w:val="28"/>
          <w:rtl w:val="true"/>
          <w:lang w:bidi="fa-IR"/>
        </w:rPr>
        <w:t xml:space="preserve">لأجل إتّحاد المهیّة، و لأنّ بالصیغة المذکورة یحصل الإنصراف، مع أنّ الوارد فی الأخبار الأمر بالتسلیمة وبیان التشهّد فی الفریضة و عدّ الصیغ فیها، و بیان التشهد فی النافلة و عدم التعرّض لتلک الصیغ، والمبیِّن مثل شیخ الفرقة و رئیس الطائفة کما سیذکر السیّد منه ومن جماعة من المشایخ العظام، أیّ باعث و داعٍ له علی الإبرام فی ذلک، والحمد للّه </w:t>
      </w:r>
      <w:r>
        <w:rPr>
          <w:rFonts w:eastAsia="IRNazanin" w:cs="IRNazanin"/>
          <w:color w:val="111111"/>
          <w:sz w:val="28"/>
          <w:szCs w:val="28"/>
          <w:rtl w:val="true"/>
          <w:lang w:bidi="fa-IR"/>
        </w:rPr>
        <w:t>.</w:t>
      </w:r>
    </w:p>
    <w:p>
      <w:pPr>
        <w:pStyle w:val="Heading3"/>
        <w:numPr>
          <w:ilvl w:val="2"/>
          <w:numId w:val="1"/>
        </w:numPr>
        <w:rPr/>
      </w:pPr>
      <w:bookmarkStart w:id="163" w:name="__RefHeading___Toc594135_2281741623"/>
      <w:bookmarkStart w:id="164" w:name="_Toc58"/>
      <w:bookmarkEnd w:id="163"/>
      <w:r>
        <w:rPr>
          <w:rtl w:val="true"/>
        </w:rPr>
        <w:t xml:space="preserve">الردّ علی قوله </w:t>
      </w:r>
      <w:r>
        <w:rPr>
          <w:rtl w:val="true"/>
        </w:rPr>
        <w:t xml:space="preserve">: </w:t>
      </w:r>
      <w:r>
        <w:rPr>
          <w:rtl w:val="true"/>
        </w:rPr>
        <w:t>ومن إطلاقات النصوص المشار إلیها، ما رواه، إلخ</w:t>
      </w:r>
      <w:bookmarkEnd w:id="16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إطلاقات النصوص المشار إلیها، ما رواه </w:t>
      </w:r>
    </w:p>
    <w:p>
      <w:pPr>
        <w:pStyle w:val="BookText"/>
        <w:rPr/>
      </w:pPr>
      <w:r>
        <w:rPr>
          <w:rFonts w:ascii="IRNazanin" w:hAnsi="IRNazanin" w:eastAsia="IRNazanin"/>
          <w:color w:val="111111"/>
          <w:sz w:val="28"/>
          <w:sz w:val="28"/>
          <w:szCs w:val="28"/>
          <w:rtl w:val="true"/>
          <w:lang w:bidi="fa-IR"/>
        </w:rPr>
        <w:t xml:space="preserve">فی أواخر السرائر، و یمکن جعله صحیحًا، نقلاً عن کتاب حریز، عن أبی بصیر، عن مولانا الباقر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إفصل بین کلّ رکعتین من نوافلک بالتسلیم </w:t>
      </w:r>
      <w:r>
        <w:rPr>
          <w:rStyle w:val="FootnoteAnchor"/>
          <w:rtl w:val="true"/>
        </w:rPr>
        <w:footnoteReference w:id="519"/>
      </w:r>
      <w:r>
        <w:rPr>
          <w:rFonts w:ascii="IRNazanin" w:hAnsi="IRNazanin" w:eastAsia="IRNazanin"/>
          <w:color w:val="111111"/>
          <w:sz w:val="28"/>
          <w:sz w:val="28"/>
          <w:szCs w:val="28"/>
          <w:rtl w:val="true"/>
          <w:lang w:bidi="fa-IR"/>
        </w:rPr>
        <w:t xml:space="preserve">، فإنّ التسلیم فیه یشمل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علینا و علی عباد اللّه الصالحین أیضًا، کما عرفت من الحدیثین المذکورین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لذلک أیضًا الموثّق ـ کالصحیح ـ المرویّ فی باب أحکام السهو من زیادات التهذیب، عن یونس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بقوم صلاة فقعدت للتشهد، ثمّ قمت و نسیت أن أسلّم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سلّمت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تسلّم و أنت جالس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علیک، و لو نسیت حین قالوا لک ذلک إستقبلتهم بوجهک،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علیکم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الظاهر من صدر الحدیث و ذیله أنّ المنسیّ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علیکم، ومع ذلک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تسلّم و أنت جالس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 فیکون المراد من السؤال غیر السلم علیکم، و الظاهر أنّه السلم علینا وعلی عباد اللّه الصالحین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الظاهر أنّ المراد منه أنّه سلّم حال الجلوس، لما قرّر فی محلّه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لنقض النفی المتقدّم، ودلالته علی ثبوت المنفی، سواء فی </w:t>
      </w:r>
      <w:r>
        <w:rPr>
          <w:rStyle w:val="FootnoteAnchor"/>
          <w:rtl w:val="true"/>
        </w:rPr>
        <w:footnoteReference w:id="522"/>
      </w:r>
      <w:r>
        <w:rPr>
          <w:rFonts w:ascii="IRNazanin" w:hAnsi="IRNazanin" w:eastAsia="IRNazanin"/>
          <w:color w:val="111111"/>
          <w:sz w:val="28"/>
          <w:sz w:val="28"/>
          <w:szCs w:val="28"/>
          <w:rtl w:val="true"/>
          <w:lang w:bidi="fa-IR"/>
        </w:rPr>
        <w:t xml:space="preserve">ذلک النفی مجرّدًا، کقولک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أکلت الیوم،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أو مقرونًا بالإستفهام، فهی حینئذ لنقض النفی الّذی بعد الإستفهام، و دلالته علی تقریر المنفی و ثبوته، کما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أَیَحْسَبُ الإِنْسَانُ أَنْ 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Style w:val="FootnoteAnchor"/>
          <w:rtl w:val="true"/>
        </w:rPr>
        <w:footnoteReference w:id="523"/>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نجمع عظامه ؛ وهذا هو الفرق 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السیّد ـ دام ظلّه ـ بعد کلام طویل فی تحقیق الفرق بین اللفظین، وفی اختلاف متن الحدیث و سهو النسّاخ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إطلاقات المشار إلیها الصحیح المرویّ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 xml:space="preserve">التشهد فی الرکعتین الأولیین والرابعة والتسلیم من الکافی، وباب کیفیّة الصلوة فی </w:t>
      </w:r>
      <w:r>
        <w:rPr>
          <w:rStyle w:val="FootnoteAnchor"/>
          <w:rtl w:val="true"/>
        </w:rPr>
        <w:footnoteReference w:id="525"/>
      </w:r>
      <w:r>
        <w:rPr>
          <w:rFonts w:ascii="IRNazanin" w:hAnsi="IRNazanin" w:eastAsia="IRNazanin"/>
          <w:color w:val="111111"/>
          <w:sz w:val="28"/>
          <w:sz w:val="28"/>
          <w:szCs w:val="28"/>
          <w:rtl w:val="true"/>
          <w:lang w:bidi="fa-IR"/>
        </w:rPr>
        <w:t xml:space="preserve">زیادات التهذیب، عن الحلبی،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علینا وعلی عباد اللّه الصالحین، فقد انصرفت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أنّ المراد بقول ذلک فی الصلوة أعمّ من الفریضة و النافلة </w:t>
      </w:r>
      <w:r>
        <w:rPr>
          <w:rStyle w:val="FootnoteAnchor"/>
          <w:rtl w:val="true"/>
        </w:rPr>
        <w:footnoteReference w:id="527"/>
      </w:r>
      <w:r>
        <w:rPr>
          <w:rFonts w:ascii="IRNazanin" w:hAnsi="IRNazanin" w:eastAsia="IRNazanin"/>
          <w:color w:val="111111"/>
          <w:sz w:val="28"/>
          <w:sz w:val="28"/>
          <w:szCs w:val="28"/>
          <w:rtl w:val="true"/>
          <w:lang w:bidi="fa-IR"/>
        </w:rPr>
        <w:t xml:space="preserve">، کما لایخفی علی مَن له درک و فطانة، علی أنّا لم نجد أحدًا من العلماء مَن فرّق بین المقامین، کما لایخفی علی من تصفّح کلماتهم فی البین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توهّم إستفادة ذلک من کلام الشیخ ـ نوّر اللّه مضجعه ـ فی المصباح، حیث اقتصر فی تسلیم النافلة فی الزوال بصیغة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علیکم، فغیر جیّد، لجواز أن یکون ذلک من باب الإکتفاء بأحد الأمرین المخیّرین، بل هو المتعیّن لما ستقف من عبارته الدالّة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المذکورة فی أواخر السرائر لا یدلّ </w:t>
      </w:r>
      <w:r>
        <w:rPr>
          <w:rStyle w:val="FootnoteAnchor"/>
          <w:rtl w:val="true"/>
        </w:rPr>
        <w:footnoteReference w:id="528"/>
      </w:r>
      <w:r>
        <w:rPr>
          <w:rFonts w:ascii="IRNazanin" w:hAnsi="IRNazanin" w:eastAsia="IRNazanin"/>
          <w:color w:val="111111"/>
          <w:sz w:val="28"/>
          <w:sz w:val="28"/>
          <w:szCs w:val="28"/>
          <w:rtl w:val="true"/>
          <w:lang w:bidi="fa-IR"/>
        </w:rPr>
        <w:t xml:space="preserve">علی مرامه، إلاّ إذا ثبت أنّ التسلیم والتسلیمة فی کلام الشارع إسم لتینک الصیغتین، بحیث إذا أطلق یتبادر منه کلاهما </w:t>
      </w:r>
      <w:r>
        <w:rPr>
          <w:rStyle w:val="FootnoteAnchor"/>
          <w:rtl w:val="true"/>
        </w:rPr>
        <w:footnoteReference w:id="529"/>
      </w:r>
      <w:r>
        <w:rPr>
          <w:rFonts w:ascii="IRNazanin" w:hAnsi="IRNazanin" w:eastAsia="IRNazanin"/>
          <w:color w:val="111111"/>
          <w:sz w:val="28"/>
          <w:sz w:val="28"/>
          <w:szCs w:val="28"/>
          <w:rtl w:val="true"/>
          <w:lang w:bidi="fa-IR"/>
        </w:rPr>
        <w:t xml:space="preserve">أو إحدیهما، و قد عرفت أنّه لیس کذلک، و شهد بذلک إعتراف السیّد بإطباق کلمات الفقهاء قاطبة أنّ المتبادر من ذلک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الإستشهاد بکلام الإمام علیه‌السلام بأنّک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علینا و علی عباد اللّه الصالحین، فقد سلّمت، قد عرفت ما فیه و فی نظائره من أنّ الإستعمال أعمّ من الحقیقة، فیحتمل أن یکون مجازًا کإطلاق الخمر علی الفقّاع، فظهر ضعف دلالة ما استدلّ به فی النافلة، إذ لیس فی الروایة إلاّ الأمر بالفصل بین کلّ رکعتین من النافلة بالتسلیم، و لا نزاع فیه، بل هو شاهد لنا لا علینا بعد أن عرفت أنّ المتبادر من التسلیم هو السلم الشایع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الروایة المذکورة فی زیادات التهذیب الّتی استشهد بها علی مرامه، فهی مع کون موردها الفریضة الخارجة عن محلّ النزاع لا دلالة فیها علی أنّ التسلیم یتبادر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علینا و علی عباد اللّه الصالحین، بل تلک الروایة یشعر </w:t>
      </w:r>
      <w:r>
        <w:rPr>
          <w:rStyle w:val="FootnoteAnchor"/>
          <w:rtl w:val="true"/>
        </w:rPr>
        <w:footnoteReference w:id="530"/>
      </w:r>
      <w:r>
        <w:rPr>
          <w:rFonts w:ascii="IRNazanin" w:hAnsi="IRNazanin" w:eastAsia="IRNazanin"/>
          <w:color w:val="111111"/>
          <w:sz w:val="28"/>
          <w:sz w:val="28"/>
          <w:szCs w:val="28"/>
          <w:rtl w:val="true"/>
          <w:lang w:bidi="fa-IR"/>
        </w:rPr>
        <w:t>بظاهرها عدم وجوب السلم علیکم بعد أن أتی بما یتحقّق به الإنصراف، ولکن هذا فی حال‌السهو والنسیان وبعد التذکّر أو تذکیر المأمومین الإمام یجب علیه الإتیان به کما فی آخر الروایة، فلا دلالة فیها علی عدم الوجوب أیضًا کما لایخفی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الإستشهاد بروایة الحلبی، فهو أیضًا فی غایة الضعف، إذ موردها الفریضة، کما صرّح به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المرویّ فی التشهد فی الرکعتین الأولیین </w:t>
      </w:r>
    </w:p>
    <w:p>
      <w:pPr>
        <w:pStyle w:val="BookText"/>
        <w:rPr/>
      </w:pP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شکّ أنّ التشهد فی الأولیین و الرابعة لیس إلاّ فی الفریضة المشتملة علی أربع رکعات المتضمّنة علی تشهدین الأولی والثانیة </w:t>
      </w:r>
      <w:r>
        <w:rPr>
          <w:rStyle w:val="FootnoteAnchor"/>
          <w:rtl w:val="true"/>
        </w:rPr>
        <w:footnoteReference w:id="531"/>
      </w:r>
      <w:r>
        <w:rPr>
          <w:rFonts w:ascii="IRNazanin" w:hAnsi="IRNazanin" w:eastAsia="IRNazanin"/>
          <w:color w:val="111111"/>
          <w:sz w:val="28"/>
          <w:sz w:val="28"/>
          <w:szCs w:val="28"/>
          <w:rtl w:val="true"/>
          <w:lang w:bidi="fa-IR"/>
        </w:rPr>
        <w:t xml:space="preserve">، و قد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علینا و علی عباد اللّه الصالحین، فقد انصرفت، و نحن نسلّم ذلک بلا نزاع و لا تأمّل، و أین المدّعی من هذا، و هذا واضح بحمد اللّه لِمَن تجنَّب عن اللجاج و کان طالبًا للرشد والسداد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دام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أنّا لم نجد أحدًا فرّق بین المقامین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ففیه أنّا لم نجد من کلمات القوم و فتاویهم و روایات سادات القوم و موالیهم إلاّ الإکتفاء فی النافلة بالتسلیمة، و وجدناهم مع إعتراف السیّد ـ زید عمره ـ مصرّحین بأنّ التسلیم إسم للسّلام علیکم، فبعد اللُّتیّا والّتی لعمر الحبیب هل یلیق ممَّن لا غرض له إلاّ ابتغاء وجه اللّه و رضوانه أن یصرّ و یبرم فی خلاف ذلک و لیس له خبر أصلاً ـ ولو کان ضعیف السند ـ یشمل علی مرامه، مع أنّ المذکور فی المصباح </w:t>
      </w:r>
      <w:r>
        <w:rPr>
          <w:rStyle w:val="FootnoteAnchor"/>
          <w:rtl w:val="true"/>
        </w:rPr>
        <w:footnoteReference w:id="532"/>
      </w:r>
      <w:r>
        <w:rPr>
          <w:rFonts w:ascii="IRNazanin" w:hAnsi="IRNazanin" w:eastAsia="IRNazanin"/>
          <w:color w:val="111111"/>
          <w:sz w:val="28"/>
          <w:sz w:val="28"/>
          <w:szCs w:val="28"/>
          <w:rtl w:val="true"/>
          <w:lang w:bidi="fa-IR"/>
        </w:rPr>
        <w:t xml:space="preserve">الّذی ألّفه لتعلیم الشیعة آداب العبادة علی وجه الإکمال، ذکر التسلیم فی النافلة، وصرّح بقوله بعد ذکر تمام المندوبات والمکمِّلات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علیکم و رحمة اللّه وبرکاته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الباعث له ـ دام ظلّه ـ أن یحمل ما ذکره الشیخ علی التخییر بین الأمرین، والحال أنّه لو کان کذلک لکان الجمع بین الصیغتین أکمل و أفضل، والّذی یذکر ویأمر بذکر الرکوع سبع مرّات مع الأدعیة السابقة و اللاحقة، و کذا السجود والتشهد المشتمل علی الأدعیة المندوبة، کیف ترک الجمع المشتمل علی الأفضلیّة والأکملیّة، بل یحتمل الوجوب الشرطیّ لأجل إتّحاد الفریضة والنافلة بحسب النوع والمهیّة، أغفل عن ذلک أو تسامح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الحبیب لم یغفل و لم یتسامح، بل </w:t>
      </w:r>
      <w:bookmarkStart w:id="165" w:name="pg3709_22125"/>
    </w:p>
    <w:p>
      <w:pPr>
        <w:pStyle w:val="BookText"/>
        <w:rPr/>
      </w:pPr>
      <w:bookmarkEnd w:id="165"/>
      <w:r>
        <w:rPr>
          <w:rFonts w:ascii="IRNazanin" w:hAnsi="IRNazanin" w:eastAsia="IRNazanin"/>
          <w:color w:val="111111"/>
          <w:sz w:val="28"/>
          <w:sz w:val="28"/>
          <w:szCs w:val="28"/>
          <w:rtl w:val="true"/>
          <w:lang w:bidi="fa-IR"/>
        </w:rPr>
        <w:t>لم یصل إلیه من موالیه فی النافلة إلاّ الأمر بالتسلیم، أو التسلیمة الواحدة المتبادرة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علیکم و رحمة اللّه و برکاته </w:t>
      </w:r>
      <w:r>
        <w:rPr>
          <w:rFonts w:eastAsia="IRNazanin" w:cs="IRNazanin"/>
          <w:color w:val="111111"/>
          <w:sz w:val="28"/>
          <w:szCs w:val="28"/>
          <w:rtl w:val="true"/>
          <w:lang w:bidi="fa-IR"/>
        </w:rPr>
        <w:t>.</w:t>
      </w:r>
    </w:p>
    <w:p>
      <w:pPr>
        <w:pStyle w:val="Heading3"/>
        <w:numPr>
          <w:ilvl w:val="2"/>
          <w:numId w:val="1"/>
        </w:numPr>
        <w:rPr/>
      </w:pPr>
      <w:bookmarkStart w:id="166" w:name="__RefHeading___Toc594137_2281741623"/>
      <w:bookmarkStart w:id="167" w:name="_Toc59"/>
      <w:bookmarkEnd w:id="166"/>
      <w:r>
        <w:rPr>
          <w:rtl w:val="true"/>
        </w:rPr>
        <w:t xml:space="preserve">الردّ علی قوله </w:t>
      </w:r>
      <w:r>
        <w:rPr>
          <w:rtl w:val="true"/>
        </w:rPr>
        <w:t xml:space="preserve">: </w:t>
      </w:r>
      <w:r>
        <w:rPr>
          <w:rtl w:val="true"/>
        </w:rPr>
        <w:t>المطلب الثانی</w:t>
      </w:r>
      <w:r>
        <w:rPr>
          <w:rtl w:val="true"/>
        </w:rPr>
        <w:t xml:space="preserve">: </w:t>
      </w:r>
      <w:r>
        <w:rPr>
          <w:rtl w:val="true"/>
        </w:rPr>
        <w:t>انّه لایجوز الجمع فی مقام، إلخ</w:t>
      </w:r>
      <w:bookmarkEnd w:id="167"/>
    </w:p>
    <w:p>
      <w:pPr>
        <w:pStyle w:val="BookText"/>
        <w:rPr/>
      </w:pPr>
      <w:r>
        <w:rPr>
          <w:rFonts w:ascii="IRNazanin" w:hAnsi="IRNazanin" w:eastAsia="IRNazanin"/>
          <w:color w:val="111111"/>
          <w:sz w:val="28"/>
          <w:sz w:val="28"/>
          <w:szCs w:val="28"/>
          <w:rtl w:val="true"/>
          <w:lang w:bidi="fa-IR"/>
        </w:rPr>
        <w:t xml:space="preserve">قال السیّد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یجوز الجمع فی مقام التسلیم فی النوافل بین السلم علیکم، و بین غیره من صیغتی التسلیم، وانّ ذلک من خواص الفرائض، و هو أیضًا غیر صحیح،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یجوز ذلک فی الفرائض یجوز فی النوافل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أن یکون </w:t>
      </w:r>
      <w:r>
        <w:rPr>
          <w:rStyle w:val="FootnoteAnchor"/>
          <w:rtl w:val="true"/>
        </w:rPr>
        <w:footnoteReference w:id="533"/>
      </w:r>
      <w:r>
        <w:rPr>
          <w:rFonts w:ascii="IRNazanin" w:hAnsi="IRNazanin" w:eastAsia="IRNazanin"/>
          <w:color w:val="111111"/>
          <w:sz w:val="28"/>
          <w:sz w:val="28"/>
          <w:szCs w:val="28"/>
          <w:rtl w:val="true"/>
          <w:lang w:bidi="fa-IR"/>
        </w:rPr>
        <w:t xml:space="preserve">بعنوان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ثبت فی الفریضة یمکن الحکم بثبوته فی النافلة بمجرّد ذلک، إلاّ إذا قام الدلیل علی خلافه، فلایفتقر فی الحکم بثبوت الأمور الثابتة فی الفریضة فی النافلة إلی دلیل علیحده، فما لم یقم دلیل علی الإختصاص یحکم بالإشتراک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شئت أن یتّضح لک حقیقة الحال، فاستمع لما أتلو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المناسب تصویر المرام بمثال یناسب المقام </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ما نحن فیه معجون رکبه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من أجزاء متعدّدة بعضها ممّا یتوقّف علیه تأثیره، فعدمه یستلزم انتفاؤه، وبعضها ممّا لم یکن کذلک، فهو ممّا لم یتوقّف علیه تأثیره، لکنّه ممّا توقّف علیه کماله، فانتفاؤه لم یکن مستلزمًا لانتفاء أصل الثمرة، لکنّه ممّا یتوقّف </w:t>
      </w:r>
      <w:r>
        <w:rPr>
          <w:rStyle w:val="FootnoteAnchor"/>
          <w:rtl w:val="true"/>
        </w:rPr>
        <w:footnoteReference w:id="536"/>
      </w:r>
      <w:r>
        <w:rPr>
          <w:rFonts w:ascii="IRNazanin" w:hAnsi="IRNazanin" w:eastAsia="IRNazanin"/>
          <w:color w:val="111111"/>
          <w:sz w:val="28"/>
          <w:sz w:val="28"/>
          <w:szCs w:val="28"/>
          <w:rtl w:val="true"/>
          <w:lang w:bidi="fa-IR"/>
        </w:rPr>
        <w:t xml:space="preserve">علیه کمال تلک </w:t>
      </w:r>
    </w:p>
    <w:p>
      <w:pPr>
        <w:pStyle w:val="BookText"/>
        <w:rPr/>
      </w:pPr>
      <w:r>
        <w:rPr>
          <w:rFonts w:ascii="IRNazanin" w:hAnsi="IRNazanin" w:eastAsia="IRNazanin"/>
          <w:color w:val="111111"/>
          <w:sz w:val="28"/>
          <w:sz w:val="28"/>
          <w:szCs w:val="28"/>
          <w:rtl w:val="true"/>
          <w:lang w:bidi="fa-IR"/>
        </w:rPr>
        <w:t xml:space="preserve">الثمرة، فله مدخلیّة فی کمالها لا فی أصلها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تعیّن </w:t>
      </w:r>
      <w:r>
        <w:rPr>
          <w:rStyle w:val="FootnoteAnchor"/>
          <w:rtl w:val="true"/>
        </w:rPr>
        <w:footnoteReference w:id="537"/>
      </w:r>
      <w:r>
        <w:rPr>
          <w:rFonts w:ascii="IRNazanin" w:hAnsi="IRNazanin" w:eastAsia="IRNazanin"/>
          <w:color w:val="111111"/>
          <w:sz w:val="28"/>
          <w:sz w:val="28"/>
          <w:szCs w:val="28"/>
          <w:rtl w:val="true"/>
          <w:lang w:bidi="fa-IR"/>
        </w:rPr>
        <w:t xml:space="preserve">ذلک السلطان إسمًا مخصوصًا لذلک المعجون، ثمّ یطلبه من عبیده فی ضمن ذلک الإسم تارةً بعنوان الحتم والإلزام، والأخری </w:t>
      </w:r>
      <w:r>
        <w:rPr>
          <w:rStyle w:val="FootnoteAnchor"/>
          <w:rtl w:val="true"/>
        </w:rPr>
        <w:footnoteReference w:id="538"/>
      </w:r>
      <w:r>
        <w:rPr>
          <w:rFonts w:ascii="IRNazanin" w:hAnsi="IRNazanin" w:eastAsia="IRNazanin"/>
          <w:color w:val="111111"/>
          <w:sz w:val="28"/>
          <w:sz w:val="28"/>
          <w:szCs w:val="28"/>
          <w:rtl w:val="true"/>
          <w:lang w:bidi="fa-IR"/>
        </w:rPr>
        <w:t xml:space="preserve">من باب الندب والرجحان، فإذا بیّن ذلک المعجون بأجزائها </w:t>
      </w:r>
      <w:r>
        <w:rPr>
          <w:rStyle w:val="FootnoteAnchor"/>
          <w:rtl w:val="true"/>
        </w:rPr>
        <w:footnoteReference w:id="539"/>
      </w:r>
      <w:r>
        <w:rPr>
          <w:rFonts w:ascii="IRNazanin" w:hAnsi="IRNazanin" w:eastAsia="IRNazanin"/>
          <w:color w:val="111111"/>
          <w:sz w:val="28"/>
          <w:sz w:val="28"/>
          <w:szCs w:val="28"/>
          <w:rtl w:val="true"/>
          <w:lang w:bidi="fa-IR"/>
        </w:rPr>
        <w:t xml:space="preserve">المقوِّمة والمکمِّلة فیما إذا کان متعلّقًا بالطلب الحتمیّ، یغنی ذلک عن بیانه فیما إذا کان متعلّقًا للطلب الندبیّ، فلا یفتقر حینئذ إلی بیان مجدَّد، فإذا اعتبرنا </w:t>
      </w:r>
      <w:r>
        <w:rPr>
          <w:rStyle w:val="FootnoteAnchor"/>
          <w:rtl w:val="true"/>
        </w:rPr>
        <w:footnoteReference w:id="540"/>
      </w:r>
      <w:r>
        <w:rPr>
          <w:rFonts w:ascii="IRNazanin" w:hAnsi="IRNazanin" w:eastAsia="IRNazanin"/>
          <w:color w:val="111111"/>
          <w:sz w:val="28"/>
          <w:sz w:val="28"/>
          <w:szCs w:val="28"/>
          <w:rtl w:val="true"/>
          <w:lang w:bidi="fa-IR"/>
        </w:rPr>
        <w:t xml:space="preserve">بطلبه الندبیّ المتعلّق باتیان ذلک المعجون فی ضمن ذلک الإسم، نحکم بأنّه لا تفاوت بین المطلوب حینئذ وبینه إذا کان متعلِّقًا بالطلب الحتمیّ، لا </w:t>
      </w:r>
      <w:r>
        <w:rPr>
          <w:rStyle w:val="FootnoteAnchor"/>
          <w:rtl w:val="true"/>
        </w:rPr>
        <w:footnoteReference w:id="541"/>
      </w:r>
      <w:r>
        <w:rPr>
          <w:rFonts w:ascii="IRNazanin" w:hAnsi="IRNazanin" w:eastAsia="IRNazanin"/>
          <w:color w:val="111111"/>
          <w:sz w:val="28"/>
          <w:sz w:val="28"/>
          <w:szCs w:val="28"/>
          <w:rtl w:val="true"/>
          <w:lang w:bidi="fa-IR"/>
        </w:rPr>
        <w:t xml:space="preserve">من حیث جواز الإخلال و عدمه، فکما نحکم بحصول أصل الإمتثال فی الطلب الحتمیّ فیما إذا راعی الأجزاء المقوِّمة، لکن الإمتثال علی وجه الکمال یتوقّف علی مراعاة الأجزاء بأسرها و لو کانت بکمله </w:t>
      </w:r>
      <w:r>
        <w:rPr>
          <w:rStyle w:val="FootnoteAnchor"/>
          <w:rtl w:val="true"/>
        </w:rPr>
        <w:footnoteReference w:id="542"/>
      </w:r>
      <w:r>
        <w:rPr>
          <w:rFonts w:ascii="IRNazanin" w:hAnsi="IRNazanin" w:eastAsia="IRNazanin"/>
          <w:color w:val="111111"/>
          <w:sz w:val="28"/>
          <w:sz w:val="28"/>
          <w:szCs w:val="28"/>
          <w:rtl w:val="true"/>
          <w:lang w:bidi="fa-IR"/>
        </w:rPr>
        <w:t xml:space="preserve">، فکذلک فی الطلب الندبیّ، و ذلک ممّا لا شبهة فیه، و لا شکّ یعتریه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تحقّق ذلک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مهیّة </w:t>
      </w:r>
      <w:r>
        <w:rPr>
          <w:rFonts w:eastAsia="Amiri" w:cs="Amiri" w:ascii="Amiri" w:hAnsi="Amiri"/>
          <w:color w:val="111111"/>
          <w:sz w:val="28"/>
          <w:szCs w:val="28"/>
          <w:rtl w:val="true"/>
          <w:lang w:bidi="ar-SA"/>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الصلوة مثل ذلک المعجون، فإنّ لها أجزاء مندوبة و أجزاء واجبة ممّا توقّف علیه أصل الثمرة المطلوبة فی الصلوة، فلا یحصل الإمتثال حال الإخلال بها، والأجزاء المندوبة ممّا توقّف علیه کمالها لا أصلها، فانتفاؤها لا یوجب إنتفاء أصل الإمتثال، </w:t>
      </w:r>
    </w:p>
    <w:p>
      <w:pPr>
        <w:pStyle w:val="BookText"/>
        <w:rPr/>
      </w:pPr>
      <w:r>
        <w:rPr>
          <w:rFonts w:ascii="IRNazanin" w:hAnsi="IRNazanin" w:eastAsia="IRNazanin"/>
          <w:color w:val="111111"/>
          <w:sz w:val="28"/>
          <w:sz w:val="28"/>
          <w:szCs w:val="28"/>
          <w:rtl w:val="true"/>
          <w:lang w:bidi="fa-IR"/>
        </w:rPr>
        <w:t xml:space="preserve">واللفظ الّذی عیّن لها الشارع هو لفظ الصلوة، فطلبها تارةً فی ضمن ذلک الإسم بعنوان الحتم والإیجاب، و الأخری </w:t>
      </w:r>
      <w:r>
        <w:rPr>
          <w:rStyle w:val="FootnoteAnchor"/>
          <w:rtl w:val="true"/>
        </w:rPr>
        <w:footnoteReference w:id="544"/>
      </w:r>
      <w:r>
        <w:rPr>
          <w:rFonts w:ascii="IRNazanin" w:hAnsi="IRNazanin" w:eastAsia="IRNazanin"/>
          <w:color w:val="111111"/>
          <w:sz w:val="28"/>
          <w:sz w:val="28"/>
          <w:szCs w:val="28"/>
          <w:rtl w:val="true"/>
          <w:lang w:bidi="fa-IR"/>
        </w:rPr>
        <w:t xml:space="preserve">فی ضمنه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بعنوان الرجحان و الإستحباب، و المفروض تبیّنت معلومة </w:t>
      </w:r>
      <w:r>
        <w:rPr>
          <w:rStyle w:val="FootnoteAnchor"/>
          <w:rtl w:val="true"/>
        </w:rPr>
        <w:footnoteReference w:id="546"/>
      </w:r>
      <w:r>
        <w:rPr>
          <w:rFonts w:ascii="IRNazanin" w:hAnsi="IRNazanin" w:eastAsia="IRNazanin"/>
          <w:color w:val="111111"/>
          <w:sz w:val="28"/>
          <w:sz w:val="28"/>
          <w:szCs w:val="28"/>
          <w:rtl w:val="true"/>
          <w:lang w:bidi="fa-IR"/>
        </w:rPr>
        <w:t xml:space="preserve">بأجزائها الواجبة والمندوبة فیما إذا کانت متعلّقة بالطلب الحتمیّ، فمعلومیّتها فی هذه الحالة تکفی فی العلم بالمطلوب فی حالة أخری،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کانت متعلِّقة بالطلب الندبیّ، إذ المفروض أنّ المطلوب فی ضمن ذلک الإسم صار متعلِّق طلب الأمر، فإذا لم یقترن بالقرینة الدالّة علی المغایرة یظهر أنّ المراد تلک المهیّة بجمیع أجزائها کما لا یخفی، ففی صورة کونها متعلِّقة للطلب الندبیّ لا یفتقر فی الحکم ببقاء أجزائها إلی دلیل مجدّد، فجمیع أجزائها ـ واجبة کانت أو مستحبّة ـ الّتی علمت فی الصورة الأولی محکومة بالبقاء فی الصورة الثانیة، إلاّ إذا دلّ الدلیل علی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الحکم فی جمیع المهیّات الجعلیّة کالوضوء و الغسل ونحوهما، فلا نفتقر فی الحکم باستحباب المضمضة و الإستنشاق مثلاً فی الوضوء المستحبّ إلی دلیل، و کذا الحال فی الأشباه والأمثال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المفروض أنّ الجمع بین الصیغ الواردة فی التسلیم راجح فی الفرائض، فیکون کذلک فی النوافل، نظرًا إلی إنتفاء الدلیل الدالّ علی انتفائه فیها، و هذه قاعدة وجیهة، و من ههنا نحکم </w:t>
      </w:r>
    </w:p>
    <w:p>
      <w:pPr>
        <w:pStyle w:val="BookText"/>
        <w:rPr/>
      </w:pPr>
      <w:r>
        <w:rPr>
          <w:rFonts w:ascii="IRNazanin" w:hAnsi="IRNazanin" w:eastAsia="IRNazanin"/>
          <w:color w:val="111111"/>
          <w:sz w:val="28"/>
          <w:sz w:val="28"/>
          <w:szCs w:val="28"/>
          <w:rtl w:val="true"/>
          <w:lang w:bidi="fa-IR"/>
        </w:rPr>
        <w:t xml:space="preserve">باستحباب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والحمد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فی تشهّد النافلة، مع أنّ الحدیث المشتمل علیه مورده الفریضة ؛ و هکذا الحال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وتَقَبَّل شفاعته فی 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لا یمکن لأحد أن یدّعی أنّ الإتیان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النوافل </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غیر جائز نظرًا إلی عدم ثبوتهما فیها، لکون النصوص المشتملة علیهما موردها الفریضة، و هکذا الحال فی کثیر من الأمور المندوبة فی 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کلّما دلّ الدلیل علی ثبوته فی الفرائض، نحکم بثبوته فی النوافل، إلاّ إذا دلّ الدلیل علی عدمه، و نحکم </w:t>
      </w:r>
      <w:r>
        <w:rPr>
          <w:rStyle w:val="FootnoteAnchor"/>
          <w:rtl w:val="true"/>
        </w:rPr>
        <w:footnoteReference w:id="548"/>
      </w:r>
      <w:r>
        <w:rPr>
          <w:rFonts w:ascii="IRNazanin" w:hAnsi="IRNazanin" w:eastAsia="IRNazanin"/>
          <w:color w:val="111111"/>
          <w:sz w:val="28"/>
          <w:sz w:val="28"/>
          <w:szCs w:val="28"/>
          <w:rtl w:val="true"/>
          <w:lang w:bidi="fa-IR"/>
        </w:rPr>
        <w:t xml:space="preserve">باستحباب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وَقُوَّتِه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الأخذ بالقیام من السجود فیها، والتحمید بعد الإنتصاب من الرکوع و بعد السمعلة و الدعاء فی کلّ من الرکوع و السجود وغیرها من الآداب و الأقوال الراجحة المتکثِّرة، و إن لم یظهر لنا دلیل مختصّ بالنوافل، بل لو کان إطلاق فی بعض ما ذکر لم نکن مقتصرین </w:t>
      </w:r>
      <w:r>
        <w:rPr>
          <w:rStyle w:val="FootnoteAnchor"/>
          <w:rtl w:val="true"/>
        </w:rPr>
        <w:footnoteReference w:id="549"/>
      </w:r>
      <w:r>
        <w:rPr>
          <w:rFonts w:ascii="IRNazanin" w:hAnsi="IRNazanin" w:eastAsia="IRNazanin"/>
          <w:color w:val="111111"/>
          <w:sz w:val="28"/>
          <w:sz w:val="28"/>
          <w:szCs w:val="28"/>
          <w:rtl w:val="true"/>
          <w:lang w:bidi="fa-IR"/>
        </w:rPr>
        <w:t xml:space="preserve">فی الحکم بالثبوت إلیه فی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القاعدة وإن کانت وجیهة، لکنّها مبنیّة علی تسلیم إتّحاد المهیّة،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ممنوع </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 xml:space="preserve">، فالتمسّک بما </w:t>
      </w:r>
      <w:r>
        <w:rPr>
          <w:rStyle w:val="FootnoteAnchor"/>
          <w:rtl w:val="true"/>
        </w:rPr>
        <w:footnoteReference w:id="551"/>
      </w:r>
      <w:r>
        <w:rPr>
          <w:rFonts w:ascii="IRNazanin" w:hAnsi="IRNazanin" w:eastAsia="IRNazanin"/>
          <w:color w:val="111111"/>
          <w:sz w:val="28"/>
          <w:sz w:val="28"/>
          <w:szCs w:val="28"/>
          <w:rtl w:val="true"/>
          <w:lang w:bidi="fa-IR"/>
        </w:rPr>
        <w:t>فیما أنتم بصدده مصادرة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ظهور الأمر و عدم الإفتقار إلی الإستدلال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w:t>
      </w:r>
    </w:p>
    <w:p>
      <w:pPr>
        <w:pStyle w:val="BookText"/>
        <w:rPr/>
      </w:pPr>
      <w:r>
        <w:rPr>
          <w:rFonts w:ascii="IRNazanin" w:hAnsi="IRNazanin" w:eastAsia="IRNazanin"/>
          <w:color w:val="111111"/>
          <w:sz w:val="28"/>
          <w:sz w:val="28"/>
          <w:szCs w:val="28"/>
          <w:rtl w:val="true"/>
          <w:lang w:bidi="fa-IR"/>
        </w:rPr>
        <w:t xml:space="preserve">الإستدلال علیه من نصوص متعدّدة،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المعروف الّذی أطبقت المشایخ الثلاثة ـ نوّر اللّه تعالی ضرایحهم ـ عن حمّاد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أبو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أتحسن أن تصلّی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کتاب حریز بن عبداللّه فی الصلوة </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علیک یا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بین یدیه متوجِّها إلی القبلة، فاستفتحت الصلوة فرکعت وسجدت،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تحسن أن تصلّی، ما أقبح بالرجل منکم یأتی علیه ستّون سنة، أو سبعون سنة، فلا یقیم صلاة واحدة بحدودها تامَّة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فأصابنی فی نفسی الذلّ،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فعلّمنی الصلوة،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أبو عبداللّه علیه‌السلام مستقبل القبلة منتصبًا، فأرسل یدیه جمیعًا علی فخذیه قد ضمّ أصابعه، و قرب بین قدمیه حتّی کان بینهما قدر ثلاث أصابع منفرجات، فاستقبل </w:t>
      </w:r>
      <w:r>
        <w:rPr>
          <w:rStyle w:val="FootnoteAnchor"/>
          <w:rtl w:val="true"/>
        </w:rPr>
        <w:footnoteReference w:id="555"/>
      </w:r>
      <w:r>
        <w:rPr>
          <w:rFonts w:ascii="IRNazanin" w:hAnsi="IRNazanin" w:eastAsia="IRNazanin"/>
          <w:color w:val="111111"/>
          <w:sz w:val="28"/>
          <w:sz w:val="28"/>
          <w:szCs w:val="28"/>
          <w:rtl w:val="true"/>
          <w:lang w:bidi="fa-IR"/>
        </w:rPr>
        <w:t xml:space="preserve">بأصابع رجلیه جمیعًا قبله </w:t>
      </w:r>
      <w:r>
        <w:rPr>
          <w:rStyle w:val="FootnoteAnchor"/>
          <w:rtl w:val="true"/>
        </w:rPr>
        <w:footnoteReference w:id="556"/>
      </w:r>
      <w:r>
        <w:rPr>
          <w:rFonts w:ascii="IRNazanin" w:hAnsi="IRNazanin" w:eastAsia="IRNazanin"/>
          <w:color w:val="111111"/>
          <w:sz w:val="28"/>
          <w:sz w:val="28"/>
          <w:szCs w:val="28"/>
          <w:rtl w:val="true"/>
          <w:lang w:bidi="fa-IR"/>
        </w:rPr>
        <w:t xml:space="preserve">لم یحرفهما عن القبلة، فقال </w:t>
      </w:r>
      <w:r>
        <w:rPr>
          <w:rStyle w:val="FootnoteAnchor"/>
          <w:rtl w:val="true"/>
        </w:rPr>
        <w:footnoteReference w:id="557"/>
      </w:r>
      <w:r>
        <w:rPr>
          <w:rFonts w:ascii="IRNazanin" w:hAnsi="IRNazanin" w:eastAsia="IRNazanin"/>
          <w:color w:val="111111"/>
          <w:sz w:val="28"/>
          <w:sz w:val="28"/>
          <w:szCs w:val="28"/>
          <w:rtl w:val="true"/>
          <w:lang w:bidi="fa-IR"/>
        </w:rPr>
        <w:t xml:space="preserve">بخشوع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قرء الحمد بترتیل وقل هو اللّه أحد، ثمّ صبر هُنیئة بقدر ما یتنفّس و هو قائم، ثمّ رفع یدیه حیال وجهه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 أکبر، وهو قائم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رکع و ملأ کفّیه من رکبتیه منفرجات، و ردّ رکبتبه إلی خلفه حتّی استوی ظهره، حتّی لو صبّ علیه قطرة من ماء أو دهن لم تزل لاستواء ظهره، و مدَّ عنقه، و غمض عینیه، ثمّ سبّح ثلاثًا بترتیل،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 بحمده، ثمّ استوی قائمًا، فلمّا استمکن من القیام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ثمّ کبّر وهو قائم، و رفع یدیه حیال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سجد وبسط کفّیه مضمومتی الأصابع بین یدی رکبتیه حیال وجهه </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الأعلی و بحمده، ثلاث مرّات، و لم یضع شیئًا من جسده علی شیء منه، و سجد علی ثمانیة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الرکبتین و الکفّین </w:t>
      </w:r>
      <w:r>
        <w:rPr>
          <w:rStyle w:val="FootnoteAnchor"/>
          <w:rtl w:val="true"/>
        </w:rPr>
        <w:footnoteReference w:id="55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أنامل </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إبهامی الرجلین، والجبهة، و الأنف،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منها فرض یسجد علیها، وهی الّتی ذکرها اللّه فی کتابه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w:t>
      </w:r>
      <w:r>
        <w:rPr>
          <w:rStyle w:val="FootnoteAnchor"/>
          <w:rtl w:val="true"/>
        </w:rPr>
        <w:footnoteReference w:id="56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الْمَسَاجِدَ لِلّهِ فَلاَ تَدْعُوا مَعَ اللّهِ أَحَدًا </w:t>
      </w:r>
      <w:r>
        <w:rPr>
          <w:rFonts w:eastAsia="Amiri" w:cs="Amiri" w:ascii="Amiri" w:hAnsi="Amiri"/>
          <w:color w:val="111111"/>
          <w:sz w:val="28"/>
          <w:szCs w:val="28"/>
          <w:rtl w:val="true"/>
          <w:lang w:bidi="ar-SA"/>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 و هی الجبهة، والکفّان، والإبهامان، و الرکبتان، ووضع الأنف علی الأرض سنّة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رفع رأسه من السجود، فلمّا استوی جالسًا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 أکبر، ثمّ قعد علی فخذه الأیسر ـ و قد وضع ظاهر قدمه الأیمن علی بطن قدمه الأیسر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ربّی و أتوب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کبّر ـ و هو جالس ـ وسجد السجدة الثانیة، وقال کما قال فی الأوَّل، ولم یضع شیئًا من بدنه علی شیء منه فی رکوع و لا سجود، و کان مجنِّحًا ولم یضع ذراعیه علی </w:t>
      </w:r>
    </w:p>
    <w:p>
      <w:pPr>
        <w:pStyle w:val="BookText"/>
        <w:rPr/>
      </w:pPr>
      <w:r>
        <w:rPr>
          <w:rFonts w:ascii="IRNazanin" w:hAnsi="IRNazanin" w:eastAsia="IRNazanin"/>
          <w:color w:val="111111"/>
          <w:sz w:val="28"/>
          <w:sz w:val="28"/>
          <w:szCs w:val="28"/>
          <w:rtl w:val="true"/>
          <w:lang w:bidi="fa-IR"/>
        </w:rPr>
        <w:t xml:space="preserve">الأرض، فصلّی رکعتین علی هذا، ویداه مضمومتا الأصابع ـ و هو جالس فی التشهد ـ فلمّا فرغ من التشهد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صلّ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الدلالة علی المرام هو أنّ الظاهر أنّ ما صدر منه علیه‌السلام هو النافلة، ومقتضی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هکذا 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الصلوة ـ واجبةً کانت أو مستحبّةً ـ علی النحو الصادر منه، و هو إنّما یکون عند إتّحاد المهیّة، وهو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بذل السیّد ـ دام ظلّه ـ سعیه، و کدّ فی سعیه، و جدَّ فی ترویج متاعه بتأسیس أساس و اتیان بنیان و أرکان قد ظهر ضعف البناء و الأساس، وانهدام السطوح والجدران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حبیبی و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 إلینا من الشارع أنّ الصلوة إفتتاحها وتحریمها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التکبیر علی الوجه المعهود منه، و تحلیلها التسلیم، و صلّی،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کما رأیتمونی أصلّی </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الفعل المأتیّ به أیّ جزء من أجزائها </w:t>
      </w:r>
      <w:r>
        <w:rPr>
          <w:rStyle w:val="FootnoteAnchor"/>
          <w:rtl w:val="true"/>
        </w:rPr>
        <w:footnoteReference w:id="565"/>
      </w:r>
      <w:r>
        <w:rPr>
          <w:rFonts w:ascii="IRNazanin" w:hAnsi="IRNazanin" w:eastAsia="IRNazanin"/>
          <w:color w:val="111111"/>
          <w:sz w:val="28"/>
          <w:sz w:val="28"/>
          <w:szCs w:val="28"/>
          <w:rtl w:val="true"/>
          <w:lang w:bidi="fa-IR"/>
        </w:rPr>
        <w:t xml:space="preserve">واجب، و أیّ جزء منها مندوب، فحکمنا بوجوب جزء و ندب جزء آخر، منوط بالإجماع والأخبار الواردة عن سادات الأنام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لم یصل إلینا منهم أنّ الرکوع رکن، و ذکره واجب غیر رکن، بل إنّا بعد أن علمنا منهم أنّ السهو إذا وقع من المصلّی و ترک الرکوع حتّی خرج عن محلّه، </w:t>
      </w:r>
    </w:p>
    <w:p>
      <w:pPr>
        <w:pStyle w:val="BookText"/>
        <w:rPr/>
      </w:pPr>
      <w:r>
        <w:rPr>
          <w:rFonts w:ascii="IRNazanin" w:hAnsi="IRNazanin" w:eastAsia="IRNazanin"/>
          <w:color w:val="111111"/>
          <w:sz w:val="28"/>
          <w:sz w:val="28"/>
          <w:szCs w:val="28"/>
          <w:rtl w:val="true"/>
          <w:lang w:bidi="fa-IR"/>
        </w:rPr>
        <w:t xml:space="preserve">یوجب بطلان الصلوة، و کذا فی زیادة الرکوع الموجب للبطلان، و لم یحکموا بالبطلان إذا وقع السهو فی الذکر، علمنا أنّ الواجب من أجزاء هذه العبادة لیست </w:t>
      </w:r>
      <w:r>
        <w:rPr>
          <w:rStyle w:val="FootnoteAnchor"/>
          <w:rtl w:val="true"/>
        </w:rPr>
        <w:footnoteReference w:id="566"/>
      </w:r>
      <w:r>
        <w:rPr>
          <w:rFonts w:ascii="IRNazanin" w:hAnsi="IRNazanin" w:eastAsia="IRNazanin"/>
          <w:color w:val="111111"/>
          <w:sz w:val="28"/>
          <w:sz w:val="28"/>
          <w:szCs w:val="28"/>
          <w:rtl w:val="true"/>
          <w:lang w:bidi="fa-IR"/>
        </w:rPr>
        <w:t xml:space="preserve">علی وتیرة واحدة، فجعلنا الأجزاء الواجبة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رکنًا وغیر رکن، تمییزًا بین الأجزاء، و لو لا الإجماع و الأخبار من المتواترة والآحاد لم یمکن لنا الحکم بالتفاوت بین الأجزاء ندبًا و وجوبًا، و رکنًا و غیر رکن، ولو لم یبیّنوا لنا کیفیّة إتیان النساء تلک العبادة، لم یمکن لنا الحکم فی النساء بأنّ رکوعهنّ لیس مثل رکوع النساء </w:t>
      </w:r>
      <w:r>
        <w:rPr>
          <w:rStyle w:val="FootnoteAnchor"/>
          <w:rtl w:val="true"/>
        </w:rPr>
        <w:footnoteReference w:id="567"/>
      </w:r>
      <w:r>
        <w:rPr>
          <w:rFonts w:ascii="IRNazanin" w:hAnsi="IRNazanin" w:eastAsia="IRNazanin"/>
          <w:color w:val="111111"/>
          <w:sz w:val="28"/>
          <w:sz w:val="28"/>
          <w:szCs w:val="28"/>
          <w:rtl w:val="true"/>
          <w:lang w:bidi="fa-IR"/>
        </w:rPr>
        <w:t xml:space="preserve">، و کذا فی جهرهنّ و إخفاتهنّ و آدابهنّ فی القیام والقعود والسجود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لنا من الأمر شیء إلاّ ما علَّمنا موالینا و أئمّتنا،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بلغ منهم إلینا وجوب التسلیم أو ندبه، و لذا وقع الخلاف بین الأصحاب فی أنّه واجب أو ندب، و علی تقدیر الوجوب فهل هو جزء و شطر، أو خارج و شرط، ومنشأ الخلاف إختلاف الآثار و اختلاف الآراء فی درک الأخبار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یستفاد من الآثار سوی أنّ التسلیم محلِّل، و لم یقیّدوا بأنّه محصور فی الفریضة، بل حکموا علی الصلوة المطلقة المرسلة بأنّ التکبیر بدؤها ومنشأ حرمة التکلّم فیها، والتسلیم محلِّلها و ختمها، و نحن نسلّم ذلک فی تلک العبادة المرکّبة الممثَّلة بالمعجون المؤلَّفة من أجزاء بعضها فیه بمنزلة الجدران فی البیت، و بعضها بمنزلة الجصّ و الزخارف و النقوش، وبعضها المتوسّط بین الأمرین و هو الواجب غیر الرکن، و قد ظهر لنا من الآثار أنّ التسلیم لیست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رکنًا، ولکن أمر واجب یوجب ترکه البطلان عمدًا، و هل هو جزء واجب آخر الأجزاء الواجبة، أو شرط خارج ؟ فهو محل النزاع و میدان الجدال للفرسان، ونحن قد ذکرنا فی الرسالة ما یشفی العلیل و یهدی إلی السبیل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القاعدة الّتی مهّدها و قرّرها یوفی بما ادّعاه إذا أنکرنا مدخلیّة التسلیم فی مطلق الصلوة، و نحن بُرآء منه،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التسلیم لابدّ منه فی مطلق الصلوة، والکلام فی معنی التسلیم هل هو الصیغ الثلاث علی ما هو المقرَّر فی الفریضة، بأن یأتی أوَّلاً بالصیغة المندوبة بلا خلاف، ثمّ بالثانی الّذی لا خلاف لنا مع القوم فی أنّه ینصرف به من الصلوة، ثمّ بالثالث الّذی وقع الإجماع علی کونه محلّلاً، وکلّ هذه معنی التسلیم لم یقل به أحد، بل کلّهم نطقوا بأنّ التسلیم المطلق الوارد فی الأخبار والآثار معناه هو السلم علیکم، و التحلیل یحصل منه بلا خلاف، لأنّه کلام الآدمیّین، فکما أنّ بالتکبیر یحرم کلام الآدمیّین، فبالتسلیم یحلّ له ما حرّم، کما أنّ التقصیر فی موضعه محلِّل للمحرم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أراد السیّد ـ دام ظلّه ـ أن یجعل هذه الصیغ فی النافلة لمجرّد کونها مذکورة فی الفریضة لأنّ هذه کلّها مأخوذة فی معنی التسلیم، فهو ممنوع أشدّ المنع، کیف وقد عرفت واعترف السیّد إطباق القوم علی أنّ معنی التسلیم هو السلم الشایع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أنّ هذه الصیغ مأخوذة فی التسلیم لأجل ورود الروایتین المتضمّنتین لإطلاق التسلیم علی الصیغة الثانیة و إشتمالهما علی الحکم بتحقّق الإنصراف بها، فقد عرفت أنّ الإستعمال أعمّ من الحقیقة، کما أنّ الأخبار واردة بأنّ الفقّاع خمر، ولا یلزم منه أن یکون ذلک معناه عند الإطلاق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أراد أنّ ما کان ثابتًا فی الفریضة وجب أن یکون ثابتًا فی النافلة لأجل </w:t>
      </w:r>
    </w:p>
    <w:p>
      <w:pPr>
        <w:pStyle w:val="BookText"/>
        <w:rPr/>
      </w:pPr>
      <w:r>
        <w:rPr>
          <w:rFonts w:ascii="Amiri" w:hAnsi="Amiri" w:eastAsia="Amiri" w:cs="Amiri"/>
          <w:color w:val="111111"/>
          <w:sz w:val="28"/>
          <w:sz w:val="28"/>
          <w:szCs w:val="28"/>
          <w:rtl w:val="true"/>
          <w:lang w:bidi="ar-SA"/>
        </w:rPr>
        <w:t xml:space="preserve">الإتّحاد فی المهیّة </w:t>
      </w:r>
      <w:r>
        <w:rPr>
          <w:rStyle w:val="FootnoteAnchor"/>
          <w:rtl w:val="true"/>
        </w:rPr>
        <w:footnoteReference w:id="569"/>
      </w:r>
      <w:r>
        <w:rPr>
          <w:rFonts w:ascii="IRNazanin" w:hAnsi="IRNazanin" w:eastAsia="IRNazanin"/>
          <w:color w:val="111111"/>
          <w:sz w:val="28"/>
          <w:sz w:val="28"/>
          <w:szCs w:val="28"/>
          <w:rtl w:val="true"/>
          <w:lang w:bidi="fa-IR"/>
        </w:rPr>
        <w:t xml:space="preserve">،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کذلک إذا لم یبیّن لنا الشارع أمر التحلیل فی النافلة، و أمّا إذا بیّنه بالإکتفاء بالتسلیم و کان معنی التسلیم هو السلم الشایع، والصیغتان خارجتان عن معناه واردتان عنهم علیهم‌السلام فی الفریضة </w:t>
      </w:r>
      <w:r>
        <w:rPr>
          <w:rStyle w:val="FootnoteAnchor"/>
          <w:rtl w:val="true"/>
        </w:rPr>
        <w:footnoteReference w:id="570"/>
      </w:r>
      <w:r>
        <w:rPr>
          <w:rFonts w:ascii="IRNazanin" w:hAnsi="IRNazanin" w:eastAsia="IRNazanin"/>
          <w:color w:val="111111"/>
          <w:sz w:val="28"/>
          <w:sz w:val="28"/>
          <w:szCs w:val="28"/>
          <w:rtl w:val="true"/>
          <w:lang w:bidi="fa-IR"/>
        </w:rPr>
        <w:t xml:space="preserve">، و لعلّها لأجل مزیّة کانت للفریضة، و لیس لنا فی الإدخال و الإخراج مدخلیّة أصلاً، بل هو حرام علینا، قیاس حنیفیّ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فبأیّ حجّة تحکم بجواز ذکرها و لیست دعاءً و لا ذکرًا، کما أنّ المندوبات الواردة فی التشهّد و السجود و الرکوع لأجل کون هذه المواضع مواضع الدعاء، لنا أن نأتی بها و أن نترکها بالإجماع من أصحابنا الإمامیّة، فقیاس هاتین الصیغتین بالأدعیة والأذکار المندوبة قیاس باطل، إذ لا ملازمة و لا أولویّة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بعد ورود الأمر البیانیّ فی تسلیم النافلة، جرءة عظیمة علی اللّه و رسوله، إذ لو أخَذَنا مولانا جعفر بن محمّد الصادق علیه‌السلام و سئلَنا عن الحجّة فی ذلک مع تأکیداتهم الوکیدة، وتخویفاتهم العظیمة، و تحذیراتهم الشدیدة عن إرتکاب القیاس و إعتبار الإستنباطات، و تصریحاتهم بأنّ أوّل من قاس إبلیس، ما الحجّة لنا فی الخلاص بعد العتاب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أتقول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تحلیلها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والتسلیم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علینا و علی عباد اللّه الصالحین، فقد عرفت الفساد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إن قلت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علینا و علی عباد اللّه الصالحین، إنصرفتم، فإن أجاب بأنّ ذلک وقع منّا فی الفریضة، و قد جوّزنا ذلک فی الفریضة لحکمة خفیّة علیکم، و لم نترک أمر المحلِّل فی النافلة، و قد بیّنا لکم أن أتمّوا نوافلکم بالتسلیمة، و قد تداول معناه عندکم، و لم یصر حقیقة شرعیّة فی الصیغ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أنّا حلَّلنا لکم فرایضکم بهذه الصیغة خاصّةً، فمن أیّ جهة جعلتموها فی النافلة مع تحریم القیاس </w:t>
      </w:r>
      <w:r>
        <w:rPr>
          <w:rStyle w:val="FootnoteAnchor"/>
          <w:rtl w:val="true"/>
        </w:rPr>
        <w:footnoteReference w:id="571"/>
      </w:r>
      <w:r>
        <w:rPr>
          <w:rFonts w:ascii="IRNazanin" w:hAnsi="IRNazanin" w:eastAsia="IRNazanin"/>
          <w:color w:val="111111"/>
          <w:sz w:val="28"/>
          <w:sz w:val="28"/>
          <w:szCs w:val="28"/>
          <w:rtl w:val="true"/>
          <w:lang w:bidi="fa-IR"/>
        </w:rPr>
        <w:t xml:space="preserve">؟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الحجّة فی الخلاص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الأمر علی ما ندّعیه، فنقول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التسلیم معناه لغةً و عرفًا هو السلم علیکم، و لیس الخبر الوارد عنکم إلاّ قولکم ـ سلام اللّه علیکم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 تسلیمة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تسلیمة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رکعتین من النافلة إفصل بالتسلیمة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البیان لیس لنا مجال القیاس، فقد ظهر بما قرّرنا فساد تلک القاعدة الوجیهة الحسنة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الجواب عن حدیث حمّاد بن عیسی، فهو أنّ تلک الّتی أدّاها لیست بفریضة و لا نافلة، بل هی صورة الصلوة أدّاها لتعلیمه، و لذا تکلّم فی البین و قال ـ واضعًا جبهته علی الأرض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سبعة منها واجبة، و هی الّتی ذکرها اللّه تعالی فی کتابه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الْمَسَاجِدَ للّه فَلاَ تَدْعُوا مَعَ اللّه‌ِ أَحَدًا </w:t>
      </w:r>
      <w:r>
        <w:rPr>
          <w:rFonts w:eastAsia="Amiri" w:cs="Amiri" w:ascii="Amiri" w:hAnsi="Amiri"/>
          <w:color w:val="111111"/>
          <w:sz w:val="28"/>
          <w:szCs w:val="28"/>
          <w:rtl w:val="true"/>
          <w:lang w:bidi="ar-SA"/>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الجبهة، والکفّان، والإبهامان، و الرکبتان، و وضع الأنف علی الأرض سنّة، ثمّ رفع رأسه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لا یفیده فیما ادّعاه، إذ الحمّاد نقل عنه علیه‌السلام أنّه بعد الفراغ من تشهّده سلّم، </w:t>
      </w:r>
      <w:bookmarkStart w:id="168" w:name="pg3709_22136"/>
    </w:p>
    <w:p>
      <w:pPr>
        <w:pStyle w:val="BookText"/>
        <w:rPr/>
      </w:pPr>
      <w:bookmarkEnd w:id="168"/>
      <w:r>
        <w:rPr>
          <w:rFonts w:ascii="IRNazanin" w:hAnsi="IRNazanin" w:eastAsia="IRNazanin"/>
          <w:color w:val="111111"/>
          <w:sz w:val="28"/>
          <w:sz w:val="28"/>
          <w:szCs w:val="28"/>
          <w:rtl w:val="true"/>
          <w:lang w:bidi="fa-IR"/>
        </w:rPr>
        <w:t xml:space="preserve">فیعود الکلام إلیه کما ذکرنا مکرّرًا، و الحال أنّ المتبادر و الظاهر فی هذا البیان أنّ الإمام أراد أن یعلِّمه الفریضة الّتی فرضها اللّه تعالی و کان عهدًا مسئولاً، لا النافلة الّتی یجوز فعلها و ترکها، و هی لیست ممّا یلیق أن یوبّخها و یعاتبها بأنّ من بلغ ستّین أو سبعین و لم یحسن تلک العبادة بحدودها تامّةً، إذ النافلة لا عتاب فی ترکها أصلاً </w:t>
      </w:r>
      <w:r>
        <w:rPr>
          <w:rFonts w:eastAsia="IRNazanin" w:cs="IRNazanin"/>
          <w:color w:val="111111"/>
          <w:sz w:val="28"/>
          <w:szCs w:val="28"/>
          <w:rtl w:val="true"/>
          <w:lang w:bidi="fa-IR"/>
        </w:rPr>
        <w:t>.</w:t>
      </w:r>
    </w:p>
    <w:p>
      <w:pPr>
        <w:pStyle w:val="Heading3"/>
        <w:numPr>
          <w:ilvl w:val="2"/>
          <w:numId w:val="1"/>
        </w:numPr>
        <w:rPr/>
      </w:pPr>
      <w:bookmarkStart w:id="169" w:name="__RefHeading___Toc594139_2281741623"/>
      <w:bookmarkStart w:id="170" w:name="_Toc60"/>
      <w:bookmarkEnd w:id="169"/>
      <w:r>
        <w:rPr>
          <w:rtl w:val="true"/>
        </w:rPr>
        <w:t xml:space="preserve">الردّ علی قوله </w:t>
      </w:r>
      <w:r>
        <w:rPr>
          <w:rtl w:val="true"/>
        </w:rPr>
        <w:t xml:space="preserve">: </w:t>
      </w:r>
      <w:r>
        <w:rPr>
          <w:rtl w:val="true"/>
        </w:rPr>
        <w:t>إن قیل</w:t>
      </w:r>
      <w:r>
        <w:rPr>
          <w:rtl w:val="true"/>
        </w:rPr>
        <w:t xml:space="preserve">: </w:t>
      </w:r>
      <w:r>
        <w:rPr>
          <w:rtl w:val="true"/>
        </w:rPr>
        <w:t xml:space="preserve">سلّمنا ذلک، لکن نقول </w:t>
      </w:r>
      <w:r>
        <w:rPr>
          <w:rtl w:val="true"/>
        </w:rPr>
        <w:t xml:space="preserve">: </w:t>
      </w:r>
      <w:r>
        <w:rPr>
          <w:rtl w:val="true"/>
        </w:rPr>
        <w:t>هنا دلیل یدلّ، إلخ</w:t>
      </w:r>
      <w:bookmarkEnd w:id="170"/>
    </w:p>
    <w:p>
      <w:pPr>
        <w:pStyle w:val="BookText"/>
        <w:rPr/>
      </w:pPr>
      <w:r>
        <w:rPr>
          <w:rFonts w:ascii="IRNazanin" w:hAnsi="IRNazanin" w:eastAsia="IRNazanin"/>
          <w:color w:val="111111"/>
          <w:sz w:val="28"/>
          <w:sz w:val="28"/>
          <w:szCs w:val="28"/>
          <w:rtl w:val="true"/>
          <w:lang w:bidi="fa-IR"/>
        </w:rPr>
        <w:t xml:space="preserve">قال السیّد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ذلک، 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دلیل یدلّ علی لزوم الإقتصار فی النوافل بصیغة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علیکم، و عدم جواز الجمع بینهما </w:t>
      </w:r>
      <w:r>
        <w:rPr>
          <w:rStyle w:val="FootnoteAnchor"/>
          <w:rtl w:val="true"/>
        </w:rPr>
        <w:footnoteReference w:id="573"/>
      </w:r>
      <w:r>
        <w:rPr>
          <w:rFonts w:ascii="IRNazanin" w:hAnsi="IRNazanin" w:eastAsia="IRNazanin"/>
          <w:color w:val="111111"/>
          <w:sz w:val="28"/>
          <w:sz w:val="28"/>
          <w:szCs w:val="28"/>
          <w:rtl w:val="true"/>
          <w:lang w:bidi="fa-IR"/>
        </w:rPr>
        <w:t xml:space="preserve">، وذلک لأنّ شیخ الطائفة إقتصر فی المصباح فی نافلة الزوال بالصیغة المذکورة، و لم یجمع بینها و بین غیرها، و منه یظهر عدم جواز الجمع، إذ لو جاز ذلک لما اقتصر بها، کما لم یقتصر فی التشهّد علی القدر الواجب، بل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بعض </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الأمور المندوبة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إلی آخره،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شفاعته فی أمّته، و لم یقتصر فی تسلیم الفریضة بالصیغة الواحدة </w:t>
      </w:r>
      <w:r>
        <w:rPr>
          <w:rStyle w:val="FootnoteAnchor"/>
          <w:rtl w:val="true"/>
        </w:rPr>
        <w:footnoteReference w:id="575"/>
      </w:r>
      <w:r>
        <w:rPr>
          <w:rFonts w:ascii="IRNazanin" w:hAnsi="IRNazanin" w:eastAsia="IRNazanin"/>
          <w:color w:val="111111"/>
          <w:sz w:val="28"/>
          <w:sz w:val="28"/>
          <w:szCs w:val="28"/>
          <w:rtl w:val="true"/>
          <w:lang w:bidi="fa-IR"/>
        </w:rPr>
        <w:t xml:space="preserve">، بل جمع بین الصیغ الثلاث، فلو کان الجمع فی النافلة ثابتًا، لفعل کما فعل فی الفریضة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ضعف هذا الکلام،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 الفقیه الواحد لا یصلح أن یکون دلیلاً علی حکم شرعی حتّی یعدل به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 xml:space="preserve">القاعدة الّتی أبرزناها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صرّح فی التهذیب بجواز الجمع بین الصیغتین فی تشهد النوافل، حیث قال بعد أن أورد جملة من النصوص الدالّة علی التخییر بین التسلیم فی رکعتی الشفع و عدمه ـ الّتی منها صحیحة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فی رکعتی الوتر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سلّمت، وإن شئت لم تسلّم ـ ما هذا محصّله،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التسلیم المخیّر فیه هنا محمول علی التسلیم المخصوص، لأنّ عندنا أنّ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علینا و علی عباد اللّه الصالحین فی التشهّد، فقد انقطعت صلاته، فإن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علیکم جاز، و إن لم یقل 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 xml:space="preserve">، فالتخییر </w:t>
      </w:r>
      <w:r>
        <w:rPr>
          <w:rStyle w:val="FootnoteAnchor"/>
          <w:rtl w:val="true"/>
        </w:rPr>
        <w:footnoteReference w:id="579"/>
      </w:r>
      <w:r>
        <w:rPr>
          <w:rFonts w:ascii="IRNazanin" w:hAnsi="IRNazanin" w:eastAsia="IRNazanin"/>
          <w:color w:val="111111"/>
          <w:sz w:val="28"/>
          <w:sz w:val="28"/>
          <w:szCs w:val="28"/>
          <w:rtl w:val="true"/>
          <w:lang w:bidi="fa-IR"/>
        </w:rPr>
        <w:t xml:space="preserve">إنّما تناول هذا الضرب من التسلیم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تتبّع التهذیب و الإستبصار علم أنّ بنائه فی الکتابین علی رفع الإختلاف من الأحادیث، و کتاب التهذیب لیس عندی، و الإستبصار هکذا، فأمّا ما رواه الحسین بن سعید عن النضر، عن محمّد بن أبی حمزة، عن یعقوب بن شعیب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التسلیم فی رکعتی الوتر،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سلّمت، و إن شئت لم تسلّم </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النضر بن سوید، عن محمّد بن أبی حمزة،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التسلیم </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 xml:space="preserve">فی رکعتی الوتر،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سلّمت، وإن شئت لم تسلّم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قال الشیخ بعد ذکر روایة ثالثة ترکت ذکرها لعدم المناسبة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فی هذه الروایات کلّها أن نحملها علی ضرب من التقیّة، لأنّها موافقة لمذاهب کثیر من العامّة، مع أنّ مضمون الحدیثین التخییر، و لیس ذلک مذهبًا لأحد، لأنّ من أوجب الفصل لا یجوز الوصل، و من أوجب الوصل لا یجوز الفصل، و یجوز 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 سلّم، و إن شاء لم یسلّم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الکلام الّذی یستباح بالتسلیم، لأنّ ذلک لیس بشرط فیه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أیّد التوجیه الأخیر بذکر روایة تناسب ذلک، فانظر إلی هذین التوجیهین وارتکابه ذلک مع بعده، کما صرّح بذلک بعض المتأخّرین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یخفی ما فیهما من البعد </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والأولی أن یقال بالتخییر بین الوصل و الفصل ؛ 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کلّ ما ذکر فیهما من الحمل والتوجیه بحیث یکون مذهبًا له، و لمّا کان المذهب أنّ الصیغة الأخری بها یتحقّق الإنصراف وأراد أن یدفع التناقض من الأخبار، حمل الروایتین علی أنّ التسلیم فی الشفع علی التخییر، إن شاء أن یأتی بتلک الصیغة فهو له، و إن شاء أن یترک فهو له، و لا یلزم منه أن یکون الترک المرخّص فیه فی الشفع هو ترک السلم الأخیر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منه محض إحتمال لرفع إختلاف، و الحال أنّ السند فی الروایتین فی کمال الضعف، لاشتماله علی ابن أبی حمزة البطائنی الکذّاب </w:t>
      </w:r>
      <w:r>
        <w:rPr>
          <w:rStyle w:val="FootnoteAnchor"/>
          <w:rtl w:val="true"/>
        </w:rPr>
        <w:footnoteReference w:id="586"/>
      </w:r>
      <w:r>
        <w:rPr>
          <w:rFonts w:ascii="IRNazanin" w:hAnsi="IRNazanin" w:eastAsia="IRNazanin"/>
          <w:color w:val="111111"/>
          <w:sz w:val="28"/>
          <w:sz w:val="28"/>
          <w:szCs w:val="28"/>
          <w:rtl w:val="true"/>
          <w:lang w:bidi="fa-IR"/>
        </w:rPr>
        <w:t xml:space="preserve">، و فی کتب </w:t>
      </w:r>
    </w:p>
    <w:p>
      <w:pPr>
        <w:pStyle w:val="BookText"/>
        <w:rPr/>
      </w:pPr>
      <w:r>
        <w:rPr>
          <w:rFonts w:ascii="IRNazanin" w:hAnsi="IRNazanin" w:eastAsia="IRNazanin"/>
          <w:color w:val="111111"/>
          <w:sz w:val="28"/>
          <w:sz w:val="28"/>
          <w:szCs w:val="28"/>
          <w:rtl w:val="true"/>
          <w:lang w:bidi="fa-IR"/>
        </w:rPr>
        <w:t xml:space="preserve">الرجال أنّه رأس العمد الواقفیّة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الخبرین 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المذهب أنّ تلک الصیغة یتحقّق به </w:t>
      </w:r>
      <w:r>
        <w:rPr>
          <w:rStyle w:val="FootnoteAnchor"/>
          <w:rtl w:val="true"/>
        </w:rPr>
        <w:footnoteReference w:id="588"/>
      </w:r>
      <w:r>
        <w:rPr>
          <w:rFonts w:ascii="IRNazanin" w:hAnsi="IRNazanin" w:eastAsia="IRNazanin"/>
          <w:color w:val="111111"/>
          <w:sz w:val="28"/>
          <w:sz w:val="28"/>
          <w:szCs w:val="28"/>
          <w:rtl w:val="true"/>
          <w:lang w:bidi="fa-IR"/>
        </w:rPr>
        <w:t xml:space="preserve">الإنصراف، نحن أیضًا نقول به، ولکنّا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الشارع فی النافلة هو التسلیم، و معناه المتبادر هو السلم الشایع، و 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أنّه أتی بالسلام علینا لم یتحقّق الإنصراف،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أنّ شیئین یفسدان الصلوة،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الصیغة، و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جدّک، کما سیأتی، و قد ذکرنا فی الرسالة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الفقیه الواحد لا یصلح أن یجعله دلیلاً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حقّ، و لکن یرد هذا علی من جعل قول الشیخ دلیلاً، وما أدری مِن أین أخذ هذا، ومَن جعله دلیلاً؟ وکما أنّ قول الفقیه الواحد لا یصلح للدلالة، قول الفقیهین وثلاثة وأربعة کذلک ما لم یبلغ درجة الإجماع، فالتقیید بالواحد یوهم خلاف الواقع کما لایخفی، وأمّا قول الفقیه الواحد ـ سیّما إذا کان شیخ الطائفة ورئیس الفرقة المحقّة ـ للتأیید ونصرة القول فهو یصلح و یلیق، کما ذکر الشهید بعد أن نقل عن الصدوق قولاً لم یعرف مستنده أنّه لا یقول إلاّ عن ثبت، وقد ذکرنا فی الرسالة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دام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ظاهره دعوی إجماع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ففیه أنّ ظهور دعواه الإجماع فی محلّ المنع، و لکن بعد التسلیم و اغماض النظر، غایة ما فی الباب </w:t>
      </w:r>
      <w:bookmarkStart w:id="171" w:name="pg3709_22140"/>
    </w:p>
    <w:p>
      <w:pPr>
        <w:pStyle w:val="BookText"/>
        <w:rPr/>
      </w:pPr>
      <w:bookmarkEnd w:id="171"/>
      <w:r>
        <w:rPr>
          <w:rFonts w:ascii="IRNazanin" w:hAnsi="IRNazanin" w:eastAsia="IRNazanin"/>
          <w:color w:val="111111"/>
          <w:sz w:val="28"/>
          <w:sz w:val="28"/>
          <w:szCs w:val="28"/>
          <w:rtl w:val="true"/>
          <w:lang w:bidi="fa-IR"/>
        </w:rPr>
        <w:t>وقوع الإنصراف بتلک الصیغة، و أمّا أنّ النافلة فالمعتبر فیه هو بعینه ما یعتبر فی الفریضة، فأین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أنّ الشیخ غرضه رفع الإختلاف بأیّ وجه إتّفق، ولو کان فی نهایة البُعد و الکُلفة </w:t>
      </w:r>
      <w:r>
        <w:rPr>
          <w:rFonts w:eastAsia="IRNazanin" w:cs="IRNazanin"/>
          <w:color w:val="111111"/>
          <w:sz w:val="28"/>
          <w:szCs w:val="28"/>
          <w:rtl w:val="true"/>
          <w:lang w:bidi="fa-IR"/>
        </w:rPr>
        <w:t>.</w:t>
      </w:r>
    </w:p>
    <w:p>
      <w:pPr>
        <w:pStyle w:val="Heading3"/>
        <w:numPr>
          <w:ilvl w:val="2"/>
          <w:numId w:val="1"/>
        </w:numPr>
        <w:rPr/>
      </w:pPr>
      <w:bookmarkStart w:id="172" w:name="__RefHeading___Toc594141_2281741623"/>
      <w:bookmarkStart w:id="173" w:name="_Toc61"/>
      <w:bookmarkEnd w:id="172"/>
      <w:r>
        <w:rPr>
          <w:rtl w:val="true"/>
        </w:rPr>
        <w:t xml:space="preserve">الردّ علی قوله </w:t>
      </w:r>
      <w:r>
        <w:rPr>
          <w:rtl w:val="true"/>
        </w:rPr>
        <w:t xml:space="preserve">: </w:t>
      </w:r>
      <w:r>
        <w:rPr>
          <w:rtl w:val="true"/>
        </w:rPr>
        <w:t>ثمّ الظاهر أنّ شیخ الطائفة فی هذا الإقتصار، إلخ</w:t>
      </w:r>
      <w:bookmarkEnd w:id="173"/>
    </w:p>
    <w:p>
      <w:pPr>
        <w:pStyle w:val="BookText"/>
        <w:rPr/>
      </w:pPr>
      <w:r>
        <w:rPr>
          <w:rFonts w:ascii="IRNazanin" w:hAnsi="IRNazanin" w:eastAsia="IRNazanin"/>
          <w:color w:val="111111"/>
          <w:sz w:val="28"/>
          <w:sz w:val="28"/>
          <w:szCs w:val="28"/>
          <w:rtl w:val="true"/>
          <w:lang w:bidi="fa-IR"/>
        </w:rPr>
        <w:t xml:space="preserve">قال السیّد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الظاهر أنّ شیخ الطائفة فی هذا الإقتصار تابع شیخنا المفید فی المقنعة، فإنّه إقتصر فی تسلیم نافلة الزوال بتلک الصیغة، بل عبارته فی هذا التوهّم أقوی، لأنّه قال بعد أن ذکر الآداب المعتبرة فی الجلوس للتشهد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یتشهّد،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والحمد للّه والأسماء الحسنی کلّها للّه، أشهد أن لا إله إلاّ اللّه وحده لاشریک له، وأشهد أنّ محمّدًا عبده و رسوله، أرسله بالحقّ بشیرًا ونذیرًا بین یدی الساعة صلّی اللّه علیه وآله الطاهرین، ویسلّم تجاه القبلة تسلیمة واحدة،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علیکم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یمیل مع التسلیمة بعینه إلی یمینه </w:t>
      </w:r>
      <w:r>
        <w:rPr>
          <w:rStyle w:val="FootnoteAnchor"/>
          <w:rtl w:val="true"/>
        </w:rPr>
        <w:footnoteReference w:id="590"/>
      </w:r>
      <w:r>
        <w:rPr>
          <w:rFonts w:ascii="IRNazanin" w:hAnsi="IRNazanin" w:eastAsia="IRNazanin"/>
          <w:color w:val="111111"/>
          <w:sz w:val="28"/>
          <w:sz w:val="28"/>
          <w:szCs w:val="28"/>
          <w:rtl w:val="true"/>
          <w:lang w:bidi="fa-IR"/>
        </w:rPr>
        <w:t xml:space="preserve">، إنتهی کلامه أعلی اللّه 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تسلیمة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یوهم عدم جواز الإثنین، أسقطه شیخ الطائفة فی المصباح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یسلّم تجاه القبلة یؤمی بمؤخّر عینیه إلی یمینه،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علیکم ورحمة اللّه و برکاته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ملاحظة کلامه ظنّ قویّ أنّ مقصوده من هذا الإسقاط لئلاّ یذهب الوهم إلی ما یستدعیه ذلک القید من عدم جواز الجمع بینها وبین </w:t>
      </w:r>
    </w:p>
    <w:p>
      <w:pPr>
        <w:pStyle w:val="BookText"/>
        <w:rPr/>
      </w:pPr>
      <w:r>
        <w:rPr>
          <w:rFonts w:ascii="IRNazanin" w:hAnsi="IRNazanin" w:eastAsia="IRNazanin"/>
          <w:color w:val="111111"/>
          <w:sz w:val="28"/>
          <w:sz w:val="28"/>
          <w:szCs w:val="28"/>
          <w:rtl w:val="true"/>
          <w:lang w:bidi="fa-IR"/>
        </w:rPr>
        <w:t>غیرها، فکیف یجعل کلامه دلیلاً علی ذلک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سعیه، و أجزل مثوبته، و عظّم أجره، فإنّ السیّد ـ دام ظلّه ـ أعاننی علی ما أدّی إلیه فکری، و بلغ إلیه نظری و سعیی ـ جزاه اللّه خیر الجزاء ـ فإنّی کنت غافلاً عمّا أفاده شیخنا المفید أعلی اللّه درجته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إسقاط الوحدة فی کلام الشیخ، فلیس لأجل عدم التوهّم، فإنّ بعض الظنّ إثم </w:t>
      </w:r>
      <w:r>
        <w:rPr>
          <w:rStyle w:val="FootnoteAnchor"/>
          <w:rtl w:val="true"/>
        </w:rPr>
        <w:footnoteReference w:id="592"/>
      </w:r>
      <w:r>
        <w:rPr>
          <w:rFonts w:ascii="IRNazanin" w:hAnsi="IRNazanin" w:eastAsia="IRNazanin"/>
          <w:color w:val="111111"/>
          <w:sz w:val="28"/>
          <w:sz w:val="28"/>
          <w:szCs w:val="28"/>
          <w:rtl w:val="true"/>
          <w:lang w:bidi="fa-IR"/>
        </w:rPr>
        <w:t xml:space="preserve">، بل لمّا کان فی الفریضة قد ورد عن سادات الأنام بأنّه إذا کان إمامًا یسلّم علی المأمومین و غیرهم، وإذا کان مأمومًا یسلّم تسلیمتین علی الإمام مرّة، وعلی مَن علی یمینه مرّة أخری، و لو کان منفردًا یسلّم علی الثقلین و الأنبیاء والمقرّبین، فهل یکفی مرّة أو مرّتین ؟ ففیه خلاف، قد استوفینا بما لا مزید علیه فی الرسالة، فأشار بالوحدة إلی أنّ النافلة لیست مثل الفریضة، بل یکتفی بالمرّة علی کلّ حال، ولیس المراد بالوحدة و التکرار باعتبار السلم علینا و علی عباد اللّه الصالحین، کلاّ وحاشا، ثمّ کلاّ و حاشا، و هذا من مثله لغریب بعید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لا أنّ السیّد هو الّذی عرفتُه بالنفس القدسیّة والمکارم والأخلاق الکریمة الحمیدة، لظننت بجنابه سوءًا من اللجاج والإعتساف، و لکن حاشا جناب قدسه وقدس جنابه عن شوب الجدال، حشره اللّه مع أجداده سادات الأنام، وأعلی درجته فی فرادیس الجنان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174" w:name="pg3709_22142"/>
    </w:p>
    <w:p>
      <w:pPr>
        <w:pStyle w:val="BookText"/>
        <w:rPr/>
      </w:pPr>
      <w:bookmarkEnd w:id="174"/>
      <w:r>
        <w:rPr>
          <w:rFonts w:ascii="IRNazanin" w:hAnsi="IRNazanin" w:eastAsia="IRNazanin"/>
          <w:color w:val="111111"/>
          <w:sz w:val="28"/>
          <w:sz w:val="28"/>
          <w:szCs w:val="28"/>
          <w:rtl w:val="true"/>
          <w:lang w:bidi="fa-IR"/>
        </w:rPr>
        <w:t xml:space="preserve">ثمّ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الشیخ تابع شیخنا المفید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أراد انّه تابع من غیر استناد إلی دلیل، فهو تقلید حرام علی من بلغ درجة الإجتهاد، سیّما من مثل الشیخ البالغ أقصی درجة الفقاهة و قصوی مرتبة الدرایة والریاسة شأنه أرفع من أن یوصف بالإجتهاد، لأنّ الإجتهاد هو الظنّ بالحکم الشرعیّ المستند إلی الأدلّة الظنّیة، وقد کانت القرائن المفیدة للعلم حاصلة له رحمه‌الله ، کما یظهر لمن تتبّع مصنّفاته و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 من المتابعة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الموافقة فی الرأی بحسب الدلیل، فذلک المتابعة یؤیّد ما کنّا فیه زیادة تأیید، الحمد للّه </w:t>
      </w:r>
      <w:r>
        <w:rPr>
          <w:rFonts w:eastAsia="IRNazanin" w:cs="IRNazanin"/>
          <w:color w:val="111111"/>
          <w:sz w:val="28"/>
          <w:szCs w:val="28"/>
          <w:rtl w:val="true"/>
          <w:lang w:bidi="fa-IR"/>
        </w:rPr>
        <w:t>.</w:t>
      </w:r>
    </w:p>
    <w:p>
      <w:pPr>
        <w:pStyle w:val="Heading3"/>
        <w:numPr>
          <w:ilvl w:val="2"/>
          <w:numId w:val="1"/>
        </w:numPr>
        <w:rPr/>
      </w:pPr>
      <w:bookmarkStart w:id="175" w:name="__RefHeading___Toc594143_2281741623"/>
      <w:bookmarkStart w:id="176" w:name="_Toc62"/>
      <w:bookmarkEnd w:id="175"/>
      <w:r>
        <w:rPr>
          <w:rtl w:val="true"/>
        </w:rPr>
        <w:t xml:space="preserve">الردّ علی قوله </w:t>
      </w:r>
      <w:r>
        <w:rPr>
          <w:rtl w:val="true"/>
        </w:rPr>
        <w:t xml:space="preserve">: </w:t>
      </w:r>
      <w:r>
        <w:rPr>
          <w:rtl w:val="true"/>
        </w:rPr>
        <w:t>ثمّ إنّ الفاضل سلاّر بن عبدالعزیز، إلخ</w:t>
      </w:r>
      <w:bookmarkEnd w:id="176"/>
    </w:p>
    <w:p>
      <w:pPr>
        <w:pStyle w:val="BookText"/>
        <w:rPr/>
      </w:pPr>
      <w:r>
        <w:rPr>
          <w:rFonts w:ascii="IRNazanin" w:hAnsi="IRNazanin" w:eastAsia="IRNazanin"/>
          <w:color w:val="111111"/>
          <w:sz w:val="28"/>
          <w:sz w:val="28"/>
          <w:szCs w:val="28"/>
          <w:rtl w:val="true"/>
          <w:lang w:bidi="fa-IR"/>
        </w:rPr>
        <w:t xml:space="preserve">قال السیّد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الفاضل سلاّر بن عبدالعزیز لم یراع الوجه الّذی ذکرناه، فأتی بمثل عبارة المقنعة، قال فی المراسم فی نافلة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یجلس فیتشهد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594"/>
      </w:r>
      <w:r>
        <w:rPr>
          <w:rFonts w:ascii="IRNazanin" w:hAnsi="IRNazanin" w:eastAsia="IRNazanin"/>
          <w:color w:val="111111"/>
          <w:sz w:val="28"/>
          <w:sz w:val="28"/>
          <w:szCs w:val="28"/>
          <w:rtl w:val="true"/>
          <w:lang w:bidi="fa-IR"/>
        </w:rPr>
        <w:t xml:space="preserve">یسلّم تجاه القبلة تسلیمة واحدة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علیکم ورحمة اللّه وبرکاته، و ینحرف بوجهه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یمینًا </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 و یتمّ ثمانی رکعات، کلّ رکعتین بتسلیمة علی کیفیّة ما رسم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ذکر فی کلامه ما یرشد إلی أنّ ما یستدعیه القید المذکور لم یکن مرادًا له، حیث قال بعده من غیر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یؤذِّن و یقیم، و یصلّی الظهر أربع رکعات </w:t>
      </w:r>
      <w:r>
        <w:rPr>
          <w:rStyle w:val="FootnoteAnchor"/>
          <w:rtl w:val="true"/>
        </w:rPr>
        <w:footnoteReference w:id="596"/>
      </w:r>
      <w:r>
        <w:rPr>
          <w:rFonts w:ascii="IRNazanin" w:hAnsi="IRNazanin" w:eastAsia="IRNazanin"/>
          <w:color w:val="111111"/>
          <w:sz w:val="28"/>
          <w:sz w:val="28"/>
          <w:szCs w:val="28"/>
          <w:rtl w:val="true"/>
          <w:lang w:bidi="fa-IR"/>
        </w:rPr>
        <w:t xml:space="preserve">بتسلیمة واحدة </w:t>
      </w:r>
      <w:r>
        <w:rPr>
          <w:rStyle w:val="FootnoteAnchor"/>
          <w:rtl w:val="true"/>
        </w:rPr>
        <w:footnoteReference w:id="597"/>
      </w:r>
      <w:r>
        <w:rPr>
          <w:rFonts w:ascii="IRNazanin" w:hAnsi="IRNazanin" w:eastAsia="IRNazanin"/>
          <w:color w:val="111111"/>
          <w:sz w:val="28"/>
          <w:sz w:val="28"/>
          <w:szCs w:val="28"/>
          <w:rtl w:val="true"/>
          <w:lang w:bidi="fa-IR"/>
        </w:rPr>
        <w:t xml:space="preserve">، إلی آخره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 أنّ جواز الجمع بین الصیغ </w:t>
      </w:r>
      <w:r>
        <w:rPr>
          <w:rStyle w:val="FootnoteAnchor"/>
          <w:rtl w:val="true"/>
        </w:rPr>
        <w:footnoteReference w:id="598"/>
      </w:r>
      <w:r>
        <w:rPr>
          <w:rFonts w:ascii="IRNazanin" w:hAnsi="IRNazanin" w:eastAsia="IRNazanin"/>
          <w:color w:val="111111"/>
          <w:sz w:val="28"/>
          <w:sz w:val="28"/>
          <w:szCs w:val="28"/>
          <w:rtl w:val="true"/>
          <w:lang w:bidi="fa-IR"/>
        </w:rPr>
        <w:t xml:space="preserve">التسلیم فی فریضة الظهر مثلاً ممّا لا ریب فیه، وإن کان الأمر فی النوافل أیضًا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یؤیِّد أنّ مرادهما لیس الإقتصار بصیغة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علیکم، ما ذکراه فی المقنعة والمراسم فی تسلیم الفرائض الیومیّة، حیث ذکرا بعد الفراغ من الدعاء ومستحبّاته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علیک أیّها النبیّ و رحمة اللّه و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ویؤمی بوجهه إلی القبلة و یقول </w:t>
      </w:r>
      <w:r>
        <w:rPr>
          <w:rFonts w:eastAsia="IRNazanin" w:cs="IRNazanin"/>
          <w:color w:val="111111"/>
          <w:sz w:val="28"/>
          <w:szCs w:val="28"/>
          <w:rtl w:val="true"/>
          <w:lang w:bidi="fa-IR"/>
        </w:rPr>
        <w:t xml:space="preserve">: ] </w:t>
      </w:r>
      <w:r>
        <w:rPr>
          <w:rStyle w:val="FootnoteAnchor"/>
          <w:rtl w:val="true"/>
        </w:rPr>
        <w:footnoteReference w:id="599"/>
      </w:r>
      <w:r>
        <w:rPr>
          <w:rFonts w:ascii="IRNazanin" w:hAnsi="IRNazanin" w:eastAsia="IRNazanin"/>
          <w:color w:val="111111"/>
          <w:sz w:val="28"/>
          <w:sz w:val="28"/>
          <w:szCs w:val="28"/>
          <w:rtl w:val="true"/>
          <w:lang w:bidi="fa-IR"/>
        </w:rPr>
        <w:t xml:space="preserve">السلم علی الأئمِّة الراشدین، السلم علینا وعلی عباد اللّه الصالحین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یذکرا السلم علیکم بعد السلم علینا، و الظاهر أنّه لیس کذلک، والدلیل علیه من کلام المقنعة هو أنّه ذکر فی هذا المقام بعد السلم علینا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فعل ذلک فقد فرغ من صلاته، و خرج منها بهذا التسلیم </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یظهر أنّه یقول بوجوب التسلیم فی الجملة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صاحب المراسم یزید قوّة علی قوّة و نورًا علی نور، جزی اللّه سیّدنا عنّا خیر الجزاء، فإنّه قد أیّد ما نحن بصدده بموافقة المشایخ العظام والأکابر الفخام أولی الأیدی والأبصار، و ما کنت خبیرًا بفتاویهم لعدم اطّلاعی علی کتاب المراسم، فجعلنی بصیرًا بما فیه، وجعل إعتقادی قویًّا لإعتمادی بهؤلاء المشایخ، إذ هم لم یقولوا إلاّ عن حجّة و دلیل ؛ و قد عرفت أنّ القید المذکور لایستدعی ما نسب إلیه، بل لأجل التکرار فی التسلیم بحسب أحوال المصلّین فی الفریضة، </w:t>
      </w:r>
      <w:bookmarkStart w:id="177" w:name="pg3709_22144"/>
    </w:p>
    <w:p>
      <w:pPr>
        <w:pStyle w:val="BookText"/>
        <w:rPr/>
      </w:pPr>
      <w:bookmarkEnd w:id="177"/>
      <w:r>
        <w:rPr>
          <w:rFonts w:ascii="IRNazanin" w:hAnsi="IRNazanin" w:eastAsia="IRNazanin"/>
          <w:color w:val="111111"/>
          <w:sz w:val="28"/>
          <w:sz w:val="28"/>
          <w:szCs w:val="28"/>
          <w:rtl w:val="true"/>
          <w:lang w:bidi="fa-IR"/>
        </w:rPr>
        <w:t xml:space="preserve">إمامًا و مأمومًا و فرادی، و التکرار لأجل ملاحظة المقام، و لا نعید الکلام، من شاء فلیرجع إلی الرسالة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من التأیید وعدم ذکر السلم الأخیر، فکأنّه لأجل أنّ تینک الصیغتین لیستا من جملة التسلیم، بل من آداب التشهد و مکمِّلاته و مندوباته، والتسلیم إسم للسلام الشایع، و هما خارجان </w:t>
      </w:r>
      <w:r>
        <w:rPr>
          <w:rStyle w:val="FootnoteAnchor"/>
          <w:rtl w:val="true"/>
        </w:rPr>
        <w:footnoteReference w:id="603"/>
      </w:r>
      <w:r>
        <w:rPr>
          <w:rFonts w:ascii="IRNazanin" w:hAnsi="IRNazanin" w:eastAsia="IRNazanin"/>
          <w:color w:val="111111"/>
          <w:sz w:val="28"/>
          <w:sz w:val="28"/>
          <w:szCs w:val="28"/>
          <w:rtl w:val="true"/>
          <w:lang w:bidi="fa-IR"/>
        </w:rPr>
        <w:t>عنه، و بذلک یرفع المنافات من البین</w:t>
      </w:r>
      <w:r>
        <w:rPr>
          <w:rFonts w:eastAsia="IRNazanin" w:cs="IRNazanin"/>
          <w:color w:val="111111"/>
          <w:sz w:val="28"/>
          <w:szCs w:val="28"/>
          <w:rtl w:val="true"/>
          <w:lang w:bidi="fa-IR"/>
        </w:rPr>
        <w:t>.</w:t>
      </w:r>
    </w:p>
    <w:p>
      <w:pPr>
        <w:pStyle w:val="Heading3"/>
        <w:numPr>
          <w:ilvl w:val="2"/>
          <w:numId w:val="1"/>
        </w:numPr>
        <w:rPr/>
      </w:pPr>
      <w:bookmarkStart w:id="178" w:name="__RefHeading___Toc594145_2281741623"/>
      <w:bookmarkStart w:id="179" w:name="_Toc63"/>
      <w:bookmarkEnd w:id="178"/>
      <w:r>
        <w:rPr>
          <w:rtl w:val="true"/>
        </w:rPr>
        <w:t xml:space="preserve">الردّ علی قوله </w:t>
      </w:r>
      <w:r>
        <w:rPr>
          <w:rtl w:val="true"/>
        </w:rPr>
        <w:t xml:space="preserve">: </w:t>
      </w:r>
      <w:r>
        <w:rPr>
          <w:rtl w:val="true"/>
        </w:rPr>
        <w:t>فی ذیل إثبات رجحان ذکر السلم علی، إلخ</w:t>
      </w:r>
      <w:bookmarkEnd w:id="179"/>
    </w:p>
    <w:p>
      <w:pPr>
        <w:pStyle w:val="BookText"/>
        <w:rPr/>
      </w:pPr>
      <w:r>
        <w:rPr>
          <w:rFonts w:ascii="IRNazanin" w:hAnsi="IRNazanin" w:eastAsia="IRNazanin"/>
          <w:color w:val="111111"/>
          <w:sz w:val="28"/>
          <w:sz w:val="28"/>
          <w:szCs w:val="28"/>
          <w:rtl w:val="true"/>
          <w:lang w:bidi="fa-IR"/>
        </w:rPr>
        <w:t xml:space="preserve">قال السیّد ـ دام ظلّه ـ فی ذیل إثبات رجحان ذکر السلم علی النبیّ صلی‌الله‌علیه‌و‌آله فی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یمکن الإستدلال به ما رواه شیخنا الصدوق فی باب أحکام السهو فی الصلوة من الفقیه، و شیخ الطائفة فی باب کیفیّة الصلوة من زیادات التهذیب، عن أبی کهمش،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الرکعتین الأُولتین إذا جلست فیهما للتشهد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جالس </w:t>
      </w:r>
      <w:r>
        <w:rPr>
          <w:rFonts w:eastAsia="IRNazanin" w:cs="IRNazanin"/>
          <w:color w:val="111111"/>
          <w:sz w:val="28"/>
          <w:szCs w:val="28"/>
          <w:rtl w:val="true"/>
          <w:lang w:bidi="fa-IR"/>
        </w:rPr>
        <w:t xml:space="preserve">] </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 علیک أیّها النبیّ و رحمة اللّه و برکاته إنصراف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علینا و علی عباد اللّه الصالحین، فهو الإنصراف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الدلالة هو أنّ الرکعتین الأولتین اللّتین یکون الإنصراف من الصلوة فیهما مطلوبًا، لم توجدا فی الفرائض الیومیّة إلاّ فریضة الصبح، وذکر الأولیین غیر ملائم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 xml:space="preserve">، بخلاف ما إذا کان المراد منهما النوافل، لإمکان أن یکون المقصود الأولیین من نوافل الزوال أو نوافل </w:t>
      </w:r>
    </w:p>
    <w:p>
      <w:pPr>
        <w:pStyle w:val="BookText"/>
        <w:rPr/>
      </w:pPr>
      <w:r>
        <w:rPr>
          <w:rFonts w:ascii="IRNazanin" w:hAnsi="IRNazanin" w:eastAsia="IRNazanin"/>
          <w:color w:val="111111"/>
          <w:sz w:val="28"/>
          <w:sz w:val="28"/>
          <w:szCs w:val="28"/>
          <w:rtl w:val="true"/>
          <w:lang w:bidi="fa-IR"/>
        </w:rPr>
        <w:t xml:space="preserve">العصر أو نوافل المغرب أو صلاة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السؤال أنّ السائل یعتقد جواز السلم علیک أیّها النبیّ ورحمة اللّه وبرکاته فی تشهّدهما، لکن لم یعلم أنّه یحصل منه الإنصراف من الصلوة أو لا، فسأله علیه‌السلام عنه، و قرّره علی هذا الإعتقاد، وأجاب بأنّه لا یحصل منه الإنصراف، بل الإنصراف یتحقّق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علینا وعلی عباد اللّه الصالحین، فقد دلّ الحدیث علی جواز الجمع بینهما فی النافلة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السیّد ـ دام ظلّه ـ قد سهی سهوًا واضحًا، و فهم أنّ السائل فی مقام السؤال عمّا به یتحقّق الإنصراف، ویطلب هل فی هذه الصیغة إنصراف لأکتفیَ به فی موضعه من التشهّد ؟</w:t>
      </w:r>
    </w:p>
    <w:p>
      <w:pPr>
        <w:pStyle w:val="BookText"/>
        <w:rPr/>
      </w:pPr>
      <w:r>
        <w:rPr>
          <w:rFonts w:ascii="IRNazanin" w:hAnsi="IRNazanin" w:eastAsia="IRNazanin"/>
          <w:color w:val="111111"/>
          <w:sz w:val="28"/>
          <w:sz w:val="28"/>
          <w:szCs w:val="28"/>
          <w:rtl w:val="true"/>
          <w:lang w:bidi="fa-IR"/>
        </w:rPr>
        <w:t xml:space="preserve">و هیهات هیهات لیس الأمر کذلک، بل إنّه قد أتی بهذه الصیغة سهوًا فی التشهّد الأوّل من الفریضة، و لم یدر أنّه قد انصرف بهذه الصیغة سهوًا لیترتّب علیه حکم السهو، أو لا یتحقّق بهذه، فأجاب علیه‌السلام بعدم تحقّق الإنصراف بتلک الصیغة، بل یحصل ذلک بالصیغة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علی ذلک ذکر الحدیث فی ذیل أحکام السهو فی الصلوة، کما أنّ سابقه و لاحقه فی ذلک أیضًا، ولکن الجواد قد یکبو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لنمسک عنان القلم فی هذا المضمار، و نکتفی بهذا القدر من الکلام، ونستحیی من أن نتعرّض لسایر ما أفاده فی بقیّة تلک الوریقات من النقض والإیراد والردّ والإبرام، و نستدعی من جنابه العالی أن یعفو عنّی إن خرجت فی أثناء الکلام نقضًا وإبرامًا عن رعایة الآداب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نلتمس من جنابه السامی أن لاینسانی عن الدعاء والإستغفار فی آناء اللیل وأطراف النهار، کما أنّی من الداعین له سرًّا و جهرًا و لیلاً و نهارًا، وأرجو من اللّه أن یوفّقه لتحصیل ما یتمنّاه من العلم، وتهذیب الأخلاق، وإخلاص النیّة، وإکمال العمل لنیل السعادات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ألحقه و إیّانا بالصالحین الأبرار السارعین إلی الخیرات العاملین الباقیات الصالحات الساعین إلی رفیع الدرجات، واجعله و إیّانا و جمیع إخواننا من المصطفین الأخیار بحقّ الأبرار و الأخیار من خالصی عبادک، سیّما المقرّب المکین فی عالم اللاهوت المطاع فی الملک والملکوت محمّد المصطفی وآله وعترته أمناء المعبود، وأسرار اللاهوت، و ینابیع العلوم عن الحیّ القیّوم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بیمناه الداثرة أقلّ الخلیقة وأضعف البریّة علی أکبر ـ عفی اللّه عن جرائمه وزلاّته ـ فی لیلة الأحد من شهر الربیع الأوّل، و قد مضی منه نیف وعشرون من سنة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والحمد للّه ربّ العالمین، و صلّی اللّه علی محمّد وآله أجمعین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180" w:name="pg3709_22147"/>
    </w:p>
    <w:p>
      <w:pPr>
        <w:pStyle w:val="Heading2"/>
        <w:numPr>
          <w:ilvl w:val="1"/>
          <w:numId w:val="1"/>
        </w:numPr>
        <w:rPr/>
      </w:pPr>
      <w:bookmarkStart w:id="181" w:name="__RefHeading___Toc594147_2281741623"/>
      <w:bookmarkStart w:id="182" w:name="_Toc64"/>
      <w:bookmarkEnd w:id="180"/>
      <w:bookmarkEnd w:id="181"/>
      <w:r>
        <w:rPr>
          <w:rtl w:val="true"/>
        </w:rPr>
        <w:t>الرسالة الرابعة</w:t>
      </w:r>
      <w:r>
        <w:rPr>
          <w:rtl w:val="true"/>
        </w:rPr>
        <w:t xml:space="preserve">: </w:t>
      </w:r>
      <w:r>
        <w:rPr>
          <w:rtl w:val="true"/>
        </w:rPr>
        <w:t>الرَدُّ عَلی رَدِّ المولی عَلِی أَکبَر الإِیجِهِی رحمه‌الله لحجّة الإسلام الشفتی قدس‌سره</w:t>
      </w:r>
      <w:bookmarkEnd w:id="182"/>
    </w:p>
    <w:p>
      <w:pPr>
        <w:pStyle w:val="Heading3"/>
        <w:numPr>
          <w:ilvl w:val="2"/>
          <w:numId w:val="1"/>
        </w:numPr>
        <w:rPr/>
      </w:pPr>
      <w:bookmarkStart w:id="183" w:name="__RefHeading___Toc594149_2281741623"/>
      <w:bookmarkStart w:id="184" w:name="_Toc65"/>
      <w:bookmarkEnd w:id="183"/>
      <w:r>
        <w:rPr>
          <w:rtl w:val="true"/>
        </w:rPr>
        <w:t>اشارة</w:t>
      </w:r>
      <w:bookmarkEnd w:id="18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الرَدُّ عَلی</w:t>
      </w:r>
    </w:p>
    <w:p>
      <w:pPr>
        <w:pStyle w:val="BookText"/>
        <w:rPr/>
      </w:pPr>
      <w:r>
        <w:rPr>
          <w:rFonts w:ascii="Amiri" w:hAnsi="Amiri" w:eastAsia="Amiri" w:cs="Amiri"/>
          <w:color w:val="111111"/>
          <w:sz w:val="28"/>
          <w:sz w:val="28"/>
          <w:szCs w:val="28"/>
          <w:rtl w:val="true"/>
          <w:lang w:bidi="ar-SA"/>
        </w:rPr>
        <w:t>رَدِّ المولی عَلِی أَکبَر الإِیجِهِی رحمه‌الله</w:t>
      </w:r>
    </w:p>
    <w:p>
      <w:pPr>
        <w:pStyle w:val="BookText"/>
        <w:rPr/>
      </w:pPr>
      <w:r>
        <w:rPr>
          <w:rFonts w:ascii="Amiri" w:hAnsi="Amiri" w:eastAsia="Amiri" w:cs="Amiri"/>
          <w:color w:val="111111"/>
          <w:sz w:val="28"/>
          <w:sz w:val="28"/>
          <w:szCs w:val="28"/>
          <w:rtl w:val="true"/>
          <w:lang w:bidi="ar-SA"/>
        </w:rPr>
        <w:t>تَألیفُ</w:t>
      </w:r>
    </w:p>
    <w:p>
      <w:pPr>
        <w:pStyle w:val="BookText"/>
        <w:rPr/>
      </w:pPr>
      <w:r>
        <w:rPr>
          <w:rFonts w:ascii="Amiri" w:hAnsi="Amiri" w:eastAsia="Amiri" w:cs="Amiri"/>
          <w:color w:val="111111"/>
          <w:sz w:val="28"/>
          <w:sz w:val="28"/>
          <w:szCs w:val="28"/>
          <w:rtl w:val="true"/>
          <w:lang w:bidi="ar-SA"/>
        </w:rPr>
        <w:t>العَلاّمةِ الفَقِیهِ المُحَقِّق</w:t>
      </w:r>
    </w:p>
    <w:p>
      <w:pPr>
        <w:pStyle w:val="BookText"/>
        <w:rPr/>
      </w:pPr>
      <w:r>
        <w:rPr>
          <w:rFonts w:ascii="Amiri" w:hAnsi="Amiri" w:eastAsia="Amiri" w:cs="Amiri"/>
          <w:color w:val="111111"/>
          <w:sz w:val="28"/>
          <w:sz w:val="28"/>
          <w:szCs w:val="28"/>
          <w:rtl w:val="true"/>
          <w:lang w:bidi="ar-SA"/>
        </w:rPr>
        <w:t>السَیِّد مُحَمَّد بَاقِر بن مُحَمَّد نقی الشَفتِیّ قدس‌سره</w:t>
      </w:r>
    </w:p>
    <w:p>
      <w:pPr>
        <w:pStyle w:val="BookText"/>
        <w:rPr/>
      </w:pPr>
      <w:r>
        <w:rPr>
          <w:rFonts w:ascii="Amiri" w:hAnsi="Amiri" w:eastAsia="Amiri" w:cs="Amiri"/>
          <w:color w:val="111111"/>
          <w:sz w:val="28"/>
          <w:sz w:val="28"/>
          <w:szCs w:val="28"/>
          <w:rtl w:val="true"/>
          <w:lang w:bidi="ar-SA"/>
        </w:rPr>
        <w:t>المُشتَهر بِحُجَّةِ الإِسلام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تَحقِیقُ</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السَیِّد مَهدِی الشَفتِیّ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 و به نستعین</w:t>
      </w:r>
    </w:p>
    <w:p>
      <w:pPr>
        <w:pStyle w:val="BookText"/>
        <w:rPr/>
      </w:pPr>
      <w:r>
        <w:rPr>
          <w:rFonts w:ascii="IRNazanin" w:hAnsi="IRNazanin" w:eastAsia="IRNazanin"/>
          <w:color w:val="111111"/>
          <w:sz w:val="28"/>
          <w:sz w:val="28"/>
          <w:szCs w:val="28"/>
          <w:rtl w:val="true"/>
          <w:lang w:bidi="fa-IR"/>
        </w:rPr>
        <w:t xml:space="preserve">الحمد للّه الّذی أنار المذهب الحقّ و لو سعی فی اطفائه المنکرون، وأضاء مناهج الصدق وإن عثر فیها بتقصیرهم الغافلون، والصلوة والسلام علی أجدادی العظام الفخام الّذین بهم قامت السموات والأرضون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یقول العبد الملتجئ إلی باب سیّده العلیّ العالی محمّد باقر بن محمّد نقی الموسویّ ـ حشرهما اللّه تعالی مع أجدادهما یوم یؤخذ بالنواصی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ورد عن سیّد البشر ـ علیه و علی آله صلوات اللّه الملک الأکبر ـ ما هذا لفظه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ظهرت البِدَع فی الدین </w:t>
      </w:r>
      <w:r>
        <w:rPr>
          <w:rStyle w:val="FootnoteAnchor"/>
          <w:rtl w:val="true"/>
        </w:rPr>
        <w:footnoteReference w:id="607"/>
      </w:r>
      <w:r>
        <w:rPr>
          <w:rFonts w:ascii="Amiri" w:hAnsi="Amiri" w:eastAsia="Amiri" w:cs="Amiri"/>
          <w:color w:val="111111"/>
          <w:sz w:val="28"/>
          <w:sz w:val="28"/>
          <w:szCs w:val="28"/>
          <w:rtl w:val="true"/>
          <w:lang w:bidi="ar-SA"/>
        </w:rPr>
        <w:t xml:space="preserve">، فلیُظهِرِ العالم علمَه، فَمَن لم یفعل فعلیه لعنة اللّه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وأفشی فی الناس بعض العلماء المعاصرین ما کان اعتقادی انّه من البدع فی الدین، عزمت أن أصرف بعض أوقاتی لرفع هذه البدعة، فسلکت فیه مسلکًا یضاهی مسالک الأمر بالمعروف، فکتبت إلی بعض أجلّة </w:t>
      </w:r>
      <w:r>
        <w:rPr>
          <w:rStyle w:val="FootnoteAnchor"/>
          <w:rtl w:val="true"/>
        </w:rPr>
        <w:footnoteReference w:id="609"/>
      </w:r>
      <w:r>
        <w:rPr>
          <w:rFonts w:ascii="Amiri" w:hAnsi="Amiri" w:eastAsia="Amiri" w:cs="Amiri"/>
          <w:color w:val="111111"/>
          <w:sz w:val="28"/>
          <w:sz w:val="28"/>
          <w:szCs w:val="28"/>
          <w:rtl w:val="true"/>
          <w:lang w:bidi="ar-SA"/>
        </w:rPr>
        <w:t xml:space="preserve">العلماء العظام وأعزّة </w:t>
      </w:r>
      <w:bookmarkStart w:id="185" w:name="pg3709_22150"/>
    </w:p>
    <w:p>
      <w:pPr>
        <w:pStyle w:val="BookText"/>
        <w:rPr/>
      </w:pPr>
      <w:bookmarkEnd w:id="185"/>
      <w:r>
        <w:rPr>
          <w:rFonts w:ascii="IRNazanin" w:hAnsi="IRNazanin" w:eastAsia="IRNazanin"/>
          <w:color w:val="111111"/>
          <w:sz w:val="28"/>
          <w:sz w:val="28"/>
          <w:szCs w:val="28"/>
          <w:rtl w:val="true"/>
          <w:lang w:bidi="fa-IR"/>
        </w:rPr>
        <w:t xml:space="preserve">الفضلاء الکرام </w:t>
      </w:r>
      <w:r>
        <w:rPr>
          <w:rStyle w:val="FootnoteAnchor"/>
          <w:rtl w:val="true"/>
        </w:rPr>
        <w:footnoteReference w:id="610"/>
      </w:r>
      <w:r>
        <w:rPr>
          <w:rFonts w:ascii="IRNazanin" w:hAnsi="IRNazanin" w:eastAsia="IRNazanin"/>
          <w:color w:val="111111"/>
          <w:sz w:val="28"/>
          <w:sz w:val="28"/>
          <w:szCs w:val="28"/>
          <w:rtl w:val="true"/>
          <w:lang w:bidi="fa-IR"/>
        </w:rPr>
        <w:t xml:space="preserve">ـ أدام اللّه تعالی ظلاله علی رؤس الأنام ـ انّ تلک المسئلة اشتهرت من بعض الأجلّة واعتقادی أنّها من البدع الّتی یجب السعی فی إبطالها، فلیکفّ نفسه عنها، فانّه علی خلافها إتّفاق علماء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ـ دام ظلّه العالی ـ أرسل رقعتی إلیه، لکن لم یظهر منه أثر و لم یبرز منه ثمر، بل زاد إصراره فی اعتقاده، و بلغ إلیّ انّه أخذ أن یکتب فی ترویجه رسالة، فکتبتُ فی إبطاله رسالة و أبرزتُ الحال فی ذلک بحیث یصل مَن لاحظه بعین الإنصاف والبصیرة إلی حقیقة الحال مِن غیر شکّ و ریبة، فأرسلتُها إلیه بعد إرساله رسالته إلیّ، فرأیتُها مشتملة علی ما ستقف علیه فی المباحث الآتیة، و کففتُ نفسی عن إبرازها احترازًا عن إشاعة الفاحشة، لکنّه أخذ فی الردّ علی رسالتی، ثمّ بعد أن وصل ردّه إلیّ رأیتُه أوهن من بیت العنکبوت وانّه لأوهن البیوت، ثمّ کففتُ نفسی أیضًا إلی أن انقضی سنة و ثلثة أشهر، ثمّ أخذتُ فی الردّ علیه وإظهار الشنایع الّتی صدرت منه للباعث الّذی ستقف علیه، فأقول </w:t>
      </w:r>
      <w:r>
        <w:rPr>
          <w:rFonts w:eastAsia="IRNazanin" w:cs="IRNazanin"/>
          <w:color w:val="111111"/>
          <w:sz w:val="28"/>
          <w:szCs w:val="28"/>
          <w:rtl w:val="true"/>
          <w:lang w:bidi="fa-IR"/>
        </w:rPr>
        <w:t>:</w:t>
      </w:r>
    </w:p>
    <w:p>
      <w:pPr>
        <w:pStyle w:val="Heading3"/>
        <w:numPr>
          <w:ilvl w:val="2"/>
          <w:numId w:val="1"/>
        </w:numPr>
        <w:rPr/>
      </w:pPr>
      <w:bookmarkStart w:id="186" w:name="__RefHeading___Toc594151_2281741623"/>
      <w:bookmarkStart w:id="187" w:name="_Toc66"/>
      <w:bookmarkEnd w:id="186"/>
      <w:r>
        <w:rPr>
          <w:rtl w:val="true"/>
        </w:rPr>
        <w:t xml:space="preserve">الردّ علی قوله </w:t>
      </w:r>
      <w:r>
        <w:rPr>
          <w:rtl w:val="true"/>
        </w:rPr>
        <w:t xml:space="preserve">: </w:t>
      </w:r>
      <w:r>
        <w:rPr>
          <w:rtl w:val="true"/>
        </w:rPr>
        <w:t>انّی بعد ما کتبت رسالة فی بیان التسلیم فی النافلة، إلخ</w:t>
      </w:r>
      <w:bookmarkEnd w:id="18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بعد ما کتبت رسالة فی بیان التسلیم فی النافلة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انّ تلک الرسالة لیست فی بیان التسلیم فی النافلة فقط، بل فصل واحد منها وهو آخر فصولها فیه، کما أشار إلیه </w:t>
      </w:r>
      <w:r>
        <w:rPr>
          <w:rStyle w:val="FootnoteAnchor"/>
          <w:rtl w:val="true"/>
        </w:rPr>
        <w:footnoteReference w:id="611"/>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العاشر فی بیان تسلیم النوافل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 قوله فی بیان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فی وجوبه و ندبه، والفصل الثانی فی أنّ التسلیم هل هو جزء من الصلوة أو خارج عنها، و الفصل الثالث فیما </w:t>
      </w:r>
    </w:p>
    <w:p>
      <w:pPr>
        <w:pStyle w:val="BookText"/>
        <w:rPr/>
      </w:pPr>
      <w:r>
        <w:rPr>
          <w:rFonts w:ascii="IRNazanin" w:hAnsi="IRNazanin" w:eastAsia="IRNazanin"/>
          <w:color w:val="111111"/>
          <w:sz w:val="28"/>
          <w:sz w:val="28"/>
          <w:szCs w:val="28"/>
          <w:rtl w:val="true"/>
          <w:lang w:bidi="fa-IR"/>
        </w:rPr>
        <w:t xml:space="preserve">یتفرّع علی القولین المذکورین إلی آخر ما ذکره، و الفصل الرابع فی أنّ العبارة المخرجة هل هی السلام علینا و علی عباد اللّه الصالحین أو هی السلام علیکم، الفصل الخامس فی حصر المذاهب و تلخیص الأقوال، الفصل السادس فی بیان مواضع تعدّد التسلیم و کیفیّة أدائه، إعلم أنّ المصلّی فی حال التسلیم إمّا منفرد أو إمام أو مأموم، 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الشهید أنّه یستحبّ أن یقصد الإمام التسلیم علی الأنبیاء، 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فیالتسلیم علی‌تقدیر الوجوب ورحمة اللّه، الفصل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نیّة الخروج فی التسلیم علی تقدیر وجوبه ، إلی آخر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الحکم بکون الرسالة فی بیان التسلیم فی النافلة لایخفی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لمّا أوردنا علیه هذا الإیراد و لم یقدر أن یبرز ما یصلح للجواب، غیّر العبارة فیما بعد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بعد ما کتبت رسالة فی بیان التسلیم وأحوالها وفی النافلة و آدابها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لا یخفی ما فیه أیضًا، فإنّ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التسلیم، و المناسب التذکیر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الإغماض عنه بأن یحمل الکلام علی خلاف ما هو الظاهر منه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المرجع صیغة التسلیم،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ما الداعی للعدول إلی التأنیث حتّی یفتقر إلی التقدیر، لیست الرسالة فی بیان التسلیم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فرض الإغماض عنه أیضًا یبقی المؤاخذة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النافلة وآدابها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الظاهر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التسلیم، و مقتضاه أنّ الرسالة کما یکون فی بیان التسلیم یکون فی بیان النافلة و آدابها، و هو مخالف للواقع، فإنّ الرسالة لیست فی بیان النافلة و لا فی بیان آدابها، إلاّ أنّ فصلاً واحدًا منها فی بیان التسلیم فی النافلة، و هو حالة واحدة لها، لا أحوالها </w:t>
      </w:r>
      <w:r>
        <w:rPr>
          <w:rFonts w:eastAsia="IRNazanin" w:cs="IRNazanin"/>
          <w:color w:val="111111"/>
          <w:sz w:val="28"/>
          <w:szCs w:val="28"/>
          <w:rtl w:val="true"/>
          <w:lang w:bidi="fa-IR"/>
        </w:rPr>
        <w:t xml:space="preserve">. </w:t>
      </w:r>
      <w:bookmarkStart w:id="188" w:name="pg3709_22152"/>
    </w:p>
    <w:p>
      <w:pPr>
        <w:pStyle w:val="BookText"/>
        <w:rPr/>
      </w:pPr>
      <w:bookmarkEnd w:id="188"/>
      <w:r>
        <w:rPr>
          <w:rFonts w:ascii="IRNazanin" w:hAnsi="IRNazanin" w:eastAsia="IRNazanin"/>
          <w:color w:val="111111"/>
          <w:sz w:val="28"/>
          <w:sz w:val="28"/>
          <w:szCs w:val="28"/>
          <w:rtl w:val="true"/>
          <w:lang w:bidi="fa-IR"/>
        </w:rPr>
        <w:t>فهو فی هذا التغییر و إن عمد الفرار من محذور، لکنّه وقع فی محذورات عدیدة، ولَنِعْمَ ما 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حفظت شیئًا و غابت عنک أشیاء </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لا هذا التغییر منه، لأمکن أن یوجّه کلامه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التسلیم فی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للسببیّة، فالمعنی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بعد ما کتبت رسالة بسبب بیان التسلیم فی النافلة، لکنّه أعلم بمراده </w:t>
      </w:r>
      <w:r>
        <w:rPr>
          <w:rFonts w:eastAsia="IRNazanin" w:cs="IRNazanin"/>
          <w:color w:val="111111"/>
          <w:sz w:val="28"/>
          <w:szCs w:val="28"/>
          <w:rtl w:val="true"/>
          <w:lang w:bidi="fa-IR"/>
        </w:rPr>
        <w:t>.</w:t>
      </w:r>
    </w:p>
    <w:p>
      <w:pPr>
        <w:pStyle w:val="Heading3"/>
        <w:numPr>
          <w:ilvl w:val="2"/>
          <w:numId w:val="1"/>
        </w:numPr>
        <w:rPr/>
      </w:pPr>
      <w:bookmarkStart w:id="189" w:name="__RefHeading___Toc594153_2281741623"/>
      <w:bookmarkStart w:id="190" w:name="_Toc67"/>
      <w:bookmarkEnd w:id="189"/>
      <w:r>
        <w:rPr>
          <w:rtl w:val="true"/>
        </w:rPr>
        <w:t xml:space="preserve">الردّ علی قوله </w:t>
      </w:r>
      <w:r>
        <w:rPr>
          <w:rtl w:val="true"/>
        </w:rPr>
        <w:t xml:space="preserve">: </w:t>
      </w:r>
      <w:r>
        <w:rPr>
          <w:rtl w:val="true"/>
        </w:rPr>
        <w:t>أقول</w:t>
      </w:r>
      <w:r>
        <w:rPr>
          <w:rtl w:val="true"/>
        </w:rPr>
        <w:t xml:space="preserve">: </w:t>
      </w:r>
      <w:r>
        <w:rPr>
          <w:rtl w:val="true"/>
        </w:rPr>
        <w:t>فی قوله</w:t>
      </w:r>
      <w:r>
        <w:rPr>
          <w:rtl w:val="true"/>
        </w:rPr>
        <w:t xml:space="preserve">: « </w:t>
      </w:r>
      <w:r>
        <w:rPr>
          <w:rtl w:val="true"/>
        </w:rPr>
        <w:t xml:space="preserve">أنّه مخالف للواقع </w:t>
      </w:r>
      <w:r>
        <w:rPr>
          <w:rtl w:val="true"/>
        </w:rPr>
        <w:t>»</w:t>
      </w:r>
      <w:r>
        <w:rPr>
          <w:rtl w:val="true"/>
        </w:rPr>
        <w:t>، مراده أنّه الواقع، إلخ</w:t>
      </w:r>
      <w:bookmarkEnd w:id="19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مخالف للواقع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مراده أنّه الواقع بحسب ما أدّی إلیه فهمه واجتهاده، لا الواقع الواقعی، لأنّه لا یمکنه ولا غیره ذلک إلاّ من عصمه اللّه و أودعه الأسرار والأحکام، نعم علی مذهب المصوّبة القائلین بأنّ حکم اللّه تعالی هو ما أدّی إلیه رأی المجتهد و لیس للّه حکم، یصحّ، و ذلک مذهب قبیح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الإیراد من غرائب الأمور و عجائب الدهور، إذ حاصله یرجع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و عدمیّ،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انّ الحکم بأنّ الشیء الفلانی مخالف للواقع الواقعی إنّما یصحّ علی مذهب المصوّبة ؛ و هو قد </w:t>
      </w:r>
      <w:r>
        <w:rPr>
          <w:rStyle w:val="FootnoteAnchor"/>
          <w:rtl w:val="true"/>
        </w:rPr>
        <w:footnoteReference w:id="614"/>
      </w:r>
      <w:r>
        <w:rPr>
          <w:rFonts w:ascii="IRNazanin" w:hAnsi="IRNazanin" w:eastAsia="IRNazanin"/>
          <w:color w:val="111111"/>
          <w:sz w:val="28"/>
          <w:sz w:val="28"/>
          <w:szCs w:val="28"/>
          <w:rtl w:val="true"/>
          <w:lang w:bidi="fa-IR"/>
        </w:rPr>
        <w:t>بلغ فی الفساد حدًّا لایکاد یختفی علی أدانی الطلبة فضلاً عن الأواسط والأعالی، إذ بناءً علی هذا المذهب السخیف لا حکم للشارع فی الواقع حتّی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مخالف له، کما لا یخفی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المراد بالواقع علی هذا المذهب هو ما تعلّق به رأی </w:t>
      </w:r>
    </w:p>
    <w:p>
      <w:pPr>
        <w:pStyle w:val="BookText"/>
        <w:rPr/>
      </w:pPr>
      <w:r>
        <w:rPr>
          <w:rFonts w:ascii="IRNazanin" w:hAnsi="IRNazanin" w:eastAsia="IRNazanin"/>
          <w:color w:val="111111"/>
          <w:sz w:val="28"/>
          <w:sz w:val="28"/>
          <w:szCs w:val="28"/>
          <w:rtl w:val="true"/>
          <w:lang w:bidi="fa-IR"/>
        </w:rPr>
        <w:t>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الواقع علیه ممّا لا وجه له، إلاّ إذا وقع فی کلام القائلین بالتصویب ؛ و علی فرض الإغماض عنه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یکون متعلّق </w:t>
      </w:r>
      <w:r>
        <w:rPr>
          <w:rStyle w:val="FootnoteAnchor"/>
          <w:rtl w:val="true"/>
        </w:rPr>
        <w:footnoteReference w:id="615"/>
      </w:r>
      <w:r>
        <w:rPr>
          <w:rFonts w:ascii="IRNazanin" w:hAnsi="IRNazanin" w:eastAsia="IRNazanin"/>
          <w:color w:val="111111"/>
          <w:sz w:val="28"/>
          <w:sz w:val="28"/>
          <w:szCs w:val="28"/>
          <w:rtl w:val="true"/>
          <w:lang w:bidi="fa-IR"/>
        </w:rPr>
        <w:t xml:space="preserve">رأی أیّ مجتهد کان واقعًا، فلا یمکن أن یقال إنّه مخالف للواقع، نعم إنّما یصحّ هذا القول بناءً علی هذا المذهب فیما إذا صدر الحکم ممّن لیس من أهل الفتوی، فحینئذ یکون الأمر کما أنصف، لکن یبقی المؤاخذة فی الحصر کما ستقف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ذلک لا یصحّ علی مذهب المخطّئة، فإن کان المراد أنّه بناءً علیه لا یمکن أن 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اعتقادی أنّ هذا الحکم مخالف للواقع قطعًا أو ظنًّا أو بعنوان الإطلاق، ففساد الحال فیه أظهر من أن یفتقر إلی البیان، إذ المسئلة إن کانت من المسائل القطعیّة یحکم علی خلافها أنّه مخالف للواقع قطعًا </w:t>
      </w:r>
      <w:r>
        <w:rPr>
          <w:rStyle w:val="FootnoteAnchor"/>
          <w:rtl w:val="true"/>
        </w:rPr>
        <w:footnoteReference w:id="616"/>
      </w:r>
      <w:r>
        <w:rPr>
          <w:rFonts w:ascii="IRNazanin" w:hAnsi="IRNazanin" w:eastAsia="IRNazanin"/>
          <w:color w:val="111111"/>
          <w:sz w:val="28"/>
          <w:sz w:val="28"/>
          <w:szCs w:val="28"/>
          <w:rtl w:val="true"/>
          <w:lang w:bidi="fa-IR"/>
        </w:rPr>
        <w:t xml:space="preserve">، وإن کانت من المسائل الظنّیة یحکم علی خلافها أنّه مخالف للواقع ظنًّا، و منه یظهر الحال فی الإطلاق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المراد أنّه بناءً علیه لا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مخالف للواقع الواقعی،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المراد منه القطعی فقد عرفت الحال فیه، و دعوی إمتناع القطع فی شیء من الأحکام الشرعیّة قطعیّة الفساد ضروریّة البطلان،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یمکنه ولا غیره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قولٌ عریّ عن البرهان، بل یشهد علی خلافه العیان، وکیف مع أنّ المسائل المستندة إلی الإجماع أو العقل القاطع أو الأخبار المتواترة بالمعنی أو المحفوفة بالقرائن القطعیّة کلّها قطعیّة، فالحصر فی کلامه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من عصمه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غیر صحیح، و کیف مع أنّ جماعة من قدماء الأصحاب المنکرین للعمل بالأدلّة الظنّیّة یدّعون القطع فی جمیع المسائل الشرعیّة، ونحن وإن لم ندّع </w:t>
      </w:r>
      <w:bookmarkStart w:id="191" w:name="pg3709_22154"/>
    </w:p>
    <w:p>
      <w:pPr>
        <w:pStyle w:val="BookText"/>
        <w:rPr/>
      </w:pPr>
      <w:bookmarkEnd w:id="191"/>
      <w:r>
        <w:rPr>
          <w:rFonts w:ascii="IRNazanin" w:hAnsi="IRNazanin" w:eastAsia="IRNazanin"/>
          <w:color w:val="111111"/>
          <w:sz w:val="28"/>
          <w:sz w:val="28"/>
          <w:szCs w:val="28"/>
          <w:rtl w:val="true"/>
          <w:lang w:bidi="fa-IR"/>
        </w:rPr>
        <w:t xml:space="preserve">الإیجاب الکلّی، لکن دعوی السلب الکلّی قد عرفت الحال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المراد من الواقعی غیر ما ذکر ـ مع أنّه فی أمثال المقام لم یظهر له معنی غیر ذلک ـ فعلیه بالبیان حتّی نتکلّم فی صحّته و فساده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إحتمال آخر، و هو أن یکون المراد أنّ الحکم القطعی بأنّ ذلک الحکم حکم واقعی، إنّما یمکن علی مذهب المصوبّة فقط، لأنّهم لمّا حکموا بأنّه لیس للّه تعالی حکم فی الواقع، بل حکمه یتبع رأی المجتهد، فالحکم الواقعی هو ما تعلّق به رأی المجتهد، فیکون الحکم قطعیًّا، فحینئذ و إن سلم من مؤاخذة الأمر الوجودی، لکن مؤاخذة الأمر العدمی علی حالها کما لا یخفی، مضافًا إلی منافاته لما یذکره فی آخر الرسالة کما ستقف علیه، و أیضًا أنّ ایراده فی المقام فی غیر محلّه کما لا یخفی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کلّه فیما إذا کان المراد العموم و الإطلاق، و إن کان المراد خصوص المسئلة، فالأمر فیه یظهر ممّا ذکر من غیر افتقار إلی الذکر، و أنت إذا أحطت خبرًا بما حرّرناه یظهر لک أنّ دون تصحیح هذا الإیراد خرط القتاد، فالحمد للّه الموفّق لطریق السداد و الهادی إلی سبیل الرشاد </w:t>
      </w:r>
      <w:r>
        <w:rPr>
          <w:rFonts w:eastAsia="IRNazanin" w:cs="IRNazanin"/>
          <w:color w:val="111111"/>
          <w:sz w:val="28"/>
          <w:szCs w:val="28"/>
          <w:rtl w:val="true"/>
          <w:lang w:bidi="fa-IR"/>
        </w:rPr>
        <w:t>.</w:t>
      </w:r>
    </w:p>
    <w:p>
      <w:pPr>
        <w:pStyle w:val="Heading3"/>
        <w:numPr>
          <w:ilvl w:val="2"/>
          <w:numId w:val="1"/>
        </w:numPr>
        <w:rPr/>
      </w:pPr>
      <w:bookmarkStart w:id="192" w:name="__RefHeading___Toc594155_2281741623"/>
      <w:bookmarkStart w:id="193" w:name="_Toc68"/>
      <w:bookmarkEnd w:id="192"/>
      <w:r>
        <w:rPr>
          <w:rtl w:val="true"/>
        </w:rPr>
        <w:t xml:space="preserve">الردّ علی قوله </w:t>
      </w:r>
      <w:r>
        <w:rPr>
          <w:rtl w:val="true"/>
        </w:rPr>
        <w:t xml:space="preserve">: </w:t>
      </w:r>
      <w:r>
        <w:rPr>
          <w:rtl w:val="true"/>
        </w:rPr>
        <w:t xml:space="preserve">وفی قوله </w:t>
      </w:r>
      <w:r>
        <w:rPr>
          <w:rtl w:val="true"/>
        </w:rPr>
        <w:t>: «</w:t>
      </w:r>
      <w:r>
        <w:rPr>
          <w:rtl w:val="true"/>
        </w:rPr>
        <w:t>المتخلّف عمّن هو للشریعة حافظ</w:t>
      </w:r>
      <w:r>
        <w:rPr>
          <w:rtl w:val="true"/>
        </w:rPr>
        <w:t xml:space="preserve">» </w:t>
      </w:r>
      <w:r>
        <w:rPr>
          <w:rtl w:val="true"/>
        </w:rPr>
        <w:t>رکاکة، إلخ</w:t>
      </w:r>
      <w:bookmarkEnd w:id="19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المتخلّف عمّن هو للشریعة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رکاکة و بشاعة یظهر لمن تتبّع موارد التخلّف، فهل سمعت أحدًا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الشریعة تخلّفت </w:t>
      </w:r>
      <w:r>
        <w:rPr>
          <w:rStyle w:val="FootnoteAnchor"/>
          <w:rtl w:val="true"/>
        </w:rPr>
        <w:footnoteReference w:id="618"/>
      </w:r>
      <w:r>
        <w:rPr>
          <w:rFonts w:ascii="IRNazanin" w:hAnsi="IRNazanin" w:eastAsia="IRNazanin"/>
          <w:color w:val="111111"/>
          <w:sz w:val="28"/>
          <w:sz w:val="28"/>
          <w:szCs w:val="28"/>
          <w:rtl w:val="true"/>
          <w:lang w:bidi="fa-IR"/>
        </w:rPr>
        <w:t xml:space="preserve">عن الشارع ، أو الشارع تخلّفت </w:t>
      </w:r>
      <w:r>
        <w:rPr>
          <w:rStyle w:val="FootnoteAnchor"/>
          <w:rtl w:val="true"/>
        </w:rPr>
        <w:footnoteReference w:id="619"/>
      </w:r>
      <w:r>
        <w:rPr>
          <w:rFonts w:ascii="IRNazanin" w:hAnsi="IRNazanin" w:eastAsia="IRNazanin"/>
          <w:color w:val="111111"/>
          <w:sz w:val="28"/>
          <w:sz w:val="28"/>
          <w:szCs w:val="28"/>
          <w:rtl w:val="true"/>
          <w:lang w:bidi="fa-IR"/>
        </w:rPr>
        <w:t xml:space="preserve">عن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بیتی کمثل سفینة نوح، من رکبها نجی، ومن تخلّف عنها غرق </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تخلّف عن جیش أسامة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أرجو من اللّه أن لا یکون قصدی إلاّ ابتغاء مرضاته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 xml:space="preserve">» </w:t>
      </w:r>
      <w:r>
        <w:rPr>
          <w:rStyle w:val="FootnoteAnchor"/>
          <w:rtl w:val="true"/>
        </w:rPr>
        <w:footnoteReference w:id="622"/>
      </w:r>
      <w:r>
        <w:rPr>
          <w:rFonts w:ascii="IRNazanin" w:hAnsi="IRNazanin" w:eastAsia="IRNazanin"/>
          <w:color w:val="111111"/>
          <w:sz w:val="28"/>
          <w:sz w:val="28"/>
          <w:szCs w:val="28"/>
          <w:rtl w:val="true"/>
          <w:lang w:bidi="fa-IR"/>
        </w:rPr>
        <w:t>، وإلاّ فکیف یصحّ التکلیف بالإخلاص و تصفیة السرّ عن شوب ما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المخلصون علی خطر عظیم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بلغنی عن بعض الأفاضل ـ حشره اللّه مع سادات الأواخر و الأوائل ـ فی تسلیم النوافل ما کان إعتقادی أنّه مخالف للواقع ومنافر للمتخلّف ممّن هو للشریعة حافظ و صادع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التخلّف قد یستعمل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تخلّف مِن فلان،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منه، و منه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تخلّف من المیّت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یستعمل مع حرف المجاوزة، فیکون المراد ما ذکره، و یمکن أن یکون المراد التأخّر أیضًا، قال فی القاموس</w:t>
      </w:r>
      <w:r>
        <w:rPr>
          <w:rFonts w:eastAsia="IRNazanin" w:cs="IRNazanin"/>
          <w:color w:val="111111"/>
          <w:sz w:val="28"/>
          <w:szCs w:val="28"/>
          <w:rtl w:val="true"/>
          <w:lang w:bidi="fa-IR"/>
        </w:rPr>
        <w:t xml:space="preserve">: </w:t>
      </w:r>
      <w:bookmarkStart w:id="194" w:name="pg3709_22156"/>
    </w:p>
    <w:p>
      <w:pPr>
        <w:pStyle w:val="BookText"/>
        <w:rPr/>
      </w:pPr>
      <w:bookmarkEnd w:id="194"/>
      <w:r>
        <w:rPr>
          <w:rFonts w:ascii="Amiri" w:hAnsi="Amiri" w:eastAsia="Amiri" w:cs="Amiri"/>
          <w:color w:val="111111"/>
          <w:sz w:val="28"/>
          <w:sz w:val="28"/>
          <w:szCs w:val="28"/>
          <w:rtl w:val="true"/>
          <w:lang w:bidi="ar-SA"/>
        </w:rPr>
        <w:t xml:space="preserve">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المراد أنّ القول بلزوم الإقتصار فی تسلیم النوافل بصیغة السلام علیکم و عدم جواز العدول عنها إلی السلام علینا و لا الجمع بینهما، مناف لما بقی و وصل إلینا من صاحب الشریعة ـ علیه آلاف السلام والثناء والتحیّة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علی تقدیر کون الموجود فی النسخة الّتی نقل عنها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للمجاوزة، أو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الَّذِی یَقْبَلُ التَوْبَةَ عَنْ عِبَادِهِ </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 أو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ذکروا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rtl w:val="true"/>
          <w:lang w:bidi="ar-SA"/>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 و حاصل المعنی فی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القول مناف لما بقی بعد صاحب الشریعة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جمیع التقادیر لیس فی العبارة غبار، و لَنِعْمَ 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 من عائب قولاً صحیحًا و آفته من الفهم السقیم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فالحکم برکاکة أمثال هذه العبارات رکیک جدًّا، لا یلیق أن یصدر ممّن أرخی عنان الفهم فی کتب اللغة ومباحث الألفاظ واطّلع علی قواعد الأصول ومناهج الإستنباط</w:t>
      </w:r>
      <w:r>
        <w:rPr>
          <w:rFonts w:eastAsia="IRNazanin" w:cs="IRNazanin"/>
          <w:color w:val="111111"/>
          <w:sz w:val="28"/>
          <w:szCs w:val="28"/>
          <w:rtl w:val="true"/>
          <w:lang w:bidi="fa-IR"/>
        </w:rPr>
        <w:t>.</w:t>
      </w:r>
    </w:p>
    <w:p>
      <w:pPr>
        <w:pStyle w:val="Heading3"/>
        <w:numPr>
          <w:ilvl w:val="2"/>
          <w:numId w:val="1"/>
        </w:numPr>
        <w:rPr/>
      </w:pPr>
      <w:bookmarkStart w:id="195" w:name="__RefHeading___Toc594157_2281741623"/>
      <w:bookmarkStart w:id="196" w:name="_Toc69"/>
      <w:bookmarkEnd w:id="195"/>
      <w:r>
        <w:rPr>
          <w:rtl w:val="true"/>
        </w:rPr>
        <w:t xml:space="preserve">الردّ علی قوله </w:t>
      </w:r>
      <w:r>
        <w:rPr>
          <w:rtl w:val="true"/>
        </w:rPr>
        <w:t xml:space="preserve">: </w:t>
      </w:r>
      <w:r>
        <w:rPr>
          <w:rtl w:val="true"/>
        </w:rPr>
        <w:t>ما أدری العامل لهذا الظرف، و ما المقسم علیه، إلخ</w:t>
      </w:r>
      <w:bookmarkEnd w:id="19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العامل لهذا الظرف، و ما المقسم علیه، أیقول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بحقّ کُمَّل خلیقته، فالقسم فی هذا الموضع لأیّ فائدة ؟ هل یکون له منکر لرجائه و هو یدّعیه و لأجل الإنکار أتی بالقسم لیزیل إنکاره </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یَعْلَمُ إنَّا إِلَیْکُمْ لَمُرْسَلُونَ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مراده أن یجعل اللّه تلک الرسالة فی صحیفة حسناته خالصة لوجه اللّه و مرضاته، و جعل کُمَّل خلق اللّه واسطة لقبول دعوته فی عدّ تلک الرسالة من الحسنات، ولکن لیس فی عبارته منه عین ولا أثر، و لعلّ مراده غیر ذلک و فوق ما أدّی إلیه النظر، و هو أعلم بمراده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کیف یهیّئ الفاضل نفسه للتصدّی بأمثال هذه الإیرادات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نستبعد صدورها من أدنی الطلبة لظهور الحال فی ذلک جدًّا، لوضوح أنّ الباء فی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بحقّ کُمَّل خلیقته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للإستعانة ویکون الظرف متعلّقًا بأرجو،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منه تعالی خلوص القصد فی ابطال ذلک الباطل ببرکة کُمَّل خلیقته واستعانتهم وشفاعتهم،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منه تعالی سعة رزقی بشفاعة سیّد رسله، ولا ینافیه لفظ الحقّ کما لایخفی علی المتأمّل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یمکن أن یکون </w:t>
      </w:r>
      <w:r>
        <w:rPr>
          <w:rStyle w:val="FootnoteAnchor"/>
          <w:rtl w:val="true"/>
        </w:rPr>
        <w:footnoteReference w:id="629"/>
      </w:r>
      <w:r>
        <w:rPr>
          <w:rFonts w:ascii="IRNazanin" w:hAnsi="IRNazanin" w:eastAsia="IRNazanin"/>
          <w:color w:val="111111"/>
          <w:sz w:val="28"/>
          <w:sz w:val="28"/>
          <w:szCs w:val="28"/>
          <w:rtl w:val="true"/>
          <w:lang w:bidi="fa-IR"/>
        </w:rPr>
        <w:t xml:space="preserve">للقسم و 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منه سبحانه أن یجعل قصدی فی إبطال ذلک الباطل خالصًا لوجهه الکریم بحقّ کُمَّل خلیقته، ویکون الظرف متعلّقًا بالفعل المقدّر المدلول علیه بمعونة المقام، کما لا یخفی علی أولی التأمّل والأحلام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یظهر أنّ المضاف إلیه الّذی عوّض عنه اللام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فوق ما أدّی إلیه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یلیق أن یقدّر یاء المتکلّم، لأنّ شأن أدنی تلامذته أعلی من ذلک، بل المناسب أن 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ما أدّی إلیه نظر العوام </w:t>
      </w:r>
      <w:r>
        <w:rPr>
          <w:rFonts w:eastAsia="IRNazanin" w:cs="IRNazanin"/>
          <w:color w:val="111111"/>
          <w:sz w:val="28"/>
          <w:szCs w:val="28"/>
          <w:rtl w:val="true"/>
          <w:lang w:bidi="fa-IR"/>
        </w:rPr>
        <w:t xml:space="preserve">. </w:t>
      </w:r>
      <w:bookmarkStart w:id="197" w:name="pg3709_22158"/>
    </w:p>
    <w:p>
      <w:pPr>
        <w:pStyle w:val="BookText"/>
        <w:rPr/>
      </w:pPr>
      <w:bookmarkEnd w:id="197"/>
      <w:r>
        <w:rPr>
          <w:rFonts w:ascii="IRNazanin" w:hAnsi="IRNazanin" w:eastAsia="IRNazanin"/>
          <w:color w:val="111111"/>
          <w:sz w:val="28"/>
          <w:sz w:val="28"/>
          <w:szCs w:val="28"/>
          <w:rtl w:val="true"/>
          <w:lang w:bidi="fa-IR"/>
        </w:rPr>
        <w:t xml:space="preserve">ثمّ لا یخفی انّ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أرجو من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یمکن أن یؤتی به مع علم القائل بأنّ قصده لیس إلاّ ابتغاء مرضاته و عدمه، أمّا علی الثانی فظاهر، وأمّا علی الأوّل فللتنبیه علی عدم الإتّکال، بل المناسب للعبد التوصل إلی اللّه تعالی فی جمیع الأحوال، و منه یظهر الحال فیما ذکره قبل ذلک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الإِنْسَانُ عَلی نَفْسِهِ بَصِیْرَةٌ </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594159_2281741623"/>
      <w:bookmarkStart w:id="199" w:name="_Toc70"/>
      <w:bookmarkEnd w:id="198"/>
      <w:r>
        <w:rPr>
          <w:rtl w:val="true"/>
        </w:rPr>
        <w:t xml:space="preserve">الردّ علی قوله فی قولنا </w:t>
      </w:r>
      <w:r>
        <w:rPr>
          <w:rtl w:val="true"/>
        </w:rPr>
        <w:t>«</w:t>
      </w:r>
      <w:r>
        <w:rPr>
          <w:rtl w:val="true"/>
        </w:rPr>
        <w:t>إلی بقاء أرضه وسمائه</w:t>
      </w:r>
      <w:r>
        <w:rPr>
          <w:rtl w:val="true"/>
        </w:rPr>
        <w:t xml:space="preserve">»: </w:t>
      </w:r>
      <w:r>
        <w:rPr>
          <w:rtl w:val="true"/>
        </w:rPr>
        <w:t>لایخلو عن رکاکة، إلخ</w:t>
      </w:r>
      <w:bookmarkEnd w:id="199"/>
    </w:p>
    <w:p>
      <w:pPr>
        <w:pStyle w:val="BookText"/>
        <w:rPr/>
      </w:pPr>
      <w:r>
        <w:rPr>
          <w:rFonts w:ascii="IRNazanin" w:hAnsi="IRNazanin" w:eastAsia="IRNazanin"/>
          <w:color w:val="111111"/>
          <w:sz w:val="28"/>
          <w:sz w:val="28"/>
          <w:szCs w:val="28"/>
          <w:rtl w:val="true"/>
          <w:lang w:bidi="fa-IR"/>
        </w:rPr>
        <w:t xml:space="preserve">قوله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بقاء أرضه و سمائه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یخلو عن رکاکة، ولعلّه سقط من قلم الناسخ شیء، والمناسب فی أمثال هذه المقامات الإتیان بلفظ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لیفید الدوام بدوام ذلک الأمر، کما تری فی الخطب و التحیّات و الأدعیة و الصلوات، کما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خَالِدِیْنَ فِیْهَا مادامَتِ السَّمواتُ وَ اْلأَرض </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 xml:space="preserve">، و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بقاء </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السموات والأرض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الإیراد أیضًا من عجائب الزمان و غرائب الدوران، و ما أشبه هذا الکلام بما حکی عن بعض الأخباریّین من أنّه کان یکتب فی کفن أیّ میّت کان بأنّ إسمعیل یشهد أن لا إله إلاّ اللّه و أنّ محمّدًا رسول اللّه صلی‌الله‌علیه‌و‌آله ، إلتفاتًا إلی ما دلّ علی </w:t>
      </w:r>
      <w:r>
        <w:rPr>
          <w:rStyle w:val="FootnoteAnchor"/>
          <w:rtl w:val="true"/>
        </w:rPr>
        <w:footnoteReference w:id="633"/>
      </w:r>
      <w:r>
        <w:rPr>
          <w:rFonts w:ascii="IRNazanin" w:hAnsi="IRNazanin" w:eastAsia="IRNazanin"/>
          <w:color w:val="111111"/>
          <w:sz w:val="28"/>
          <w:sz w:val="28"/>
          <w:szCs w:val="28"/>
          <w:rtl w:val="true"/>
          <w:lang w:bidi="fa-IR"/>
        </w:rPr>
        <w:t xml:space="preserve">أنّ مولانا الصادق علیه‌السلام کتب ذلک فی کفن إبنه إسمعیل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مبنی الإیراد إمّا دعوی مدخلیّة لفظ الدوام فی ذلک، أو عدم </w:t>
      </w:r>
    </w:p>
    <w:p>
      <w:pPr>
        <w:pStyle w:val="BookText"/>
        <w:rPr/>
      </w:pPr>
      <w:r>
        <w:rPr>
          <w:rFonts w:ascii="Amiri" w:hAnsi="Amiri" w:eastAsia="Amiri" w:cs="Amiri"/>
          <w:color w:val="111111"/>
          <w:sz w:val="28"/>
          <w:sz w:val="28"/>
          <w:szCs w:val="28"/>
          <w:rtl w:val="true"/>
          <w:lang w:bidi="ar-SA"/>
        </w:rPr>
        <w:t xml:space="preserve">استفادة الدوام من العبارة المذکورة، و کلاهما فاسد، أمّا الأوّل فظهور الفساد فیه یغنی عن إظهاره، و أمّا الثانی فلظهور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یذکر إلاّ و بإزائها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کانت مذکورة فلا کلام، وإلاّ فهی مقدّرة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القرآن إلی سورة العنکبوت،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 إلی هناک، و منه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کَانَ ذُو عُسْرَةٍ فَنَظِرَةٌ إِلَی مَیْسَرَةٍ </w:t>
      </w:r>
      <w:r>
        <w:rPr>
          <w:rFonts w:eastAsia="Amiri" w:cs="Amiri" w:ascii="Amiri" w:hAnsi="Amiri"/>
          <w:color w:val="111111"/>
          <w:sz w:val="28"/>
          <w:szCs w:val="28"/>
          <w:rtl w:val="true"/>
          <w:lang w:bidi="ar-SA"/>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إبتداء زمان العسرة إلی زمان 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علمت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بقاء أرضه و 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تقدیر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فلک أن تقدّر الکلام حینئذ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وسلامه علیه و علیهم من إبتداء ایجاد العالم إلی بقاء الأرض والسماء ؛ فاستفادة الدوام حینئذ ممّا لا یحول حوله شکّ وارتیاب، بل الکلام حینئذ یکون أبلغ من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مادامت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 کما لا یخفی، و إن کانا مساویین </w:t>
      </w:r>
      <w:r>
        <w:rPr>
          <w:rStyle w:val="FootnoteAnchor"/>
          <w:rtl w:val="true"/>
        </w:rPr>
        <w:footnoteReference w:id="635"/>
      </w:r>
      <w:r>
        <w:rPr>
          <w:rFonts w:ascii="IRNazanin" w:hAnsi="IRNazanin" w:eastAsia="IRNazanin"/>
          <w:color w:val="111111"/>
          <w:sz w:val="28"/>
          <w:sz w:val="28"/>
          <w:szCs w:val="28"/>
          <w:rtl w:val="true"/>
          <w:lang w:bidi="fa-IR"/>
        </w:rPr>
        <w:t xml:space="preserve">من 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الحکم برکاکة مثل هذا الکلام رکیک جدًّا، لا یلیق أن یصدر من أدانی الطلبة، فضلاً عن أمثاله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السموات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غفلة صدرت منه کما فی أکثر المباحث علی ما ستقف علیه، أو خروج عن جادة الإنصاف والتزام بمسلک الجور و الإعتساف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الحال فی ذلک هو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اللّه علیه مادامت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بقیت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واستفادة الدوام من کلّ منهما ممّا لا یرد علیه کلام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الموضعین مصدریّة، و التقدیر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مدّة دوام السموات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بقائهما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 و هو عبارة أخری لقولنا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بقاء السموات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بل یمکن الحکم بأبلغیّته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دوامهما، کما علمت، فکیف یمکن الحکم بعدم استفادة الدوام فی محلّ الکلام ممّن أدرج نفسه فی جملة العلماء الأعلام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السموات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مبنیّ علی الغفلة فی التفرقة بین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خالدین فیها إلی بقاء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خالدین فیها إلی السموات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علی الخروج عن جادّة الإنصاف، و کلاهما و إن کان بعیدًا لکنّ الحمل علی الأوّل أولی، لأنّ الخروج عن سبیل الإنصاف إخلال بالواجب، فلا ینبغی إحتماله مهما أمکن فی حقّ المسلم، فضلاً عن الحکم بوقوعه ؛ فعلی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 إن لم یقل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اللّه علیه إلی السموات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التفرقة بینه و بین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بقاء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فلا ینبغی الغفلة 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تنبیهٌ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علمائنا ـ قدّس اللّه أرواحهم ـ ذکر وجهًا فی اختصاصه تعالی الکریم بالذکر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غَرَّکَ بِرَبِّکَ الْکَرِیمِ </w:t>
      </w:r>
      <w:r>
        <w:rPr>
          <w:rFonts w:eastAsia="Amiri" w:cs="Amiri" w:ascii="Amiri" w:hAnsi="Amiri"/>
          <w:color w:val="111111"/>
          <w:sz w:val="28"/>
          <w:szCs w:val="28"/>
          <w:rtl w:val="true"/>
          <w:lang w:bidi="ar-SA"/>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من بین أسمائه وصفاته، فذکر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لتلقین اللّه تعالی العبد العاصی حین ألقی إلیه </w:t>
      </w:r>
      <w:bookmarkStart w:id="200" w:name="pg3709_22161"/>
    </w:p>
    <w:p>
      <w:pPr>
        <w:pStyle w:val="BookText"/>
        <w:rPr/>
      </w:pPr>
      <w:bookmarkEnd w:id="200"/>
      <w:r>
        <w:rPr>
          <w:rFonts w:ascii="Amiri" w:hAnsi="Amiri" w:eastAsia="Amiri" w:cs="Amiri"/>
          <w:color w:val="111111"/>
          <w:sz w:val="28"/>
          <w:sz w:val="28"/>
          <w:szCs w:val="28"/>
          <w:rtl w:val="true"/>
          <w:lang w:bidi="ar-SA"/>
        </w:rPr>
        <w:t xml:space="preserve">یوم القیمة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غَرَّکَ بِرَبِّکَ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یقول فی مقام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غرّنی کرم الکریم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مولانا الفاضل أراد من إیراد هذه الإیرادات إرشادی لطریق التکلّم علی مقالاته، و تعلیمی لکیفیّة البحث فی عباراته و مطالبه، و أیم اللّه لو لا ذلک واصراره فی مجالس متعدّدة فی ترویج الباطل لما کنت متعرّضًا للتنبیه </w:t>
      </w:r>
      <w:r>
        <w:rPr>
          <w:rStyle w:val="FootnoteAnchor"/>
          <w:rtl w:val="true"/>
        </w:rPr>
        <w:footnoteReference w:id="639"/>
      </w:r>
      <w:r>
        <w:rPr>
          <w:rFonts w:ascii="IRNazanin" w:hAnsi="IRNazanin" w:eastAsia="IRNazanin"/>
          <w:color w:val="111111"/>
          <w:sz w:val="28"/>
          <w:sz w:val="28"/>
          <w:szCs w:val="28"/>
          <w:rtl w:val="true"/>
          <w:lang w:bidi="fa-IR"/>
        </w:rPr>
        <w:t xml:space="preserve">علی ما صدر منه من الإشتباه والغفلة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نصرف العنان أوَّلاً إلی الغرائب الّتی صدرت منه فی الرسالة، ثمّ نعود إلی بقیّة ما أورده علی ما أبرزناه فی المسئلة بإعانة اللّه سبحانه، ثمّ إن ساعدنی المجال نتعرّض لسایر ما یتوجّه علی ما تمسّک به فی مقام الإستدلال فی الرسالة وجملة من عباراته، فانّ استقصاء الجمیع یوجب الکلال والملال </w:t>
      </w:r>
      <w:r>
        <w:rPr>
          <w:rFonts w:eastAsia="IRNazanin" w:cs="IRNazanin"/>
          <w:color w:val="111111"/>
          <w:sz w:val="28"/>
          <w:szCs w:val="28"/>
          <w:rtl w:val="true"/>
          <w:lang w:bidi="fa-IR"/>
        </w:rPr>
        <w:t>.</w:t>
      </w:r>
    </w:p>
    <w:p>
      <w:pPr>
        <w:pStyle w:val="Heading3"/>
        <w:numPr>
          <w:ilvl w:val="2"/>
          <w:numId w:val="1"/>
        </w:numPr>
        <w:rPr/>
      </w:pPr>
      <w:bookmarkStart w:id="201" w:name="__RefHeading___Toc594161_2281741623"/>
      <w:bookmarkStart w:id="202" w:name="_Toc71"/>
      <w:bookmarkEnd w:id="201"/>
      <w:r>
        <w:rPr>
          <w:rtl w:val="true"/>
        </w:rPr>
        <w:t>المقام الأوّل</w:t>
      </w:r>
      <w:r>
        <w:rPr>
          <w:rtl w:val="true"/>
        </w:rPr>
        <w:t xml:space="preserve">: </w:t>
      </w:r>
      <w:r>
        <w:rPr>
          <w:rtl w:val="true"/>
        </w:rPr>
        <w:t>فی التنبیه علی ما صدر منه فی الرسالة الّذی لایلیق أن یصدر من أدنی الطلبة</w:t>
      </w:r>
      <w:bookmarkEnd w:id="202"/>
    </w:p>
    <w:p>
      <w:pPr>
        <w:pStyle w:val="Heading4"/>
        <w:numPr>
          <w:ilvl w:val="3"/>
          <w:numId w:val="1"/>
        </w:numPr>
        <w:rPr/>
      </w:pPr>
      <w:bookmarkStart w:id="203" w:name="__RefHeading___Toc594163_2281741623"/>
      <w:bookmarkStart w:id="204" w:name="_Toc72"/>
      <w:bookmarkEnd w:id="203"/>
      <w:r>
        <w:rPr>
          <w:rtl w:val="true"/>
        </w:rPr>
        <w:t>اشارة</w:t>
      </w:r>
      <w:bookmarkEnd w:id="2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التنبیه علی ما صدر منه فی الرسالة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 مقامات،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التنبیه علی ما صدر منه فی الرسالة الّذی لا یلیق أن یصدر من أدنی الطلبة ؛</w:t>
      </w:r>
    </w:p>
    <w:p>
      <w:pPr>
        <w:pStyle w:val="Heading4"/>
        <w:numPr>
          <w:ilvl w:val="3"/>
          <w:numId w:val="1"/>
        </w:numPr>
        <w:rPr/>
      </w:pPr>
      <w:bookmarkStart w:id="205" w:name="__RefHeading___Toc594165_2281741623"/>
      <w:bookmarkStart w:id="206" w:name="_Toc73"/>
      <w:bookmarkEnd w:id="205"/>
      <w:r>
        <w:rPr>
          <w:rtl w:val="true"/>
        </w:rPr>
        <w:t xml:space="preserve">منها قوله </w:t>
      </w:r>
      <w:r>
        <w:rPr>
          <w:rtl w:val="true"/>
        </w:rPr>
        <w:t xml:space="preserve">: </w:t>
      </w:r>
      <w:r>
        <w:rPr>
          <w:rtl w:val="true"/>
        </w:rPr>
        <w:t>لایقال هذا الخبر مرسل من طرقکم فلایعمل به، إلخ</w:t>
      </w:r>
      <w:bookmarkEnd w:id="20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بعد نقل الإستدلال عن المنتهی </w:t>
      </w:r>
      <w:r>
        <w:rPr>
          <w:rStyle w:val="FootnoteAnchor"/>
          <w:rtl w:val="true"/>
        </w:rPr>
        <w:footnoteReference w:id="640"/>
      </w:r>
      <w:r>
        <w:rPr>
          <w:rFonts w:ascii="IRNazanin" w:hAnsi="IRNazanin" w:eastAsia="IRNazanin"/>
          <w:color w:val="111111"/>
          <w:sz w:val="28"/>
          <w:sz w:val="28"/>
          <w:szCs w:val="28"/>
          <w:rtl w:val="true"/>
          <w:lang w:bidi="fa-IR"/>
        </w:rPr>
        <w:t xml:space="preserve">لوجوب التسلیم بقوله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الصلوة الطهور، و تحریمها التکبیر، و تحلیلها التسلیم </w:t>
      </w:r>
      <w:r>
        <w:rPr>
          <w:rStyle w:val="FootnoteAnchor"/>
          <w:rtl w:val="true"/>
        </w:rPr>
        <w:footnoteReference w:id="64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هذا الخبر مرسل من طرقکم فلا یعمل به،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أنّه مرسل، فإنّ الأمّة تلقّته بالقبول، ونقله العامّة و الخاصّة، ومثل هذا الحدیث البالغ فی الشهرة غایتها قد یحذف رواتها إعتمادًا علی شهرتها، علی أنّ الشیخ الرئیس عروة الإسلام أبا جعفر محمّد بن یعقوب الکلینی، والشیخ الصدوق ثقة الإسلام محمّد بن علیّ بن بابویه القمّی، والسیّد الأجلّ المرتضی ـ قدّس اللّه أرواحهم ـ رووا هذا الحدیث مسندًا عن علیّ بن محمّد بن عبداللّه، عن سهل بن زیاد، عن جعفر بن محمّد الأشعریّ، عن القدّاح،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الصلوة الطهور، و تحریمها التکبیر، و تحلیلها التسلیم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سلّم فهؤلاء الرؤساء العظام والفقهاء الفخام هم العمدة فی ضبط الأحادیث، و لو لا علم هؤلاء الثلاثة ـ قدّس اللّه روحهم ـ بصحّته لما أرسلوه، و لما حکموا بأنّه من قوله علیه‌السلام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نظر من وجوه،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بعد الترقّی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أنّ الشیخ الرئیس عروة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من غرائب الأمور، إذ السند المذکور إنّما هو سند الکافی، و نسبته إلی الصدوق و السیّد المرتضی مخالفة للواقع، کما لا یخفی علی مَن له أدنی إطّلاع بکتب الرجال و أسانید الأحادیث و طبقات الرواة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شیخنا الصدوق لا یروی عن ثقة الإسلام محمّد بن یعقوب إلاّ بواسطة، علی ما یظهر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کان فیه عن محمّد بن یعقوب الکلینی ـ رضی اللّه عنه </w:t>
      </w:r>
      <w:r>
        <w:rPr>
          <w:rStyle w:val="FootnoteAnchor"/>
          <w:rtl w:val="true"/>
        </w:rPr>
        <w:footnoteReference w:id="643"/>
      </w:r>
      <w:r>
        <w:rPr>
          <w:rFonts w:ascii="IRNazanin" w:hAnsi="IRNazanin" w:eastAsia="IRNazanin"/>
          <w:color w:val="111111"/>
          <w:sz w:val="28"/>
          <w:sz w:val="28"/>
          <w:szCs w:val="28"/>
          <w:rtl w:val="true"/>
          <w:lang w:bidi="fa-IR"/>
        </w:rPr>
        <w:t xml:space="preserve">ـ فقد رویته عن محمّد بن عصام الکلینی </w:t>
      </w:r>
      <w:r>
        <w:rPr>
          <w:rStyle w:val="FootnoteAnchor"/>
          <w:rtl w:val="true"/>
        </w:rPr>
        <w:footnoteReference w:id="644"/>
      </w:r>
      <w:r>
        <w:rPr>
          <w:rFonts w:ascii="IRNazanin" w:hAnsi="IRNazanin" w:eastAsia="IRNazanin"/>
          <w:color w:val="111111"/>
          <w:sz w:val="28"/>
          <w:sz w:val="28"/>
          <w:szCs w:val="28"/>
          <w:rtl w:val="true"/>
          <w:lang w:bidi="fa-IR"/>
        </w:rPr>
        <w:t xml:space="preserve">، و علیّ بن أحمد بن موسی، و محمّد بن أحمد الشیبانی </w:t>
      </w:r>
      <w:r>
        <w:rPr>
          <w:rStyle w:val="FootnoteAnchor"/>
          <w:rtl w:val="true"/>
        </w:rPr>
        <w:footnoteReference w:id="645"/>
      </w:r>
      <w:r>
        <w:rPr>
          <w:rFonts w:ascii="IRNazanin" w:hAnsi="IRNazanin" w:eastAsia="IRNazanin"/>
          <w:color w:val="111111"/>
          <w:sz w:val="28"/>
          <w:sz w:val="28"/>
          <w:szCs w:val="28"/>
          <w:rtl w:val="true"/>
          <w:lang w:bidi="fa-IR"/>
        </w:rPr>
        <w:t xml:space="preserve">ـ رضی اللّه عنهم ـ عن محمّد بن یعقوب الکلینی </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 فکیف یروی عمّن یروی عنه ثقة الإسلام من غیر واسطة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647"/>
      </w:r>
      <w:r>
        <w:rPr>
          <w:rFonts w:ascii="IRNazanin" w:hAnsi="IRNazanin" w:eastAsia="IRNazanin"/>
          <w:color w:val="111111"/>
          <w:sz w:val="28"/>
          <w:sz w:val="28"/>
          <w:szCs w:val="28"/>
          <w:rtl w:val="true"/>
          <w:lang w:bidi="fa-IR"/>
        </w:rPr>
        <w:t xml:space="preserve">أمّا السیّد المرتضی، فإنّ الأمر فیه أظهر من أن یفتقر إلی البیان، بناء علی انّه </w:t>
      </w:r>
      <w:r>
        <w:rPr>
          <w:rStyle w:val="FootnoteAnchor"/>
          <w:rtl w:val="true"/>
        </w:rPr>
        <w:footnoteReference w:id="648"/>
      </w:r>
      <w:r>
        <w:rPr>
          <w:rFonts w:ascii="IRNazanin" w:hAnsi="IRNazanin" w:eastAsia="IRNazanin"/>
          <w:color w:val="111111"/>
          <w:sz w:val="28"/>
          <w:sz w:val="28"/>
          <w:szCs w:val="28"/>
          <w:rtl w:val="true"/>
          <w:lang w:bidi="fa-IR"/>
        </w:rPr>
        <w:t xml:space="preserve">من تلامذة شیخنا المفید و هو یروی عن شیخنا الصدوق، و قد عرفت أنّ مقتضی کلامه أنّ روایته عن ثقة الإسلام بواسطة، فیکون روایة شیخنا المفید عن ثقة الإسلام بواسطتین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إن روی عن ثقة الإسلام بواسطة الصدوق، لکنّه کثیرًا مّا یروی عنه بواسطة شیخه أبوالقاسم جعفر بن محمّد بن موسی بن قولویه، فحینئذ یکون روایته عنه </w:t>
      </w:r>
      <w:r>
        <w:rPr>
          <w:rStyle w:val="FootnoteAnchor"/>
          <w:rtl w:val="true"/>
        </w:rPr>
        <w:footnoteReference w:id="649"/>
      </w:r>
      <w:r>
        <w:rPr>
          <w:rFonts w:ascii="IRNazanin" w:hAnsi="IRNazanin" w:eastAsia="IRNazanin"/>
          <w:color w:val="111111"/>
          <w:sz w:val="28"/>
          <w:sz w:val="28"/>
          <w:szCs w:val="28"/>
          <w:rtl w:val="true"/>
          <w:lang w:bidi="fa-IR"/>
        </w:rPr>
        <w:t>بواسطة ؛ و علی التقدیرین کیف یمکن الحکم بروایة السیّد المرتضی عمّن یروی عنه ثقة الإسلام من غیر واسطة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یجترئ المتدیّن علی إقحام أمثال هذه الأمور فی الدین، فإنّه إفتراء بشریعة سیّد المرسلین، و خیانة فی الآثار الصادرة عن أمنائه الأکرمین الموجبة للإنتقام من ربّ العالمین الّذی لایقاومه سکّان السموات والأرضین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650"/>
      </w:r>
      <w:r>
        <w:rPr>
          <w:rFonts w:ascii="IRNazanin" w:hAnsi="IRNazanin" w:eastAsia="IRNazanin"/>
          <w:color w:val="111111"/>
          <w:sz w:val="28"/>
          <w:sz w:val="28"/>
          <w:szCs w:val="28"/>
          <w:rtl w:val="true"/>
          <w:lang w:bidi="fa-IR"/>
        </w:rPr>
        <w:t xml:space="preserve">الظاهر أنّ صدور أمثال هذه الأمور عنه إنّما هو من جهة قلّة اطّلاعه بمبانی الفنّ و ندرة إحاطته بقواعد العلم، فإنّا لمّا أوردنا علیه هذا الإیراد وأبرزنا له شناعة هذا المقال إضطرب من وفور تدیّنه فی مقام الجواب غایة الإضطراب، فأجاب بما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أخذته هکذا من بعض الکتب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لعمر الحبیب انّ اللایق بهذا الجواب هو مقابلته بقول الشاعر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یصلح العطّار ما أفسده الدهر </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عجوز ترجی أن تکون فتیة و قد لحب الجنبان واحد و دب الظهر</w:t>
      </w:r>
    </w:p>
    <w:p>
      <w:pPr>
        <w:pStyle w:val="BookText"/>
        <w:rPr/>
      </w:pPr>
      <w:r>
        <w:rPr>
          <w:rFonts w:ascii="IRNazanin" w:hAnsi="IRNazanin" w:eastAsia="IRNazanin"/>
          <w:color w:val="111111"/>
          <w:sz w:val="28"/>
          <w:sz w:val="28"/>
          <w:szCs w:val="28"/>
          <w:rtl w:val="true"/>
          <w:lang w:bidi="fa-IR"/>
        </w:rPr>
        <w:t>تدس إلی العطار میرة أهلها و لن یصلح العطّار ما أفسد الدهر</w:t>
      </w:r>
    </w:p>
    <w:p>
      <w:pPr>
        <w:pStyle w:val="BookText"/>
        <w:rPr/>
      </w:pPr>
      <w:r>
        <w:rPr>
          <w:rFonts w:ascii="IRNazanin" w:hAnsi="IRNazanin" w:eastAsia="IRNazanin"/>
          <w:color w:val="111111"/>
          <w:sz w:val="28"/>
          <w:sz w:val="28"/>
          <w:szCs w:val="28"/>
          <w:rtl w:val="true"/>
          <w:lang w:bidi="fa-IR"/>
        </w:rPr>
        <w:t xml:space="preserve">؛ فقلت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الرسالة وتفتی الناس بما یبنون علیه أمر العبادة، و تأتی بمثل هذه المقالة، و کیف یمکن الإعتذار فی موقف الحساب مع شداید القیمة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أن یوجد ذلک فی کتب و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ذکرت له طریق الإشتباه علی ما ستقف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أکثر من سنة رأیت أنّه حکّ اسم السیّد المرتضی فی نسخته، وأبقی الباقی علی حاله </w:t>
      </w:r>
      <w:r>
        <w:rPr>
          <w:rStyle w:val="FootnoteAnchor"/>
          <w:rtl w:val="true"/>
        </w:rPr>
        <w:footnoteReference w:id="652"/>
      </w:r>
      <w:r>
        <w:rPr>
          <w:rFonts w:ascii="IRNazanin" w:hAnsi="IRNazanin" w:eastAsia="IRNazanin"/>
          <w:color w:val="111111"/>
          <w:sz w:val="28"/>
          <w:sz w:val="28"/>
          <w:szCs w:val="28"/>
          <w:rtl w:val="true"/>
          <w:lang w:bidi="fa-IR"/>
        </w:rPr>
        <w:t xml:space="preserve">، و لا یخطر فی البال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الحاکّ انّما عمد علاج الفاسد بالأفسد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سلّم فهؤلاء الرؤساء العظام و الفقهاء الفخام هم العمدة </w:t>
      </w:r>
    </w:p>
    <w:p>
      <w:pPr>
        <w:pStyle w:val="BookText"/>
        <w:rPr/>
      </w:pPr>
      <w:r>
        <w:rPr>
          <w:rFonts w:ascii="IRNazanin" w:hAnsi="IRNazanin" w:eastAsia="IRNazanin"/>
          <w:color w:val="111111"/>
          <w:sz w:val="28"/>
          <w:sz w:val="28"/>
          <w:szCs w:val="28"/>
          <w:rtl w:val="true"/>
          <w:lang w:bidi="fa-IR"/>
        </w:rPr>
        <w:t xml:space="preserve">فی ضبط الأحادیث، و لو لا علم هؤلاء الثلاثة ـ قدّس اللّه روحهم ـ بصحّته لما أرسلوه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غیر صحیح، و ستقف علی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الإتیان بضمیر المؤنّث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یحذف رواتها إعتمادًا علی شهرتها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موقعه، لکون المرجع لفظ الحدیث، وإنّما الموقع له فی هذه الورطة تغییر جزئیّ صدر منه فی عبارة العلاّمة، ولیته لم یصدر منه ؛ قال فی المنتهی ـ بعد أن حکی الحدیث عن طریق العامّة ووجه الإستدلال به ـ ما هذا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طریق الخاصّة ما رواه الشیخ و ابن بابویه و علم الهدی، عن أمیرالمؤمنین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الصلوة الطهور، و تحریمها التکبیر، و تحلیلها التسلیم </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مضی وجه الإستدلال به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خبر مرسل من طرقکم فلا یعمل به،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أنّه مرسل، فإنّ الأمّة تلقّته بالقبول، و نقله الخاص والعام، ومثل هذا الحدیث البالغ فی الشهرة قد یحذف رواته إعتمادًا علی شهرته، علی أنّ الشیخ محمّد بن یعقوب الکلینیّ رواه مسندًا عن علیّ بن محمّد بن عبداللّه، عن سهل بن زیاد، عن جعفر بن محمّد الأشعری، عن القدّاح،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 الحدیث </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الصلوة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 فهؤلاء الثلاثة هم العمدة فی ضبط الأحادیث، ولو لاعلمهم بصحّته لما أرسلوه </w:t>
      </w:r>
      <w:r>
        <w:rPr>
          <w:rStyle w:val="FootnoteAnchor"/>
          <w:rtl w:val="true"/>
        </w:rPr>
        <w:footnoteReference w:id="655"/>
      </w:r>
      <w:r>
        <w:rPr>
          <w:rFonts w:ascii="IRNazanin" w:hAnsi="IRNazanin" w:eastAsia="IRNazanin"/>
          <w:color w:val="111111"/>
          <w:sz w:val="28"/>
          <w:sz w:val="28"/>
          <w:szCs w:val="28"/>
          <w:rtl w:val="true"/>
          <w:lang w:bidi="fa-IR"/>
        </w:rPr>
        <w:t>، إنتهی کلامه أعلی اللّه مقامه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شقیقنا المکرَّم ـ دام ظلّه ـ قد حصل منه التغییر فی ثلثة أمور الموجب لتوجّه المؤاخذة إلیه فی کلّ واحد منها،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أسقط لفظ الشیخ فی البین، وضمّ الصدوق والسیّد المرتضی بثقة الإسلام، و نسب سند الکافی إلی الجمیع، وقد عرفت أنّه بلغ حدًّا فی الفساد یصیح به النبات و الجماد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الداعی لإسقاط الشیخ ملاحظة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آیة اللّه العظمی العلاّمة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فهؤلاء الثلاثة هم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بناء علی أنّه لمّا کان العدد بانضمام الشیخ یرتقی إلی الأربعة، أسقطه من بینهم حملاً لکلامه علی الغلط أو الإشتباه، ولم یتنبّه انّ المقصود من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وابن بابویه وعلم الهدی المذکورون فی کلامه أوّلاً الّذین توجّه إیراد إرسال الحدیث علی النحو المذکور فی کتبهم، ولمّا کان الحدیث مسندًا صریحًا فی کلام ثقة الإسلام، فلا وجه لتسلیم الإرسال فی حقّه، و هذا هو الوجه لتخصیص النسبة إلی الثلاثة، فلیس فیه شایبة إشتباه وغفلة، بل هو فی غایة المتانة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شقیقنا المعظّم </w:t>
      </w:r>
      <w:r>
        <w:rPr>
          <w:rStyle w:val="FootnoteAnchor"/>
          <w:rtl w:val="true"/>
        </w:rPr>
        <w:footnoteReference w:id="656"/>
      </w:r>
      <w:r>
        <w:rPr>
          <w:rFonts w:ascii="IRNazanin" w:hAnsi="IRNazanin" w:eastAsia="IRNazanin"/>
          <w:color w:val="111111"/>
          <w:sz w:val="28"/>
          <w:sz w:val="28"/>
          <w:szCs w:val="28"/>
          <w:rtl w:val="true"/>
          <w:lang w:bidi="fa-IR"/>
        </w:rPr>
        <w:t>لمّا لم یقدر علی درک ذلک، غیّره فی الموضعین الموجب لأن یتوجّه إلیه الإیراد و الشین،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جعل ثقة الإسلام من جملة الثلاثة المشار إلیهم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لا علم هؤلاء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أنّک قد عرفت أنّ الحدیث فی کتابه مسند، و هذا هو الوجه فی تصریح العلاّمة بالثلاثة، إذ لو اکتفی بلفظ إسم الإشارة ربما کان لمتوهّم أن یتوهّم شموله لثقة الإسلام أیضًا، فصرّح بالثلثة لدفع هذه الحزازة، و مع ذلک غفل صدیقنا المکرَّم عن ذلک وصرّح بالثلاثة وجعل ثقة الإسلام منهم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لمّا کان ذکر اسم الإشارة و الثلاثة فی کلام العلاّمة بعد ذکر ثقة الإسلام الموجب لبطؤ الإنتقال إلی المرام فی الجملة، لخّصه شیخنا البهائی ـ مکّنه اللّه تعالی مکان العالی ـ فقال فی الحبل المتین فی مقام الإستدلال بوجوب التسلیم ما هذا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لنا أیضًا ما رواه الشیخ وابن بابویه و المرتضی ـ رضی اللّه عنهم ـ عن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ثمّ أورد الحدیث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أُورد علیه أنّه خبر مرسل فلایجوز التعویل علیه فی إثبات الأحکام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وذبّ عنه العلاّمة فی المنتهی بأنّ الأمّة تلقّته بالقبول و نقله الخاصّ والعامّ، وما هو بهذه المثابة من الشهرة قد یحذف رواته إعتمادًا علی شهرته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المشایخ الثلثة هم العمدة فی ضبط الأحادیث، و لو لا عِلمُهم بصحّته لما أرسلوه و حکموا بأنّه من قوله صلی‌الله‌علیه‌و‌آله ، هذا ملخّص کلامه </w:t>
      </w:r>
      <w:r>
        <w:rPr>
          <w:rStyle w:val="FootnoteAnchor"/>
          <w:rtl w:val="true"/>
        </w:rPr>
        <w:footnoteReference w:id="657"/>
      </w:r>
      <w:r>
        <w:rPr>
          <w:rFonts w:ascii="IRNazanin" w:hAnsi="IRNazanin" w:eastAsia="IRNazanin"/>
          <w:color w:val="111111"/>
          <w:sz w:val="28"/>
          <w:sz w:val="28"/>
          <w:szCs w:val="28"/>
          <w:rtl w:val="true"/>
          <w:lang w:bidi="fa-IR"/>
        </w:rPr>
        <w:t xml:space="preserve">؛ إنتهی کلام شیخنا البهائی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العجب انّ صاحبنا المکرَّم ـ دام ظلّه ـ مع کون غالب مطالب رسالته مأخوذًا منه، لم یتنبّه لذلک، سیّما أنّه ذکره فی الرسالة بعد ما تقدّم نقله من غیر فصل ما ذکره شیخنا البهائی بعد ما حکینا عنه من غیر فصل حیث قال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یؤیّد أیضًا بأنّ مذهب السیّد ـ قدّس اللّه روحه ـ فی العمل بأخبار الآحاد معروف، فلو لم یکن إشتهار هذا الحدیث فی زمنه بالغًا حدًّا یخرجه عن تلک </w:t>
      </w:r>
      <w:bookmarkStart w:id="207" w:name="pg3709_22168"/>
    </w:p>
    <w:p>
      <w:pPr>
        <w:pStyle w:val="BookText"/>
        <w:rPr/>
      </w:pPr>
      <w:bookmarkEnd w:id="207"/>
      <w:r>
        <w:rPr>
          <w:rFonts w:ascii="IRNazanin" w:hAnsi="IRNazanin" w:eastAsia="IRNazanin"/>
          <w:color w:val="111111"/>
          <w:sz w:val="28"/>
          <w:sz w:val="28"/>
          <w:szCs w:val="28"/>
          <w:rtl w:val="true"/>
          <w:lang w:bidi="fa-IR"/>
        </w:rPr>
        <w:t xml:space="preserve">المرتبة، لم یحسن تعویله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 علم موضعان ممّا وقع التغییر من مخدومنا المکرَّم، والموضع الثالث هو قول العلاّمة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مثل هذا الحدیث البالغ فی الشهرة قد یحذف رواته إعتمادًا علی شهرته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شیخنا البهائی فی تلخیص هذا الکلام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هو بهذه المثابة من الشهرة قد یحذف رواته إعتمادًا علی شهرته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زاد ـ دام ظلّه </w:t>
      </w:r>
      <w:r>
        <w:rPr>
          <w:rStyle w:val="FootnoteAnchor"/>
          <w:rtl w:val="true"/>
        </w:rPr>
        <w:footnoteReference w:id="658"/>
      </w:r>
      <w:r>
        <w:rPr>
          <w:rFonts w:ascii="IRNazanin" w:hAnsi="IRNazanin" w:eastAsia="IRNazanin"/>
          <w:color w:val="111111"/>
          <w:sz w:val="28"/>
          <w:sz w:val="28"/>
          <w:szCs w:val="28"/>
          <w:rtl w:val="true"/>
          <w:lang w:bidi="fa-IR"/>
        </w:rPr>
        <w:t xml:space="preserve">ـ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فکأنّها صارت سببًا لتأنیث الضمیر فی الموضعین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 هذا الحدیث البالغ فی الشهرة غایتها قد یحذف رواتها إعتمادًا علی شهرتها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لیته لم یزد تلک اللفظة لئلاّ یقع فی تلک الورطة، لیته إکتفی بعین عبارة المنتهی ولم یغیّرها أصلاً لیسلم من مؤاخذة الشنایع المذکورة و لا یرتفع للأصحاب منه حسن المظنّة </w:t>
      </w:r>
      <w:r>
        <w:rPr>
          <w:rFonts w:eastAsia="IRNazanin" w:cs="IRNazanin"/>
          <w:color w:val="111111"/>
          <w:sz w:val="28"/>
          <w:szCs w:val="28"/>
          <w:rtl w:val="true"/>
          <w:lang w:bidi="fa-IR"/>
        </w:rPr>
        <w:t>.</w:t>
      </w:r>
    </w:p>
    <w:p>
      <w:pPr>
        <w:pStyle w:val="Heading4"/>
        <w:numPr>
          <w:ilvl w:val="3"/>
          <w:numId w:val="1"/>
        </w:numPr>
        <w:rPr/>
      </w:pPr>
      <w:bookmarkStart w:id="208" w:name="__RefHeading___Toc594167_2281741623"/>
      <w:bookmarkStart w:id="209" w:name="_Toc74"/>
      <w:bookmarkEnd w:id="208"/>
      <w:r>
        <w:rPr>
          <w:rtl w:val="true"/>
        </w:rPr>
        <w:t xml:space="preserve">ومنها قوله </w:t>
      </w:r>
      <w:r>
        <w:rPr>
          <w:rtl w:val="true"/>
        </w:rPr>
        <w:t xml:space="preserve">: </w:t>
      </w:r>
      <w:r>
        <w:rPr>
          <w:rtl w:val="true"/>
        </w:rPr>
        <w:t>بل ادّعی الشیخ الصدوق قدس‌سره أنّ القول بوجوب التسلیم، إلخ</w:t>
      </w:r>
      <w:bookmarkEnd w:id="209"/>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أواخر الفصل الأوّل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ادّعی الشیخ الصدوق ـ قدّس اللّه سرّه ـ أنّ القول بوجوب التسلیم من ضروریّات المذهب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واعجباه من جرئته علی أحکام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القول إفتراء علی شیخنا الصدوق الثقة الأمین، فأت به إن کنت من الصادقین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مع أنّ کتبه الّتی فیها مظنّة ذکر أمثال هذه الأمور بحمد اللّه تعالی </w:t>
      </w:r>
    </w:p>
    <w:p>
      <w:pPr>
        <w:pStyle w:val="BookText"/>
        <w:rPr/>
      </w:pPr>
      <w:r>
        <w:rPr>
          <w:rFonts w:ascii="IRNazanin" w:hAnsi="IRNazanin" w:eastAsia="IRNazanin"/>
          <w:color w:val="111111"/>
          <w:sz w:val="28"/>
          <w:sz w:val="28"/>
          <w:szCs w:val="28"/>
          <w:rtl w:val="true"/>
          <w:lang w:bidi="fa-IR"/>
        </w:rPr>
        <w:t xml:space="preserve">موجودة، و لیس فیها لهذه الدعوی أثرٌ بالمرّة، بل الحکم الصریح بوجوب التسلیم لم یوجد فیها فضلاً عن دعوی الضرورة، و لهذا تری فحول الأصحاب ـ مع اهتمامهم فی نقل الأقوال والخلاف فی المسئلة ـ لم ینسب إلیه أحد منهم القول الصریح بالوجوب فیما أعلم، وها أنا أذکر عباراتهم فی نقل الأقوال وبیان الخلاف فی المسئلة لیکون فی هذا الدعوی علی برهان و بیّنة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فی المعتبر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التسلیم واجب فی الصلوة، و الإخلال به عمدًا مبطل لها لا سهوًا، وبه قال ابن أبی عقیل منّا و علم الهدی و تقی بن نجم، فقال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رکن فی الصلوة، و قال 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مسنون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العلاّمة فی المختلف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أوجب السیّد المرتضی فی المسائل الناصریّة و فی المسائل المحمّدیّة التسلیم، و به قال أبو الصلاح و سلاّر وابن أبی عقیل وابن زهرة، وقال 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مستحبّ، وهو اختیار ابن البرّاج وابن ادریس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المنتهی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أصحابنا فی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وجوب التسلیم </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فی الصلوة، فقال علم الهدی، وابن أبی عقیل، و 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واجب تبطل الصلوة بالإخلال به عمدًا لا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قال الشافعی، و مالک، وأحمد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p>
    <w:p>
      <w:pPr>
        <w:pStyle w:val="BookText"/>
        <w:rPr/>
      </w:pPr>
      <w:r>
        <w:rPr>
          <w:rFonts w:ascii="IRNazanin" w:hAnsi="IRNazanin" w:eastAsia="IRNazanin"/>
          <w:color w:val="111111"/>
          <w:sz w:val="28"/>
          <w:sz w:val="28"/>
          <w:szCs w:val="28"/>
          <w:rtl w:val="true"/>
          <w:lang w:bidi="fa-IR"/>
        </w:rPr>
        <w:t>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مسنون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فخر المحقّقین فی الإیضاح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أوجبه السیّد المرتضی فی المسائل الناصریّة و المحمّدیّة، وأبوالصلاح وسلاّر وابن أبی عقیل، إلی آخر ما ذکره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الذکری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الواجب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التسلیم، یجب </w:t>
      </w:r>
      <w:r>
        <w:rPr>
          <w:rStyle w:val="FootnoteAnchor"/>
          <w:rtl w:val="true"/>
        </w:rPr>
        <w:footnoteReference w:id="664"/>
      </w:r>
      <w:r>
        <w:rPr>
          <w:rFonts w:ascii="IRNazanin" w:hAnsi="IRNazanin" w:eastAsia="IRNazanin"/>
          <w:color w:val="111111"/>
          <w:sz w:val="28"/>
          <w:sz w:val="28"/>
          <w:szCs w:val="28"/>
          <w:rtl w:val="true"/>
          <w:lang w:bidi="fa-IR"/>
        </w:rPr>
        <w:t xml:space="preserve">صیغة السلام علیکم عند أکثر من أوجبه، و هم ابن أبی عقیل والمرتضی و أبو الصلاح وابن زهرة، إلی آخر ما ذکره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غایة المراد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إختلف الأصحاب فی وجوب التسلیم المخرج من الصلوة، فقال صاحب الفاخر وابن أبی عقیل والمرتضی، و الشیخ فی المبسوط، وسلاّر، والحلبیّون کأبی الصلاح وابن زهرة وأبی صالح وبنی </w:t>
      </w:r>
      <w:r>
        <w:rPr>
          <w:rStyle w:val="FootnoteAnchor"/>
          <w:rtl w:val="true"/>
        </w:rPr>
        <w:footnoteReference w:id="666"/>
      </w:r>
      <w:r>
        <w:rPr>
          <w:rFonts w:ascii="IRNazanin" w:hAnsi="IRNazanin" w:eastAsia="IRNazanin"/>
          <w:color w:val="111111"/>
          <w:sz w:val="28"/>
          <w:sz w:val="28"/>
          <w:szCs w:val="28"/>
          <w:rtl w:val="true"/>
          <w:lang w:bidi="fa-IR"/>
        </w:rPr>
        <w:t xml:space="preserve">سعید، والمصنّف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التنقیح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الوجوب قول المرتضی و التقی وابن أبی عقیل و سلاّر وابن زهرة والمصنّف والعلاّمة فی بعض کتبه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المهذّب البارع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التسلیم واجب أو مندوب ؟ و بالأوّل قال التقی والحسن والمرتضی، و بالثانی قال الشیخان و القاضی وابن إدریس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المدارک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إختلف الأصحاب فی التسلیم هل هو واجب أو مستحبّ ؟ فقال المرتضی فی المسائل الناصریّة و المحمّدیّة، و أبو الصلاح و سلاّر وابن أبی عقیل وابن زهرة بالوجوب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الحبل المتین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ذهب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 xml:space="preserve">، و الشیخ فی المبسوط، وابن أبی عقیل، و القطب الراوندیّ، و صاحب البشری، و سلاّر، والحلبیّون کأبی الصلاح وابن زهرة، والحلّیّون کالمحقّق فی کتبه الثلاثة، و یحیی بن سعید فی الجامع، و العلاّمة فی المنتهی، وولده فخرالمحقّقین فی الإیضاح إلی الوجوب، ووافقهم شیخنا الشهید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الذخیرة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إختلف الأصحاب فی التسلیم هل هو واجب أو مستحبّ ؟ فذهب المرتضی فی المسائل الناصریّة و المحمّدیّة، وأبوالصلاح وسلاّر وابن أبی عقیل و القطب الراوندی و صاحب الفاخر وابن زهرة إلی الوجوب، </w:t>
      </w:r>
    </w:p>
    <w:p>
      <w:pPr>
        <w:pStyle w:val="BookText"/>
        <w:rPr/>
      </w:pPr>
      <w:r>
        <w:rPr>
          <w:rFonts w:ascii="IRNazanin" w:hAnsi="IRNazanin" w:eastAsia="IRNazanin"/>
          <w:color w:val="111111"/>
          <w:sz w:val="28"/>
          <w:sz w:val="28"/>
          <w:szCs w:val="28"/>
          <w:rtl w:val="true"/>
          <w:lang w:bidi="fa-IR"/>
        </w:rPr>
        <w:t xml:space="preserve">واختاره المحقّق و صاحب البشری و المصنّف فی المنتهی والشهید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البحار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الأصحاب اختلفوا فی التسلیم، فذهب المرتضی وأبوالصلاح وسلاّر وابن أبی عقیل و الراوندی و صاحب الفاخر وابن زهرة إلی الوجوب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کشف اللثام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 xml:space="preserve">السیّدان، و سلاّر، و الحلبیّ، و بنو حمزة، وسعید، و المصنّف فی المنتهی، إلی آخر ما ذکره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أنت إذا أحطت خبرًا بما أوردناه من عبارات هؤلاء الأجلّة فی تحریر الخلاف فی المسئلة، لا أظنّک تبقی شاکًّا فی فساد الدعوی المذکورة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یمکن تحقّق دعوی الضرورة من شیخنا الصدوق ـ قدّس اللّه تعالی روحه ـ مع أنّه لم ینسب إلیه أحد فی العبارات المذکورة أصل القول بالوجوب فضلاً عن دعوی الضرورة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ینبّه علی فساد الدعوی المذکورة مضافًا إلی ما ذکر أمور،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التقیّ المجلسیّ صرّح بأنّه لا یظهر منه القول بالوجوب، حیث قال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السلام، فاختلف الأصحاب فی وجوبه واستحبابه، ولا یظهر من الصدوق الوجوب و غیره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فکیف یجتمع هذا مع دعوی الضرورة منه علی </w:t>
      </w:r>
      <w:r>
        <w:rPr>
          <w:rStyle w:val="FootnoteAnchor"/>
          <w:rtl w:val="true"/>
        </w:rPr>
        <w:footnoteReference w:id="679"/>
      </w:r>
      <w:r>
        <w:rPr>
          <w:rFonts w:ascii="IRNazanin" w:hAnsi="IRNazanin" w:eastAsia="IRNazanin"/>
          <w:color w:val="111111"/>
          <w:sz w:val="28"/>
          <w:sz w:val="28"/>
          <w:szCs w:val="28"/>
          <w:rtl w:val="true"/>
          <w:lang w:bidi="fa-IR"/>
        </w:rPr>
        <w:t>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شیخنا الشهید فی غایة المراد من أنّ الظاهر من والد الصدوق القول بالإستحباب </w:t>
      </w:r>
      <w:r>
        <w:rPr>
          <w:rStyle w:val="FootnoteAnchor"/>
          <w:rtl w:val="true"/>
        </w:rPr>
        <w:footnoteReference w:id="680"/>
      </w:r>
      <w:r>
        <w:rPr>
          <w:rFonts w:ascii="IRNazanin" w:hAnsi="IRNazanin" w:eastAsia="IRNazanin"/>
          <w:color w:val="111111"/>
          <w:sz w:val="28"/>
          <w:sz w:val="28"/>
          <w:szCs w:val="28"/>
          <w:rtl w:val="true"/>
          <w:lang w:bidi="fa-IR"/>
        </w:rPr>
        <w:t>؛ وکثرة اعتماد الصدوق علی والده ـ نوّر اللّه روحهما ـ شیء معروف، و شدّة تعویله علیه فی المسائل أمر معهود کما لا یخفی علی المطّلع، فکیف یدّعی ضرورة مذهب الشیعة فیما یذهب والده علی خلافه مع ما عرفت من شدّة تعویله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شیخنا الشهید أیضًا فی الذکری من نسبة القول بالإستحباب إلی أکثر القدماء،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القول بندبیّة التسلیم بمعنییه کما هو مذهب أکثر القدماء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نسبة الإستحباب إلی أکثر القدماء ینافی أو لا یلائم دعوی الضرورة من بعضهم فی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موضع من الفقیه ـ بعد أن أورد الحدیث الدالّ علی فساد الصلوة بقول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تبارک اسمه و تعالی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التشهّد الأوّل، وأمّا فی التشهّد الثانی بعد الشهادتین، فلابأس به، لأنّ المصلّی إذا تشهّد الشهادتین فی التشهّد الأخیر، فقد فرغ من الصلوة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کالصریح فی عدم وجوب التسلیم، فکیف ینسب إلیه دعوی الضرورة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جمیع ما ذکر ظهر أنّ التمسّک بما ذکره فی الأمالی فی نسبة الوجوب إلیه غیر صحیح، لأنّه قال فی مقام ذکر ما ثبت </w:t>
      </w:r>
      <w:r>
        <w:rPr>
          <w:rStyle w:val="FootnoteAnchor"/>
          <w:rtl w:val="true"/>
        </w:rPr>
        <w:footnoteReference w:id="683"/>
      </w:r>
      <w:r>
        <w:rPr>
          <w:rFonts w:ascii="IRNazanin" w:hAnsi="IRNazanin" w:eastAsia="IRNazanin"/>
          <w:color w:val="111111"/>
          <w:sz w:val="28"/>
          <w:sz w:val="28"/>
          <w:szCs w:val="28"/>
          <w:rtl w:val="true"/>
          <w:lang w:bidi="fa-IR"/>
        </w:rPr>
        <w:t>فی دین الإمامیّة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والتسلیم فی الصلوة تجزئ </w:t>
      </w:r>
      <w:r>
        <w:rPr>
          <w:rStyle w:val="FootnoteAnchor"/>
          <w:rtl w:val="true"/>
        </w:rPr>
        <w:footnoteReference w:id="684"/>
      </w:r>
      <w:r>
        <w:rPr>
          <w:rFonts w:ascii="IRNazanin" w:hAnsi="IRNazanin" w:eastAsia="IRNazanin"/>
          <w:color w:val="111111"/>
          <w:sz w:val="28"/>
          <w:sz w:val="28"/>
          <w:szCs w:val="28"/>
          <w:rtl w:val="true"/>
          <w:lang w:bidi="fa-IR"/>
        </w:rPr>
        <w:t xml:space="preserve">مرّة واحدة، فإنّه یمیل بأنفه إلی یمینه، ومن کان فی جمع من أهل الخلاف سلّم تسلیمتین، عن یمینه تسلیمة، وعن یساره تسلیمة ـ کما یفعلون ـ للتقیّة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إنتهی کلامه ـ أعلی اللّه مقامه ـ و لا دلالة فیه علی الوجوب، و لذا لا تجد أحدًا من الأصحاب انّه </w:t>
      </w:r>
      <w:r>
        <w:rPr>
          <w:rStyle w:val="FootnoteAnchor"/>
          <w:rtl w:val="true"/>
        </w:rPr>
        <w:footnoteReference w:id="686"/>
      </w:r>
      <w:r>
        <w:rPr>
          <w:rFonts w:ascii="IRNazanin" w:hAnsi="IRNazanin" w:eastAsia="IRNazanin"/>
          <w:color w:val="111111"/>
          <w:sz w:val="28"/>
          <w:sz w:val="28"/>
          <w:szCs w:val="28"/>
          <w:rtl w:val="true"/>
          <w:lang w:bidi="fa-IR"/>
        </w:rPr>
        <w:t xml:space="preserve">نسب الوجوب إلیه فیه، بل القدر المسلّم ثبوت التسلیم، وأمّا کونه علی وجه الوجوب أو الإستحباب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یؤیّده ذکر المیل بالأنف إلی الیمین متّصلاً، مع أنّ إنتفاء الوجوب فیه ممّا لا ینبغی التأمّل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تجزئ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الوجوب، إذ الإجزاء ظاهر فی أقلّ ما یحصل به </w:t>
      </w:r>
      <w:r>
        <w:rPr>
          <w:rStyle w:val="FootnoteAnchor"/>
          <w:rtl w:val="true"/>
        </w:rPr>
        <w:footnoteReference w:id="687"/>
      </w:r>
      <w:r>
        <w:rPr>
          <w:rFonts w:ascii="IRNazanin" w:hAnsi="IRNazanin" w:eastAsia="IRNazanin"/>
          <w:color w:val="111111"/>
          <w:sz w:val="28"/>
          <w:sz w:val="28"/>
          <w:szCs w:val="28"/>
          <w:rtl w:val="true"/>
          <w:lang w:bidi="fa-IR"/>
        </w:rPr>
        <w:t xml:space="preserve">الإمتثال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ظهور هذا اللفظ فی کلمات قدماء الأصحاب فی المعنی المذکور ممنوعة، مضافًا إلی أنّه فی محلّ الکلام یمکن دعوی تحقّق القرینة فی عدم إرادة هذا المعنی لانتفاء تعدّد التسلیم، و لذلک جعل تعدّده فی مقام التقیّة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یظهر أنّ الکلام محمول فی حقّ الإمام و </w:t>
      </w:r>
      <w:r>
        <w:rPr>
          <w:rStyle w:val="FootnoteAnchor"/>
          <w:rtl w:val="true"/>
        </w:rPr>
        <w:footnoteReference w:id="688"/>
      </w:r>
      <w:r>
        <w:rPr>
          <w:rFonts w:ascii="IRNazanin" w:hAnsi="IRNazanin" w:eastAsia="IRNazanin"/>
          <w:color w:val="111111"/>
          <w:sz w:val="28"/>
          <w:sz w:val="28"/>
          <w:szCs w:val="28"/>
          <w:rtl w:val="true"/>
          <w:lang w:bidi="fa-IR"/>
        </w:rPr>
        <w:t>المنفرد، إذ تعدّد التسلیم فی حقّ المأموم فیما إذا کان فی یساره أحد ممّا لا ینبغی التأمّل فیه، مضافًا إلی عدم ذکر الإجزاء فی بعض نسخ الأمالی، فإنّ الموجود فیه هکذا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والتسلیم فیالصلوة </w:t>
      </w:r>
    </w:p>
    <w:p>
      <w:pPr>
        <w:pStyle w:val="BookText"/>
        <w:rPr/>
      </w:pPr>
      <w:r>
        <w:rPr>
          <w:rFonts w:ascii="Amiri" w:hAnsi="Amiri" w:eastAsia="Amiri" w:cs="Amiri"/>
          <w:color w:val="111111"/>
          <w:sz w:val="28"/>
          <w:sz w:val="28"/>
          <w:szCs w:val="28"/>
          <w:rtl w:val="true"/>
          <w:lang w:bidi="ar-SA"/>
        </w:rPr>
        <w:t xml:space="preserve">مرّة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کیف کان، انّ نسبة الوجوب إلیه إلتفاتًا إلی ما ذکره فی الأمالی غیر صحیحة، إذ حاصل کلامه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دین الإمامیّة ثبوت تسلیمة واحدة فی الصلوة، وأمّا دلالته علی أنّها بعنوان الوجوب أو الندب فلا،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دعوی ظهور کلامه فی موضع من الفقیه والهدایة فی الوجوب </w:t>
      </w:r>
      <w:r>
        <w:rPr>
          <w:rStyle w:val="FootnoteAnchor"/>
          <w:rtl w:val="true"/>
        </w:rPr>
        <w:footnoteReference w:id="689"/>
      </w:r>
      <w:r>
        <w:rPr>
          <w:rFonts w:ascii="IRNazanin" w:hAnsi="IRNazanin" w:eastAsia="IRNazanin"/>
          <w:color w:val="111111"/>
          <w:sz w:val="28"/>
          <w:sz w:val="28"/>
          <w:szCs w:val="28"/>
          <w:rtl w:val="true"/>
          <w:lang w:bidi="fa-IR"/>
        </w:rPr>
        <w:t xml:space="preserve">، ولهذا حکمنا فی مطالع الأنوار </w:t>
      </w:r>
      <w:r>
        <w:rPr>
          <w:rStyle w:val="FootnoteAnchor"/>
          <w:rtl w:val="true"/>
        </w:rPr>
        <w:footnoteReference w:id="690"/>
      </w:r>
      <w:r>
        <w:rPr>
          <w:rFonts w:ascii="IRNazanin" w:hAnsi="IRNazanin" w:eastAsia="IRNazanin"/>
          <w:color w:val="111111"/>
          <w:sz w:val="28"/>
          <w:sz w:val="28"/>
          <w:szCs w:val="28"/>
          <w:rtl w:val="true"/>
          <w:lang w:bidi="fa-IR"/>
        </w:rPr>
        <w:t xml:space="preserve">بأنّ ظاهر الصدوق القول بالوجوب، کما مشی إلیه شیخنا الشهید فی غایة المراد،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ـ أی الوجوب ـ ظاهر اختیار الصدوق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الظاهر من کلامه فی العلل عدم الوجوب،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علّة التسلیم فی الصلوة </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 xml:space="preserve">، و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علّة وجوب التسلیم، مع أنّ الحدیث المذکور فی ذلک الباب مشتمل علی وجوب التسلیم سؤالاً و تقریرًا، و قد قال فی غسل الجمعة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علّة وجوب غسل یوم الجمعة </w:t>
      </w:r>
      <w:r>
        <w:rPr>
          <w:rFonts w:eastAsia="IRNazanin" w:cs="IRNazanin"/>
          <w:color w:val="111111"/>
          <w:sz w:val="28"/>
          <w:szCs w:val="28"/>
          <w:rtl w:val="true"/>
          <w:lang w:bidi="fa-IR"/>
        </w:rPr>
        <w:t xml:space="preserve">» </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الحال فی موضع آخر من الفقیه کما عرفت، فعلی هذا یبقی الإشکال فی نسبة القول بالوجوب إلیه ولو کان </w:t>
      </w:r>
      <w:r>
        <w:rPr>
          <w:rStyle w:val="FootnoteAnchor"/>
          <w:rtl w:val="true"/>
        </w:rPr>
        <w:footnoteReference w:id="694"/>
      </w:r>
      <w:r>
        <w:rPr>
          <w:rFonts w:ascii="IRNazanin" w:hAnsi="IRNazanin" w:eastAsia="IRNazanin"/>
          <w:color w:val="111111"/>
          <w:sz w:val="28"/>
          <w:sz w:val="28"/>
          <w:szCs w:val="28"/>
          <w:rtl w:val="true"/>
          <w:lang w:bidi="fa-IR"/>
        </w:rPr>
        <w:t xml:space="preserve">بعنوان الظهور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اتّضح من جمیع ما ذکر أنّ الحکم الصریح بالوجوب من الصدوق غیر موجود، فضلاً عن دعوی الضرورة علیه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أدری کیف یجترئ الثقة الأمین علی الإقدام بإخبار أمثال هذه الأمور </w:t>
      </w:r>
      <w:bookmarkStart w:id="210" w:name="pg3709_22176"/>
    </w:p>
    <w:p>
      <w:pPr>
        <w:pStyle w:val="BookText"/>
        <w:rPr/>
      </w:pPr>
      <w:bookmarkEnd w:id="210"/>
      <w:r>
        <w:rPr>
          <w:rFonts w:ascii="IRNazanin" w:hAnsi="IRNazanin" w:eastAsia="IRNazanin"/>
          <w:color w:val="111111"/>
          <w:sz w:val="28"/>
          <w:sz w:val="28"/>
          <w:szCs w:val="28"/>
          <w:rtl w:val="true"/>
          <w:lang w:bidi="fa-IR"/>
        </w:rPr>
        <w:t>المخالفة للواقع الموجبة لمؤاخذة یوم الدین، مع ما استفاض عنهم علیهم‌السلام فی مذمّة الکذب، سیّما فی أحکام اللّه تعالی، ممّا لو اطّلع علیه العاقل یتزعزع روعه عن المؤاخذة فی العاجل و الآجل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وستقف علی جملة منها فی المباحث الآتیة ؛ وکذا فی مذمّة الإفتاء من غیر أن یکون أهلاً لذلک، کالصحیح المرویّ فی المحاسن والکافی </w:t>
      </w:r>
      <w:r>
        <w:rPr>
          <w:rStyle w:val="FootnoteAnchor"/>
          <w:rtl w:val="true"/>
        </w:rPr>
        <w:footnoteReference w:id="695"/>
      </w:r>
      <w:r>
        <w:rPr>
          <w:rFonts w:ascii="IRNazanin" w:hAnsi="IRNazanin" w:eastAsia="IRNazanin"/>
          <w:color w:val="111111"/>
          <w:sz w:val="28"/>
          <w:sz w:val="28"/>
          <w:szCs w:val="28"/>
          <w:rtl w:val="true"/>
          <w:lang w:bidi="fa-IR"/>
        </w:rPr>
        <w:t xml:space="preserve">والتهذیب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عن ابن رئاب،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أفتی الناس بغیر علم ولا هدی من اللّه لعنته ملائکة الرحمة و ملائکة العذاب، و لحقه وزر من یعمل </w:t>
      </w:r>
      <w:r>
        <w:rPr>
          <w:rStyle w:val="FootnoteAnchor"/>
          <w:rtl w:val="true"/>
        </w:rPr>
        <w:footnoteReference w:id="696"/>
      </w:r>
      <w:r>
        <w:rPr>
          <w:rFonts w:ascii="IRNazanin" w:hAnsi="IRNazanin" w:eastAsia="IRNazanin"/>
          <w:color w:val="111111"/>
          <w:sz w:val="28"/>
          <w:sz w:val="28"/>
          <w:szCs w:val="28"/>
          <w:rtl w:val="true"/>
          <w:lang w:bidi="fa-IR"/>
        </w:rPr>
        <w:t xml:space="preserve">بفتیاه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أللهمّ إنّی أعوذ بک من شرّ الشیطان و جنوده، و غلبة الهوی و مقتضیاته، بحقّ محمّد وآله کُمَّل خلیقته ـ علیه وعلیهم صلوات اللّه وسلامه إلی بقاء أرضه وسمائه</w:t>
      </w:r>
      <w:r>
        <w:rPr>
          <w:rFonts w:eastAsia="IRNazanin" w:cs="IRNazanin"/>
          <w:color w:val="111111"/>
          <w:sz w:val="28"/>
          <w:szCs w:val="28"/>
          <w:rtl w:val="true"/>
          <w:lang w:bidi="fa-IR"/>
        </w:rPr>
        <w:t>.</w:t>
      </w:r>
    </w:p>
    <w:p>
      <w:pPr>
        <w:pStyle w:val="Heading4"/>
        <w:numPr>
          <w:ilvl w:val="3"/>
          <w:numId w:val="1"/>
        </w:numPr>
        <w:rPr/>
      </w:pPr>
      <w:bookmarkStart w:id="211" w:name="__RefHeading___Toc594169_2281741623"/>
      <w:bookmarkStart w:id="212" w:name="_Toc75"/>
      <w:bookmarkEnd w:id="211"/>
      <w:r>
        <w:rPr>
          <w:rtl w:val="true"/>
        </w:rPr>
        <w:t xml:space="preserve">ومنها قوله </w:t>
      </w:r>
      <w:r>
        <w:rPr>
          <w:rtl w:val="true"/>
        </w:rPr>
        <w:t xml:space="preserve">: </w:t>
      </w:r>
      <w:r>
        <w:rPr>
          <w:rtl w:val="true"/>
        </w:rPr>
        <w:t>وإلی هذا ذهب السیّد السند الأجلّ المرتضی، إلخ</w:t>
      </w:r>
      <w:bookmarkEnd w:id="212"/>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الفصل الرابع، بعد الحکم بأنّ التسلیم المحلِّل هو السلام علیکم لا السلام علینا،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هذا ذهب السیّد السند الأجلّ المرتضی، و قال أبوالصلاح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نراه نحن أنّه لا یخرج من الصلوة إلاّ بأحد التسلیمتین، إمّا السلام علینا، وإمّا السلام علیکم، و بأیّهما بدء کان خارجًا من الصلوة، لقوله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وتحلیلها التسلیم، و هو صادق علیهما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أغرب الغرائب و أعجب العجائب الّتی صدرت من شقیقنا المکرَّم </w:t>
      </w:r>
    </w:p>
    <w:p>
      <w:pPr>
        <w:pStyle w:val="BookText"/>
        <w:rPr/>
      </w:pPr>
      <w:r>
        <w:rPr>
          <w:rFonts w:ascii="Amiri" w:hAnsi="Amiri" w:eastAsia="Amiri" w:cs="Amiri"/>
          <w:color w:val="111111"/>
          <w:sz w:val="28"/>
          <w:sz w:val="28"/>
          <w:szCs w:val="28"/>
          <w:rtl w:val="true"/>
          <w:lang w:bidi="ar-SA"/>
        </w:rPr>
        <w:t xml:space="preserve">ـ دام ظلّه </w:t>
      </w:r>
      <w:r>
        <w:rPr>
          <w:rStyle w:val="FootnoteAnchor"/>
          <w:rtl w:val="true"/>
        </w:rPr>
        <w:footnoteReference w:id="698"/>
      </w:r>
      <w:r>
        <w:rPr>
          <w:rFonts w:ascii="IRNazanin" w:hAnsi="IRNazanin" w:eastAsia="IRNazanin"/>
          <w:color w:val="111111"/>
          <w:sz w:val="28"/>
          <w:sz w:val="28"/>
          <w:szCs w:val="28"/>
          <w:rtl w:val="true"/>
          <w:lang w:bidi="fa-IR"/>
        </w:rPr>
        <w:t xml:space="preserve">ـ حیث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نراه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من کلام أبی الصلاح، وهو مخالف للواقع کما ستقف علی حقیقة الحال فی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699"/>
      </w:r>
      <w:r>
        <w:rPr>
          <w:rFonts w:ascii="IRNazanin" w:hAnsi="IRNazanin" w:eastAsia="IRNazanin"/>
          <w:color w:val="111111"/>
          <w:sz w:val="28"/>
          <w:sz w:val="28"/>
          <w:szCs w:val="28"/>
          <w:rtl w:val="true"/>
          <w:lang w:bidi="fa-IR"/>
        </w:rPr>
        <w:t xml:space="preserve">علی تقدیر صحّة الحکایة یکون مقتضاها أنّ أبا الصلاح یقول بالتخییر بین الصیغتین، مع أنّه سیذکر فیما بعد ذلک بقلیل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بالتخییر هو الّذی قال به أکثر المتأخّرین، و حکی عن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قائل به من القدماء، مع حکایته ذلک عن أبی الصلاح و هو من أجلّة القدماء، و هو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وأعجب منه أنّه حکی بأسطر قلیلة القول بتعیّن السلام علیکم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صاحبنا المکرَّم ـ أطال اللّه تعالی بقائه ـ فی هذا الإختلاف یشبه بحال من ینقل النقوش من الکتب من غیر تدبّر فی معناه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الکلام الّذی حکاه عن أبی الصلاح هو کلام المحقّق فی المعتبر </w:t>
      </w:r>
      <w:r>
        <w:rPr>
          <w:rStyle w:val="FootnoteAnchor"/>
          <w:rtl w:val="true"/>
        </w:rPr>
        <w:footnoteReference w:id="700"/>
      </w:r>
      <w:r>
        <w:rPr>
          <w:rFonts w:ascii="IRNazanin" w:hAnsi="IRNazanin" w:eastAsia="IRNazanin"/>
          <w:color w:val="111111"/>
          <w:sz w:val="28"/>
          <w:sz w:val="28"/>
          <w:szCs w:val="28"/>
          <w:rtl w:val="true"/>
          <w:lang w:bidi="fa-IR"/>
        </w:rPr>
        <w:t xml:space="preserve">، والموقع له فی هذه الورطة ملاحظة کلام شیخنا الشهید ـ قدّس اللّه روحه ـ فی الذکری من غیر أن یصل إلی فهم معناه، و إن شئت أن تطّلع علی حقیقة الحال فاستمع لما أتلو علیک من کلام المحقّق فی المعتبر علی ما لخّصه شیخنا الشهید فی الذکری،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المحقّق نجم الدین بن سعید فی المعتبر ما خلاصته مع حسنه بأجمعه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علی وجوبه مواظبة النبیّ صلی‌الله‌علیه‌و‌آله ، واقتصاره علی الخروج </w:t>
      </w:r>
      <w:r>
        <w:rPr>
          <w:rStyle w:val="FootnoteAnchor"/>
          <w:rtl w:val="true"/>
        </w:rPr>
        <w:footnoteReference w:id="701"/>
      </w:r>
      <w:r>
        <w:rPr>
          <w:rFonts w:ascii="IRNazanin" w:hAnsi="IRNazanin" w:eastAsia="IRNazanin"/>
          <w:color w:val="111111"/>
          <w:sz w:val="28"/>
          <w:sz w:val="28"/>
          <w:szCs w:val="28"/>
          <w:rtl w:val="true"/>
          <w:lang w:bidi="fa-IR"/>
        </w:rPr>
        <w:t>من الصلوة علیه، و ذلک إمتثال للأمر المطلق فیکون بیانًا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أن قال ـ حاکیًا عن المعتبر </w:t>
      </w:r>
      <w:r>
        <w:rPr>
          <w:rStyle w:val="FootnoteAnchor"/>
          <w:rtl w:val="true"/>
        </w:rPr>
        <w:footnoteReference w:id="70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الأصحاب، فظاهر کلام المفید أنّ آخر الصلوة الصلوة علی النبیّ وآله علیهم‌السلام ، فلو أحدث بعد ذلک لم تبطل، و الشیخ فی المبسوط یوجب السلام علینا و علی عباد اللّه الصالحین، ویجعله آخر الصلوة، ویشیر بالإستحباب إلی قول </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ورحمة اللّه وبرکاته، ومنهم من عیّن السلام علیکم ورحمة اللّه للخروج، وهو المرتضی وأبو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نراه نحن أنّه لایخرج من الصلوة إلاّ بأحد التسلیمین، إمّا السلام علیکم، أو السلام علینا وعلی عباد اللّه الصالحین، و بأیّهما بدء کان خارجًا من الصلوة، لقوله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وتحلیلها التسلیم، و هو صادق علیهما، إلخ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عیّن 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کلام المحقّق، وأبوالصلاح فیه عطف علی المرتضی، والمراد انّ من عیّن السلام علیکم للخروج هو المرتضی و أبو الصلاح ؛ و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شیخنا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نراه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من کلام المحقّق، أی قال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نراه نحن أنّه لا یخرج من الصلوة، إلخ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شقیقنا المکرَّم ـ دام ظلّه ـ لمّا لم یصل إلی درک المراد مع ظهوره، جعل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المذکور مبتدأ،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ثمّ تصرّف فی العبارة ـ إظهارًا للفضیلة ـ فقدّم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bookmarkStart w:id="213" w:name="pg3709_22179"/>
    </w:p>
    <w:p>
      <w:pPr>
        <w:pStyle w:val="BookText"/>
        <w:rPr/>
      </w:pPr>
      <w:bookmarkEnd w:id="213"/>
      <w:r>
        <w:rPr>
          <w:rFonts w:ascii="IRNazanin" w:hAnsi="IRNazanin" w:eastAsia="IRNazanin"/>
          <w:color w:val="111111"/>
          <w:sz w:val="28"/>
          <w:sz w:val="28"/>
          <w:szCs w:val="28"/>
          <w:rtl w:val="true"/>
          <w:lang w:bidi="fa-IR"/>
        </w:rPr>
        <w:t xml:space="preserve">من مقوله، فوقع فیما لو تخیّله فی المنام یهجر عن جفنه النوم إلی یوم القیام، وتمنّی أن لا یصدر منه إلاّ الإذعان بحقّیّة المرام ولم یدر حول مباشرة التألیف تحاشیًا عن اذاعة الحال و احترازًا عن ظهور شناعة المقال، لکنّ اللّه تعالی یحقّ الحقّ و یزهق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البَاطِلَ کَانَ زَهُوقًا </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تنبیهٌ</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الموجود فی الذکری و کذا فی المعتبر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لا یخرج من الصلوة إلاّ بأحد التسلیمین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ومخدومنا المکرَّم غیّر التسلیمین بالتسلیمتین، و أبقی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حاله، و لم یتنبّه أنّ المناسب بالتسلیمتین تبدیل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البین </w:t>
      </w:r>
      <w:r>
        <w:rPr>
          <w:rFonts w:eastAsia="IRNazanin" w:cs="IRNazanin"/>
          <w:color w:val="111111"/>
          <w:sz w:val="28"/>
          <w:szCs w:val="28"/>
          <w:rtl w:val="true"/>
          <w:lang w:bidi="fa-IR"/>
        </w:rPr>
        <w:t>.</w:t>
      </w:r>
    </w:p>
    <w:p>
      <w:pPr>
        <w:pStyle w:val="Heading4"/>
        <w:numPr>
          <w:ilvl w:val="3"/>
          <w:numId w:val="1"/>
        </w:numPr>
        <w:rPr/>
      </w:pPr>
      <w:bookmarkStart w:id="214" w:name="__RefHeading___Toc594171_2281741623"/>
      <w:bookmarkStart w:id="215" w:name="_Toc76"/>
      <w:bookmarkEnd w:id="214"/>
      <w:r>
        <w:rPr>
          <w:rtl w:val="true"/>
        </w:rPr>
        <w:t xml:space="preserve">ومنها قوله </w:t>
      </w:r>
      <w:r>
        <w:rPr>
          <w:rtl w:val="true"/>
        </w:rPr>
        <w:t xml:space="preserve">: </w:t>
      </w:r>
      <w:r>
        <w:rPr>
          <w:rtl w:val="true"/>
        </w:rPr>
        <w:t>ونقل الصدوق أنّ وجوب التسلیم من دین الإمامیّة، إلخ</w:t>
      </w:r>
      <w:bookmarkEnd w:id="215"/>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الفصل الخامس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الصدوق أنّ وجوب التسلیم من دین الإمامیّة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أیضًا مخالف للواقع، لأنّه إن کان المراد منه کلامه فی المجالس، فقد عرفت أنّ غایة ما یستفاد منه فی مقام ذکر ما ثبت فی دین الإمامیّة ثبوت أصل التسلیم فی الصلوة وإجزاؤه مرّة واحدة وعدم تکراره، ولادلالة فیه علی‌الوجوب أصلاً، و لهذا لم ینسب إلیه أحد من العلماء القول بالوجوب فیه علی ما عرفت ممّا فصّلنا </w:t>
      </w:r>
      <w:r>
        <w:rPr>
          <w:rStyle w:val="FootnoteAnchor"/>
          <w:rtl w:val="true"/>
        </w:rPr>
        <w:footnoteReference w:id="706"/>
      </w:r>
      <w:r>
        <w:rPr>
          <w:rFonts w:ascii="IRNazanin" w:hAnsi="IRNazanin" w:eastAsia="IRNazanin"/>
          <w:color w:val="111111"/>
          <w:sz w:val="28"/>
          <w:sz w:val="28"/>
          <w:szCs w:val="28"/>
          <w:rtl w:val="true"/>
          <w:lang w:bidi="fa-IR"/>
        </w:rPr>
        <w:t xml:space="preserve">المقال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المراد غیره، فلیأت به إن کان من الصادقین</w:t>
      </w:r>
      <w:r>
        <w:rPr>
          <w:rFonts w:eastAsia="IRNazanin" w:cs="IRNazanin"/>
          <w:color w:val="111111"/>
          <w:sz w:val="28"/>
          <w:szCs w:val="28"/>
          <w:rtl w:val="true"/>
          <w:lang w:bidi="fa-IR"/>
        </w:rPr>
        <w:t xml:space="preserve">. </w:t>
      </w:r>
      <w:bookmarkStart w:id="216" w:name="pg3709_22180"/>
    </w:p>
    <w:p>
      <w:pPr>
        <w:pStyle w:val="BookText"/>
        <w:rPr/>
      </w:pPr>
      <w:bookmarkEnd w:id="216"/>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شقیقنا المکرَّم ـ دام ظلّه ـ تارةً ینقل عن الصدوق أنّه ادّعی أنّ القول بوجوب التسلیم من ضروریّات المذهب، و أخری ینقل عنه أنّه نقل أنّ وجوب التسلیم من دین الإمامیّة، و کلاهما خلاف الواقع، و قد أوضحناه بما لامزید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لنمسک عنان القلم فی إبراز ما صدر منه فی الرسالة، فانّه أکثر من أن یحصی، ولعلّنا نتعرّض لجملة منها فی المقام الثالث إن ساعدنی المجال و إن کان الأوقات أشرف من أن تصرف فی أمثال هذه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العجائب أنّه ذکر فی أوّل رسالته أنّه أراد أن یکون تلک الرسالة ذخیرة له یوم الحشر والمعاد، و مع ذلک أورد فیها ما أوجب المؤاخذة الشدیدة فی یوم التناد کما عرفت، وکأنّه نسی ما ذکره أوَّلاً، لأنّ الإنسان محلّ النسیان </w:t>
      </w:r>
      <w:r>
        <w:rPr>
          <w:rFonts w:eastAsia="IRNazanin" w:cs="IRNazanin"/>
          <w:color w:val="111111"/>
          <w:sz w:val="28"/>
          <w:szCs w:val="28"/>
          <w:rtl w:val="true"/>
          <w:lang w:bidi="fa-IR"/>
        </w:rPr>
        <w:t>.</w:t>
      </w:r>
    </w:p>
    <w:p>
      <w:pPr>
        <w:pStyle w:val="Heading4"/>
        <w:numPr>
          <w:ilvl w:val="3"/>
          <w:numId w:val="1"/>
        </w:numPr>
        <w:rPr/>
      </w:pPr>
      <w:bookmarkStart w:id="217" w:name="__RefHeading___Toc594173_2281741623"/>
      <w:bookmarkStart w:id="218" w:name="_Toc77"/>
      <w:bookmarkEnd w:id="217"/>
      <w:r>
        <w:rPr>
          <w:rtl w:val="true"/>
        </w:rPr>
        <w:t>غرض المصنّف قدس‌سره من التعرّض لشنائع ما ذکره</w:t>
      </w:r>
      <w:bookmarkEnd w:id="21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إعلموا یا إخوانی فی الدین و أخلاّئی بالیقین ـ أذاقکم اللّه تعالی حلاوة البصیرة فی الدین و حشرکم مع أُمَنائه الأطیبین الأکرمین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شقیقنا المکرَّم لمّا أرسل رسالته إلیّ، أرسلت رسالتی إلیه، ثمّ لاحظت رسالته وجدتها مع عدم ربطها سوی قلیل منها بما کنّا بصدد بیانه مشتملة علی تلک الشنایع الفاحشة والفضایح الردیّة، فظهر لی أنّه علی خلاف ما کنت أعتقد فی حقّه فیما قبل، وتبیّن أنّه لا یَد له فی هذا الفنّ، بل لا رَبط له فی أکثر مبانیه و مدارکه، و تیقّنتُ أنّ تصرّفه فی المسائل جرءة فی الدین موجبة لمؤاخذة یوم الدین، لکن تأمّلتُ حتّی یتبیّن لی حاله بعد ملاحظة الرسالة هل یترک اصراره فیما کان اعتقاده فی المسئلة ویرجع </w:t>
      </w:r>
    </w:p>
    <w:p>
      <w:pPr>
        <w:pStyle w:val="BookText"/>
        <w:rPr/>
      </w:pPr>
      <w:r>
        <w:rPr>
          <w:rFonts w:ascii="IRNazanin" w:hAnsi="IRNazanin" w:eastAsia="IRNazanin"/>
          <w:color w:val="111111"/>
          <w:sz w:val="28"/>
          <w:sz w:val="28"/>
          <w:szCs w:val="28"/>
          <w:rtl w:val="true"/>
          <w:lang w:bidi="fa-IR"/>
        </w:rPr>
        <w:t>إلی الحقّ فیها أو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ظنّی أنّه بعد الملاحظة لم یبق إلاّ أنّه یعدل عن معتقده، ویعترف بفساده، ولایرتاب فی حقّیّة خلافه لما کنتُ بإعانة اللّه تعالی وتوفیقه وارشاده بیّنتُ الأمر فیها بإتقان وإحکام لو اطّلع علیها مَن له أدنی ید فی العلوم یعترف بحقّیّة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تبیّن أنّها لم تثمر فی إعتقاده، بل حکی أنّه أخذ فی الردّ علیها، لکنّی لِمَا فیها من الإتقان والإحکام بإرشاد اللّه الملک العلاّم و ببرکات أجدادی العظام الفخام کنتُ عالمًا بأنّ مَن فتح علیها </w:t>
      </w:r>
      <w:r>
        <w:rPr>
          <w:rStyle w:val="FootnoteAnchor"/>
          <w:rtl w:val="true"/>
        </w:rPr>
        <w:footnoteReference w:id="707"/>
      </w:r>
      <w:r>
        <w:rPr>
          <w:rFonts w:ascii="Amiri" w:hAnsi="Amiri" w:eastAsia="Amiri" w:cs="Amiri"/>
          <w:color w:val="111111"/>
          <w:sz w:val="28"/>
          <w:sz w:val="28"/>
          <w:szCs w:val="28"/>
          <w:rtl w:val="true"/>
          <w:lang w:bidi="ar-SA"/>
        </w:rPr>
        <w:t xml:space="preserve">بابًا من الردّ یفتح علی نفسه أبوابًا مِن الطعن، ومَن ألقی علیها سترًا مِن الجفا رفع عن عیبه أنواعًا مِن الغطاء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لمّا وصل الردّ إلیّ، علمتُ أنّه لم یزدها إلاّ حسنًا و سدادًا، و تیقّنتُ أنّه لم یوجب لها إلاّ بهاءً و رواجًا لما هو المعروف من أنّ بالأضداد یعرف الأشیاء، فرأیته مشتملاً علی الفضایح العجیبة و متضمّنًا للشنایع الغریبة الّتی لا یکاد یصدر ممّن له أدنی ذکاء و فطنة، فضلاً عمّن کان معدودًا من جملة العلماء الأجلّة، فعند ملاحظتها تعجّبتُ </w:t>
      </w:r>
      <w:r>
        <w:rPr>
          <w:rStyle w:val="FootnoteAnchor"/>
          <w:rtl w:val="true"/>
        </w:rPr>
        <w:footnoteReference w:id="708"/>
      </w:r>
      <w:r>
        <w:rPr>
          <w:rFonts w:ascii="IRNazanin" w:hAnsi="IRNazanin" w:eastAsia="IRNazanin"/>
          <w:color w:val="111111"/>
          <w:sz w:val="28"/>
          <w:sz w:val="28"/>
          <w:szCs w:val="28"/>
          <w:rtl w:val="true"/>
          <w:lang w:bidi="fa-IR"/>
        </w:rPr>
        <w:t>مِن أنّه کیف یمکن أن یرتضی العاقل الکامل من أن یصدر منه ما لو رأته عین الإنصاف لم یلق إلیه إلاّ انّه آفل آفل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ذلک ضاق خلقی، ولدی مشاهدته حار نفسی، فهیّأنا مجلسًا للمباحثة وکان فیه جمع من الأخیار والثقات والأجلّة، ثمّ لمّا أبرزنا له نبذة من الإشتباهات الصادرة، و أظهرنا ضعف جملة من الإیرادات الّتی أوردها علی الرسالة، لم ینته </w:t>
      </w:r>
    </w:p>
    <w:p>
      <w:pPr>
        <w:pStyle w:val="BookText"/>
        <w:rPr/>
      </w:pPr>
      <w:r>
        <w:rPr>
          <w:rFonts w:ascii="IRNazanin" w:hAnsi="IRNazanin" w:eastAsia="IRNazanin"/>
          <w:color w:val="111111"/>
          <w:sz w:val="28"/>
          <w:sz w:val="28"/>
          <w:szCs w:val="28"/>
          <w:rtl w:val="true"/>
          <w:lang w:bidi="fa-IR"/>
        </w:rPr>
        <w:t xml:space="preserve">الأمر إلاّ إلی الإذعان والإعتراف بعد المباحثة إلاّ فی بعض الأدلّة الّذی حاول بیانه فی الأزمنة الآتیة کما ستقف علی تفصیل ذلک فی المباحث الآتیة، فعند ذلک سددت لسانی عن الکلام، و عقدت منطقی عن الملام إعتقادًا منّی أنّ شقیقنا المکرَّم ـ دام ظلّه </w:t>
      </w:r>
      <w:r>
        <w:rPr>
          <w:rStyle w:val="FootnoteAnchor"/>
          <w:rtl w:val="true"/>
        </w:rPr>
        <w:footnoteReference w:id="709"/>
      </w:r>
      <w:r>
        <w:rPr>
          <w:rFonts w:ascii="IRNazanin" w:hAnsi="IRNazanin" w:eastAsia="IRNazanin"/>
          <w:color w:val="111111"/>
          <w:sz w:val="28"/>
          <w:sz w:val="28"/>
          <w:szCs w:val="28"/>
          <w:rtl w:val="true"/>
          <w:lang w:bidi="fa-IR"/>
        </w:rPr>
        <w:t>ـ وصل إلی حقیقة الحال، و عثر بضعف ما صدر منه من القیل والقال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710"/>
      </w:r>
      <w:r>
        <w:rPr>
          <w:rFonts w:ascii="IRNazanin" w:hAnsi="IRNazanin" w:eastAsia="IRNazanin"/>
          <w:color w:val="111111"/>
          <w:sz w:val="28"/>
          <w:sz w:val="28"/>
          <w:szCs w:val="28"/>
          <w:rtl w:val="true"/>
          <w:lang w:bidi="fa-IR"/>
        </w:rPr>
        <w:t xml:space="preserve">بعد أن انقضی قلیل من زمان المباحثة، بلغ إلیّ من بعض الإخوان أنّ شقیقنا المکرَّم أخذ فی الإصرار فی المسئلة علی النحو الّذی کان یقول بها فیما قبل، و ینکر إذعانه، و یضعّف ما ذکره فی الرسالة و غیره، لکنّی ما کنتُ احتمل الوقوع لما اعتقدتُ فیه من التقوی والورع العایقین لإبراز خلاف الواقع، إلی أن تکرّرت منه هذه الحکایة، و تخلّل فصل طویل بسنة و أشهر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حکی لی بعض الثقات انّه فی لیلة من اللیالی فی محضر جمع من الأکابر والأعالی بعد أن جری ذکر المسئلة، تمسّک بذیل الإنکار بالإعتراف فی تلک اللیلة، بل أبرز غلبته علینا عند المباحثة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حکایتی فی ذلک المجلس حکایة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 من بعض إلی بعض علماء الأجلّة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أخذ فی تفصیل تلک الحکایة ؛ حاصل تلک الحکایة علی ما اشتهر فی الألسنة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اتّفق لبعض أکابر العلماء المرور ببعض القُری حال المسافرة، وکان فی تلک القریة رجل شغله تعلیم الأطفال، و قال لأهل تلک القریة فی مقام إظهار فضیلته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أرید المباحثة مع ذلک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إلیه مع جمع من أهل تلک القریة ولمّا وصل إلی العالم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مسئلة بَیِّنها لی، فقال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219" w:name="pg3709_22183"/>
    </w:p>
    <w:p>
      <w:pPr>
        <w:pStyle w:val="BookText"/>
        <w:rPr/>
      </w:pPr>
      <w:bookmarkEnd w:id="219"/>
      <w:r>
        <w:rPr>
          <w:rFonts w:ascii="IRNazanin" w:hAnsi="IRNazanin" w:eastAsia="IRNazanin"/>
          <w:color w:val="111111"/>
          <w:sz w:val="28"/>
          <w:sz w:val="28"/>
          <w:szCs w:val="28"/>
          <w:rtl w:val="true"/>
          <w:lang w:bidi="fa-IR"/>
        </w:rPr>
        <w:t>معنی لا أدری ؟ فقال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توجّه إلی أصحابه فرفع صوته بأنّه عجز عن جواب المسئلة، وصاح أهل القریة بأنّ عالمنا غلب ذلک العالم، فانّه عجز عن جواب مسئلته، وارتفع الضوضاء والنداء منهم فی ذلک، فرجعوا بالسرور والفرج إلی قریتهم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أیم اللّه لمّا سمعتُ منه هذه الحکایة، زاد تعجّبی فی ذلک جدًّا، و رجعتُ إلی نفسی و رأیتها أنّها تستحیی لابراز الواقع، فکیف یمکن لأحدٍ هذا الإصرار فی خلاف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إصراره فی ترویج الباطل موجبًا لتعرّضی فی إبراز شنایع ما ذکره بعد أن استخرتُ اللّه فی ذلک، لئلاّ یعتمد علی دعاویه المخالفة للواقع الجاهل</w:t>
      </w:r>
      <w:r>
        <w:rPr>
          <w:rFonts w:eastAsia="IRNazanin" w:cs="IRNazanin"/>
          <w:color w:val="111111"/>
          <w:sz w:val="28"/>
          <w:szCs w:val="28"/>
          <w:rtl w:val="true"/>
          <w:lang w:bidi="fa-IR"/>
        </w:rPr>
        <w:t>.</w:t>
      </w:r>
    </w:p>
    <w:p>
      <w:pPr>
        <w:pStyle w:val="Heading3"/>
        <w:numPr>
          <w:ilvl w:val="2"/>
          <w:numId w:val="1"/>
        </w:numPr>
        <w:rPr/>
      </w:pPr>
      <w:bookmarkStart w:id="220" w:name="__RefHeading___Toc594175_2281741623"/>
      <w:bookmarkStart w:id="221" w:name="_Toc78"/>
      <w:bookmarkEnd w:id="220"/>
      <w:r>
        <w:rPr>
          <w:rtl w:val="true"/>
        </w:rPr>
        <w:t>المقام الثانی</w:t>
      </w:r>
      <w:r>
        <w:rPr>
          <w:rtl w:val="true"/>
        </w:rPr>
        <w:t xml:space="preserve">: </w:t>
      </w:r>
      <w:r>
        <w:rPr>
          <w:rtl w:val="true"/>
        </w:rPr>
        <w:t>فیما أورده علی ما احتججنا به علی المرام و غیره</w:t>
      </w:r>
      <w:bookmarkEnd w:id="221"/>
    </w:p>
    <w:p>
      <w:pPr>
        <w:pStyle w:val="Heading4"/>
        <w:numPr>
          <w:ilvl w:val="3"/>
          <w:numId w:val="1"/>
        </w:numPr>
        <w:rPr/>
      </w:pPr>
      <w:bookmarkStart w:id="222" w:name="__RefHeading___Toc594177_2281741623"/>
      <w:bookmarkStart w:id="223" w:name="_Toc79"/>
      <w:bookmarkEnd w:id="222"/>
      <w:r>
        <w:rPr>
          <w:rtl w:val="true"/>
        </w:rPr>
        <w:t>اشارة</w:t>
      </w:r>
      <w:bookmarkEnd w:id="2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أورده علی ما احتججنا به علی المرام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أورده علی ما احتججنا به علی المرام و غیره ممّا یناسب </w:t>
      </w:r>
      <w:r>
        <w:rPr>
          <w:rStyle w:val="FootnoteAnchor"/>
          <w:rtl w:val="true"/>
        </w:rPr>
        <w:footnoteReference w:id="711"/>
      </w:r>
      <w:r>
        <w:rPr>
          <w:rFonts w:ascii="IRNazanin" w:hAnsi="IRNazanin" w:eastAsia="IRNazanin"/>
          <w:color w:val="111111"/>
          <w:sz w:val="28"/>
          <w:sz w:val="28"/>
          <w:szCs w:val="28"/>
          <w:rtl w:val="true"/>
          <w:lang w:bidi="fa-IR"/>
        </w:rPr>
        <w:t xml:space="preserve">هذا المقام،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ذکره بقوله </w:t>
      </w:r>
      <w:r>
        <w:rPr>
          <w:rFonts w:eastAsia="IRNazanin" w:cs="IRNazanin"/>
          <w:color w:val="111111"/>
          <w:sz w:val="28"/>
          <w:szCs w:val="28"/>
          <w:rtl w:val="true"/>
          <w:lang w:bidi="fa-IR"/>
        </w:rPr>
        <w:t>:</w:t>
      </w:r>
    </w:p>
    <w:p>
      <w:pPr>
        <w:pStyle w:val="Heading4"/>
        <w:numPr>
          <w:ilvl w:val="3"/>
          <w:numId w:val="1"/>
        </w:numPr>
        <w:rPr/>
      </w:pPr>
      <w:bookmarkStart w:id="224" w:name="__RefHeading___Toc594179_2281741623"/>
      <w:bookmarkStart w:id="225" w:name="_Toc80"/>
      <w:bookmarkEnd w:id="224"/>
      <w:r>
        <w:rPr>
          <w:rtl w:val="true"/>
        </w:rPr>
        <w:t xml:space="preserve">منها قوله </w:t>
      </w:r>
      <w:r>
        <w:rPr>
          <w:rtl w:val="true"/>
        </w:rPr>
        <w:t xml:space="preserve">: </w:t>
      </w:r>
      <w:r>
        <w:rPr>
          <w:rtl w:val="true"/>
        </w:rPr>
        <w:t>أقول</w:t>
      </w:r>
      <w:r>
        <w:rPr>
          <w:rtl w:val="true"/>
        </w:rPr>
        <w:t xml:space="preserve">: </w:t>
      </w:r>
      <w:r>
        <w:rPr>
          <w:rtl w:val="true"/>
        </w:rPr>
        <w:t>هذه الروایات الثلاث تدلّ علی أنّه إذا أتی، إلخ</w:t>
      </w:r>
      <w:bookmarkEnd w:id="22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الروایات الثلاث تدلّ علی أنّه إذا أتی المصلّی بتلک الصیغة فقد خرج من الصلوة و أتی بالتسلیم ، و لکن لا یلزم من هذا أن یکون تلک الصیغة مندرجًا تحت إطلاق التسلیم بحیث إذا أطلق التسلیم یتبادر منه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ألیس قد ورد من ساداتنا وموالینا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الفقّاع خمر مجهول، والفقّاع خمر إستصغره الناس </w:t>
      </w:r>
      <w:r>
        <w:rPr>
          <w:rStyle w:val="FootnoteAnchor"/>
          <w:rtl w:val="true"/>
        </w:rPr>
        <w:footnoteReference w:id="712"/>
      </w:r>
      <w:r>
        <w:rPr>
          <w:rFonts w:ascii="IRNazanin" w:hAnsi="IRNazanin" w:eastAsia="IRNazanin"/>
          <w:color w:val="111111"/>
          <w:sz w:val="28"/>
          <w:sz w:val="28"/>
          <w:szCs w:val="28"/>
          <w:rtl w:val="true"/>
          <w:lang w:bidi="fa-IR"/>
        </w:rPr>
        <w:t xml:space="preserve">، ومع ذلک لایلزم إندراج الفقّاع تحت إطلاق الخمر، ونحن نعلم قطعًا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علیکم الخمر، لا یتبادر تناول الفقّاع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قد ورد عنهم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أدرک رکعة فی الوقت فقد أدرک الصلوة </w:t>
      </w:r>
      <w:r>
        <w:rPr>
          <w:rStyle w:val="FootnoteAnchor"/>
          <w:rtl w:val="true"/>
        </w:rPr>
        <w:footnoteReference w:id="713"/>
      </w:r>
      <w:r>
        <w:rPr>
          <w:rFonts w:ascii="IRNazanin" w:hAnsi="IRNazanin" w:eastAsia="IRNazanin"/>
          <w:color w:val="111111"/>
          <w:sz w:val="28"/>
          <w:sz w:val="28"/>
          <w:szCs w:val="28"/>
          <w:rtl w:val="true"/>
          <w:lang w:bidi="fa-IR"/>
        </w:rPr>
        <w:t xml:space="preserve">، ولایتبادر تلک الصلوة الخارجة عن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الإطلاق </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 وکذا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أدرک المشعر فقد أدرک الحجّ </w:t>
      </w:r>
      <w:r>
        <w:rPr>
          <w:rStyle w:val="FootnoteAnchor"/>
          <w:rtl w:val="true"/>
        </w:rPr>
        <w:footnoteReference w:id="715"/>
      </w:r>
      <w:r>
        <w:rPr>
          <w:rFonts w:ascii="IRNazanin" w:hAnsi="IRNazanin" w:eastAsia="IRNazanin"/>
          <w:color w:val="111111"/>
          <w:sz w:val="28"/>
          <w:sz w:val="28"/>
          <w:szCs w:val="28"/>
          <w:rtl w:val="true"/>
          <w:lang w:bidi="fa-IR"/>
        </w:rPr>
        <w:t xml:space="preserve">، و کذا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أحد الطهورین </w:t>
      </w:r>
      <w:r>
        <w:rPr>
          <w:rStyle w:val="FootnoteAnchor"/>
          <w:rtl w:val="true"/>
        </w:rPr>
        <w:footnoteReference w:id="716"/>
      </w:r>
      <w:r>
        <w:rPr>
          <w:rFonts w:ascii="IRNazanin" w:hAnsi="IRNazanin" w:eastAsia="IRNazanin"/>
          <w:color w:val="111111"/>
          <w:sz w:val="28"/>
          <w:sz w:val="28"/>
          <w:szCs w:val="28"/>
          <w:rtl w:val="true"/>
          <w:lang w:bidi="fa-IR"/>
        </w:rPr>
        <w:t xml:space="preserve">، و کذا ورد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شهرًا ویومًا فقد صام شهرین متتابعین </w:t>
      </w:r>
      <w:r>
        <w:rPr>
          <w:rStyle w:val="FootnoteAnchor"/>
          <w:rtl w:val="true"/>
        </w:rPr>
        <w:footnoteReference w:id="717"/>
      </w:r>
      <w:r>
        <w:rPr>
          <w:rFonts w:ascii="IRNazanin" w:hAnsi="IRNazanin" w:eastAsia="IRNazanin"/>
          <w:color w:val="111111"/>
          <w:sz w:val="28"/>
          <w:sz w:val="28"/>
          <w:szCs w:val="28"/>
          <w:rtl w:val="true"/>
          <w:lang w:bidi="fa-IR"/>
        </w:rPr>
        <w:t xml:space="preserve">، والحال أنّه لا یتبادر منه ذلک </w:t>
      </w:r>
      <w:r>
        <w:rPr>
          <w:rStyle w:val="FootnoteAnchor"/>
          <w:rtl w:val="true"/>
        </w:rPr>
        <w:footnoteReference w:id="718"/>
      </w:r>
      <w:r>
        <w:rPr>
          <w:rFonts w:ascii="IRNazanin" w:hAnsi="IRNazanin" w:eastAsia="IRNazanin"/>
          <w:color w:val="111111"/>
          <w:sz w:val="28"/>
          <w:sz w:val="28"/>
          <w:szCs w:val="28"/>
          <w:rtl w:val="true"/>
          <w:lang w:bidi="fa-IR"/>
        </w:rPr>
        <w:t xml:space="preserve">، ولم یرد عنهم علیهم‌السلام فی النافلة إلاّ الإتیان بالتسلیمة أو تسلیمة واحدة، وتلک عند الإطلاق لایتبادر منه إلاّ التسلیم الشائع الذائع المتبادر، و هو التسلیم الذایع بین الناس وکان إبتداء کلامهم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نحن لا ننازع فی أنّه لو أتی بالصیغة الأخری فقد انصرف من الصلوة، لأنّ تلک الصیغة مفسدة للعبادة، کما هو صریح الروایة الآتیة، والسیّد ـ دام ظلّه ـ معترف بأنّ‌التسلیم یتبادر منه التسلیم الشائع بین‌المخلوقین، </w:t>
      </w:r>
    </w:p>
    <w:p>
      <w:pPr>
        <w:pStyle w:val="BookText"/>
        <w:rPr/>
      </w:pPr>
      <w:r>
        <w:rPr>
          <w:rFonts w:ascii="IRNazanin" w:hAnsi="IRNazanin" w:eastAsia="IRNazanin"/>
          <w:color w:val="111111"/>
          <w:sz w:val="28"/>
          <w:sz w:val="28"/>
          <w:szCs w:val="28"/>
          <w:rtl w:val="true"/>
          <w:lang w:bidi="fa-IR"/>
        </w:rPr>
        <w:t>فالحدیث النبویّ الّذی استدلّ به لا یضرّنا، وتلک الأحادیث الّتی استشهد بها لإدراج تلک الصیغة تحت إطلاق التسلیم لاینفعه، فقد ظهر ضعف الأساس وانهدام السقف والبنیان، إنتهی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حال صدیقنا المکرَّم ـ دام ظلّه ـ یشبه بحال من یعجبه تکثیر السواد ولو أوجب ذلک رفع وقعه بین العلماء الأوتاد و مؤاخذة خالق الأرضین والسموات یوم التناد، أو بحال من یکتب فی علم من غیر بصیرة فیه ولا اطّلاع بمبانیه، فیدخل فی حیّز التحریر کلّ ما یخطر بالبال و إن لم یکن له دخل بالمقال، إقتصارًا علی ما سمع من أفواه الرجال أو رأی فی کتب علمائنا الأخیار من غیر علم بحقیقة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هذا الإجمال یستدعی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الکلام یوجب توجّه المؤاخذة إلیه من وجوه،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ممّا نتلو علیک،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استدللنا لجواز الإقتصار فی تسلیم النوافل بکلٍّ من السلام علینا و علی عباد اللّه الصالحین والسلام علیکم و رحمة اللّه بالنبویّ المشهور و هو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تحلیلها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أوردنا علی الإستدلال المذکور إحکامًا للمطلب واتقانًا للمقصد إیرادین، حیث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الإیراد علیه من وجهین،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الحدیث المذکور مرویّ من طرق العامّة و لم یوجد مسندًا فی طرقنا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لفظ التسلیم وإن کان مطلقًا، لکن التمسّک بالمطلقات فی أفرادها مشروط بتواطئها، وهو مفقود فیما نحن فیه،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الإیراد الأوّل بالإضافة إلی سند الحدیث، والثانی بالإضافة إلی دلالته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تصدّینا للجواب عن الأوّل 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الجواب عن الأوّل، إلی أن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w:t>
      </w:r>
    </w:p>
    <w:p>
      <w:pPr>
        <w:pStyle w:val="BookText"/>
        <w:rPr/>
      </w:pPr>
      <w:r>
        <w:rPr>
          <w:rFonts w:ascii="IRNazanin" w:hAnsi="IRNazanin" w:eastAsia="IRNazanin"/>
          <w:color w:val="111111"/>
          <w:sz w:val="28"/>
          <w:sz w:val="28"/>
          <w:szCs w:val="28"/>
          <w:rtl w:val="true"/>
          <w:lang w:bidi="fa-IR"/>
        </w:rPr>
        <w:t xml:space="preserve">وجدناها فی طرقنا بأسانید متعدّدة، إلی آخر ما حکاه شقیقنا المکرَّم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لمّا لم یخطر بباله فی مقابلة الجواب عن الإیراد المذکور و لم یرض لنفسه أن یعترف بالعجز و القصور، تصدّی للإیراد علی الجواب الّذی أجبنا به عن الإیراد الثانی فی الجواب عن الإیراد الأوّل، و هو من عجائب الأمور، مع أنّه سیعنون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الجواب عن الإیراد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یورد علیه بما یتّحد مع ما ذکره هنا فی المآل، کما ستقف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یظهر الوجه فی ذلک إلاّ أن یکون مراده تکثیر السواد و إن أوجب ذلک أنواع اللوم و العتاب، مع أنّه یمکن له أن یقول فی مقام الإیراد علی الجواب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ذکر الأسانید المذکورة لا تجدی فیما نحن فیه، أمّا سند الکافی فلضعفه، والسند الضعیف حکمه حکم الإرسال من جهة عدم الحجّیّة، و أمّا سند العیون فإنّه و إن کان مقبولاً علی ما فصّلنا الحال فی ذلک، لکنّه کلام مولانا الرضا ـ علیه آلاف التحیّة والثناء ـ و الکلام إنّما هو فی النبویّ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هذین الوجهین یظهر الحال فی سند الخصال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کلامنا مع من یطعن فی الحدیث بأنّه لم یر مسندًا فی کتب الأصحاب، و إنّما هو من طرق العامّة، و یکفی فی الطعن علی هذا المقال وجدانه مسندًا فی طرق الأصحاب و لو کان بسند خال عن الإعتبار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أنّه یمکن منع القول بضعف السند، فإنّ ثقة الإسلام رواه عن علیّ بن محمّد، عن سهل بن زیاد، عن جعفر بن محمّد الأشعریّ، عن القدّاح،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محمّد فی المقام إمّا علیّ بن محمّد بن إبراهیم بن أبان‌الرازیّ </w:t>
      </w:r>
    </w:p>
    <w:p>
      <w:pPr>
        <w:pStyle w:val="BookText"/>
        <w:rPr/>
      </w:pPr>
      <w:r>
        <w:rPr>
          <w:rFonts w:ascii="Amiri" w:hAnsi="Amiri" w:eastAsia="Amiri" w:cs="Amiri"/>
          <w:color w:val="111111"/>
          <w:sz w:val="28"/>
          <w:sz w:val="28"/>
          <w:szCs w:val="28"/>
          <w:rtl w:val="true"/>
          <w:lang w:bidi="ar-SA"/>
        </w:rPr>
        <w:t xml:space="preserve">الکلینیّ </w:t>
      </w:r>
      <w:r>
        <w:rPr>
          <w:rStyle w:val="FootnoteAnchor"/>
          <w:rtl w:val="true"/>
        </w:rPr>
        <w:footnoteReference w:id="719"/>
      </w:r>
      <w:r>
        <w:rPr>
          <w:rFonts w:ascii="Amiri" w:hAnsi="Amiri" w:eastAsia="Amiri" w:cs="Amiri"/>
          <w:color w:val="111111"/>
          <w:sz w:val="28"/>
          <w:sz w:val="28"/>
          <w:szCs w:val="28"/>
          <w:rtl w:val="true"/>
          <w:lang w:bidi="ar-SA"/>
        </w:rPr>
        <w:t xml:space="preserve">ـ علی ما صرّح به العلاّمة السمیّ المجلسیّ </w:t>
      </w:r>
      <w:r>
        <w:rPr>
          <w:rStyle w:val="FootnoteAnchor"/>
          <w:rtl w:val="true"/>
        </w:rPr>
        <w:footnoteReference w:id="720"/>
      </w:r>
      <w:r>
        <w:rPr>
          <w:rFonts w:ascii="IRNazanin" w:hAnsi="IRNazanin" w:eastAsia="IRNazanin"/>
          <w:color w:val="111111"/>
          <w:sz w:val="28"/>
          <w:sz w:val="28"/>
          <w:szCs w:val="28"/>
          <w:rtl w:val="true"/>
          <w:lang w:bidi="fa-IR"/>
        </w:rPr>
        <w:t xml:space="preserve">ـ أو علیّ بن محمّد بن بندار، و أیّ منهما کان یمکن القول بصحّة حدیثه، أمّا الأوّل فظاهر، لثبوت توثیقه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 و أمّا الثانی فلما صرّح به العلاّمة السمیّ المجلسیّ </w:t>
      </w:r>
      <w:r>
        <w:rPr>
          <w:rStyle w:val="FootnoteAnchor"/>
          <w:rtl w:val="true"/>
        </w:rPr>
        <w:footnoteReference w:id="722"/>
      </w:r>
      <w:r>
        <w:rPr>
          <w:rFonts w:ascii="IRNazanin" w:hAnsi="IRNazanin" w:eastAsia="IRNazanin"/>
          <w:color w:val="111111"/>
          <w:sz w:val="28"/>
          <w:sz w:val="28"/>
          <w:szCs w:val="28"/>
          <w:rtl w:val="true"/>
          <w:lang w:bidi="fa-IR"/>
        </w:rPr>
        <w:t xml:space="preserve">ـ نوّر اللّه روحه ـ من کونه من مشایخ الکلینیّ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القدّاح، فهو عبد اللّه بن میمون الّذی وثّقه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Style w:val="FootnoteAnchor"/>
          <w:rtl w:val="true"/>
        </w:rPr>
        <w:footnoteReference w:id="724"/>
      </w:r>
      <w:r>
        <w:rPr>
          <w:rFonts w:ascii="IRNazanin" w:hAnsi="IRNazanin" w:eastAsia="IRNazanin"/>
          <w:color w:val="111111"/>
          <w:sz w:val="28"/>
          <w:sz w:val="28"/>
          <w:szCs w:val="28"/>
          <w:rtl w:val="true"/>
          <w:lang w:bidi="fa-IR"/>
        </w:rPr>
        <w:t xml:space="preserve">أیضًا، وروی العلاّمة عن الکشّی بسند صحیح عن صفوان بن یحیی، عن أبی خالد صالح القمّاط، عن عبداللّه بن میمون،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أنتم بمکّة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أربعة،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 xml:space="preserve">أنّکم نور اللّه فی ظلمات الأرض </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حکایة زیدیّته فغیر ثابتة، و المشتمل علیها ضعیف السند، فلا تعویل علیه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فی سهل بن زیاد و جعفر بن محمّد،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جعفر بن محمّد، فهو ـ علی ما یظهر من النجاشی و شیخ الطائفة فی الفهرست فی ترجمة القدّاح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عبید اللّه </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کونه صاحب کتاب ـ علی ما فی الفهرست ـ دلیل علی </w:t>
      </w:r>
    </w:p>
    <w:p>
      <w:pPr>
        <w:pStyle w:val="BookText"/>
        <w:rPr/>
      </w:pPr>
      <w:r>
        <w:rPr>
          <w:rFonts w:ascii="IRNazanin" w:hAnsi="IRNazanin" w:eastAsia="IRNazanin"/>
          <w:color w:val="111111"/>
          <w:sz w:val="28"/>
          <w:sz w:val="28"/>
          <w:szCs w:val="28"/>
          <w:rtl w:val="true"/>
          <w:lang w:bidi="fa-IR"/>
        </w:rPr>
        <w:t xml:space="preserve">حسن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بعض الأعلام </w:t>
      </w:r>
      <w:r>
        <w:rPr>
          <w:rStyle w:val="FootnoteAnchor"/>
          <w:rtl w:val="true"/>
        </w:rPr>
        <w:footnoteReference w:id="728"/>
      </w:r>
      <w:r>
        <w:rPr>
          <w:rFonts w:ascii="IRNazanin" w:hAnsi="IRNazanin" w:eastAsia="IRNazanin"/>
          <w:color w:val="111111"/>
          <w:sz w:val="28"/>
          <w:sz w:val="28"/>
          <w:szCs w:val="28"/>
          <w:rtl w:val="true"/>
          <w:lang w:bidi="fa-IR"/>
        </w:rPr>
        <w:t xml:space="preserve">روایة محمّد بن أحمد بن یحیی عنه، فهی لعدم استثنائه فیمن استثنی، دلیل الوثوق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سهل، فانّ الأمر فیه سهل، بناءً علی أنّه و إن اجتمع فی حقّه وجوه الضعف والقوّة، لکن أمارات الإعتماد فیه أقوی، فالحدیث مقبول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الجواب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انّ الظاهر انّ قول مولانا الرضا ـ علیه آلاف التحیّة والثناء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تحلیل الصلوة التسلیم </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 xml:space="preserve">إشارة إلی ما اشتهر بین العامّة والخاصّة من الروایة عنه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 الصلوة التکبیر و تحلیلها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الکلام منه ـ علیه الصلوة والسلام ـ دلیل صحّة صدوره عنه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تسلیم أن لا یکون ذلک منه علیه‌السلام إشارة إلی ما صدر عنه صلی‌الله‌علیه‌و‌آله ،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صدوره منه علیه‌السلام یکفی للإعتماد علیه، إذ علومهم ـ علیهم آلاف السلام والتحیّة ـ مقتبسة من مشکاة الرسالة والنبوّة ؛ فالقدح بإرسال الروایة المرویّة عن مصباح النبوّة مع صدورها مسندة عن بعض موالینا الأئمة ـ علیهم آلاف السلام والتحیّة ـ لا یمکن أن یصدر من الفرقة الإمامیّة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 یلوح الجواب عن الإیراد المتوهّم فی المقام من وجه آخر، و هو أنّ قدحهم بالإرسال إنّما هو 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 الصلوة التکبیر وتحلیلها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والمرویّ عن مولانا الرضا ـ علیه السلام والثناء </w:t>
      </w:r>
      <w:r>
        <w:rPr>
          <w:rStyle w:val="FootnoteAnchor"/>
          <w:rtl w:val="true"/>
        </w:rPr>
        <w:footnoteReference w:id="730"/>
      </w:r>
      <w:r>
        <w:rPr>
          <w:rFonts w:ascii="IRNazanin" w:hAnsi="IRNazanin" w:eastAsia="IRNazanin"/>
          <w:color w:val="111111"/>
          <w:sz w:val="28"/>
          <w:sz w:val="28"/>
          <w:szCs w:val="28"/>
          <w:rtl w:val="true"/>
          <w:lang w:bidi="fa-IR"/>
        </w:rPr>
        <w:t xml:space="preserve">ـ إنّما هو الجزء الآخر، وذلک لأنّ الإستدلال فی مباحث التسلیم إنّما هو بالجزء الآخر، و وجدانه مسندًا یکفی فی التعویل، کما لا یخفی علی مَن عَوَّد نفسَه فی سلوک سواء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w:t>
      </w:r>
    </w:p>
    <w:p>
      <w:pPr>
        <w:pStyle w:val="BookText"/>
        <w:rPr/>
      </w:pPr>
      <w:r>
        <w:rPr>
          <w:rFonts w:ascii="IRNazanin" w:hAnsi="IRNazanin" w:eastAsia="IRNazanin"/>
          <w:color w:val="111111"/>
          <w:sz w:val="28"/>
          <w:sz w:val="28"/>
          <w:szCs w:val="28"/>
          <w:rtl w:val="true"/>
          <w:lang w:bidi="fa-IR"/>
        </w:rPr>
        <w:t xml:space="preserve">انّ الحدیث علی ما فی الکافی مشتمل علی الجزئین، والصلوة والسلام علی سیّد الکونین و آله و عترته المنزَّهین عن شبهة الشَیْن والمَیْن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الروایات الثلاث تدلّ علی أنّه إذا أتی المصلّی بتلک الصیغة فقد خرج من الصلوة و أتی بالتسلیم، و لکن لا یلزم من هذا أن یکون تلک الصیغة مندرجًا تحت إطلاق التسلیم بحیث إذا أطلق التسلیم یتبادر منه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 قویّ و برهان جلیّ علی ما نبّهنا علیه من أنّ مولانا المکرَّم ـ دام ظلّه ـ إمّا یرید تکثیر السواد للعلّة المذکورة، أو یکتب علی مقتضی ما قرع سمعه بعض الألفاظ من غیر اطّلاع بمعناه و موادّه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المراد من الصیغة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 المصلّی بتلک الصیغة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علینا وعلی عباد اللّه الصالحین، فإذا دلّ التسلیم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جعل التسلیم تحلیلاً للصلوة و لم یجعل بدله تکبیرًا أو تسبیحًا أو ضربًا آخر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لمّا کان فی الدخول فی الصلوة تحریم لکلام المخلوقین و التوجّه إلی الخالق، کان تحلیلها کلام المخلوقین و الإنتقال عنها، وابتداء المخلوقین فی الکلام هو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جملة الروایات الثلاث المشار إلیها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الروایات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Style w:val="FootnoteAnchor"/>
          <w:rtl w:val="true"/>
        </w:rPr>
        <w:footnoteReference w:id="731"/>
      </w:r>
      <w:r>
        <w:rPr>
          <w:rFonts w:ascii="IRNazanin" w:hAnsi="IRNazanin" w:eastAsia="IRNazanin"/>
          <w:color w:val="111111"/>
          <w:sz w:val="28"/>
          <w:sz w:val="28"/>
          <w:szCs w:val="28"/>
          <w:rtl w:val="true"/>
          <w:lang w:bidi="fa-IR"/>
        </w:rPr>
        <w:t>أنّ من أتی بصیغة السلام علینا إلخ، فقد خرج من الصلوة و أتی بالتسلیم ـ مع کون لفظ التسلیم هنا مطلقًا ـ کیف لم یدلّ علیه هذا اللفظ فی غیر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یقول </w:t>
      </w:r>
      <w:r>
        <w:rPr>
          <w:rStyle w:val="FootnoteAnchor"/>
          <w:rtl w:val="true"/>
        </w:rPr>
        <w:footnoteReference w:id="732"/>
      </w:r>
      <w:r>
        <w:rPr>
          <w:rFonts w:ascii="IRNazanin" w:hAnsi="IRNazanin" w:eastAsia="IRNazanin"/>
          <w:color w:val="111111"/>
          <w:sz w:val="28"/>
          <w:sz w:val="28"/>
          <w:szCs w:val="28"/>
          <w:rtl w:val="true"/>
          <w:lang w:bidi="fa-IR"/>
        </w:rPr>
        <w:t xml:space="preserve">بهذه الدلالة مَن ینکر إنصراف التسلیم المطلق </w:t>
      </w:r>
      <w:r>
        <w:rPr>
          <w:rStyle w:val="FootnoteAnchor"/>
          <w:rtl w:val="true"/>
        </w:rPr>
        <w:footnoteReference w:id="733"/>
      </w:r>
      <w:r>
        <w:rPr>
          <w:rFonts w:ascii="IRNazanin" w:hAnsi="IRNazanin" w:eastAsia="IRNazanin"/>
          <w:color w:val="111111"/>
          <w:sz w:val="28"/>
          <w:sz w:val="28"/>
          <w:szCs w:val="28"/>
          <w:rtl w:val="true"/>
          <w:lang w:bidi="fa-IR"/>
        </w:rPr>
        <w:t>إلی الصیغة المذکورة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هذا إلاّ تناقضٌ یتکلّم به مَن یحبّ تکثیر السواد من غیر أن یکون له ربط بمقتضی المقال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انّ من ادّعی عکس المقالة المذکورة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التسلیم فی غیر الروایة المذکورة یمکن إنصرافه إلی السلام علینا وأمّا فیها فلا، یکون لادّعائه وجه، بناءً علی أنّ ابتداء المخلوقین إنّما هو بصیغة السلام علیکم لا السلام علینا، فلاینصرف التسلیم فیها إلیها ؛ و کیف یمکن لشقیقنا دعوی عکس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تری فی الجواب عن الإیراد الثانی ما تعرّضنا إلی هذا الحدیث، بل استشهدنا بقوله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لایجوز أن یقول فی التشهّد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34"/>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فرض الإغماض عن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المراد أنّه لا یمکن التمسّک بقوله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لایجوز أن یقول فی التشهّد الأوّل السلام علینا و علی عباد اللّه الصالحین، لأنّ تحلیل الصلوة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شمول التسلیم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 الصلوة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لتلک الصیغة، فهو من غرائب الزمان و عجائب الدوران یکاد یصیح به الأنعام والجدران، لوضوح أنّ ما ذکره علیه‌السلام یؤل إلی الإستدلال بالشکل الأوّل، تقریره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السلام علینا و علی عباد اللّه الصالحین من صیغ التسلیم، وکلّما کان کذلک یکون محلِّلاً للصلوة، فینتج أنّ السلام علینا محلِّل للصلوة، والصغری وکذا الکبری یظهر من قوله علیه‌السلام بأبلغ </w:t>
      </w:r>
      <w:r>
        <w:rPr>
          <w:rStyle w:val="FootnoteAnchor"/>
          <w:rtl w:val="true"/>
        </w:rPr>
        <w:footnoteReference w:id="735"/>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کان المراد أنّه لایمکن التمسّک به فی شمول التسلیم أینما وقع للصیغة المذکورة، فالّذی یخطر بالبال ممّا یناسب هذا المقام التمسّک بقول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لم یکن للمرء عین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غرو أن یرتاب والصبح مسفر</w:t>
      </w:r>
    </w:p>
    <w:p>
      <w:pPr>
        <w:pStyle w:val="BookText"/>
        <w:rPr/>
      </w:pPr>
      <w:r>
        <w:rPr>
          <w:rFonts w:ascii="IRNazanin" w:hAnsi="IRNazanin" w:eastAsia="IRNazanin"/>
          <w:color w:val="111111"/>
          <w:sz w:val="28"/>
          <w:sz w:val="28"/>
          <w:szCs w:val="28"/>
          <w:rtl w:val="true"/>
          <w:lang w:bidi="fa-IR"/>
        </w:rPr>
        <w:t xml:space="preserve">فإنّه سیذکر عبارتی الّتی تنادی بأندی صوت أنّ المقصود من الإستشهاد بالحدیث إثبات شمول التسلیم فی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تحلیلها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کما ستقف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المراد انّ شمول التسلیم فی حدیث العیون و الخصال لتلک الصیغة وإن کان مسلَّمًا، لکنّه فی النبویّ المذکور غیر مسلَّم،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المذکور فیهما هو عین النبویّ المذکور، و أتی به علیه‌السلام فی مقام الإستدلال لشمول التسلیم فیه لتلک الصیغة، فکیف یمکن إنکاره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فرض تسلیم المغایرة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الحدیث منه علیه‌السلام قرینة علی شمول التسلیم هناک أیضًا لتلک الصیغة، کما لایخفی علی من له أدنی حظّ من العلم و المعرفة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لایخفی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من الأغلاط، والصواب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بحیث إذا أطلق التسلیم یتبادر منه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مؤاخذتان، إحدیهما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الکلام إنّما یناسب إذا ادّعی أحد أنّ المتبادر من التسلیم المطلق هو السلام علینا فقط، وهو ممّا لاشبهة فی فساده، بل المناسب للسیاق منع تبادر السلام علیکم فقط، وهو الّذی ینبغی أن یجعل محلّ الکلام، فالمناسب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إذا أطلق التسلیم لم یتبادر منه السلام علیکم، أو یتبادر منه السلام علینا أیضًا، کما لایخفی علی العارف بمباحث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المناسب تبدیل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بتلک، لوضوح أنّ المشار إلیه تلک الصیغة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ـ دام ظلّه </w:t>
      </w:r>
      <w:r>
        <w:rPr>
          <w:rStyle w:val="FootnoteAnchor"/>
          <w:rtl w:val="true"/>
        </w:rPr>
        <w:footnoteReference w:id="736"/>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کذا قد ورد عنهم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أدرک رکعة فی الوقت، فقد أدرک الصلوة، و لا یتبادر تلک الصلوة الخارجة عن </w:t>
      </w:r>
      <w:r>
        <w:rPr>
          <w:rStyle w:val="FootnoteAnchor"/>
          <w:rtl w:val="true"/>
        </w:rPr>
        <w:footnoteReference w:id="737"/>
      </w:r>
      <w:r>
        <w:rPr>
          <w:rFonts w:ascii="IRNazanin" w:hAnsi="IRNazanin" w:eastAsia="IRNazanin"/>
          <w:color w:val="111111"/>
          <w:sz w:val="28"/>
          <w:sz w:val="28"/>
          <w:szCs w:val="28"/>
          <w:rtl w:val="true"/>
          <w:lang w:bidi="fa-IR"/>
        </w:rPr>
        <w:t xml:space="preserve">الوقت عند الإطلاق، و کذا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أدرک المشعر، فقد أدرک الحجّ، و کذا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أحد الطهورین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عجائب الأمور، فإنّ غایة ما یظهر من التمسّک بما ذکره فی المقام هو أنّ بضاعته فی الفنّ بضاعة مزجاة، إذ لو کان المراد أنّ إطلاق الصلوة علی الصلوة الّتی یؤتی بها بعد انقضاء وقتها مجاز ـ کما یستدعیه کلامه السابق حیث بنی أنّ إطلاق التسلیم علی السلام علینا مجاز ـ فهو بیِّن الفساد، ضروریّ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الحال فی المثالین الأخیرین، فإنّ المراد من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المشعر فقد أدرک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لم یتمکّن من الوقوف فی عرفات و أدرک المشعر فقد أدرک الحجّ، فهو مدرک للحجّ حقیقة، و لذا لا یمکن السلب فی حقّه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حجّ، و هکذا الحال فی کون التراب طهورًا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المراد أنّ المتبادر من الصلوة ما کان فی الوقت وأنّ الصلوة الواقعة بعد انقضاء الوقت غیر متبادرة من لفظ الصلوة و إن کان حقیقة فیها أیضًا، فهو ممنوع أیضًا بناءً علی أنّ للصلوة أفعال، مفتتحة بالتکبیر، مختتمة بالتسلیم، سواء کانت فی الوقت أو بعد انقضائه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فرض التسلیم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التمسّک به فیما نحن فیه ممّا لا شبهة فی ضعفه،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عرفت من أنّ بنائه علی أنّ صدق التسلیم علی السلام علینا مجاز کما یستدعیه التمسّک بحدیث الفقّاع ؛ 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عدم التبادر إنّما یجدی إذا </w:t>
      </w:r>
    </w:p>
    <w:p>
      <w:pPr>
        <w:pStyle w:val="BookText"/>
        <w:rPr/>
      </w:pPr>
      <w:r>
        <w:rPr>
          <w:rFonts w:ascii="IRNazanin" w:hAnsi="IRNazanin" w:eastAsia="IRNazanin"/>
          <w:color w:val="111111"/>
          <w:sz w:val="28"/>
          <w:sz w:val="28"/>
          <w:szCs w:val="28"/>
          <w:rtl w:val="true"/>
          <w:lang w:bidi="fa-IR"/>
        </w:rPr>
        <w:t xml:space="preserve">لم یقم قرینة علی إرادة غیر المتبادر، و أمّا معها فلا کما لا یخفی، و ما نحن فیه من هذا القبیل علی ما عرفت ممّا فصّلنا الحال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یتبادر تلک الصلوة الخارجة عن الوقت عند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من وجه آخر،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المشار إلیه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الصلوة الّتی أدرک رکعة منها فی الوقت، فلا یصحّ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الصلوة الخارجة عن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وقوع کلّ الصلوة فی خارج الوقت، و إن کان الصلوة الّتی وقعت بأسرها فی خارج الوقت ـ کما هو الظاهر من الکلام ـ فیکون المراد أنّ الصلوة الواقعة فی خارج الوقت غیر متبادرة من لفظ الصلوة، فمع ما فیه ممّا مرّ یتوجّه علیه حینئذ أنّ إیراد الحدیث ممّا لا وجه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أدرک رکعة من الصلوة فی الوقت فقد أدرک الصلوة بأسرها، و معلوم أنّ المُدرِک لرکعة من الصلوة فی الوقت غیر مدرک للجمیع فیه، فیکون الحکم بکونه مُدرِکًا للجمیع فیه علی المجازیّة کان أولی ؛ لکن لعمر الحبیب أنّ مَن له أدنی إطّلاع بمباحث الأصول والإستدلال یشمأزّ من أمثال هذه الإفادات الّتی یفتخر بها من لا یَد له فی الفنّ، و أمّا مَن له أدنی اطّلاع علی مباحث الأصول و مبانی الفنّ، فلا یمکن أن یتکلّم بأمثال هذه الأمور الّتی یوجب رفع وقع المتکلّم بها فی الأنظار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تقدیر الإغماض عن الجمیع، غایة ما یلزم من الأمثلة المذکورة کون الإستعمال فیها علی وجه المجازیّة، و مَن ینکر وجود المجاز حتّی یتمسّک لإثباته بالأمثلة المذکورة الّتی یتوجّه علی المتمسّک بها أنواع الملامة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الأنسب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شبهة فی وجود مجاز فی اللغة، فاستعمال التسلیم فیما </w:t>
      </w:r>
    </w:p>
    <w:p>
      <w:pPr>
        <w:pStyle w:val="BookText"/>
        <w:rPr/>
      </w:pPr>
      <w:r>
        <w:rPr>
          <w:rFonts w:ascii="IRNazanin" w:hAnsi="IRNazanin" w:eastAsia="IRNazanin"/>
          <w:color w:val="111111"/>
          <w:sz w:val="28"/>
          <w:sz w:val="28"/>
          <w:szCs w:val="28"/>
          <w:rtl w:val="true"/>
          <w:lang w:bidi="fa-IR"/>
        </w:rPr>
        <w:t xml:space="preserve">نحن فیه کما یمکن أن یکون بعنوان الحقیقة، یمکن أن یکون بعنوان المجاز، والعامّ لادلالة له علی الخاصّ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قد عرفت الجواب عنه،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تمامیّة الإستدلال غیر متوقّف علی کون الإستعمال بعنوان الحقیقة، بل متوقّفة علی کون التسلیم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وتحلیلها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شاملاً للسلام علینا، وقد عرفته من قول مولانا الرضا ـ علیه آلاف التحیّة والثناء ـ مضافًا إلی أنّ الظاهر من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قلت </w:t>
      </w:r>
      <w:r>
        <w:rPr>
          <w:rStyle w:val="FootnoteAnchor"/>
          <w:rtl w:val="true"/>
        </w:rPr>
        <w:footnoteReference w:id="738"/>
      </w:r>
      <w:r>
        <w:rPr>
          <w:rFonts w:ascii="IRNazanin" w:hAnsi="IRNazanin" w:eastAsia="IRNazanin"/>
          <w:color w:val="111111"/>
          <w:sz w:val="28"/>
          <w:sz w:val="28"/>
          <w:szCs w:val="28"/>
          <w:rtl w:val="true"/>
          <w:lang w:bidi="fa-IR"/>
        </w:rPr>
        <w:t xml:space="preserve">هذا، فقد سلّمت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الإستعمال علی وجه الحقیقة کما هو التحقیق، وستقف علی زیادة التوضیح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کذا ورد عنهم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شهرًا و یومًا، فقد صام شهرین متتابعین، والحال أنّه لا یتبادر ذلک عند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هذا القول إمّا اشتباه فی النقل أو </w:t>
      </w:r>
      <w:r>
        <w:rPr>
          <w:rStyle w:val="FootnoteAnchor"/>
          <w:rtl w:val="true"/>
        </w:rPr>
        <w:footnoteReference w:id="739"/>
      </w:r>
      <w:r>
        <w:rPr>
          <w:rFonts w:ascii="IRNazanin" w:hAnsi="IRNazanin" w:eastAsia="IRNazanin"/>
          <w:color w:val="111111"/>
          <w:sz w:val="28"/>
          <w:sz w:val="28"/>
          <w:szCs w:val="28"/>
          <w:rtl w:val="true"/>
          <w:lang w:bidi="fa-IR"/>
        </w:rPr>
        <w:t xml:space="preserve">إفتراء فی الدین، و جعل فی شریعة سیّد المرسلین، وکذب علی أمنائه الطاهرین ـ علیه و علیهم آلاف التحیّة من ربّ العالمین ـ لأنّه إن کان المراد انّ مَن وجب علیه صوم شهرین متتابعین فقد ورد عنهم علیهم‌السلام فی حقّه </w:t>
      </w:r>
      <w:r>
        <w:rPr>
          <w:rStyle w:val="FootnoteAnchor"/>
          <w:rtl w:val="true"/>
        </w:rPr>
        <w:footnoteReference w:id="740"/>
      </w:r>
      <w:r>
        <w:rPr>
          <w:rFonts w:ascii="IRNazanin" w:hAnsi="IRNazanin" w:eastAsia="IRNazanin"/>
          <w:color w:val="111111"/>
          <w:sz w:val="28"/>
          <w:sz w:val="28"/>
          <w:szCs w:val="28"/>
          <w:rtl w:val="true"/>
          <w:lang w:bidi="fa-IR"/>
        </w:rPr>
        <w:t xml:space="preserve">أنّه إن صام شهرًا ویومًا فقد صام شهرین متتابعین، فهو غیر مطابق للواقع، لأنّا لم نجده فی الأخبار الصادرة عنهم علیهم‌السلام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ما رواه عن أجدادی المعصومین </w:t>
      </w:r>
      <w:r>
        <w:rPr>
          <w:rStyle w:val="FootnoteAnchor"/>
          <w:rtl w:val="true"/>
        </w:rPr>
        <w:footnoteReference w:id="742"/>
      </w:r>
      <w:r>
        <w:rPr>
          <w:rFonts w:ascii="IRNazanin" w:hAnsi="IRNazanin" w:eastAsia="IRNazanin"/>
          <w:color w:val="111111"/>
          <w:sz w:val="28"/>
          <w:sz w:val="28"/>
          <w:szCs w:val="28"/>
          <w:rtl w:val="true"/>
          <w:lang w:bidi="fa-IR"/>
        </w:rPr>
        <w:t xml:space="preserve">حقًّا ، ینبغی الحکم بحصول الإمتثال من صوم شهرین متتابعین فیما إذا صام شهرًا ویومًا ولم یجب علیه صوم </w:t>
      </w:r>
    </w:p>
    <w:p>
      <w:pPr>
        <w:pStyle w:val="BookText"/>
        <w:rPr/>
      </w:pPr>
      <w:r>
        <w:rPr>
          <w:rFonts w:ascii="IRNazanin" w:hAnsi="IRNazanin" w:eastAsia="IRNazanin"/>
          <w:color w:val="111111"/>
          <w:sz w:val="28"/>
          <w:sz w:val="28"/>
          <w:szCs w:val="28"/>
          <w:rtl w:val="true"/>
          <w:lang w:bidi="fa-IR"/>
        </w:rPr>
        <w:t xml:space="preserve">الباقی، لأنّه مقتضی هذا الحدیث المجعول، کما لایخفی علی مَن له أدنی ربط بقواعد الأصول، و یلوح ذلک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والحال أنّه لا یتبادر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انّ الّذی ورد عنهم علیهم‌السلام فی هذا الباب ما یکون مقتضاه انّ مَن وجب علیه صوم شهرین متتابعین و صام شهرًا و یومًا أو أکثر متتابعًا ثمّ أفطر لعارض </w:t>
      </w:r>
      <w:r>
        <w:rPr>
          <w:rStyle w:val="FootnoteAnchor"/>
          <w:rtl w:val="true"/>
        </w:rPr>
        <w:footnoteReference w:id="743"/>
      </w:r>
      <w:r>
        <w:rPr>
          <w:rFonts w:ascii="IRNazanin" w:hAnsi="IRNazanin" w:eastAsia="IRNazanin"/>
          <w:color w:val="111111"/>
          <w:sz w:val="28"/>
          <w:sz w:val="28"/>
          <w:szCs w:val="28"/>
          <w:rtl w:val="true"/>
          <w:lang w:bidi="fa-IR"/>
        </w:rPr>
        <w:t xml:space="preserve">، یجوز له الإکتفاء بإتیان الباقی، و لا یجب علیه الإستیناف، کالصحیح المرویّ فی الکافی والتهذیب عن الحلبیّ، عن أبی عبد 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کفّارة الیمین فی الظهار شهران متتابعان، و التتابع أن یصوم شهرًا و یصوم من الآخر أیّامًا أو شیئًا منه، فإن عرض له شیء یفطر منه أو </w:t>
      </w:r>
      <w:r>
        <w:rPr>
          <w:rStyle w:val="FootnoteAnchor"/>
          <w:rtl w:val="true"/>
        </w:rPr>
        <w:footnoteReference w:id="744"/>
      </w:r>
      <w:r>
        <w:rPr>
          <w:rFonts w:ascii="IRNazanin" w:hAnsi="IRNazanin" w:eastAsia="IRNazanin"/>
          <w:color w:val="111111"/>
          <w:sz w:val="28"/>
          <w:sz w:val="28"/>
          <w:szCs w:val="28"/>
          <w:rtl w:val="true"/>
          <w:lang w:bidi="fa-IR"/>
        </w:rPr>
        <w:t xml:space="preserve">أفطر ثمّ قضی ما بقی علیه، و إن صام شهرًا ثمّ عرض له شیء فأفطر قبل أن یصوم من الآخر شیئًا، فلم یتابع، فلیعد الصوم </w:t>
      </w:r>
      <w:r>
        <w:rPr>
          <w:rStyle w:val="FootnoteAnchor"/>
          <w:rtl w:val="true"/>
        </w:rPr>
        <w:footnoteReference w:id="745"/>
      </w:r>
      <w:r>
        <w:rPr>
          <w:rFonts w:ascii="Amiri" w:hAnsi="Amiri" w:eastAsia="Amiri" w:cs="Amiri"/>
          <w:color w:val="111111"/>
          <w:sz w:val="28"/>
          <w:sz w:val="28"/>
          <w:szCs w:val="28"/>
          <w:rtl w:val="true"/>
          <w:lang w:bidi="ar-SA"/>
        </w:rPr>
        <w:t xml:space="preserve">کلّه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المرویّ فی الکافی والفقیه عن ابن محبوب، عن أبی أیّوب، عن أبی عبداللّه علیه‌السلام فی رجل کان علیه صوم شهرین متتابعین فی ظهار، فصام ذا القعدة و </w:t>
      </w:r>
      <w:r>
        <w:rPr>
          <w:rStyle w:val="FootnoteAnchor"/>
          <w:rtl w:val="true"/>
        </w:rPr>
        <w:footnoteReference w:id="747"/>
      </w:r>
      <w:r>
        <w:rPr>
          <w:rFonts w:ascii="IRNazanin" w:hAnsi="IRNazanin" w:eastAsia="IRNazanin"/>
          <w:color w:val="111111"/>
          <w:sz w:val="28"/>
          <w:sz w:val="28"/>
          <w:szCs w:val="28"/>
          <w:rtl w:val="true"/>
          <w:lang w:bidi="fa-IR"/>
        </w:rPr>
        <w:t xml:space="preserve">دخل علیه ذو الحجّة،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ذا الحجّة کلّه إلاّ أیّام التشریق، ثمّ یقضیها فی أوّل أیّام من المحرّم حتّی یتمّ ثلثة أیّام، فیکون قد صام شهرین متتابعین،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ینبغی له أن یقرب أهله حتّی یقضی ثلثة </w:t>
      </w:r>
      <w:r>
        <w:rPr>
          <w:rStyle w:val="FootnoteAnchor"/>
          <w:rtl w:val="true"/>
        </w:rPr>
        <w:footnoteReference w:id="748"/>
      </w:r>
      <w:r>
        <w:rPr>
          <w:rFonts w:ascii="Amiri" w:hAnsi="Amiri" w:eastAsia="Amiri" w:cs="Amiri"/>
          <w:color w:val="111111"/>
          <w:sz w:val="28"/>
          <w:sz w:val="28"/>
          <w:szCs w:val="28"/>
          <w:rtl w:val="true"/>
          <w:lang w:bidi="ar-SA"/>
        </w:rPr>
        <w:t xml:space="preserve">أیّام التشریق الّتی لم یصمها، ولا بأس إن صام شهرًا ثمّ صام من الشهر الّذی یلیه أیّامًا، ثمّ عرضت </w:t>
      </w:r>
      <w:r>
        <w:rPr>
          <w:rStyle w:val="FootnoteAnchor"/>
          <w:rtl w:val="true"/>
        </w:rPr>
        <w:footnoteReference w:id="749"/>
      </w:r>
      <w:r>
        <w:rPr>
          <w:rFonts w:ascii="Amiri" w:hAnsi="Amiri" w:eastAsia="Amiri" w:cs="Amiri"/>
          <w:color w:val="111111"/>
          <w:sz w:val="28"/>
          <w:sz w:val="28"/>
          <w:szCs w:val="28"/>
          <w:rtl w:val="true"/>
          <w:lang w:bidi="ar-SA"/>
        </w:rPr>
        <w:t xml:space="preserve">له علّة </w:t>
      </w:r>
    </w:p>
    <w:p>
      <w:pPr>
        <w:pStyle w:val="BookText"/>
        <w:rPr/>
      </w:pPr>
      <w:r>
        <w:rPr>
          <w:rFonts w:ascii="IRNazanin" w:hAnsi="IRNazanin" w:eastAsia="IRNazanin"/>
          <w:color w:val="111111"/>
          <w:sz w:val="28"/>
          <w:sz w:val="28"/>
          <w:szCs w:val="28"/>
          <w:rtl w:val="true"/>
          <w:lang w:bidi="fa-IR"/>
        </w:rPr>
        <w:t xml:space="preserve">أن یقطعه </w:t>
      </w:r>
      <w:r>
        <w:rPr>
          <w:rStyle w:val="FootnoteAnchor"/>
          <w:rtl w:val="true"/>
        </w:rPr>
        <w:footnoteReference w:id="750"/>
      </w:r>
      <w:r>
        <w:rPr>
          <w:rFonts w:ascii="IRNazanin" w:hAnsi="IRNazanin" w:eastAsia="IRNazanin"/>
          <w:color w:val="111111"/>
          <w:sz w:val="28"/>
          <w:sz w:val="28"/>
          <w:szCs w:val="28"/>
          <w:rtl w:val="true"/>
          <w:lang w:bidi="fa-IR"/>
        </w:rPr>
        <w:t xml:space="preserve">، ثمّ یقضیه بعد </w:t>
      </w:r>
      <w:r>
        <w:rPr>
          <w:rStyle w:val="FootnoteAnchor"/>
          <w:rtl w:val="true"/>
        </w:rPr>
        <w:footnoteReference w:id="751"/>
      </w:r>
      <w:r>
        <w:rPr>
          <w:rFonts w:ascii="IRNazanin" w:hAnsi="IRNazanin" w:eastAsia="IRNazanin"/>
          <w:color w:val="111111"/>
          <w:sz w:val="28"/>
          <w:sz w:val="28"/>
          <w:szCs w:val="28"/>
          <w:rtl w:val="true"/>
          <w:lang w:bidi="fa-IR"/>
        </w:rPr>
        <w:t xml:space="preserve">تمام الشهرین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والصحیح المرویّ فی الکافی عن جمیل و محمّد بن حمران، عن أبی عبداللّه علیه‌السلام فی الرجل الحرّ یلزمه صوم شهرین متتابعین فی ظهار، فیصوم شهرًا، ثمّ یمرض،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یستقبل، و إن زاد علی الشهر الآخر یومًا أو یومین بنی علی ما بقی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والصحیح المرویّ فی الکافی أیضًا عن صفوان بن یحیی، عن منصور بن حازم، عن أبی عبداللّه علیه‌السلام أنّه قال فی رجل صام فی ظهار شعبان، ثمّ أدرکه شهر رمضان،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رمضان و یستأنف الصوم، فإن هو صام فی الظهار فزاد فی النصف یومًا قضی بقیّته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وأین ذلک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صام شهرًا و یومًا فقد صام شهرین متتابعین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الفرق ما بینهما ما بین السماء إلی الثری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المراد غیر ما ذکر </w:t>
      </w:r>
      <w:r>
        <w:rPr>
          <w:rStyle w:val="FootnoteAnchor"/>
          <w:rtl w:val="true"/>
        </w:rPr>
        <w:footnoteReference w:id="755"/>
      </w:r>
      <w:r>
        <w:rPr>
          <w:rFonts w:ascii="IRNazanin" w:hAnsi="IRNazanin" w:eastAsia="IRNazanin"/>
          <w:color w:val="111111"/>
          <w:sz w:val="28"/>
          <w:sz w:val="28"/>
          <w:szCs w:val="28"/>
          <w:rtl w:val="true"/>
          <w:lang w:bidi="fa-IR"/>
        </w:rPr>
        <w:t xml:space="preserve">، فهو أیضًا مخالف للواقع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نسبه إلی الأئمّة الطاهرین من أنّه ورد عنهم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صام شهرًا ویومًا، فقد صام شهرین متتابعین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أظفر به فی النصوص المرویّة عن الأئمّة الطاهرین، فلیأت به إن کان من الصادقین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مضافًا إلی ما عرفت من أنّه لا داعی لذکر هذه الأمور فی المقام إلاّ من جهة أنّه قد یطلق اللفظ علی المعنی مجازًا، وهو فی الظهور کالنور فی ظلم الدیجور علی ما علمت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شعری مَن له هذا الإستعداد فی هذا الشأن و ذلک المقال فی بیان الحال، کیف یجترئ علی التصرّف فی المسائل الشرعیّة والمطالب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تعالی من سوء الفاتحة وخذلان العاقبة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ـ دام ظلّه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یرد عنهم علیهم‌السلام فی النافلة إلاّ الإتیان بالتسلیمة أو تسلیمة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هذا القول أیضًا مخالف للواقع کما ستقف علی تفصیل الحال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نحن لا ننازع فی أنّه لو أتی بالصیغة الأخری فقد انصرف عن الصلوة، لأنّ تلک الصیغة مفسدة للعبادة، کما هو صریح الروایة الآتیة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مقتضی هذا الکلام أنّ من أتی بالسلام علینا فی النافلة قبل السلام علیکم، یکون ذلک مفسدًا لصلوته، فلیکن ذلک فی ذکر منک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إمّا باعتبار اندراجه تحت التسلیم فی قوله علیه السلام </w:t>
      </w:r>
      <w:r>
        <w:rPr>
          <w:rStyle w:val="FootnoteAnchor"/>
          <w:rtl w:val="true"/>
        </w:rPr>
        <w:footnoteReference w:id="75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تحلیلها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یستدعیه قوله فیما قبل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فلایلزم من حکمهم علیهم‌السلام بأنّ من أتی بتلک الصیغة فقد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أو باعتبار الروایة الآتیة ؛ وعلی الأوّل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علیه‌السلام حکم بأنّ التسلیم الشامل لکلّ من الصیغتین محلِّل للصلوة، والمفروض أنّ المراد به بالإضافة إلی السلام علیکم هو أنّه مخرج من الصلوة </w:t>
      </w:r>
    </w:p>
    <w:p>
      <w:pPr>
        <w:pStyle w:val="BookText"/>
        <w:rPr/>
      </w:pPr>
      <w:r>
        <w:rPr>
          <w:rFonts w:ascii="IRNazanin" w:hAnsi="IRNazanin" w:eastAsia="IRNazanin"/>
          <w:color w:val="111111"/>
          <w:sz w:val="28"/>
          <w:sz w:val="28"/>
          <w:szCs w:val="28"/>
          <w:rtl w:val="true"/>
          <w:lang w:bidi="fa-IR"/>
        </w:rPr>
        <w:t xml:space="preserve">لا أنّه مفسد، فلابدّ أن یکون هوالمراد بالإضافة إلی قرینه وإلاّ لزم الإغراء بالجهل، مضافًا إلی أنّا لا نفهم من کون التسلیم محلِّلاً للصلوة غیر هذا المعنی، إلاّ إذا قام الدلیل علی إرادة الإفساد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الحال فی الجواب یستدعی إیراد الحدیث،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مراده من الروایة الآتیة ما أوردناه فی البعض المباحث الآتیة حاکیًا عن الفقیه والتهذیب، عن أبی کهمش،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الرکعتین الأولیین إذا جلست فیهما للتشهّد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ورحمة اللّه وبرکاته إنصراف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فهو الإنصراف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دعوی صراحته فی کون السلام علینا مفسدًا ممّا لا شبهة فی فساده، بل فی ظهوره فیه کلام، بیان الحال فی ذلک هو 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المذکورة إمّا أن یکون المراد بها النافلة أو الفریضة، و علی الأوّل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أنّ الظاهر منها أنّه یتحقّق الإنصراف و الفراغ من النافلة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هو معنی کونه محلِّلاً، فلا وجه لحمله علی کونه مفسدًا کما لا یخفی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الثانی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المعنی أنّ من جلس فی الرکعتین الأولیین من الفرائض للتشهّد کالعشائین والظهرین وأتی بالسلام علینا بعد التشهّد متعمِّدًا، ینصرف من الصلوة، فحینئذ و إن یلزم فساد الصلوة لکن لا یمکن التمسّک بالحدیث فی الحکم بالفساد فیما إذا أتی بذلک القول فی النافلة بعد الفراغ من التشهّد، کما أنّه إذا أتی بقول السلام علیکم هناک متعمِّدًا یوجب ذلک فساد الصلوة أیضًا، و لا یوجب ذلک </w:t>
      </w:r>
    </w:p>
    <w:p>
      <w:pPr>
        <w:pStyle w:val="BookText"/>
        <w:rPr/>
      </w:pPr>
      <w:r>
        <w:rPr>
          <w:rFonts w:ascii="IRNazanin" w:hAnsi="IRNazanin" w:eastAsia="IRNazanin"/>
          <w:color w:val="111111"/>
          <w:sz w:val="28"/>
          <w:sz w:val="28"/>
          <w:szCs w:val="28"/>
          <w:rtl w:val="true"/>
          <w:lang w:bidi="fa-IR"/>
        </w:rPr>
        <w:t xml:space="preserve">الفساد فیما إذا أتی به فی النافلة بعد التشهّد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هو صریح الروایة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منه أنّها کذلک فی الفریضة فی الصورة المفروضة، سلّمنا ذلک، لکن لا وجه للتمسّک بها فیما نحن فیه، لما عرفت من أنّ الحال فی السلام علیکم أیضًا کذلک، ولایمکن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الإتیان به فی النافلة بعد التشهّد مفسد لها ؛ وإن کان المراد أنّها کذلک فی النافلة، فهو ممنوع، بل قطعیّ الفساد کما لا یخفی علی أولی التأمّل و الرشاد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المراد بالروایة الآتیة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شیئان یفسد الناس بهما صلوتهم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تبارک اسمک، و تعالی جدّک، و لا إله غیرک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إنّما هو شیء قالته الجنّ لجهالة فحکی اللّه عنهم، و 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أیضًا لا یصحّ التمسّک به فی المقام، لوضوح أنّ ذلک إشارة إلی ما هو المعهود بین العامّة من إتیانهم فی التشهّد الأوّل بتلک الصیغة، کما یومئ إلیه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یفسدون صلوتهم بإتیان تلک الصیغة فی التشهّد الأوّل لعدم ورودها فیه، و لا یلزم منه الحکم بالفساد فیما إذا أتی بها فی النافلة قطعًا، کما لایمکن الحکم بذلک فیما إذا أتی بها فی آخر الصلوة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ما عرفت من أنّ الحکم فی السلام علیکم أیضًا کذلک، فیوجب </w:t>
      </w:r>
    </w:p>
    <w:p>
      <w:pPr>
        <w:pStyle w:val="BookText"/>
        <w:rPr/>
      </w:pPr>
      <w:r>
        <w:rPr>
          <w:rFonts w:ascii="IRNazanin" w:hAnsi="IRNazanin" w:eastAsia="IRNazanin"/>
          <w:color w:val="111111"/>
          <w:sz w:val="28"/>
          <w:sz w:val="28"/>
          <w:szCs w:val="28"/>
          <w:rtl w:val="true"/>
          <w:lang w:bidi="fa-IR"/>
        </w:rPr>
        <w:t>فساد الصلوة فیما إذا أتی به فی التشهّد الأوّل متعمّدًا، ولایلزم منه الحکم بالفساد فیما إذا أتی به فی مقام تسلیم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حمل التحلیل فی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تحلیل الصلوة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الإفساد ممّا لا ینبغی التأمّل فی فساده، بل معنی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لایجوز أن یقول فی التشهّد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هو أنّ السلام علینا من صیغة التسلیم و هو </w:t>
      </w:r>
      <w:r>
        <w:rPr>
          <w:rStyle w:val="FootnoteAnchor"/>
          <w:rtl w:val="true"/>
        </w:rPr>
        <w:footnoteReference w:id="759"/>
      </w:r>
      <w:r>
        <w:rPr>
          <w:rFonts w:ascii="IRNazanin" w:hAnsi="IRNazanin" w:eastAsia="IRNazanin"/>
          <w:color w:val="111111"/>
          <w:sz w:val="28"/>
          <w:sz w:val="28"/>
          <w:szCs w:val="28"/>
          <w:rtl w:val="true"/>
          <w:lang w:bidi="fa-IR"/>
        </w:rPr>
        <w:t xml:space="preserve">إنّما یؤتی به فیما إذا حصل التحلیل من الصلوة، و معلوم أنّ التحلیل من الصلوة لایحصل فی التشهّد الأوّل، فلا یجوز الإتیان بها </w:t>
      </w:r>
      <w:r>
        <w:rPr>
          <w:rStyle w:val="FootnoteAnchor"/>
          <w:rtl w:val="true"/>
        </w:rPr>
        <w:footnoteReference w:id="760"/>
      </w:r>
      <w:r>
        <w:rPr>
          <w:rFonts w:ascii="IRNazanin" w:hAnsi="IRNazanin" w:eastAsia="IRNazanin"/>
          <w:color w:val="111111"/>
          <w:sz w:val="28"/>
          <w:sz w:val="28"/>
          <w:szCs w:val="28"/>
          <w:rtl w:val="true"/>
          <w:lang w:bidi="fa-IR"/>
        </w:rPr>
        <w:t xml:space="preserve">فیه </w:t>
      </w:r>
      <w:r>
        <w:rPr>
          <w:rStyle w:val="FootnoteAnchor"/>
          <w:rtl w:val="true"/>
        </w:rPr>
        <w:footnoteReference w:id="761"/>
      </w:r>
      <w:r>
        <w:rPr>
          <w:rFonts w:ascii="IRNazanin" w:hAnsi="IRNazanin" w:eastAsia="IRNazanin"/>
          <w:color w:val="111111"/>
          <w:sz w:val="28"/>
          <w:sz w:val="28"/>
          <w:szCs w:val="28"/>
          <w:rtl w:val="true"/>
          <w:lang w:bidi="fa-IR"/>
        </w:rPr>
        <w:t xml:space="preserve">، کما أنّ السلام علیکم من صیغة التسلیم، فلا یجوز الإتیان به فی التشهّد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تهافت کلماته حیث قال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الروایات الثلث تدلّ علی أنّه إذا أتی المصلّی بتلک الصیغة فقد خرج من الصلوة وأتی بالتسلیم ؛ 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لایلزم من حکمهم علیهم‌السلام بأنّ من أتی بتلک الصیغة فقد سلّم، أن یکون التسلیم إذا أطلق یتبادر عنه ذلک ؛ 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لا ننازع، إلخ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فالحدیث النبویّ الّذی استدلّ به لا یضرّنا، و تلک الأحادیث الّتی استشهد بها لإدراج تلک الصیغه تحت إطلاق التسلیم لا ینفعه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عرفت ضعف هذا الکلام و أنّه ممّا یوجب لقائله أنواع اللوم و الملام، و لا یمکن أن یصدر ممّن اختلف فی مجالس العلماء العظام، فضلاً عمّن یعدّ نفسه من جملة العلاّم،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فالحدیث النبویّ الّذی استدلّ به لا یضرّنا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یکون المراد أنّه لا یضرّه فی نفس الأمر، لأنّ ما أزال الجهل الّذی هو من أسوء الأمراض </w:t>
      </w:r>
    </w:p>
    <w:p>
      <w:pPr>
        <w:pStyle w:val="BookText"/>
        <w:rPr/>
      </w:pPr>
      <w:r>
        <w:rPr>
          <w:rFonts w:ascii="IRNazanin" w:hAnsi="IRNazanin" w:eastAsia="IRNazanin"/>
          <w:color w:val="111111"/>
          <w:sz w:val="28"/>
          <w:sz w:val="28"/>
          <w:szCs w:val="28"/>
          <w:rtl w:val="true"/>
          <w:lang w:bidi="fa-IR"/>
        </w:rPr>
        <w:t xml:space="preserve">فهو نافع، لا أنّه مضرّ، فهو من قبیل جراحة الفصّاد، لأنّه وإن أوجب الألم فی الظاهر، لکنّه لاخراجه الدم الفاسد المهلک نافع فی الواقع، و قد عرفت انّه کذلک، وستعرف أیضًا بأوضح 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تلک الأحادیث الّتی استشهد بها لإدراج تلک الصیغة تحت إطلاق التسلیم لا ینفعه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غرائب الأمور الّتی موجبها سوء الفهم و غایة القصور وضعف البضاعة الموجب للفتور، لما عرفت من أنّا لم نستدلّ فی هذا المقام بإیراد النصوص المذکورة لإدراج تلک الصیغة، بل لمنع الإرسال وإثبات الإسناد، کما ینادی علیه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الجواب عن الإیراد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 یخرق أُذُن النبات والجماد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إستدللنا بالأوّل والثالث منها فی مقام الجواب عن الإیراد الثانی بقولنا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الجواب عن الإیراد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لکون تلک الصیغة مندرجة تحت التسلیم فی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تحلیلها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ینادی به قولنا فیما سنذکره، لکنّه فی النبویّ المذکور غیر مسلّم، نداءً یزیل غشاوة الغفلة عمّن له أدنی حظّ من الإنصاف والبصیرة،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استشهد بها لإدراج تلک الصیغة تحت إطلاق التسلیم لاینفعه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مقابح </w:t>
      </w:r>
      <w:r>
        <w:rPr>
          <w:rStyle w:val="FootnoteAnchor"/>
          <w:rtl w:val="true"/>
        </w:rPr>
        <w:footnoteReference w:id="762"/>
      </w:r>
      <w:r>
        <w:rPr>
          <w:rFonts w:ascii="IRNazanin" w:hAnsi="IRNazanin" w:eastAsia="IRNazanin"/>
          <w:color w:val="111111"/>
          <w:sz w:val="28"/>
          <w:sz w:val="28"/>
          <w:szCs w:val="28"/>
          <w:rtl w:val="true"/>
          <w:lang w:bidi="fa-IR"/>
        </w:rPr>
        <w:t xml:space="preserve">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یکن للمرء عین صحیحة فلا غرو أن یرتاب والصبح مسفر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لعمر الحبیب أنّه ینفعنی و کلّ من یعتقد بإمامة مولانا الرضا ـ علیه آلاف التحیّة والثناء ـ بل کلّ من کان من أهل الإسلام و لو کان من أهل الخلاف، لمقبولیّة </w:t>
      </w:r>
    </w:p>
    <w:p>
      <w:pPr>
        <w:pStyle w:val="BookText"/>
        <w:rPr/>
      </w:pPr>
      <w:r>
        <w:rPr>
          <w:rFonts w:ascii="IRNazanin" w:hAnsi="IRNazanin" w:eastAsia="IRNazanin"/>
          <w:color w:val="111111"/>
          <w:sz w:val="28"/>
          <w:sz w:val="28"/>
          <w:szCs w:val="28"/>
          <w:rtl w:val="true"/>
          <w:lang w:bidi="fa-IR"/>
        </w:rPr>
        <w:t xml:space="preserve">قول أئمّتنا علیهم‌السلام عندهم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الحال فی هذا المرام وإن أجرینا الکلام فیه بأوضح بیان، لکن شقیقنا المکرَّم لمّا لم یکن بیده فی هذا المقام إلاّ هذا المقال الموجب لرفع وقعه فی نظر أهل التحقیق والأفضال، و لهذا طوّل القال بتکریر هذا المقال، أرخینا عنان القلم فی بیانه ثانیًا، لعلّ مولانا بتکریر المقال یصل إلی حقیقة الحال وإن کان ذلک من قرائن الحال یشبه فرض المحال،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مولانا الرضا ـ علیه آلاف التحیّة والثناء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یقول فی التشهّد الأوّل السلام علینا و علی عباد اللّه الصالحین، لأنّ تحلیل الصلوة التسلیم </w:t>
      </w:r>
      <w:r>
        <w:rPr>
          <w:rFonts w:eastAsia="IRNazanin" w:cs="IRNazanin"/>
          <w:color w:val="111111"/>
          <w:sz w:val="28"/>
          <w:szCs w:val="28"/>
          <w:rtl w:val="true"/>
          <w:lang w:bidi="fa-IR"/>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أنّه إستدلال لإثبات المرام بما یؤل إلی الشکل الأوّل،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السلام علینا من صیغ التسلیم، و کلّما کان کذلک یکون محلِّلاً للصلوة، فهذا القول کذلک،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الصلوة فی قوله علیه‌السلام أعمّ من الفرض والنفل، کما اعترف به مولانا المکرَّم فیما بعد ذلک، بل ادّعی علیه إطباق أهل الحلّ والعقد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لا ندّعی و لا أحد من أهل الحلّ والعقد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المسلمین</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 xml:space="preserve">خلاف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فتکون هذه الصیغة محلِّلة للنافلة فی صورة الإقتصار علیها، فلایتعیّن السلام علیکم لذلک، و هو المطلوب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من کلامه علیه‌السلام ظهورًا بیِّنًا شمول التسلیم فی 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تحریمها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أیضًا ، فهل یمکن ممّن یعترف بحجیّة قول مولانا الرضا </w:t>
      </w:r>
      <w:bookmarkStart w:id="226" w:name="pg3709_22203"/>
    </w:p>
    <w:p>
      <w:pPr>
        <w:pStyle w:val="BookText"/>
        <w:rPr/>
      </w:pPr>
      <w:bookmarkEnd w:id="226"/>
      <w:r>
        <w:rPr>
          <w:rFonts w:ascii="IRNazanin" w:hAnsi="IRNazanin" w:eastAsia="IRNazanin"/>
          <w:color w:val="111111"/>
          <w:sz w:val="28"/>
          <w:sz w:val="28"/>
          <w:szCs w:val="28"/>
          <w:rtl w:val="true"/>
          <w:lang w:bidi="fa-IR"/>
        </w:rPr>
        <w:t>ـ علیه آلاف التحیّة والثناء ـ إنکار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من جمیع ما ذکر انّ استحکام الأساس و قوّة البنیان ممّا یحکم بحقّیّته العیان، ولاینکره إلاّ مَن لم یوفّق لتحصیل مبانی الفنّ، و هو حرمان،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ظهر ضعف الأساس و انهدام السقف والبنیان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أعجب عجائب الزمان، فلعمر الحبیب ما أدری بأیّ الضعفین اعتذر من قبله، ضعف التفریع أو المتفرّع علیه، وانّ أمثال هذه المباحث محقّقة لمصداق المَثَل السائر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لا یعرف الفقه </w:t>
      </w:r>
      <w:r>
        <w:rPr>
          <w:rStyle w:val="FootnoteAnchor"/>
          <w:rtl w:val="true"/>
        </w:rPr>
        <w:footnoteReference w:id="765"/>
      </w:r>
      <w:r>
        <w:rPr>
          <w:rFonts w:ascii="Amiri" w:hAnsi="Amiri" w:eastAsia="Amiri" w:cs="Amiri"/>
          <w:color w:val="111111"/>
          <w:sz w:val="28"/>
          <w:sz w:val="28"/>
          <w:szCs w:val="28"/>
          <w:rtl w:val="true"/>
          <w:lang w:bidi="ar-SA"/>
        </w:rPr>
        <w:t xml:space="preserve">قد صنّف فیه کتابًا </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594181_2281741623"/>
      <w:bookmarkStart w:id="228" w:name="_Toc81"/>
      <w:bookmarkEnd w:id="227"/>
      <w:r>
        <w:rPr>
          <w:rtl w:val="true"/>
        </w:rPr>
        <w:t xml:space="preserve">ومنها قوله </w:t>
      </w:r>
      <w:r>
        <w:rPr>
          <w:rtl w:val="true"/>
        </w:rPr>
        <w:t xml:space="preserve">: </w:t>
      </w:r>
      <w:r>
        <w:rPr>
          <w:rtl w:val="true"/>
        </w:rPr>
        <w:t>بعد اعتراف السیّد بأنّ المتبادر من التسلیم المطلق، إلخ</w:t>
      </w:r>
      <w:bookmarkEnd w:id="22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اعتراف السیّد بأنّ المتبادر من التسلیم المطلق هو السلام الشائع بین المخلوقین، و إطباق الأصحاب، و موافقة کلماتهم وعباراتهم، وصراحة موثّقة أبی بصیر علی أنّ التسلیم المطلق هو هذا، کیف یصحّ للسیّد بعد الإعتراف المذکور أن یتمسّک بالحدیث النبویّ فی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وتحلیلها التسلیم، علی اندراج تلک الصیغة تحت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وتحلیلها التسلیم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نظر من وجوه،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إطباق الأصحاب، و موافقة کلماتهم وعباراتهم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للواقع، و عبارتی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الجواب عن الإیراد الثانی ـ أی کون المتبادر من التسلیم هو السلام علیکم ـ فهو انّ ذلک و إن کان مسلّمًا فی کلمات جماعة من الأصحاب، و أین ذلک من دعوی إطباق الأصحاب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والعبارة الّتی حکاها عنّی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انّ ذلک و إن کان مسلّمًا فی کلمات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والنسخة الّتی حکاها عنها لم یکن عندی فی هذا الوقت، بل و لا فی بلدة اصبهان لألاحظها، لکن نتکلّم علی النحو الّذی حکاه عنّی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دام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إطباق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مدخول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المتبادر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فمعنی الکلام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الإعتراف بأنّ المتبادر من التسلیم المطلق هو السلام الشائع بین المخلوقین والإعتراف بإطباق الأصحاب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مخالف للواقع، لأنّ هذا الکلام صریحٌ فی أنّ متعلّق الإعتراف شیئان،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تلک الصیغة متبادرة،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إطباق الأصحاب علی ذلک، وغایة ما یستفاد من العبارة المحکیّة فی کلامه أنّ المتبادر مسلّم فی کلام الأصحاب، وأین ذلک من دعوی إطباقهم علیه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علی من له أدنی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فنسبة الإعتراف بإطباق الأصحاب علی ذلک أیضًا إلیّ فریة بلا مریة، منشاؤه قلّة الإحاطة بمبانی الفنّ و ندرة التأمّل فی العبارة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 ظهر الحال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موافقة کلماتهم و عباراتهم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لعلّ الباعث حبّ تکثیر السواد و إن أوجب ذلک أنواع اللوم والعتاب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صراحة موثّقة أبی بصیر علی أنّ التسلیم المطلق 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مجعول علینا، لأنّه أیضًا عطف علی ما ذکر، فمعنی العبارة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إعتراف السیّد بصراحة الموثّقة،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مخالف للواقع، إذ غایة ما یظهر من کلامنا الدلالة، لأنّه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موثّقة أبی بصیر دلالة علیه ؛ و معلوم أنّ الدلالة کما یکون بعنوان الصراحة یکون بعنوان الظهور، والمتحقّق فی الموثّقة علی فرض التسلیم هو الثانی، لإمکان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إنصراف التسلیم فی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تسلّم </w:t>
      </w:r>
      <w:r>
        <w:rPr>
          <w:rFonts w:eastAsia="IRNazanin" w:cs="IRNazanin"/>
          <w:color w:val="111111"/>
          <w:sz w:val="28"/>
          <w:szCs w:val="28"/>
          <w:rtl w:val="true"/>
          <w:lang w:bidi="fa-IR"/>
        </w:rPr>
        <w:t xml:space="preserve">» </w:t>
      </w:r>
      <w:bookmarkStart w:id="229" w:name="pg3709_22205"/>
    </w:p>
    <w:p>
      <w:pPr>
        <w:pStyle w:val="BookText"/>
        <w:rPr/>
      </w:pPr>
      <w:bookmarkEnd w:id="229"/>
      <w:r>
        <w:rPr>
          <w:rFonts w:ascii="IRNazanin" w:hAnsi="IRNazanin" w:eastAsia="IRNazanin"/>
          <w:color w:val="111111"/>
          <w:sz w:val="28"/>
          <w:sz w:val="28"/>
          <w:szCs w:val="28"/>
          <w:rtl w:val="true"/>
          <w:lang w:bidi="fa-IR"/>
        </w:rPr>
        <w:t xml:space="preserve">إلی السلام علیکم إنّما هو لذکر الصیغتین الأخریین قبله، و مع تطرّق هذا الإحتمال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دعوی الصراحة باطلة قطعًا، بل یبقی التشکیک فی دعوی الظهور، لکنّ الإنصاف ثبوته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أنّ التسلیم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محلّه، إذ المناسب تبدیلها بفی،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یتمسّک بالحدیث النبویّ فی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وتحلیلها التسلیم، علی إندراج تلک الصیغة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وقعتا فی غیر موقعهما </w:t>
      </w:r>
      <w:r>
        <w:rPr>
          <w:rStyle w:val="FootnoteAnchor"/>
          <w:rtl w:val="true"/>
        </w:rPr>
        <w:footnoteReference w:id="766"/>
      </w:r>
      <w:r>
        <w:rPr>
          <w:rFonts w:ascii="IRNazanin" w:hAnsi="IRNazanin" w:eastAsia="IRNazanin"/>
          <w:color w:val="111111"/>
          <w:sz w:val="28"/>
          <w:sz w:val="28"/>
          <w:szCs w:val="28"/>
          <w:rtl w:val="true"/>
          <w:lang w:bidi="fa-IR"/>
        </w:rPr>
        <w:t xml:space="preserve">، لوضوح انّ الصواب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قوله صلی‌الله‌علیه‌و‌آله ، و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لاندراج تلک الصیغة،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وجه تمسّکنا بقوله صلی‌الله‌علیه‌و‌آله ـ علی الوجه الّذی قرّرناه ـ کالشمس فی رابعة النهار لایکاد یختفی إلاّ علی خفافیش الزمان، و مع ذلک لیت شعری لِمَ یختفی علی جنابه العالی، فلا بأس للتعرّض له فی قوله الآتی متمنّیًا ظهور الحال عند جنابه السامی </w:t>
      </w:r>
      <w:r>
        <w:rPr>
          <w:rFonts w:eastAsia="IRNazanin" w:cs="IRNazanin"/>
          <w:color w:val="111111"/>
          <w:sz w:val="28"/>
          <w:szCs w:val="28"/>
          <w:rtl w:val="true"/>
          <w:lang w:bidi="fa-IR"/>
        </w:rPr>
        <w:t>.</w:t>
      </w:r>
    </w:p>
    <w:p>
      <w:pPr>
        <w:pStyle w:val="Heading4"/>
        <w:numPr>
          <w:ilvl w:val="3"/>
          <w:numId w:val="1"/>
        </w:numPr>
        <w:rPr/>
      </w:pPr>
      <w:bookmarkStart w:id="230" w:name="__RefHeading___Toc594183_2281741623"/>
      <w:bookmarkStart w:id="231" w:name="_Toc82"/>
      <w:bookmarkEnd w:id="230"/>
      <w:r>
        <w:rPr>
          <w:rtl w:val="true"/>
        </w:rPr>
        <w:t xml:space="preserve">ومنها قوله </w:t>
      </w:r>
      <w:r>
        <w:rPr>
          <w:rtl w:val="true"/>
        </w:rPr>
        <w:t xml:space="preserve">: </w:t>
      </w:r>
      <w:r>
        <w:rPr>
          <w:rtl w:val="true"/>
        </w:rPr>
        <w:t>وأیّ مانع فی الحدیث النبویّ لیمنع حمله، إلخ</w:t>
      </w:r>
      <w:bookmarkEnd w:id="231"/>
    </w:p>
    <w:p>
      <w:pPr>
        <w:pStyle w:val="BookText"/>
        <w:rPr/>
      </w:pPr>
      <w:r>
        <w:rPr>
          <w:rFonts w:ascii="IRNazanin" w:hAnsi="IRNazanin" w:eastAsia="IRNazanin"/>
          <w:color w:val="111111"/>
          <w:sz w:val="28"/>
          <w:sz w:val="28"/>
          <w:szCs w:val="28"/>
          <w:rtl w:val="true"/>
          <w:lang w:bidi="fa-IR"/>
        </w:rPr>
        <w:t xml:space="preserve">قوله ـ دام ظلّه </w:t>
      </w:r>
      <w:r>
        <w:rPr>
          <w:rStyle w:val="FootnoteAnchor"/>
          <w:rtl w:val="true"/>
        </w:rPr>
        <w:footnoteReference w:id="76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مانع فی الحدیث النبویّ لیمنع حمله علی المتبادر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المانع إعتقادنا بأنّ مولانا الرضا ـ علیه و علی آبائه و أبنائه آلاف التحیّة والثناء ـ إمام مفترض طاعته، وأنّ أقواله مأخوذة من مصباح النبوّة، مضافًا إلی </w:t>
      </w:r>
      <w:bookmarkStart w:id="232" w:name="pg3709_22206"/>
    </w:p>
    <w:p>
      <w:pPr>
        <w:pStyle w:val="BookText"/>
        <w:rPr/>
      </w:pPr>
      <w:bookmarkEnd w:id="232"/>
      <w:r>
        <w:rPr>
          <w:rFonts w:ascii="IRNazanin" w:hAnsi="IRNazanin" w:eastAsia="IRNazanin"/>
          <w:color w:val="111111"/>
          <w:sz w:val="28"/>
          <w:sz w:val="28"/>
          <w:szCs w:val="28"/>
          <w:rtl w:val="true"/>
          <w:lang w:bidi="fa-IR"/>
        </w:rPr>
        <w:t xml:space="preserve">الحدیث المتقدّم من الخصال، فللّه الحمد والمنّة فی کلّ حال، و قد بیّنا وجه الإستدلال بحیث یغنی عن إعادة المقال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أنّ اللام و علی، فی قوله ـ دام ظلّه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الحدیث النبویّ حجّة لنا لا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أقیم کلّ منهما مقام الآخر </w:t>
      </w:r>
      <w:r>
        <w:rPr>
          <w:rFonts w:eastAsia="IRNazanin" w:cs="IRNazanin"/>
          <w:color w:val="111111"/>
          <w:sz w:val="28"/>
          <w:szCs w:val="28"/>
          <w:rtl w:val="true"/>
          <w:lang w:bidi="fa-IR"/>
        </w:rPr>
        <w:t>.</w:t>
      </w:r>
    </w:p>
    <w:p>
      <w:pPr>
        <w:pStyle w:val="Heading4"/>
        <w:numPr>
          <w:ilvl w:val="3"/>
          <w:numId w:val="1"/>
        </w:numPr>
        <w:rPr/>
      </w:pPr>
      <w:bookmarkStart w:id="233" w:name="__RefHeading___Toc594185_2281741623"/>
      <w:bookmarkStart w:id="234" w:name="_Toc83"/>
      <w:bookmarkEnd w:id="233"/>
      <w:r>
        <w:rPr>
          <w:rtl w:val="true"/>
        </w:rPr>
        <w:t xml:space="preserve">ومنها قوله </w:t>
      </w:r>
      <w:r>
        <w:rPr>
          <w:rtl w:val="true"/>
        </w:rPr>
        <w:t xml:space="preserve">: </w:t>
      </w:r>
      <w:r>
        <w:rPr>
          <w:rtl w:val="true"/>
        </w:rPr>
        <w:t>إذ هو یدلّ علی أنّ المأخوذ فی تلک العبادة، إلخ</w:t>
      </w:r>
      <w:bookmarkEnd w:id="234"/>
    </w:p>
    <w:p>
      <w:pPr>
        <w:pStyle w:val="BookText"/>
        <w:rPr/>
      </w:pPr>
      <w:r>
        <w:rPr>
          <w:rFonts w:ascii="IRNazanin" w:hAnsi="IRNazanin" w:eastAsia="IRNazanin"/>
          <w:color w:val="111111"/>
          <w:sz w:val="28"/>
          <w:sz w:val="28"/>
          <w:szCs w:val="28"/>
          <w:rtl w:val="true"/>
          <w:lang w:bidi="fa-IR"/>
        </w:rPr>
        <w:t xml:space="preserve">قوله ـ دام ظلّه </w:t>
      </w:r>
      <w:r>
        <w:rPr>
          <w:rStyle w:val="FootnoteAnchor"/>
          <w:rtl w:val="true"/>
        </w:rPr>
        <w:footnoteReference w:id="76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یدلّ علی أنّ المأخوذ فی تلک العبادة، والمعتبر فی مهیّتها و جوهرها فتحًا و ختمًا، تحریمًا و تحلیلاً،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إفتتاحها التکبیر، إختتامها التسلیم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المأخوذ فی تلک العبادة، و المعتبر فی مهیّتها وجوهرها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یناسب القول بالجزئیّة، و هو ینافی ما أفاده فی الرسالة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التسلیم المحلِّل هو التسلیم الأخیر، إذ الإذن و الإیذان و الإشعار بالتحلیل المحرَّم فی الصلوة وقع بتلک الصیغة الأخیرة، و هی </w:t>
      </w:r>
      <w:r>
        <w:rPr>
          <w:rStyle w:val="FootnoteAnchor"/>
          <w:rtl w:val="true"/>
        </w:rPr>
        <w:footnoteReference w:id="769"/>
      </w:r>
      <w:r>
        <w:rPr>
          <w:rFonts w:ascii="IRNazanin" w:hAnsi="IRNazanin" w:eastAsia="IRNazanin"/>
          <w:color w:val="111111"/>
          <w:sz w:val="28"/>
          <w:sz w:val="28"/>
          <w:szCs w:val="28"/>
          <w:rtl w:val="true"/>
          <w:lang w:bidi="fa-IR"/>
        </w:rPr>
        <w:t xml:space="preserve">لیست داخلة فی الصلوة، بل هی کلام الآدمیّین، بخلاف الأولیین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و إن کان فی مقام توضیح ما أفاد غیره، لکن هذا التحریر یفید إعتقاد صاحبه بصحّته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الألف واللام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بالتحلیل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طغیان القلم، والصواب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بتحلیل المحرّم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إفتتاح الصلوة بالتکبیر و کذا الإختتام إنّما هو فعل المصلّی، وجعلهما من الأمور المأخوذة فی مهیّة العبادة لا یخفی ما فیه، و یمکن التوجیه </w:t>
      </w:r>
      <w:bookmarkStart w:id="235" w:name="pg3709_22207"/>
    </w:p>
    <w:p>
      <w:pPr>
        <w:pStyle w:val="BookText"/>
        <w:rPr/>
      </w:pPr>
      <w:bookmarkEnd w:id="235"/>
      <w:r>
        <w:rPr>
          <w:rFonts w:ascii="IRNazanin" w:hAnsi="IRNazanin" w:eastAsia="IRNazanin"/>
          <w:color w:val="111111"/>
          <w:sz w:val="28"/>
          <w:sz w:val="28"/>
          <w:szCs w:val="28"/>
          <w:rtl w:val="true"/>
          <w:lang w:bidi="fa-IR"/>
        </w:rPr>
        <w:t xml:space="preserve">بجعل المصدر مبنیًّا للمفعول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لایخفی المسامحة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إفتتاحها التکبیر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إفتتاحها بالتکبیر ؛ و کذا الکلام فی التسلیم </w:t>
      </w:r>
      <w:r>
        <w:rPr>
          <w:rFonts w:eastAsia="IRNazanin" w:cs="IRNazanin"/>
          <w:color w:val="111111"/>
          <w:sz w:val="28"/>
          <w:szCs w:val="28"/>
          <w:rtl w:val="true"/>
          <w:lang w:bidi="fa-IR"/>
        </w:rPr>
        <w:t>.</w:t>
      </w:r>
    </w:p>
    <w:p>
      <w:pPr>
        <w:pStyle w:val="Heading4"/>
        <w:numPr>
          <w:ilvl w:val="3"/>
          <w:numId w:val="1"/>
        </w:numPr>
        <w:rPr/>
      </w:pPr>
      <w:bookmarkStart w:id="236" w:name="__RefHeading___Toc594187_2281741623"/>
      <w:bookmarkStart w:id="237" w:name="_Toc84"/>
      <w:bookmarkEnd w:id="236"/>
      <w:r>
        <w:rPr>
          <w:rtl w:val="true"/>
        </w:rPr>
        <w:t xml:space="preserve">ومنها قوله </w:t>
      </w:r>
      <w:r>
        <w:rPr>
          <w:rtl w:val="true"/>
        </w:rPr>
        <w:t xml:space="preserve">: </w:t>
      </w:r>
      <w:r>
        <w:rPr>
          <w:rtl w:val="true"/>
        </w:rPr>
        <w:t>ولا دلالة فیه علی وضعه لتلک الصیغة بعد وضعه، إلخ</w:t>
      </w:r>
      <w:bookmarkEnd w:id="23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دلالة فیه علی وضعه لتلک الصیغة بعد وضعه السلام </w:t>
      </w:r>
      <w:r>
        <w:rPr>
          <w:rStyle w:val="FootnoteAnchor"/>
          <w:rtl w:val="true"/>
        </w:rPr>
        <w:footnoteReference w:id="770"/>
      </w:r>
      <w:r>
        <w:rPr>
          <w:rFonts w:ascii="Amiri" w:hAnsi="Amiri" w:eastAsia="Amiri" w:cs="Amiri"/>
          <w:color w:val="111111"/>
          <w:sz w:val="28"/>
          <w:sz w:val="28"/>
          <w:szCs w:val="28"/>
          <w:rtl w:val="true"/>
          <w:lang w:bidi="ar-SA"/>
        </w:rPr>
        <w:t xml:space="preserve">الشائع، لا لغةً، و لا عرفًا عامًّا، و لا حقیقةً شرعیّةً، و لا عرفًا خاصًّا، ولا مطابقةً و لا تضمّنًا و لا إلتزامًا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لیت شعری مَن ادّعی دلالته علی وضع لفظ التسلیم لتلک الصیغة حتّی یقابل بهذا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 التسلیم فی الحدیث شامل لصیغة السلام علینا أیضًا بقرینة ما ورد عن مولانا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شموله لها من باب شمول المطلقات لأفرادها لما ستقف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المناسب تبدیل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حقیقة 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کما لا یخفی؛ وأیضًا أنّ مقتضی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مطابقة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أن یکون الوضع بعنوان المطابقة والتضمّن والإلتزام، ولاخفاء ما فیه، والصواب إسقاط الواو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قیدًا للدلالة کما لایخفی </w:t>
      </w:r>
      <w:r>
        <w:rPr>
          <w:rFonts w:eastAsia="IRNazanin" w:cs="IRNazanin"/>
          <w:color w:val="111111"/>
          <w:sz w:val="28"/>
          <w:szCs w:val="28"/>
          <w:rtl w:val="true"/>
          <w:lang w:bidi="fa-IR"/>
        </w:rPr>
        <w:t>.</w:t>
      </w:r>
    </w:p>
    <w:p>
      <w:pPr>
        <w:pStyle w:val="Heading4"/>
        <w:numPr>
          <w:ilvl w:val="3"/>
          <w:numId w:val="1"/>
        </w:numPr>
        <w:rPr/>
      </w:pPr>
      <w:bookmarkStart w:id="238" w:name="__RefHeading___Toc594189_2281741623"/>
      <w:bookmarkStart w:id="239" w:name="_Toc85"/>
      <w:bookmarkEnd w:id="238"/>
      <w:r>
        <w:rPr>
          <w:rtl w:val="true"/>
        </w:rPr>
        <w:t xml:space="preserve">ومنها قوله </w:t>
      </w:r>
      <w:r>
        <w:rPr>
          <w:rtl w:val="true"/>
        </w:rPr>
        <w:t xml:space="preserve">: </w:t>
      </w:r>
      <w:r>
        <w:rPr>
          <w:rtl w:val="true"/>
        </w:rPr>
        <w:t>نعم یظهر من المستفیضة أنّ الآتی بتلک، إلخ</w:t>
      </w:r>
      <w:bookmarkEnd w:id="23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دام ظلّه </w:t>
      </w:r>
      <w:r>
        <w:rPr>
          <w:rStyle w:val="FootnoteAnchor"/>
          <w:rtl w:val="true"/>
        </w:rPr>
        <w:footnoteReference w:id="77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یظهر من المستفیضة أنّ الآتی بتلک الصیغة أتی بالتسلیم الموجب للإنصراف، و لعلّ منزلتها منزلة فعل مبطل </w:t>
      </w:r>
    </w:p>
    <w:p>
      <w:pPr>
        <w:pStyle w:val="BookText"/>
        <w:rPr/>
      </w:pPr>
      <w:r>
        <w:rPr>
          <w:rFonts w:ascii="IRNazanin" w:hAnsi="IRNazanin" w:eastAsia="IRNazanin"/>
          <w:color w:val="111111"/>
          <w:sz w:val="28"/>
          <w:sz w:val="28"/>
          <w:szCs w:val="28"/>
          <w:rtl w:val="true"/>
          <w:lang w:bidi="fa-IR"/>
        </w:rPr>
        <w:t xml:space="preserve">للصلوة کالحدث بعد الفراغ، و لا یلزم منه أن یکون التسلیم کلّما أطلق یتبادر منه تلک الصیغة لیلزم أن یکون الحدیث النبویّ باطلاقه حجّة للسیّد ـ دام ظلّه ـ وقد ذکرنا فی الحاشیة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السابقة </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وجه القصور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وجوه من المؤاخذة،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المستفیضة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یظهر من المستفیضة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صحیحة، إذ الحدیث المستفیض فی الإصطلاح هو ما زادت رواته عن ثلاثة فی کلّ مرتبة ؛ قال شیخنا الشهید فی الدرایة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هو ـ أی خبر الواحد ـ مستفیضٌ إن زادت رواته عن ثلاثة فی کلّ مرتبة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شیخنا البهائی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نقله فی کلّ مرتبة أزیدُ من ثلاثة فمستفیض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عند الأکثر، و أمّا عند البعض فهو ما زاد رواته فی کلّ مرتبة عن اثنین </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التقدیرین لم یصحّ إطلاق المستفیضة علی مصطلح علماء الدرایة، وعلی فرض الإغماض عنه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حال شقیقنا المکرَّم ـ دام ظلّه ـ یشبه بحال مَن یتکلّم مِن غیر شعور بمدالیل ألفاظه، و ذلک لأنّ کلامه یناقض إعتقاده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الحال فی ذلک هو أنّ تمسّکه بذیل الفقاع حدًّا أوجب ملال الطباع وخرق الأسماع، و بالغ فی الإصرار فی عدم انصراف إطلاق التسلیم إلی صیغة السلام علینا، بحیث یتوهّم أمثالنا ضعفاء العقول أنّه لیس له غیر تلک المقالة، ومع </w:t>
      </w:r>
    </w:p>
    <w:p>
      <w:pPr>
        <w:pStyle w:val="BookText"/>
        <w:rPr/>
      </w:pPr>
      <w:r>
        <w:rPr>
          <w:rFonts w:ascii="IRNazanin" w:hAnsi="IRNazanin" w:eastAsia="IRNazanin"/>
          <w:color w:val="111111"/>
          <w:sz w:val="28"/>
          <w:sz w:val="28"/>
          <w:szCs w:val="28"/>
          <w:rtl w:val="true"/>
          <w:lang w:bidi="fa-IR"/>
        </w:rPr>
        <w:t xml:space="preserve">ذلک یصرّح بأنّ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جعل التسلیم تحلیلاً للصلوة و لم یجعل بدله تکبیرًا أو تسبیحًا أو ضربًا آخر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لمّا کان فی الدخول فی الصلوة تحریم لکلام المخلوقین و التوجّه إلی الخالق، کان تحلیلها کلام المخلوقین والإنتقال عنها، وابتداء المخلوقین فی الکلام هو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مَن أتی بصیغة السلام علینا یحصل له الإنصراف عن الصلوة، و من المعلوم أنّ ذلک لا یتمّ إلاّ علی تقدیر إنصراف مطلق التسلیم إلی تلک الصیغة، و هل هو إلاّ تناقض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الوجه فی عدم إلتفاتنا فی الجواب عن الإیراد الثانی بتلک الروایة، واقتصرنا بغیرها کما نبّهنا علیه فیما سلف أیضًا ؛ والعجب أنّ شقیقنا المکرَّم ـ دام ظلّه ـ لم یتنبّه علی وجه الإقتصار، فأتی بما یناقض إعتقاده مع مبالغته علی خلافه والإصرار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لعلّ منزلتها منزلة فعل مبطل للصلوة کالحدث بعد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غرائب الأمور، لوضوح أنّ الحدث بعد الفراغ لیس مبطلاً ؛ وأیضًا لو کانت منزلة تلک الصیغة منزلة فعل مبطل للصلوة کالحدث، یلزم الحکم بکونها کذلک ولو فی الفریضة، فلو أتی بها فی التشهّد الأخیر قبل السلام علیکم، بل فی التشهدّ الأوّل أیضًا ساهیًا، یلزم الحکم بفساد الصلوة و لزوم إعادتها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نفرض المقال فیما إذا أتی بها فی التشهّد الأوّل عامدًا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أیضًا کذلک، کما عرفت ممّا فصّلنا الحال فیما سبق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وإن لم تکن مبطلة فی آخر الفرائض، لکنّها مبطلة فی آخر النوافل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باطل،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یلزم حینئذ الحکم بإعادة النافلة لو أتی بتلک الصیغة فی مقام التسلیم، و هو ممّا لا شبهة فی بطلانه ؛ مضافًا إلی أنّه یمکن دعوی الإجماع علی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لایجوز أن یقول فی التشهّد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إمّا مختصّ بالفرائض، أو مشترک بینها و بین النوافل، بیان الحال فی ذلک هو أنّ صدر الحدیث مختصّ بالفرائض کما أنّ ذیله مشترک بینهما، و علی التقدیرین الحکم بکونها مفسدة لخصوص النافلة ممّا لا یخفی فساده، ولایمکن أن یصدر مثله من أدنی الطلبة فضلاً عمّن هیّأ نفسه لتصدّی الأحکام الشرعیّة، نعوذ باللّه تعالی من فساد الفاتحة و سوء الخاتمة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لیلزم أن یکون الحدیث النبویّ بإطلاقه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ممّا یعجب صدوره ممّن له أدنی شعور و فطانة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الحال فی هذا المرام وإن ظهر ممّا أسلفناه، لکن شقیقنا المکرَّم ـ دام ظلّه ـ لمّا کرّر هذه المقالة، لا بأس لنا أن نکرّر وجه الدلالة،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شعری أیّ لازم یکون أظهر من ذلک، فإنّ إستدلاله علیه‌السلام لعدم جواز الإتیان بصیغة السلام علینا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تحلیل الصلوة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إندراج تلک الصیغة تحت التسلیم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 الصلوة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سیّما بعد تأکیده علیه‌السلام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قلت هذا فقد سلّمت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إستدلاله علیه‌السلام بقول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تحلیل الصلوة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إستدلالاً بما هو الشائع الذائع عنه صلی‌الله‌علیه‌و‌آله ـ کما هو الظاهر ـ فالأمر حینئذ ظاهر، وإلاّ فقوله علیه‌السلام قرینة علی شمول التسلیم فی النبویّ لتلک الصیغة </w:t>
      </w:r>
      <w:r>
        <w:rPr>
          <w:rFonts w:eastAsia="IRNazanin" w:cs="IRNazanin"/>
          <w:color w:val="111111"/>
          <w:sz w:val="28"/>
          <w:szCs w:val="28"/>
          <w:rtl w:val="true"/>
          <w:lang w:bidi="fa-IR"/>
        </w:rPr>
        <w:t xml:space="preserve">. </w:t>
      </w:r>
      <w:bookmarkStart w:id="240" w:name="pg3709_22211"/>
    </w:p>
    <w:p>
      <w:pPr>
        <w:pStyle w:val="BookText"/>
        <w:rPr/>
      </w:pPr>
      <w:bookmarkEnd w:id="240"/>
      <w:r>
        <w:rPr>
          <w:rFonts w:ascii="IRNazanin" w:hAnsi="IRNazanin" w:eastAsia="IRNazanin"/>
          <w:color w:val="111111"/>
          <w:sz w:val="28"/>
          <w:sz w:val="28"/>
          <w:szCs w:val="28"/>
          <w:rtl w:val="true"/>
          <w:lang w:bidi="fa-IR"/>
        </w:rPr>
        <w:t xml:space="preserve">و علی أیّ حال لایکاد یشتبه الحال علی من له أدنی أنس بکیفیّة الإستدلال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ما أدری أنّ مَن لم یقدر علی فهم هذا المطلب الظاهر الّذی ظهوره ظهور الشمس فی رابعة النهار، کیف یجترئ علی التصرّف فی أحکام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وأعجب </w:t>
      </w:r>
      <w:r>
        <w:rPr>
          <w:rStyle w:val="FootnoteAnchor"/>
          <w:rtl w:val="true"/>
        </w:rPr>
        <w:footnoteReference w:id="776"/>
      </w:r>
      <w:r>
        <w:rPr>
          <w:rFonts w:ascii="IRNazanin" w:hAnsi="IRNazanin" w:eastAsia="IRNazanin"/>
          <w:color w:val="111111"/>
          <w:sz w:val="28"/>
          <w:sz w:val="28"/>
          <w:szCs w:val="28"/>
          <w:rtl w:val="true"/>
          <w:lang w:bidi="fa-IR"/>
        </w:rPr>
        <w:t xml:space="preserve">منه تعجّبه ممّن استفاد هذا المطلب الظاهر منه،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وانّی لفی تعجّب من السیّد، مع کونه عَلَمًا فی التحقیق و التدقیق، ذا فطانة وکیاسة، و سبق جواده فی میدان الفقاهة، کیف یخفی علیه ذلک وزعم أنّ الحدیث شامل لکلتا الصیغتین باطلاقه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لعمر الحبیب انّ کلّ أحد حتّی الصبیان والمجانین لو تعجّبوا ممّن لم یستفد هذا المطلب الظاهر من قوله علیه‌السلام ، کان تعجّبهم فی موقعه </w:t>
      </w:r>
      <w:r>
        <w:rPr>
          <w:rFonts w:eastAsia="IRNazanin" w:cs="IRNazanin"/>
          <w:color w:val="111111"/>
          <w:sz w:val="28"/>
          <w:szCs w:val="28"/>
          <w:rtl w:val="true"/>
          <w:lang w:bidi="fa-IR"/>
        </w:rPr>
        <w:t>.</w:t>
      </w:r>
    </w:p>
    <w:p>
      <w:pPr>
        <w:pStyle w:val="Heading4"/>
        <w:numPr>
          <w:ilvl w:val="3"/>
          <w:numId w:val="1"/>
        </w:numPr>
        <w:rPr/>
      </w:pPr>
      <w:bookmarkStart w:id="241" w:name="__RefHeading___Toc594191_2281741623"/>
      <w:bookmarkStart w:id="242" w:name="_Toc86"/>
      <w:bookmarkEnd w:id="241"/>
      <w:r>
        <w:rPr>
          <w:rtl w:val="true"/>
        </w:rPr>
        <w:t xml:space="preserve">ومنها قوله </w:t>
      </w:r>
      <w:r>
        <w:rPr>
          <w:rtl w:val="true"/>
        </w:rPr>
        <w:t xml:space="preserve">: </w:t>
      </w:r>
      <w:r>
        <w:rPr>
          <w:rtl w:val="true"/>
        </w:rPr>
        <w:t>مع تسلیمه أوّلاً، و حکایته وفاق الأصحاب، إلخ</w:t>
      </w:r>
      <w:bookmarkEnd w:id="242"/>
    </w:p>
    <w:p>
      <w:pPr>
        <w:pStyle w:val="BookText"/>
        <w:rPr/>
      </w:pPr>
      <w:r>
        <w:rPr>
          <w:rFonts w:ascii="IRNazanin" w:hAnsi="IRNazanin" w:eastAsia="IRNazanin"/>
          <w:color w:val="111111"/>
          <w:sz w:val="28"/>
          <w:sz w:val="28"/>
          <w:szCs w:val="28"/>
          <w:rtl w:val="true"/>
          <w:lang w:bidi="fa-IR"/>
        </w:rPr>
        <w:t xml:space="preserve">قوله ـ دام ظلّه </w:t>
      </w:r>
      <w:r>
        <w:rPr>
          <w:rStyle w:val="FootnoteAnchor"/>
          <w:rtl w:val="true"/>
        </w:rPr>
        <w:footnoteReference w:id="77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تسلیمه أوّلاً، و حکایته وفاق الأصحاب ثانیًا، وذکر الموثّقة الصریحة فی البیان ثالثًا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الحال فی الجمیع، و أنّ نسبة دعوی وفاق الأصحاب إلینا فریة بلا مریة، للفرق البیّن بین دعوی تبادر شیء فی کلام جماعة من الأصحاب أو کلام جمیعهم، و بین دعوی إطباقهم علیه، کما لا یخفی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شقیقنا ـ دام ظلّه </w:t>
      </w:r>
      <w:r>
        <w:rPr>
          <w:rStyle w:val="FootnoteAnchor"/>
          <w:rtl w:val="true"/>
        </w:rPr>
        <w:footnoteReference w:id="778"/>
      </w:r>
      <w:r>
        <w:rPr>
          <w:rFonts w:ascii="IRNazanin" w:hAnsi="IRNazanin" w:eastAsia="IRNazanin"/>
          <w:color w:val="111111"/>
          <w:sz w:val="28"/>
          <w:sz w:val="28"/>
          <w:szCs w:val="28"/>
          <w:rtl w:val="true"/>
          <w:lang w:bidi="fa-IR"/>
        </w:rPr>
        <w:t xml:space="preserve">ـ أراد بذلک التنبیه علی عدم التعویل علی ما یصدر منه من النسبة، حیث أنّه ینسب إلینا ما لا خیر لنا به، بل ما نتحاشی عنه لیتفطّن </w:t>
      </w:r>
      <w:r>
        <w:rPr>
          <w:rStyle w:val="FootnoteAnchor"/>
          <w:rtl w:val="true"/>
        </w:rPr>
        <w:footnoteReference w:id="779"/>
      </w:r>
      <w:bookmarkStart w:id="243" w:name="pg3709_22212"/>
    </w:p>
    <w:p>
      <w:pPr>
        <w:pStyle w:val="BookText"/>
        <w:rPr/>
      </w:pPr>
      <w:bookmarkEnd w:id="243"/>
      <w:r>
        <w:rPr>
          <w:rFonts w:ascii="IRNazanin" w:hAnsi="IRNazanin" w:eastAsia="IRNazanin"/>
          <w:color w:val="111111"/>
          <w:sz w:val="28"/>
          <w:sz w:val="28"/>
          <w:szCs w:val="28"/>
          <w:rtl w:val="true"/>
          <w:lang w:bidi="fa-IR"/>
        </w:rPr>
        <w:t>العاقل به انّ کلّما نذکره یکون من هذا القبیل، فلایصحّ علیه التعویل، و هو من کمال تدیّنه حتّی أوجب ذلک نصب القرینة لعدم التعویل علی مقالاته الباطلة</w:t>
      </w:r>
      <w:r>
        <w:rPr>
          <w:rFonts w:eastAsia="IRNazanin" w:cs="IRNazanin"/>
          <w:color w:val="111111"/>
          <w:sz w:val="28"/>
          <w:szCs w:val="28"/>
          <w:rtl w:val="true"/>
          <w:lang w:bidi="fa-IR"/>
        </w:rPr>
        <w:t>.</w:t>
      </w:r>
    </w:p>
    <w:p>
      <w:pPr>
        <w:pStyle w:val="Heading4"/>
        <w:numPr>
          <w:ilvl w:val="3"/>
          <w:numId w:val="1"/>
        </w:numPr>
        <w:rPr/>
      </w:pPr>
      <w:bookmarkStart w:id="244" w:name="__RefHeading___Toc594193_2281741623"/>
      <w:bookmarkStart w:id="245" w:name="_Toc87"/>
      <w:bookmarkEnd w:id="244"/>
      <w:r>
        <w:rPr>
          <w:rtl w:val="true"/>
        </w:rPr>
        <w:t xml:space="preserve">ومنها قوله </w:t>
      </w:r>
      <w:r>
        <w:rPr>
          <w:rtl w:val="true"/>
        </w:rPr>
        <w:t xml:space="preserve">: </w:t>
      </w:r>
      <w:r>
        <w:rPr>
          <w:rtl w:val="true"/>
        </w:rPr>
        <w:t xml:space="preserve">فظهر فساد قوله </w:t>
      </w:r>
      <w:r>
        <w:rPr>
          <w:rtl w:val="true"/>
        </w:rPr>
        <w:t xml:space="preserve">: </w:t>
      </w:r>
      <w:r>
        <w:rPr>
          <w:rtl w:val="true"/>
        </w:rPr>
        <w:t>الإیراد المذکور إجتهاد، إلخ</w:t>
      </w:r>
      <w:bookmarkEnd w:id="245"/>
    </w:p>
    <w:p>
      <w:pPr>
        <w:pStyle w:val="BookText"/>
        <w:rPr/>
      </w:pPr>
      <w:r>
        <w:rPr>
          <w:rFonts w:ascii="IRNazanin" w:hAnsi="IRNazanin" w:eastAsia="IRNazanin"/>
          <w:color w:val="111111"/>
          <w:sz w:val="28"/>
          <w:sz w:val="28"/>
          <w:szCs w:val="28"/>
          <w:rtl w:val="true"/>
          <w:lang w:bidi="fa-IR"/>
        </w:rPr>
        <w:t xml:space="preserve">قوله ـ دام ظلّه </w:t>
      </w:r>
      <w:r>
        <w:rPr>
          <w:rStyle w:val="FootnoteAnchor"/>
          <w:rtl w:val="true"/>
        </w:rPr>
        <w:footnoteReference w:id="78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فساد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الإیراد المذکور إجتهاد فی مقابلة 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أنّه الحقّ الحقیق الّذی یلیق أن یکتب بالنور علی صفحات الحور، وأنّ من أنکر أمثال هذا الظهور یفتح علی نفسه أنواعًا من اللوم والعثور </w:t>
      </w:r>
      <w:r>
        <w:rPr>
          <w:rStyle w:val="FootnoteAnchor"/>
          <w:rtl w:val="true"/>
        </w:rPr>
        <w:footnoteReference w:id="781"/>
      </w:r>
      <w:r>
        <w:rPr>
          <w:rFonts w:ascii="IRNazanin" w:hAnsi="IRNazanin" w:eastAsia="IRNazanin"/>
          <w:color w:val="111111"/>
          <w:sz w:val="28"/>
          <w:sz w:val="28"/>
          <w:szCs w:val="28"/>
          <w:rtl w:val="true"/>
          <w:lang w:bidi="fa-IR"/>
        </w:rPr>
        <w:t xml:space="preserve">، وانکاره لیس إلاّ من جهة التقصیر فی تحصیل مبانی الفنّ ومقدّماته </w:t>
      </w:r>
      <w:r>
        <w:rPr>
          <w:rFonts w:eastAsia="IRNazanin" w:cs="IRNazanin"/>
          <w:color w:val="111111"/>
          <w:sz w:val="28"/>
          <w:szCs w:val="28"/>
          <w:rtl w:val="true"/>
          <w:lang w:bidi="fa-IR"/>
        </w:rPr>
        <w:t>.</w:t>
      </w:r>
    </w:p>
    <w:p>
      <w:pPr>
        <w:pStyle w:val="Heading4"/>
        <w:numPr>
          <w:ilvl w:val="3"/>
          <w:numId w:val="1"/>
        </w:numPr>
        <w:rPr/>
      </w:pPr>
      <w:bookmarkStart w:id="246" w:name="__RefHeading___Toc594195_2281741623"/>
      <w:bookmarkStart w:id="247" w:name="_Toc88"/>
      <w:bookmarkEnd w:id="246"/>
      <w:r>
        <w:rPr>
          <w:rtl w:val="true"/>
        </w:rPr>
        <w:t xml:space="preserve">ومنها قوله </w:t>
      </w:r>
      <w:r>
        <w:rPr>
          <w:rtl w:val="true"/>
        </w:rPr>
        <w:t xml:space="preserve">: </w:t>
      </w:r>
      <w:r>
        <w:rPr>
          <w:rtl w:val="true"/>
        </w:rPr>
        <w:t>وأنّی له بالنصّ و لیس بیده إلاّ تلک الروایات، إلخ</w:t>
      </w:r>
      <w:bookmarkEnd w:id="247"/>
    </w:p>
    <w:p>
      <w:pPr>
        <w:pStyle w:val="BookText"/>
        <w:rPr/>
      </w:pPr>
      <w:r>
        <w:rPr>
          <w:rFonts w:ascii="IRNazanin" w:hAnsi="IRNazanin" w:eastAsia="IRNazanin"/>
          <w:color w:val="111111"/>
          <w:sz w:val="28"/>
          <w:sz w:val="28"/>
          <w:szCs w:val="28"/>
          <w:rtl w:val="true"/>
          <w:lang w:bidi="fa-IR"/>
        </w:rPr>
        <w:t xml:space="preserve">قوله ـ دام ظلّه </w:t>
      </w:r>
      <w:r>
        <w:rPr>
          <w:rStyle w:val="FootnoteAnchor"/>
          <w:rtl w:val="true"/>
        </w:rPr>
        <w:footnoteReference w:id="78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أنّی له بالنصّ و لیس بیده إلاّ تلک الروایات المصرّحة بأنّ الآتی تلک الصیغة أتی بالتسلیم الموجب للإنصراف، ولذا منعوا من الإتیان بها فی التشهّد الأوّل لحصول الإنصراف به، و لیس فی التشهّد الأوّل إنصراف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ما لا یخفی،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صریح فی إنصراف التسلیم المطلق بل مع قیام القرینة علی أنّ المراد به السلام علیکم إلی صیغة السلام علینا علی ما ظهر لک ممّا بیّناه، فهو مناقض لمرامه من غیر شعور له بمعانی کلامه </w:t>
      </w:r>
      <w:r>
        <w:rPr>
          <w:rFonts w:eastAsia="IRNazanin" w:cs="IRNazanin"/>
          <w:color w:val="111111"/>
          <w:sz w:val="28"/>
          <w:szCs w:val="28"/>
          <w:rtl w:val="true"/>
          <w:lang w:bidi="fa-IR"/>
        </w:rPr>
        <w:t xml:space="preserve">. </w:t>
      </w:r>
      <w:bookmarkStart w:id="248" w:name="pg3709_22213"/>
    </w:p>
    <w:p>
      <w:pPr>
        <w:pStyle w:val="BookText"/>
        <w:rPr/>
      </w:pPr>
      <w:bookmarkEnd w:id="248"/>
      <w:r>
        <w:rPr>
          <w:rFonts w:ascii="IRNazanin" w:hAnsi="IRNazanin" w:eastAsia="IRNazanin"/>
          <w:color w:val="111111"/>
          <w:sz w:val="28"/>
          <w:sz w:val="28"/>
          <w:szCs w:val="28"/>
          <w:rtl w:val="true"/>
          <w:lang w:bidi="fa-IR"/>
        </w:rPr>
        <w:t xml:space="preserve">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لیس فی التشهّد الأوّل إنصراف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أنّه حمل الإنصراف علی الفراغ من الصلوة، مع انّ کلامه فی السابق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ونحن لاننازع فی أنّه لو أتی بالصیغة الأخری فقد انصرف عن الصلوة، لأنّ تلک الصیغة مفسدة للعبادة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أنّه حمل الإنصراف علی 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أنّ مقصوده ـ دام ظلّه </w:t>
      </w:r>
      <w:r>
        <w:rPr>
          <w:rStyle w:val="FootnoteAnchor"/>
          <w:rtl w:val="true"/>
        </w:rPr>
        <w:footnoteReference w:id="783"/>
      </w:r>
      <w:r>
        <w:rPr>
          <w:rFonts w:ascii="IRNazanin" w:hAnsi="IRNazanin" w:eastAsia="IRNazanin"/>
          <w:color w:val="111111"/>
          <w:sz w:val="28"/>
          <w:sz w:val="28"/>
          <w:szCs w:val="28"/>
          <w:rtl w:val="true"/>
          <w:lang w:bidi="fa-IR"/>
        </w:rPr>
        <w:t xml:space="preserve">ـ تکثیر السواد من غیر سلوک فی سبیل الرشاد، بل ولو أوجب علی نفسه أنواع العتاب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أدری ما الباعث له علی الإصرار فی عدم جواز الإنصراف عن النوافل بصیغة السلام علینا، مع جعله الروایات مصرّحة فی حصول الإنصراف بها، وکون الصلوة فیها أعمّ من النوافل و الفرائض، و هو معترف بذلک، بل ادّعی إتّفاق أهل الحلّ والعقد علیه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دعواه فی النبویّ المذکور، والکلام هنا فی الروایات ؛ لِما فصّلنا المقال فی ذلک </w:t>
      </w:r>
      <w:r>
        <w:rPr>
          <w:rFonts w:eastAsia="IRNazanin" w:cs="IRNazanin"/>
          <w:color w:val="111111"/>
          <w:sz w:val="28"/>
          <w:szCs w:val="28"/>
          <w:rtl w:val="true"/>
          <w:lang w:bidi="fa-IR"/>
        </w:rPr>
        <w:t>.</w:t>
      </w:r>
    </w:p>
    <w:p>
      <w:pPr>
        <w:pStyle w:val="Heading4"/>
        <w:numPr>
          <w:ilvl w:val="3"/>
          <w:numId w:val="1"/>
        </w:numPr>
        <w:rPr/>
      </w:pPr>
      <w:bookmarkStart w:id="249" w:name="__RefHeading___Toc594197_2281741623"/>
      <w:bookmarkStart w:id="250" w:name="_Toc89"/>
      <w:bookmarkEnd w:id="249"/>
      <w:r>
        <w:rPr>
          <w:rtl w:val="true"/>
        </w:rPr>
        <w:t xml:space="preserve">ومنها قوله </w:t>
      </w:r>
      <w:r>
        <w:rPr>
          <w:rtl w:val="true"/>
        </w:rPr>
        <w:t xml:space="preserve">: </w:t>
      </w:r>
      <w:r>
        <w:rPr>
          <w:rtl w:val="true"/>
        </w:rPr>
        <w:t>وقد عرفت أنّ مجرّد ذلک لا یدلّ علی، إلخ</w:t>
      </w:r>
      <w:bookmarkEnd w:id="25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دام ظلّه </w:t>
      </w:r>
      <w:r>
        <w:rPr>
          <w:rStyle w:val="FootnoteAnchor"/>
          <w:rtl w:val="true"/>
        </w:rPr>
        <w:footnoteReference w:id="78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مجرّد ذلک لا یدلّ علی المدّعی، کما أنّ الفقّاع یطلق علیه الخمر فی الروایات، ولایستلزم الإستعمال أن یکون حقیقة، إذ الإستعمال أعمّ من الحقیقة ـ کما حقّق فی محلّه ـ و قد کان فی خاطری أنّ المحقّق المبرور مولانا آقا محمّد باقر قد صرّح بذلک فی فوائده العتیق، ولیس عندی لأنظر فیه وأنقل کلامه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الکلام منه یدلّ علی أنّه ینکر کون إطلاق التسلیم علی السلام علینا علی وجه الحقیقة، وقد تقدّم منه أیضًا، و سیجیء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الکلام فی أنّ التسلیم لیس أمرًا زائدًا علی السلام الشائع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غیر صحیح، بل الظاهر أنّه لاینبغی التشکیک فی کونه حقیقة فی کلتا الصیغتین، و الدلیل علی ذلک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فیما 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تقول فی التشهّد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للقطع بکون لفظ التسلیم فی السلام علیکم حقیقة، و بشموله فی قوله علیه‌السلام له و لقول السلام علینا، فلو کان مجازًا فیه یلزم الجمع بین المعنی الحقیقیّ و المجازیّ فی استعمال واحد، و هو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فی کثیر من العبارات بحیث لایبقی معه شکّ وارتیاب، قال المحقّق فی المعتبر بعد الحکم بأنّ کلّ واحدة من الصیغتین یکفی فی الخروج،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أنّ کلّ واحد منهما کاف فی الخروج من الصلوة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وتحلیلها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یقع علی کلّ واحد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فیما بعد ذلک أیضًا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أحتججتم بفعل النبیّ صلی‌الله‌علیه‌و‌آله و هو لم یخرج إلاّ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فیجب الإقتصار علیه،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علی الجواز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وتحلیلها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یصدق علی کلّ ما یسمّی تسلیمًا، إنتهی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معلوم أنّ هذا الإستدلال إنّما یصحّ لو کان اللفظ حقیقة فی کلّ منهما، لوضوح لزوم حمل الألفاظ علی معانیها الحقیقیّة، فاحتمال إرادة المعنی المجازیّ لایعارض الحمل علی الحقیقیّ ولا یجامع معه، فالإستدلال </w:t>
      </w:r>
      <w:r>
        <w:rPr>
          <w:rStyle w:val="FootnoteAnchor"/>
          <w:rtl w:val="true"/>
        </w:rPr>
        <w:footnoteReference w:id="787"/>
      </w:r>
      <w:r>
        <w:rPr>
          <w:rFonts w:ascii="IRNazanin" w:hAnsi="IRNazanin" w:eastAsia="IRNazanin"/>
          <w:color w:val="111111"/>
          <w:sz w:val="28"/>
          <w:sz w:val="28"/>
          <w:szCs w:val="28"/>
          <w:rtl w:val="true"/>
          <w:lang w:bidi="fa-IR"/>
        </w:rPr>
        <w:t xml:space="preserve">المذکور لایصحّ </w:t>
      </w:r>
      <w:r>
        <w:rPr>
          <w:rStyle w:val="FootnoteAnchor"/>
          <w:rtl w:val="true"/>
        </w:rPr>
        <w:footnoteReference w:id="788"/>
      </w:r>
      <w:r>
        <w:rPr>
          <w:rFonts w:ascii="IRNazanin" w:hAnsi="IRNazanin" w:eastAsia="IRNazanin"/>
          <w:color w:val="111111"/>
          <w:sz w:val="28"/>
          <w:sz w:val="28"/>
          <w:szCs w:val="28"/>
          <w:rtl w:val="true"/>
          <w:lang w:bidi="fa-IR"/>
        </w:rPr>
        <w:t xml:space="preserve">إلاّ علی تقدیر کونه حقیقة فی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فی المنتهی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عبارتان إحدیهما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 علی عباد اللّه الصالحین، 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و برکاته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أصحابنا من أوجب العبارة الثانیة، ذهب إلیه علم الهدی، وأبوالصلاح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وتحلیلها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یقع علی کلّ واحد منهما، وکذا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وآخر الصلوة التسلیم </w:t>
      </w:r>
      <w:r>
        <w:rPr>
          <w:rFonts w:eastAsia="IRNazanin" w:cs="IRNazanin"/>
          <w:color w:val="111111"/>
          <w:sz w:val="28"/>
          <w:szCs w:val="28"/>
          <w:rtl w:val="true"/>
          <w:lang w:bidi="fa-IR"/>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بأیّهما بدء کان الآخر مستحبًّا، وکان الخروج بالأوّل، لقوله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وتحلیلها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یتناول کلّ واحد منهما، فیحصل التحلیل </w:t>
      </w:r>
      <w:r>
        <w:rPr>
          <w:rStyle w:val="FootnoteAnchor"/>
          <w:rtl w:val="true"/>
        </w:rPr>
        <w:footnoteReference w:id="790"/>
      </w:r>
      <w:r>
        <w:rPr>
          <w:rFonts w:ascii="Amiri" w:hAnsi="Amiri" w:eastAsia="Amiri" w:cs="Amiri"/>
          <w:color w:val="111111"/>
          <w:sz w:val="28"/>
          <w:sz w:val="28"/>
          <w:szCs w:val="28"/>
          <w:rtl w:val="true"/>
          <w:lang w:bidi="ar-SA"/>
        </w:rPr>
        <w:t xml:space="preserve">والخروج من الصلوة به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العبارة الأولی مستفاد من الأحادیث المنقولة عن أهل البیت علیهم‌السلام ومن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وتحلیلها التسلیم، وهو یصدق علی العبارة الأولی أیضًا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الشرائع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عبارتان، إحدیهما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والأخری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النافع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صورته السلام علینا و علی عباد اللّه الصالحین، أو </w:t>
      </w:r>
      <w:r>
        <w:rPr>
          <w:rStyle w:val="FootnoteAnchor"/>
          <w:rtl w:val="true"/>
        </w:rPr>
        <w:footnoteReference w:id="794"/>
      </w:r>
      <w:r>
        <w:rPr>
          <w:rFonts w:ascii="IRNazanin" w:hAnsi="IRNazanin" w:eastAsia="IRNazanin"/>
          <w:color w:val="111111"/>
          <w:sz w:val="28"/>
          <w:sz w:val="28"/>
          <w:szCs w:val="28"/>
          <w:rtl w:val="true"/>
          <w:lang w:bidi="fa-IR"/>
        </w:rPr>
        <w:t xml:space="preserve">السلام علیکم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التذکرة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عبارتان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 و</w:t>
      </w:r>
      <w:r>
        <w:rPr>
          <w:rStyle w:val="FootnoteAnchor"/>
          <w:rtl w:val="true"/>
        </w:rPr>
        <w:footnoteReference w:id="796"/>
      </w:r>
      <w:r>
        <w:rPr>
          <w:rFonts w:ascii="IRNazanin" w:hAnsi="IRNazanin" w:eastAsia="IRNazanin"/>
          <w:color w:val="111111"/>
          <w:sz w:val="28"/>
          <w:sz w:val="28"/>
          <w:szCs w:val="28"/>
          <w:rtl w:val="true"/>
          <w:lang w:bidi="fa-IR"/>
        </w:rPr>
        <w:t xml:space="preserve">السلام علیکم ورحمة اللّه و برکاته، لقوله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تحلیلها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یقع علی کلّ واحد منهما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نهایة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صیغتان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والسلام علیکم ورحمة اللّه و برکاته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التحریر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للتسلیم صورتان، أیّتهما وقعت أجزأه، السلام علینا و علی عباد اللّه الصالحین، السلام علیکم و رحمة اللّه و برکاته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القواعد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و برکاته،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الإرشاد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ورحمة اللّه و برکاته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التبصرة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أو السلام علیکم ورحمة اللّه و برکاته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 کالصحیح المرویّ فی التهذیب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بقوم صلوة، فقعدت للتشهّد، ثمّ قمت و نسیت أن أسلّم علیهم،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سلّمت علینا،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تسلّم و أنت جالس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فلابأس علیک، الحدیث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الدلالة هو أنّه لو کان لفظ التسلیم مجازًا فی السلام علینا، لصحّ سلبه عنه، واللازم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الملازمة فظاهرة، لوضوح أنّ من أمارات المجاز صحّة السلب، وأمّا بطلان الثانی فلأنّ الظاهر من صدرالحدیث وذیله هوأنّ المنسیّ السلام علیکم، ومع ذلک لم یمکن </w:t>
      </w:r>
      <w:r>
        <w:rPr>
          <w:rStyle w:val="FootnoteAnchor"/>
          <w:rtl w:val="true"/>
        </w:rPr>
        <w:footnoteReference w:id="804"/>
      </w:r>
      <w:r>
        <w:rPr>
          <w:rFonts w:ascii="IRNazanin" w:hAnsi="IRNazanin" w:eastAsia="IRNazanin"/>
          <w:color w:val="111111"/>
          <w:sz w:val="28"/>
          <w:sz w:val="28"/>
          <w:szCs w:val="28"/>
          <w:rtl w:val="true"/>
          <w:lang w:bidi="fa-IR"/>
        </w:rPr>
        <w:t xml:space="preserve">للراوی أن یعترف بعدم صدور التسلیم عنه، علی ما ستقف </w:t>
      </w:r>
    </w:p>
    <w:p>
      <w:pPr>
        <w:pStyle w:val="BookText"/>
        <w:rPr/>
      </w:pPr>
      <w:r>
        <w:rPr>
          <w:rFonts w:ascii="IRNazanin" w:hAnsi="IRNazanin" w:eastAsia="IRNazanin"/>
          <w:color w:val="111111"/>
          <w:sz w:val="28"/>
          <w:sz w:val="28"/>
          <w:szCs w:val="28"/>
          <w:rtl w:val="true"/>
          <w:lang w:bidi="fa-IR"/>
        </w:rPr>
        <w:t>علی تحقیق الحال فی ذلک، وذلک لا یکون إلاّ لکون هذا اللفظ حقیقة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معارض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نسیت أن أسلّم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سلّمت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لتحقّق السلب فیه ؛ لوضوح أنّ السلام علیهم إنّما یتحقّق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أنّ المراد السلام علیکم، والکلام إنّما هو فی لفظ التسلیم المطلق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المرویّ فی التهذیب أیضًا،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إمامًا فإنّما التسلیم أن تسلّم علی النبیّ ـ علیه و آله السلام ـ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علینا و علی عباد اللّه الصالحین، فإذا قلت ذلک، فقد انقطعت الصلوة </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ما دلّ الدلیل علی إخراجه، فبقی غیره مندرجًا تحت الدلیل، فعلی ما ذکر یظهر أنّ مقتضی قول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التسلیم فی غیر موقعه ساهیًا یوجب سجدة السهو، یعمّ الصیغتین، و مقتضی ما ذکره من کون التسلیم فی کلامهم حقیقة فی السلام علیکم فقط، ینبغی أن یحکم بعدم وجوب سجدتی السهو فیما إذا أتی بصیغة السلام علینا فقط فی غیر محلّها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ما ذکره شقیقنا المکرَّم ـ دام ظلّه </w:t>
      </w:r>
      <w:r>
        <w:rPr>
          <w:rStyle w:val="FootnoteAnchor"/>
          <w:rtl w:val="true"/>
        </w:rPr>
        <w:footnoteReference w:id="806"/>
      </w:r>
      <w:r>
        <w:rPr>
          <w:rFonts w:ascii="IRNazanin" w:hAnsi="IRNazanin" w:eastAsia="IRNazanin"/>
          <w:color w:val="111111"/>
          <w:sz w:val="28"/>
          <w:sz w:val="28"/>
          <w:szCs w:val="28"/>
          <w:rtl w:val="true"/>
          <w:lang w:bidi="fa-IR"/>
        </w:rPr>
        <w:t>ـ وإن کان مأخوذًا ممّا ذکره شیخنا الشهید، حیث قال فی الذکری ردًّا علی ما ذکره المحقّق فی المعتبر، ما هذا لفظه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واحتجاجه علیه بصدق اسم التسلیم علیه محلّ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راوی هذا الخبر ـ مسندًا من العامّة،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من الخاصّة ـ یزعم أنّ اللام فی التسلیم للعهد، وهو التسلیم المعروف المخرج من الصلوة عندهم </w:t>
      </w:r>
    </w:p>
    <w:p>
      <w:pPr>
        <w:pStyle w:val="BookText"/>
        <w:rPr/>
      </w:pPr>
      <w:r>
        <w:rPr>
          <w:rFonts w:ascii="IRNazanin" w:hAnsi="IRNazanin" w:eastAsia="IRNazanin"/>
          <w:color w:val="111111"/>
          <w:sz w:val="28"/>
          <w:sz w:val="28"/>
          <w:szCs w:val="28"/>
          <w:rtl w:val="true"/>
          <w:lang w:bidi="fa-IR"/>
        </w:rPr>
        <w:t>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عبارة التسلیم قد صارت متعارفة بین الخاصّة والعامّة فی السلام علیکم، یعلم ذلک من تتبّع </w:t>
      </w:r>
      <w:r>
        <w:rPr>
          <w:rStyle w:val="FootnoteAnchor"/>
          <w:rtl w:val="true"/>
        </w:rPr>
        <w:footnoteReference w:id="807"/>
      </w:r>
      <w:r>
        <w:rPr>
          <w:rFonts w:ascii="IRNazanin" w:hAnsi="IRNazanin" w:eastAsia="IRNazanin"/>
          <w:color w:val="111111"/>
          <w:sz w:val="28"/>
          <w:sz w:val="28"/>
          <w:szCs w:val="28"/>
          <w:rtl w:val="true"/>
          <w:lang w:bidi="fa-IR"/>
        </w:rPr>
        <w:t xml:space="preserve">الأخبار والتصانیف حیث یذکر فیها ألفاظ السلام المستحبّة، ثمّ یقال بعدها وبعد السلام علینا و علی عباد اللّه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یسلّم، و هذا تصریح منهم بأنّ اسم التسلیم الشرعیّ مختصّ بصیغة السلام علیکم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آخر ما ذکره، لکنّه محلّ تأمّل،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ما ذکره من أنّ راوی هذا الخبر إلخ، مبنیّ علی عدم الظفر بما نبّهنا علیه من کونه مرویًّا فی العیون و غیره بما هو صریح فی شمول التسلیم فی الحدیث لقول السلام علینا، و منه یظهر قوّة ما ذکره المحقّق و العلاّمة فی المعتبر والمنتهی و التذکرة من الحکم بشمول التسلیم فیه لقول السلام علینا أیضًا، و ضعف دعوی اختصاصه بالسلام علیکم علی ما أوضحناه بما لا مزید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ما ذکره ـ نوّر اللّه روحه ـ من أنّه یعلم ذلک من تتبّع الأخبار إلخ، غیر معلوم الصحّة، وإنّما یکون الأمر کذلک فی موثّقة أبی بصیر المتقدّمة وبعض العبارات، بل فی الأخبار و العبارات ما یناقضه، لدلالتهما علی أنّه حقیقة فی اللفظین کما عرفت مفصّلاً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تنبیهٌ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 تبیّن أنّه لایمکن الحکم بوجوب سجدتی السهو بالسلام علی النبیّ صلی‌الله‌علیه‌و‌آله </w:t>
      </w:r>
    </w:p>
    <w:p>
      <w:pPr>
        <w:pStyle w:val="BookText"/>
        <w:rPr/>
      </w:pPr>
      <w:r>
        <w:rPr>
          <w:rFonts w:ascii="IRNazanin" w:hAnsi="IRNazanin" w:eastAsia="IRNazanin"/>
          <w:color w:val="111111"/>
          <w:sz w:val="28"/>
          <w:sz w:val="28"/>
          <w:szCs w:val="28"/>
          <w:rtl w:val="true"/>
          <w:lang w:bidi="fa-IR"/>
        </w:rPr>
        <w:t xml:space="preserve">فی غیر محلّه سهوًا، فلو قال فی الرکعة الثالثة مثلاً ـ مع إعتقاد أنّها الرابعة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 رحمة اللّه و برکاته، فتذکّر أنّها الثالثة، لایجب علیه سجدتا السهو، لأنّهم تمسّکوا فی الحکم بوجوبهما بأمور،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إطباقهم علیه، قال المحقّق فی المعتبر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علماؤنا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سلّم فی غیر موضعه ناسیًا، سجد للسهو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العلاّمة فی المنتهی أنّه ادّعی إجماع الفرقة علیه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التسلیم من جملة الکلام، فما دلّ علی وجوب السجدتین بالتکلّم ناسیًا یشمل ما نحن فیه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استدلّ به فی المعتبر من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صلّی ثلث رکعات وظنّ أنّها أربع، فسلّم ثمّ ذکر أنّها ثلث،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علی صلوته و یصلّی رکعة ویتشهّد و یسلّم و یسجد للسهو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شیء منها لا یمکن التمسّک به فیما نحن فیه، أمّا دعوی الإطباق، فلما عرفت من عدم انصراف التسلیم إلی ما نحن فیه، مضافًا إلی ما فی أصل المسئلة من الخلاف، فإنّ المحکیّ عن الصدوق و والده عدم وجوب السجدتین للسلام مطلقًا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أمّا انّ التسلیم من جملة الکلام، فلأنّا علی فرض تسلیم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غیر السلام علی النبیّ صلی‌الله‌علیه‌و‌آله ، لما ستقف علیه من صحیحة الحلبیّ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ذکرت اللّه به والنبیّ صلی‌الله‌علیه‌و‌آله ، فهو من الصلوة </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أتی به فی جمیع أحوال الصلوة ولو متعمّدًا، فلا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 الطائفة فی مقام بیان الذکر فی هذه السجدة ما هذا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السلام علیک أیّها النبیّ و رحمة اللّه وبرکاته، وغیر ذلک من الأذکار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یستفاد ذلک </w:t>
      </w:r>
      <w:r>
        <w:rPr>
          <w:rStyle w:val="FootnoteAnchor"/>
          <w:rtl w:val="true"/>
        </w:rPr>
        <w:footnoteReference w:id="815"/>
      </w:r>
      <w:r>
        <w:rPr>
          <w:rFonts w:ascii="IRNazanin" w:hAnsi="IRNazanin" w:eastAsia="IRNazanin"/>
          <w:color w:val="111111"/>
          <w:sz w:val="28"/>
          <w:sz w:val="28"/>
          <w:szCs w:val="28"/>
          <w:rtl w:val="true"/>
          <w:lang w:bidi="fa-IR"/>
        </w:rPr>
        <w:t>من روایة أبی کهمش الآتیة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الرکعتین الأولیین إذا جلست فیهما للتشهّد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 رحمة اللّه و برکاته إنصراف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فهو الإنصراف </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ستقف علی وجه الدلالة فی بعض </w:t>
      </w:r>
      <w:bookmarkStart w:id="251" w:name="pg3709_22222"/>
    </w:p>
    <w:p>
      <w:pPr>
        <w:pStyle w:val="BookText"/>
        <w:rPr/>
      </w:pPr>
      <w:bookmarkEnd w:id="251"/>
      <w:r>
        <w:rPr>
          <w:rFonts w:ascii="IRNazanin" w:hAnsi="IRNazanin" w:eastAsia="IRNazanin"/>
          <w:color w:val="111111"/>
          <w:sz w:val="28"/>
          <w:sz w:val="28"/>
          <w:szCs w:val="28"/>
          <w:rtl w:val="true"/>
          <w:lang w:bidi="fa-IR"/>
        </w:rPr>
        <w:t xml:space="preserve">المباحث </w:t>
      </w:r>
      <w:r>
        <w:rPr>
          <w:rStyle w:val="FootnoteAnchor"/>
          <w:rtl w:val="true"/>
        </w:rPr>
        <w:footnoteReference w:id="817"/>
      </w:r>
      <w:r>
        <w:rPr>
          <w:rFonts w:ascii="IRNazanin" w:hAnsi="IRNazanin" w:eastAsia="IRNazanin"/>
          <w:color w:val="111111"/>
          <w:sz w:val="28"/>
          <w:sz w:val="28"/>
          <w:szCs w:val="28"/>
          <w:rtl w:val="true"/>
          <w:lang w:bidi="fa-IR"/>
        </w:rPr>
        <w:t xml:space="preserve">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الحدیث، فلما عرفت من عدم إنصراف التسلیم إلی ما نحن فیه، فالظاهر انّ المسئلة ممّا لا ینبغی التأمّل فیها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إیّاک أن تتعجّب من قوله ـ دام ظلّه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کان فی خاطری أنّ المحقّق المبرور مولانا آقا محمّد باقر، قد صرّح بذلک فی فوائده العتیق، و لیس عندی لأنظر فیه و أنقل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الإنصاف انّ مَن لا ربط له فی فنّ یخاف من التکلّم فیه، فیتصدّی لدفع إحتمال المؤاخذة عنه ولو فی الأمور الظاهرة وإن کان بمثل هذا الکلام الّذی یتعجّب منه الصبیان والعوام </w:t>
      </w:r>
      <w:r>
        <w:rPr>
          <w:rFonts w:eastAsia="IRNazanin" w:cs="IRNazanin"/>
          <w:color w:val="111111"/>
          <w:sz w:val="28"/>
          <w:szCs w:val="28"/>
          <w:rtl w:val="true"/>
          <w:lang w:bidi="fa-IR"/>
        </w:rPr>
        <w:t>.</w:t>
      </w:r>
    </w:p>
    <w:p>
      <w:pPr>
        <w:pStyle w:val="Heading4"/>
        <w:numPr>
          <w:ilvl w:val="3"/>
          <w:numId w:val="1"/>
        </w:numPr>
        <w:rPr/>
      </w:pPr>
      <w:bookmarkStart w:id="252" w:name="__RefHeading___Toc594199_2281741623"/>
      <w:bookmarkStart w:id="253" w:name="_Toc90"/>
      <w:bookmarkEnd w:id="252"/>
      <w:r>
        <w:rPr>
          <w:rtl w:val="true"/>
        </w:rPr>
        <w:t xml:space="preserve">ومنها قوله بعد أن عنون قولنا </w:t>
      </w:r>
      <w:r>
        <w:rPr>
          <w:rtl w:val="true"/>
        </w:rPr>
        <w:t xml:space="preserve">: </w:t>
      </w:r>
      <w:r>
        <w:rPr>
          <w:rtl w:val="true"/>
        </w:rPr>
        <w:t xml:space="preserve">لا یقال </w:t>
      </w:r>
      <w:r>
        <w:rPr>
          <w:rtl w:val="true"/>
        </w:rPr>
        <w:t xml:space="preserve">: </w:t>
      </w:r>
      <w:r>
        <w:rPr>
          <w:rtl w:val="true"/>
        </w:rPr>
        <w:t>إنّ التمسّک به، إلخ</w:t>
      </w:r>
      <w:bookmarkEnd w:id="253"/>
    </w:p>
    <w:p>
      <w:pPr>
        <w:pStyle w:val="BookText"/>
        <w:rPr/>
      </w:pPr>
      <w:r>
        <w:rPr>
          <w:rFonts w:ascii="IRNazanin" w:hAnsi="IRNazanin" w:eastAsia="IRNazanin"/>
          <w:color w:val="111111"/>
          <w:sz w:val="28"/>
          <w:sz w:val="28"/>
          <w:szCs w:val="28"/>
          <w:rtl w:val="true"/>
          <w:lang w:bidi="fa-IR"/>
        </w:rPr>
        <w:t xml:space="preserve">قوله دام ظلّه </w:t>
      </w:r>
      <w:r>
        <w:rPr>
          <w:rStyle w:val="FootnoteAnchor"/>
          <w:rtl w:val="true"/>
        </w:rPr>
        <w:footnoteReference w:id="819"/>
      </w:r>
      <w:r>
        <w:rPr>
          <w:rFonts w:ascii="IRNazanin" w:hAnsi="IRNazanin" w:eastAsia="IRNazanin"/>
          <w:color w:val="111111"/>
          <w:sz w:val="28"/>
          <w:sz w:val="28"/>
          <w:szCs w:val="28"/>
          <w:rtl w:val="true"/>
          <w:lang w:bidi="fa-IR"/>
        </w:rPr>
        <w:t xml:space="preserve">ـ بعد أن عنون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التمسّک به </w:t>
      </w:r>
      <w:r>
        <w:rPr>
          <w:rStyle w:val="FootnoteAnchor"/>
          <w:rtl w:val="true"/>
        </w:rPr>
        <w:footnoteReference w:id="820"/>
      </w:r>
      <w:r>
        <w:rPr>
          <w:rFonts w:ascii="IRNazanin" w:hAnsi="IRNazanin" w:eastAsia="IRNazanin"/>
          <w:color w:val="111111"/>
          <w:sz w:val="28"/>
          <w:sz w:val="28"/>
          <w:szCs w:val="28"/>
          <w:rtl w:val="true"/>
          <w:lang w:bidi="fa-IR"/>
        </w:rPr>
        <w:t xml:space="preserve">فیما نحن فیه غیر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قولنا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فکذا بالإضافة إلی تحلیلها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ندّعی و لا أحد من أهل الحلّ و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المسلمین </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 xml:space="preserve">خلاف ذلک، سواء کان المتبادر منها الفریضة أو الأعمّ </w:t>
      </w:r>
      <w:r>
        <w:rPr>
          <w:rStyle w:val="FootnoteAnchor"/>
          <w:rtl w:val="true"/>
        </w:rPr>
        <w:footnoteReference w:id="822"/>
      </w:r>
      <w:r>
        <w:rPr>
          <w:rFonts w:ascii="IRNazanin" w:hAnsi="IRNazanin" w:eastAsia="IRNazanin"/>
          <w:color w:val="111111"/>
          <w:sz w:val="28"/>
          <w:sz w:val="28"/>
          <w:szCs w:val="28"/>
          <w:rtl w:val="true"/>
          <w:lang w:bidi="fa-IR"/>
        </w:rPr>
        <w:t xml:space="preserve">، إذ الوضوء شرط لصحّة الصلوة مطلقًا، و لا حاجة إلی إستثناء صلوة المیّت، إذ هی فی الحقیقة دعاء، فکما أنّ الوضوء شرط لمطلقها، فکذلک التحریم والتحلیل مأخوذان فیها مطلقًا، فریضة کانت أو نافلة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هل رأیت أحدًا یقول بأنّ النافلة لاتسلیم فیها، بل الکلام فی أنّ التسلیم لیس أمرًا زائدًا علی السلام الشائع، فالصلوة ـ أیّ صلوة کانت ـ محتاجة إلی محلِّل یحصل التحلیل به، کما أنّ الصلوة مطلقًا لها مبدأ به یتحقّق التحریم، و لا یدلّ تلک الأخبار والآثار علی أمر زائد، بل مدلول تلک الأخبار هو أنّ التحلیل یحصل بالتسلیم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المتبادر من التسلیم هو الکلام الشائع بین المخلوقین المعبّر عنه بالسلام علیکم، و لا ینکر ذلک أحد، حتّی أنّ السیّد ـ سلّمه اللّه، لتقدّس نفسه الزکیّة، مع کونه منازعًا ـ لم یخرج عن الإنصاف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التبادر المذکور إتّفاقیّ، و کلمات الأصحاب متّفقة علی التبادر، بل النصوص مصرّحة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بید السیّد إلاّ تلک الأخبار الدالّة علی أنّ المصلّی إذا أتی بالصیغة الأخری فقد أتی بالتسلیم، و هذا القدر لا یکفیه، لأنّی لا أنکر أنّ المصلّی نافلة إذا أتی بتلک الصیغة منفردة، أو مع إنضمام السلام الشائع أتی بالمحلِّل، لأنّ بتلک الصیغة یتحقّق الإنصراف، و لکنّ الکلام فی أنّ الوارد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علینا </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من العترة الطاهرة روایة لیس إلاّ الأمر بالتسلیم بقولهم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 تسلیمة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تسلّم تسلیمًا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کلّ رکعتین تسلیمة واحدة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الإعتراف بالتبادر و بلوغ الأخبار عنهم بالتسلیمة، أو التسلیمة الواحدة، فلامجال للسیّد ـ دام ظلّه واجتهاده ـ بأنّ النافلة لابدّ أن یکون </w:t>
      </w:r>
    </w:p>
    <w:p>
      <w:pPr>
        <w:pStyle w:val="BookText"/>
        <w:rPr/>
      </w:pPr>
      <w:r>
        <w:rPr>
          <w:rFonts w:ascii="IRNazanin" w:hAnsi="IRNazanin" w:eastAsia="IRNazanin"/>
          <w:color w:val="111111"/>
          <w:sz w:val="28"/>
          <w:sz w:val="28"/>
          <w:szCs w:val="28"/>
          <w:rtl w:val="true"/>
          <w:lang w:bidi="fa-IR"/>
        </w:rPr>
        <w:t xml:space="preserve">تحلیلها کتحلیل الفریضة، و الإتیان بالصیغ الثلاث أو الإثنین لأجل اتّحاد المهیّة، و لأنّ بالصیغة المذکورة یحصل الإنصراف، مع أنّ الوارد فی الأخبار الأمر بالتسلیمة و بیان التشهّد فی الفریضة و عدّ الصیغ فیها، وبیان التشهّد فی النافلة و عدم التعرّض لتلک الصیغ، والمبیِّن مثل شیخ الفرقة ورئیس الطائفة کما سیذکر السیّد منه و من جماعة من المشایخ العظام، أیّ باعث و داع له علی الإبرام فی ذلک، والحمد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إنتهی کلامه الدالّ علی عدم ربطه فی أمور الدین، وافترائه علی أمناء ربّ العالمین، و عدم مبالاته بمؤاخذة یوم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أردت أن ینکشف لک حقیقة الحال فاستمع لما أتلو علیک بعنوان الإستعجال مع کثرة الأشغال و ضیق المجال وکون الأوقات أعزّ من أن یصرف فی أمثال هذه الأمور الّتی یتعجّب منها الأطفال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أفاده وأفضح حاله منظور فیه،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ولایدلّ تلک الأخبار والآثار علی أمر 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الفساد، ضروریّ البطلان، یتعجّب منه العوام والصبیان، لأنّ ما روی عنه علیه‌السلام من 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لایجوز أن یقول فی التشهّد الأوّل السلام علینا و علی عباد اللّه الصالحین، لأنّ تحلیل الصلوة التسلیم، فإذا قلت هذا فقد سلّمت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أنّه یحصل التحلیل بصیغة السلام علینا، وقد عرفت أنّ الصلوة فیه و فی أمثاله أعمّ من النافلة والفریضة ـ کما اعترف به دام ظلّه </w:t>
      </w:r>
      <w:r>
        <w:rPr>
          <w:rStyle w:val="FootnoteAnchor"/>
          <w:rtl w:val="true"/>
        </w:rPr>
        <w:footnoteReference w:id="824"/>
      </w:r>
      <w:r>
        <w:rPr>
          <w:rFonts w:ascii="IRNazanin" w:hAnsi="IRNazanin" w:eastAsia="IRNazanin"/>
          <w:color w:val="111111"/>
          <w:sz w:val="28"/>
          <w:sz w:val="28"/>
          <w:szCs w:val="28"/>
          <w:rtl w:val="true"/>
          <w:lang w:bidi="fa-IR"/>
        </w:rPr>
        <w:t xml:space="preserve">ـ فیکون مدلوله حصول التحلیل بتلک الصیغة فی صلوة النافلة أیضًا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مع ذلک، التمسّک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المتبادر من التسلیم هو الکلام الشائع بین المخلوقین المعبّر عنه بالسلام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عجائب الأمور الّتی تتعجّب منها الوحوش والطیور، لأنّ کلامه علیه‌السلام صریح فی شمول التسلیم للسلام علینا بحیث یخرق أذن الجدران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علیه‌السلام یقول بأنّ السلام علینا یندرج تحت هذا اللفظ، وشقیقنا المکرَّم ـ دام ظلّه </w:t>
      </w:r>
      <w:r>
        <w:rPr>
          <w:rStyle w:val="FootnoteAnchor"/>
          <w:rtl w:val="true"/>
        </w:rPr>
        <w:footnoteReference w:id="825"/>
      </w:r>
      <w:r>
        <w:rPr>
          <w:rFonts w:ascii="IRNazanin" w:hAnsi="IRNazanin" w:eastAsia="IRNazanin"/>
          <w:color w:val="111111"/>
          <w:sz w:val="28"/>
          <w:sz w:val="28"/>
          <w:szCs w:val="28"/>
          <w:rtl w:val="true"/>
          <w:lang w:bidi="fa-IR"/>
        </w:rPr>
        <w:t xml:space="preserve">ـ ینکر ذلک، لأنّ المتبادر من التسلیم هو السلام الشائع، لما قرع سمعه بأنّ اللفظ محمول علی المعنی المتبادر منه، و لا یتنبّه علی أنّ التبادر إنّما یتمسّک به عند إنتفاء القرینة علی الشمول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أعجب منه أنّه سیجیء منه الإعتراف علی ما یناقض هذا الکلام، فهذا المقال منه دلیل آخر علی ما نبّهنا علیه من أنّ ذلک للإدخال فی تحریر المقال لما سمعه من أفواه الرجال من غیر أن یصل إلی حقیقة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ما نسبه إلینا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التبادر المذکور إتّفاقیّ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أنّه فریة بلا مریة، للفرق البیّن بین دعوی التبادر عند طائفة، ودعوی إتّفاقهم علی التبادر، لأنّ الأوّل یصحّ و لو مع عدم دعوی أحد منهم علی أنّه المتبادر، والثانی لا یصحّ إلاّ عند دعوی کلّ أحد منهم علی أنّه المتبادر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وجّهنا کلامه فیما سلف،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ـ دام ظلّه </w:t>
      </w:r>
      <w:r>
        <w:rPr>
          <w:rStyle w:val="FootnoteAnchor"/>
          <w:rtl w:val="true"/>
        </w:rPr>
        <w:footnoteReference w:id="826"/>
      </w:r>
      <w:r>
        <w:rPr>
          <w:rFonts w:ascii="IRNazanin" w:hAnsi="IRNazanin" w:eastAsia="IRNazanin"/>
          <w:color w:val="111111"/>
          <w:sz w:val="28"/>
          <w:sz w:val="28"/>
          <w:szCs w:val="28"/>
          <w:rtl w:val="true"/>
          <w:lang w:bidi="fa-IR"/>
        </w:rPr>
        <w:t xml:space="preserve">ـ لعلّه أراد راحة الأصحاب ولو توجّه إلیه أنواع اللوم و العتاب، فأقام القرینة علی عدم التعویل علی ما صدر منه فی حیّز التحریر من غیر أن یفتقر فی الحکم بذلک إلی الرجوع </w:t>
      </w:r>
    </w:p>
    <w:p>
      <w:pPr>
        <w:pStyle w:val="BookText"/>
        <w:rPr/>
      </w:pPr>
      <w:r>
        <w:rPr>
          <w:rFonts w:ascii="IRNazanin" w:hAnsi="IRNazanin" w:eastAsia="IRNazanin"/>
          <w:color w:val="111111"/>
          <w:sz w:val="28"/>
          <w:sz w:val="28"/>
          <w:szCs w:val="28"/>
          <w:rtl w:val="true"/>
          <w:lang w:bidi="fa-IR"/>
        </w:rPr>
        <w:t xml:space="preserve">إلی الکتب، فهو من صفاته الحمیدة کما أشیر إلیه بقول الشاعر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رنج خود وراحت یاران 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کلمات الأصحاب متّفقة علی التبادر، بل النصوص مصرّحة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ذلک من جهة </w:t>
      </w:r>
      <w:r>
        <w:rPr>
          <w:rStyle w:val="FootnoteAnchor"/>
          <w:rtl w:val="true"/>
        </w:rPr>
        <w:footnoteReference w:id="827"/>
      </w:r>
      <w:r>
        <w:rPr>
          <w:rFonts w:ascii="IRNazanin" w:hAnsi="IRNazanin" w:eastAsia="IRNazanin"/>
          <w:color w:val="111111"/>
          <w:sz w:val="28"/>
          <w:sz w:val="28"/>
          <w:szCs w:val="28"/>
          <w:rtl w:val="true"/>
          <w:lang w:bidi="fa-IR"/>
        </w:rPr>
        <w:t xml:space="preserve">جملة ما نسبه إلینا، بأن یکون عطفًا علی التبادر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التبادر المذکور إتّفاقیّ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کلام من نفسه، و علی التقدیرین لا شبهة فی مخالفته للواقع، أمّا علی الأوّل فواضح، و أمّا علی الثانی فکذلک، نعم هو مصرّح به فی کلمات جماعة منهم، کما نبّهنا علیه عند تقریر الإیراد الثانی حیث 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لشیوع هذه اللفظة فی صیغة السلام علیکم، کما اعترف به جماعة من المحقّقین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النصوص مصرّحة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مأخوذ من قولنا هناک حیث قلنا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یشهد له تتبّع النصوص الصادرة من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لا ؛ و علی التقدیرین فاسد، أمّا علی الأوّل </w:t>
      </w:r>
      <w:r>
        <w:rPr>
          <w:rStyle w:val="FootnoteAnchor"/>
          <w:rtl w:val="true"/>
        </w:rPr>
        <w:footnoteReference w:id="828"/>
      </w:r>
      <w:r>
        <w:rPr>
          <w:rFonts w:ascii="IRNazanin" w:hAnsi="IRNazanin" w:eastAsia="IRNazanin"/>
          <w:color w:val="111111"/>
          <w:sz w:val="28"/>
          <w:sz w:val="28"/>
          <w:szCs w:val="28"/>
          <w:rtl w:val="true"/>
          <w:lang w:bidi="fa-IR"/>
        </w:rPr>
        <w:t xml:space="preserve">فلوضوح انّا فی ذلک المقام فی مقام التقریر من جانب الخصم، ولایلزم منه أن یکون مسلّمًا عند صاحب الکلام، کما لایخفی علی أولی التأمّل والأحلام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تنظر إلی کلامنا عند الجواب عنه حیث 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فی موثّقة أبی بصیر دلالة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أسندنا الدلالة إلی خصوص الموثّقة المذکورة، مضافًا إلی أنّ القول بشهادة تتبّع النصوص علی شیء یصدق ولو فیما إذا وجد حدیث واحد فیها دلّ علیه، کما لایخفی علی أولی التأمّل والنهی ؛ بخلاف القول بأنّ النصوص مصرّحة </w:t>
      </w:r>
    </w:p>
    <w:p>
      <w:pPr>
        <w:pStyle w:val="BookText"/>
        <w:rPr/>
      </w:pPr>
      <w:r>
        <w:rPr>
          <w:rFonts w:ascii="IRNazanin" w:hAnsi="IRNazanin" w:eastAsia="IRNazanin"/>
          <w:color w:val="111111"/>
          <w:sz w:val="28"/>
          <w:sz w:val="28"/>
          <w:szCs w:val="28"/>
          <w:rtl w:val="true"/>
          <w:lang w:bidi="fa-IR"/>
        </w:rPr>
        <w:t xml:space="preserve">بذلک، فإنّه لا یمکن مع وجدان حدیث واحد، بل حدیثین، سیّما بعد ما عرفت من عدم صراحته علیه أیضًا، فهذا الکلام منه ـ دام ظلّه </w:t>
      </w:r>
      <w:r>
        <w:rPr>
          <w:rStyle w:val="FootnoteAnchor"/>
          <w:rtl w:val="true"/>
        </w:rPr>
        <w:footnoteReference w:id="829"/>
      </w:r>
      <w:r>
        <w:rPr>
          <w:rFonts w:ascii="IRNazanin" w:hAnsi="IRNazanin" w:eastAsia="IRNazanin"/>
          <w:color w:val="111111"/>
          <w:sz w:val="28"/>
          <w:sz w:val="28"/>
          <w:szCs w:val="28"/>
          <w:rtl w:val="true"/>
          <w:lang w:bidi="fa-IR"/>
        </w:rPr>
        <w:t xml:space="preserve">ـ أیضًا قرینة أخری علی ما نبّهنا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لیس بید السیّد إلاّ تلک الأخبار الدالّة علی أنّ المصلّی إذا أتی بالصیغة الأخری فقد أتی بالتسلیم، وهذا القدر لایکفیه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فمناقض لِما هو بصدد بیانه کما نبّهنا علیه مرارًا، لأنّ من جملة تلک الأخبار ما أوردناه من </w:t>
      </w:r>
      <w:r>
        <w:rPr>
          <w:rStyle w:val="FootnoteAnchor"/>
          <w:rtl w:val="true"/>
        </w:rPr>
        <w:footnoteReference w:id="830"/>
      </w:r>
      <w:r>
        <w:rPr>
          <w:rFonts w:ascii="IRNazanin" w:hAnsi="IRNazanin" w:eastAsia="IRNazanin"/>
          <w:color w:val="111111"/>
          <w:sz w:val="28"/>
          <w:sz w:val="28"/>
          <w:szCs w:val="28"/>
          <w:rtl w:val="true"/>
          <w:lang w:bidi="fa-IR"/>
        </w:rPr>
        <w:t xml:space="preserve">العیون والعلل، و هو مشتمل علی لفظ التسلیم فقط، و لا دلالة فیه علی أنّ مَن أتی بصیغة السلام علینا فهو آتٍ بالتسلیم، إلاّ علی تقدیر کون لفظ التسلیم حقیقة فی الصیغتین، و لم یکن واحدة منهما متبادرة، و هو مصرّ علی خلافه حتّی کأنّه لیس بیده إلاّ ذلک، ولذلک کرّره فی کلّ موضع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جزی اللّه تعالی عنه </w:t>
      </w:r>
      <w:r>
        <w:rPr>
          <w:rStyle w:val="FootnoteAnchor"/>
          <w:rtl w:val="true"/>
        </w:rPr>
        <w:footnoteReference w:id="831"/>
      </w:r>
      <w:r>
        <w:rPr>
          <w:rFonts w:ascii="IRNazanin" w:hAnsi="IRNazanin" w:eastAsia="IRNazanin"/>
          <w:color w:val="111111"/>
          <w:sz w:val="28"/>
          <w:sz w:val="28"/>
          <w:szCs w:val="28"/>
          <w:rtl w:val="true"/>
          <w:lang w:bidi="fa-IR"/>
        </w:rPr>
        <w:t xml:space="preserve">شیخنا الشهید، فإنّه لو لم یره فی کلامه، لم یکن قادرًا علی التکلّم فی المسئلة أصلاً، کما لایخفی علی المنصف المتأمّل فی کلامهما، ولیته إقتصر علی ما رآه فی کلامه ولم یتعدّ منه إلی غیره الموجب لأنواع سهام الملام إلی نفسه کما عرفت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لادلالة للحدیث المذکور علی ما ذکره إلاّ علی التقدیر المذکور، و </w:t>
      </w:r>
      <w:r>
        <w:rPr>
          <w:rStyle w:val="FootnoteAnchor"/>
          <w:rtl w:val="true"/>
        </w:rPr>
        <w:footnoteReference w:id="832"/>
      </w:r>
      <w:r>
        <w:rPr>
          <w:rFonts w:ascii="IRNazanin" w:hAnsi="IRNazanin" w:eastAsia="IRNazanin"/>
          <w:color w:val="111111"/>
          <w:sz w:val="28"/>
          <w:sz w:val="28"/>
          <w:szCs w:val="28"/>
          <w:rtl w:val="true"/>
          <w:lang w:bidi="fa-IR"/>
        </w:rPr>
        <w:t xml:space="preserve">لاسیّما بعد ما عرفت ممّا بیّناه من إمکان دعوی القرینة فیه علی خلافه، وقد أسلفنا أنّ ذلک هو الباعث لعدم تعرّضنا لذلک الحدیث فی مقام الجواب عن الإیراد الثانی، و شقیقنا المکرَّم غفل عن ذلک فوقع فیما وقع علی ما عرفت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القدر لایکفیه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الحبیب إنّه یکفینا و کلّ مَن یعتقد بإمامة سیّدنا و مولانا الرضا ـ علیه و علی آبائه و أبنائه آلاف التحیّة والثناء ـ بل کلّ مَن کان فی </w:t>
      </w:r>
      <w:r>
        <w:rPr>
          <w:rStyle w:val="FootnoteAnchor"/>
          <w:rtl w:val="true"/>
        </w:rPr>
        <w:footnoteReference w:id="833"/>
      </w:r>
      <w:r>
        <w:rPr>
          <w:rFonts w:ascii="IRNazanin" w:hAnsi="IRNazanin" w:eastAsia="IRNazanin"/>
          <w:color w:val="111111"/>
          <w:sz w:val="28"/>
          <w:sz w:val="28"/>
          <w:szCs w:val="28"/>
          <w:rtl w:val="true"/>
          <w:lang w:bidi="fa-IR"/>
        </w:rPr>
        <w:t xml:space="preserve">زمرة الإسلام، بعد ما تأمّل الکلام وکان ممّن له أدنی ربط بمبانی الحلال والحرام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ذلک وإن یظهر ممّا کرّرنا المقال فیه، لکنّا نصرف عنان البیان إلیه أیضًا لعلّ المنصف بحلیة الإنصاف و المجتنب عن طریق الجور وسبیل الإعتساف یتشرّف للوصول إلی حقیقة الحال،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المفروض أنّ الصلوة فی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تحلیل الصلوة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شاملة للفریضة والنافلة، وأنّ التسلیم فیه شامل لصیغة السلام علینا أیضًا، فهو یدلّ علی من أتی بتلک الصیغة فقد أتی بالتسلیم المحلِّل، واللازم من ذلک جواز الإقتصار بها فی النافلة أیضًا، ولیس المطلوب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شعری أنّ مَن له أدنی شعور و فطانة کیف یمکن له إنکار هذا الأمر الّذی یشبه أن یکون إنکاره إنکار الضرورة، فیفتح علی نفسه أبواب الطعن والملامة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لأنّی لا أنکر أنّ المصلّی نافلة إذا أتی بتلک الصیغة منفردة أو مع انضمام السلام الشائع أتی بالمحلِّل، لأنّ بتلک الصیغة یتحقّق الإنصراف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عجائب الأمور و غرائب الدهور، لأنّه صرّح أوّلاً بأنّه لایدلّ تلک الأخبار والآثار إلاّ علی أنّ التحلیل یحصل بالتسلیم، و یحمل التسلیم علی السلام الشائع لکونه المتبادر منه، و مقتضاه عدم شموله لصیغة السلام علینا، ثمّ یناقض هذا المقال بما هو صریح فی شموله لها أیضًا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لیس بید السیّد إلاّ تلک الأخبار </w:t>
      </w:r>
    </w:p>
    <w:p>
      <w:pPr>
        <w:pStyle w:val="BookText"/>
        <w:rPr/>
      </w:pPr>
      <w:r>
        <w:rPr>
          <w:rFonts w:ascii="IRNazanin" w:hAnsi="IRNazanin" w:eastAsia="IRNazanin"/>
          <w:color w:val="111111"/>
          <w:sz w:val="28"/>
          <w:sz w:val="28"/>
          <w:szCs w:val="28"/>
          <w:rtl w:val="true"/>
          <w:lang w:bidi="fa-IR"/>
        </w:rPr>
        <w:t xml:space="preserve">الدالّة علی أنّ المصلّی إذا أتی بالصیغة الأخری فقد أتی بالتسلیم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ینکر کفایة هذا القدر فی الحکم بالمسئلة، ثمّ یناقض ذلک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لأنّی لا أنکر أنّ المصلّی نافلة إذا أتی بتلک الصیغة منفردة أو مع إنضمام السلام الشائع أتی بالمحلِّل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یناقض ذلک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مجال للسیّد ـ دام ظلّه و اجتهاده ـ بأنّ النافلة لابدّ أن یکون تحلیلها کتحلیل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ولایخفی علیک أنّ هذه المقالات الواهیة المتهافیة المتنافیة دلیلٌ لایحٌ وبرهانٌ ساطعٌ علی صحّة ما احتملناه سابقًا فی حقّه من أنّ حاله یشبه بحال مَن یثبت النقوش فی الطُرُوس </w:t>
      </w:r>
      <w:r>
        <w:rPr>
          <w:rStyle w:val="FootnoteAnchor"/>
          <w:rtl w:val="true"/>
        </w:rPr>
        <w:footnoteReference w:id="834"/>
      </w:r>
      <w:r>
        <w:rPr>
          <w:rFonts w:ascii="IRNazanin" w:hAnsi="IRNazanin" w:eastAsia="IRNazanin"/>
          <w:color w:val="111111"/>
          <w:sz w:val="28"/>
          <w:sz w:val="28"/>
          <w:szCs w:val="28"/>
          <w:rtl w:val="true"/>
          <w:lang w:bidi="fa-IR"/>
        </w:rPr>
        <w:t xml:space="preserve">من غیر أن یکون شاعرًا بالمدلول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لایخفی علیک انّ ما کان اعتقاده هو أنّه یتعیّن فی تسلیم النوافل الإقتصار بصیغة السلام علیکم، و لایجوز العدول عنها إلی السلام علینا، و لا الجمع بینهما ـ کما نبّهنا علیه فی أوّل الرسالة ـ فهو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لأنّی لا أنکر أنّ المصّلی 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قد اعترف علی بطلان معتقده من غیر أن یشعر بذلک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أعجب من ذلک کلّه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الکلام فی أنّ الوارد علینا </w:t>
      </w:r>
      <w:r>
        <w:rPr>
          <w:rStyle w:val="FootnoteAnchor"/>
          <w:rtl w:val="true"/>
        </w:rPr>
        <w:footnoteReference w:id="835"/>
      </w:r>
      <w:r>
        <w:rPr>
          <w:rFonts w:ascii="IRNazanin" w:hAnsi="IRNazanin" w:eastAsia="IRNazanin"/>
          <w:color w:val="111111"/>
          <w:sz w:val="28"/>
          <w:sz w:val="28"/>
          <w:szCs w:val="28"/>
          <w:rtl w:val="true"/>
          <w:lang w:bidi="fa-IR"/>
        </w:rPr>
        <w:t xml:space="preserve">من العترة الطاهرة روایة لیس إلاّ الأمر بالتسلیم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تسلیمة، 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وتسلّم تسلیمًا، 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رکعتین تسلیمة واحدة، و بعد الإعتراف بالتبادر وبلوغ الأخبار عنهم بالتسلیمة أو التسلیمة الواحدة، فلامجال للسیّد ـ دام ظلّه واجتهاده ـ بأنّ النافلة لابدّ أن یکون تحلیلها کتحلیل الفریضة، والإتیان بصیغ الثلاث أو الإثنین لأجل اتّحاد المهیّة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لأنّ مقتضی الإستدراک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الکلام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إلخ، هو أنّ مقتضی الأخبار المذکورة وإن کان شمول التسلیم للسلام علینا وتحقّق الإنصراف بها، لکنّها غیر واردة من العترة الطاهرة، واللازم من ذلک أن یکون شقیقنا المکرَّم ینکر کون مولانا الرضا ـ علیه آلاف التحیّة والثناء ـ من العترة، و کذا الحال فی کاشف الأسرار و الدقایق سیّدنا و مولانا جعفر بن محمّد الصادق علیه‌السلام ، و هو من غرائب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المراد أنّ الظاهر من تلک الأخبار و إن کان ذلک لکنّه بعنوان الإطلاق، وإنّما المعتبر فیما یثبت به الحکم الشرعیّ أن یکون بعنوان الخصوص ؛ نقول ـ مع فساده فی نفسه للقطع بحجّیّة ما صدر من الحجّة، سواء کان بعنوان العموم أو الإطلاق أو لا، و انتقاضه بغالب الأحکام الشرعیّة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إلاّ الأمر بالتسلیم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تسلیمة، 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تسلّم تسلیمًا، 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رکعتین تسلیمة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ورد فی تسلیم النوافل عنهم علیهم‌السلام هذه العبارات الثلاث، و هو جعل فی الدین و إفتراء علی أمناء ربّ العالمین، لعدم ورودها فی النصوص المرویّة عن الأئمّة الطاهرین علیهم‌السلام ، فلیأت به إن کان من الصادقین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کیف یرضی الثقة الأمین بِتَمْوِیه الکلام علی المؤمنین، بل کیف یجترئ العاقل اللبیب علی الکذب علی اللّه سبحانه و أمنائه الأطیبین، مع ما ورد فی شناعة الکذب ما لو اطّلع علیه العاقل یتزلزل روعه عن </w:t>
      </w:r>
      <w:r>
        <w:rPr>
          <w:rStyle w:val="FootnoteAnchor"/>
          <w:rtl w:val="true"/>
        </w:rPr>
        <w:footnoteReference w:id="836"/>
      </w:r>
      <w:r>
        <w:rPr>
          <w:rFonts w:ascii="IRNazanin" w:hAnsi="IRNazanin" w:eastAsia="IRNazanin"/>
          <w:color w:val="111111"/>
          <w:sz w:val="28"/>
          <w:sz w:val="28"/>
          <w:szCs w:val="28"/>
          <w:rtl w:val="true"/>
          <w:lang w:bidi="fa-IR"/>
        </w:rPr>
        <w:t xml:space="preserve">المؤاخذة فی العاجل و الآجل، سیّما الکذب علی اللّه تعالی و أمنائه الأئمّة النجباء، فقد روی فی الکافی عن أبی النعمن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النعمن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تکذب علینا کذبة فتسلب الحنفیّة </w:t>
      </w:r>
      <w:r>
        <w:rPr>
          <w:rStyle w:val="FootnoteAnchor"/>
          <w:rtl w:val="true"/>
        </w:rPr>
        <w:footnoteReference w:id="837"/>
      </w:r>
      <w:r>
        <w:rPr>
          <w:rFonts w:ascii="IRNazanin" w:hAnsi="IRNazanin" w:eastAsia="IRNazanin"/>
          <w:color w:val="111111"/>
          <w:sz w:val="28"/>
          <w:sz w:val="28"/>
          <w:szCs w:val="28"/>
          <w:rtl w:val="true"/>
          <w:lang w:bidi="fa-IR"/>
        </w:rPr>
        <w:t xml:space="preserve">، و لا تطلبنّ أن تکون رأسًا فتکون ذنبًا، ولاتستأکل الناس </w:t>
      </w:r>
    </w:p>
    <w:p>
      <w:pPr>
        <w:pStyle w:val="BookText"/>
        <w:rPr/>
      </w:pPr>
      <w:r>
        <w:rPr>
          <w:rFonts w:ascii="IRNazanin" w:hAnsi="IRNazanin" w:eastAsia="IRNazanin"/>
          <w:color w:val="111111"/>
          <w:sz w:val="28"/>
          <w:sz w:val="28"/>
          <w:szCs w:val="28"/>
          <w:rtl w:val="true"/>
          <w:lang w:bidi="fa-IR"/>
        </w:rPr>
        <w:t xml:space="preserve">بنا فتفتقر </w:t>
      </w:r>
      <w:r>
        <w:rPr>
          <w:rStyle w:val="FootnoteAnchor"/>
          <w:rtl w:val="true"/>
        </w:rPr>
        <w:footnoteReference w:id="838"/>
      </w:r>
      <w:r>
        <w:rPr>
          <w:rFonts w:ascii="IRNazanin" w:hAnsi="IRNazanin" w:eastAsia="IRNazanin"/>
          <w:color w:val="111111"/>
          <w:sz w:val="28"/>
          <w:sz w:val="28"/>
          <w:szCs w:val="28"/>
          <w:rtl w:val="true"/>
          <w:lang w:bidi="fa-IR"/>
        </w:rPr>
        <w:t xml:space="preserve">، فإنّک موقوف لا محالة و مسئول، فإن صدقت صدقناک، وإن کذبت کذبناک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تکذب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یحتمل أن یکون من صیغة الخطاب، کما یحتمل أن یکون من صیغة الغایبة، و علی الأوّل یکون کذبة مفعولاً مطلقًا، وعلی الثانی نائبًا عن الفاعل، و علی التقدیرین یکون المراد کذبة واحدة، فیدلّ علی ثبوت الحکم فی الأکثر بطریق 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فتسلب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للفاعل أو المفعول، وعلی الأوّل یکون الضمیر فی الفعل عائدًا إلی الکذبة و یکون الحنفیّة مفعوله، وعلی الثانی یکون الحنفیّة نائبًا عن الفاعل،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لاتکذب علینا کذبة، فإنّک إذا کذبت علینا کذبة </w:t>
      </w:r>
      <w:r>
        <w:rPr>
          <w:rStyle w:val="FootnoteAnchor"/>
          <w:rtl w:val="true"/>
        </w:rPr>
        <w:footnoteReference w:id="840"/>
      </w:r>
      <w:r>
        <w:rPr>
          <w:rFonts w:ascii="IRNazanin" w:hAnsi="IRNazanin" w:eastAsia="IRNazanin"/>
          <w:color w:val="111111"/>
          <w:sz w:val="28"/>
          <w:sz w:val="28"/>
          <w:szCs w:val="28"/>
          <w:rtl w:val="true"/>
          <w:lang w:bidi="fa-IR"/>
        </w:rPr>
        <w:t xml:space="preserve">تسلب الحنفیّة ـ أی الملّة المحمّدیّة المائلة عن الضلالة إلی الإستقامة، أو من الشدّة إلی السهولة ـ منک،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تسلبها کذبة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 حال یکون حاصل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الکذب علیهم علیهم‌السلام أوجب سلب الملّة الحنفیّة من الکاذب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سیف بن عمیرة، عن أبی حمزة، عمّن حدّثه،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علیهماالسلام یقول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إتّقوا الکذب، الصغیر منه والکبیر، فی کلّ جدّ و هزل، فإنّ الرجل إذا کذب فی الصغیر إجترئ علی الکبیر، أما علمتم أنّ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یزال العبد یصدق حتّی یکتبه اللّه صدیقًا، وما یزال العبد یکذب حتّی یکتبه اللّه کذّابًا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کفاک فی هذا الباب الصحیح المرویّ فی الکافی أیضًا عن حمّاد بن عیسی، </w:t>
      </w:r>
    </w:p>
    <w:p>
      <w:pPr>
        <w:pStyle w:val="BookText"/>
        <w:rPr/>
      </w:pPr>
      <w:r>
        <w:rPr>
          <w:rFonts w:ascii="IRNazanin" w:hAnsi="IRNazanin" w:eastAsia="IRNazanin"/>
          <w:color w:val="111111"/>
          <w:sz w:val="28"/>
          <w:sz w:val="28"/>
          <w:szCs w:val="28"/>
          <w:rtl w:val="true"/>
          <w:lang w:bidi="fa-IR"/>
        </w:rPr>
        <w:t>عن إبراهیم بن عمر الیمانی، عن أبان بن أبی عیّاش، 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لأمیرالمؤمنین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من سلمان و المقداد و أبی ذر شیئًا من تفسیر القرآن، و أحادیث عن نبیّ اللّه صلی‌الله‌علیه‌و‌آله ، غیر ما فی أیدی الناس، ثمّ سمعت منک تصدیق ما سمعته منهم، ورأیت فی أیدی الناس أشیاء کثیرة من تفسیر القرآن، ومن الأحادیث عن نبیّ اللّه صلی‌الله‌علیه‌و‌آله أنتم تخالفونهم فیها، وتزعمون أنّ ذلک کلّه باطل، افتری الناس یکذبون علی رسول اللّه صلی‌الله‌علیه‌و‌آله متعمّدین، و یفسّرون القرآن بآرائهم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علیّ علیه‌السلام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فافهم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أیدی الناس حقًّا وباطلاً، و صدقًا وکذبًا، و ناسخًا و منسوخًا، و عامًّا وخاصًّا، و محکمًا ومتشابهًا، وحفظًا و وهمًا، و قد کذب علی رسول اللّه صلی‌الله‌علیه‌و‌آله فی </w:t>
      </w:r>
      <w:r>
        <w:rPr>
          <w:rStyle w:val="FootnoteAnchor"/>
          <w:rtl w:val="true"/>
        </w:rPr>
        <w:footnoteReference w:id="842"/>
      </w:r>
      <w:r>
        <w:rPr>
          <w:rFonts w:ascii="IRNazanin" w:hAnsi="IRNazanin" w:eastAsia="IRNazanin"/>
          <w:color w:val="111111"/>
          <w:sz w:val="28"/>
          <w:sz w:val="28"/>
          <w:szCs w:val="28"/>
          <w:rtl w:val="true"/>
          <w:lang w:bidi="fa-IR"/>
        </w:rPr>
        <w:t>عهده حتّی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قد کثرت علیّ الکذابة </w:t>
      </w:r>
      <w:r>
        <w:rPr>
          <w:rStyle w:val="FootnoteAnchor"/>
          <w:rtl w:val="true"/>
        </w:rPr>
        <w:footnoteReference w:id="843"/>
      </w:r>
      <w:r>
        <w:rPr>
          <w:rFonts w:ascii="Amiri" w:hAnsi="Amiri" w:eastAsia="Amiri" w:cs="Amiri"/>
          <w:color w:val="111111"/>
          <w:sz w:val="28"/>
          <w:sz w:val="28"/>
          <w:szCs w:val="28"/>
          <w:rtl w:val="true"/>
          <w:lang w:bidi="ar-SA"/>
        </w:rPr>
        <w:t xml:space="preserve">، فمَن کذب علیّ متعمّدًا فلیتبوّء مقعده من النار، الحدیث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والنصوص فی مذمّة الکذب کثیرة، و فیما أوردناه کفایة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انّ العبارات المذکورة وإن وردت فی النصوص المرویّة عن العترة الطاهرة ـ علیهم آلاف الثناء والسلام والتحیّة ـ لکنّها فی الفریضة، کالصحیح المرویّ فی الکافی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فی صفّ فسلّم تسلیمة عن یمینک، وتسلیمة عن یسارک، لأنّ عن یسارک من یسلّم علیک، و إذا کنت إمامًا </w:t>
      </w:r>
    </w:p>
    <w:p>
      <w:pPr>
        <w:pStyle w:val="BookText"/>
        <w:rPr/>
      </w:pPr>
      <w:r>
        <w:rPr>
          <w:rFonts w:ascii="IRNazanin" w:hAnsi="IRNazanin" w:eastAsia="IRNazanin"/>
          <w:color w:val="111111"/>
          <w:sz w:val="28"/>
          <w:sz w:val="28"/>
          <w:szCs w:val="28"/>
          <w:rtl w:val="true"/>
          <w:lang w:bidi="fa-IR"/>
        </w:rPr>
        <w:t xml:space="preserve">فسلّم تسلیمة وأنت مستقبل القبلة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والصحیح المرویّ فیه عن إبن مسکان، عن عنبسة بن مصعب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الرجل یقوم فی الصفّ خلف الإمام و لیس علی یساره أحد کیف یسلّم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یسلّم واحدة عن یمینه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وغیرهما من النصوص الّتی أوردناها فی مطالع الأنوار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علی فرض المحال و تسلیم ورود ما ذکره من العبارات الثلاث فی خصوص النافلة،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ما یلزم منه بعد کون التسلیم یتبادر منه السلام علیکم، هو قول تلک اللفظة مرّة واحدة، واللازم منه عدم تکرارها فی النافلة، ولایلزم منه عدم جواز الجمع بینها و بین غیرها من قول السلام علینا مثلاً کما فی الفریضة حیث وردت تلک العبارات فیها ؛ و مع ذلک لم یقل أحد بعدم جواز الجمع بین تلک الصیغة وغیرها فیها، فلیکن الأمر فی النافلة أیضًا کذلک، فالإستدلال بتلک العبارات المجعولة بعد تسلیمها بلزوم الإقتصار فی تسلیم النوافل بصیغة السلام علیکم و عدم جواز الجمع بینها و بین غیرها، ممّا لاشبهة فی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تنکرون ورود العبارات المذکورة فی الأخبار مع أنّ ما حکیتم عن أواخر السرائر راجع إلیها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وجه له،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الکلام فیما ذکره شقیقنا المکرَّم ـ دام ظلّه </w:t>
      </w:r>
      <w:r>
        <w:rPr>
          <w:rStyle w:val="FootnoteAnchor"/>
          <w:rtl w:val="true"/>
        </w:rPr>
        <w:footnoteReference w:id="848"/>
      </w:r>
      <w:r>
        <w:rPr>
          <w:rFonts w:ascii="IRNazanin" w:hAnsi="IRNazanin" w:eastAsia="IRNazanin"/>
          <w:color w:val="111111"/>
          <w:sz w:val="28"/>
          <w:sz w:val="28"/>
          <w:szCs w:val="28"/>
          <w:rtl w:val="true"/>
          <w:lang w:bidi="fa-IR"/>
        </w:rPr>
        <w:t xml:space="preserve">ـ فإنّه لا خبر له بما فی السرائر أصلاً کما یؤمی إلیه قوله فیما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وکتاب التهذیب لیس عندی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فللفرق البیّن بین ما أوردناه عن السرائر و بین العبارات المذکورة، لأنّ المرویّ فی أواخر السرائر علی ما ستقف هکذا </w:t>
      </w:r>
      <w:r>
        <w:rPr>
          <w:rStyle w:val="FootnoteAnchor"/>
          <w:rtl w:val="true"/>
        </w:rPr>
        <w:footnoteReference w:id="8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إفصل بین کلّ رکعتین من نوافلک بالتسلیم </w:t>
      </w:r>
      <w:r>
        <w:rPr>
          <w:rFonts w:eastAsia="IRNazanin" w:cs="IRNazanin"/>
          <w:color w:val="111111"/>
          <w:sz w:val="28"/>
          <w:szCs w:val="28"/>
          <w:rtl w:val="true"/>
          <w:lang w:bidi="fa-IR"/>
        </w:rPr>
        <w:t xml:space="preserve">» </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والقطع حاصل لکلّ أحد حتّی النسوان والصبیان بأنّ المراد منه أنّ النافلة رکعتان رکعتان، و أین هذا الکلام مع ما حکاه عنهم علیهم‌السلام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الوارد علینا </w:t>
      </w:r>
      <w:r>
        <w:rPr>
          <w:rStyle w:val="FootnoteAnchor"/>
          <w:rtl w:val="true"/>
        </w:rPr>
        <w:footnoteReference w:id="851"/>
      </w:r>
      <w:r>
        <w:rPr>
          <w:rFonts w:ascii="IRNazanin" w:hAnsi="IRNazanin" w:eastAsia="IRNazanin"/>
          <w:color w:val="111111"/>
          <w:sz w:val="28"/>
          <w:sz w:val="28"/>
          <w:szCs w:val="28"/>
          <w:rtl w:val="true"/>
          <w:lang w:bidi="fa-IR"/>
        </w:rPr>
        <w:t>من العترة الطاهرة روایة لیس إلاّ الأمر بالتسلیم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تسلیمة، 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تسلّم تسلیمًا، 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رکعتین تسلیمة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 العبارات الثلث، دلیلٌ علی أنّ مقصوده أنّ عین العبارات المذکورة مرویّة عنهم علیهم‌السلام ، و أین ذلک ممّا حکیناه عن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نرجو العفو </w:t>
      </w:r>
      <w:r>
        <w:rPr>
          <w:rStyle w:val="FootnoteAnchor"/>
          <w:rtl w:val="true"/>
        </w:rPr>
        <w:footnoteReference w:id="852"/>
      </w:r>
      <w:r>
        <w:rPr>
          <w:rFonts w:ascii="IRNazanin" w:hAnsi="IRNazanin" w:eastAsia="IRNazanin"/>
          <w:color w:val="111111"/>
          <w:sz w:val="28"/>
          <w:sz w:val="28"/>
          <w:szCs w:val="28"/>
          <w:rtl w:val="true"/>
          <w:lang w:bidi="fa-IR"/>
        </w:rPr>
        <w:t xml:space="preserve">عن مؤاخذة الواقف بما فی الضمائر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جمیع ما ذکر یعلم فساد ما ذکره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الإعتراف بالتبادر وبلوغ الأخبار عنهم بالتسلیمة، أو التسلیمة الواحدة، فلا مجال للسیّد ـ دام ظلّه واجتهاده ـ بأنّ النافلة لابدّ أن یکون تحلیلها کتحلیل الفریضة والإتیان بالصیغ الثلث أو الإثنین لأجل إتّحاد المهیّة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لِما عرفتَ مِن أنّ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النافلة مثل الفریضة فی التحلیل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للإستناد إلی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تحلیلها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لکون الصلوة فیه أعمّ من الفریضة والنافلة، کما هو ظاهر، واعترف به صاحبنا المکرَّم کما عرفت، والنصّ الصریح من مولانا الرضا ـ علیه آلاف التحیّة والثناء ـ بشمول التسلیم فیه لصیغة السلام علینا، و کذب ما حکاه عن أجدادی العظام ـ علیهم صلوات اللّه الملک العلاّم ـ </w:t>
      </w:r>
    </w:p>
    <w:p>
      <w:pPr>
        <w:pStyle w:val="BookText"/>
        <w:rPr/>
      </w:pPr>
      <w:r>
        <w:rPr>
          <w:rFonts w:ascii="IRNazanin" w:hAnsi="IRNazanin" w:eastAsia="IRNazanin"/>
          <w:color w:val="111111"/>
          <w:sz w:val="28"/>
          <w:sz w:val="28"/>
          <w:szCs w:val="28"/>
          <w:rtl w:val="true"/>
          <w:lang w:bidi="fa-IR"/>
        </w:rPr>
        <w:t xml:space="preserve">وعدم منافاته له بعد التسلیم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الإتیان بالصیغ الثلث أو الإثنین لأجل إتّحاد المهیّة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فی غیر موقعه، لما عرفت من أنّ التمسّک هنا بالنصوص المذکورة و الإستناد إلی إتّحاد المهیّة سیجیء فی 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الإثنین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کما لایخفی،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إثنتین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بیان التشهّد فی النافلة و عدم التعرّض لتلک الصیغ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الأمر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 الوارد فی الأخبار الأمر بالتسلیمة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الوارد فی الأخبار بیان التشهّد و صیغ السلام فی الفریضة، وأمّا فی النافلة فالوارد فیها بیان التشهّد فقط، دون صیغ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أیضًا خیانة فی الدین و کذب علی أجدادی الطاهرین، فلیأت بخبر واحد مشتمل علی التشهّد فی خصوص النافلة، ولایمکنه ذلک فضلاً عن أخبار متعدّدة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شعری انّ مَن یعترف بأنّ کتاب التهذیب لیس عندی، والنصوص الّتی أوردها فی الرسالة أخذ کلّها أو جلّها من الحبل المتین، مِن أین اطّلع علی تلک الأخبار ولم یطّلع علی شیء منها علمائنا المحدّثون الأبرار لعدم إیرادهم ذلک فی الکافی والفقیه والتهذیب والإستبصار، بل ولا فی الوسائل والبحار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نعوذ باللّه سبحانه من غضب الجبّار و من وساوس الخنّاس المکّار، فإنّه کیف هوّن هذا الأمر الخطیر العظیم الجسیم فی نظره، حیث اجترئ علی الإقدام بالخیانة فی الدین والکذب علی اللّه و أمنائه الأکرمین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ولعمر الحبیب أنّه استحقّ فی الإخبار بهذه الأمور المخالفة للواقع أن یلقی إلیه </w:t>
      </w:r>
    </w:p>
    <w:p>
      <w:pPr>
        <w:pStyle w:val="BookText"/>
        <w:rPr/>
      </w:pPr>
      <w:r>
        <w:rPr>
          <w:rFonts w:ascii="Amiri" w:hAnsi="Amiri" w:eastAsia="Amiri" w:cs="Amiri"/>
          <w:color w:val="111111"/>
          <w:sz w:val="28"/>
          <w:sz w:val="28"/>
          <w:szCs w:val="28"/>
          <w:rtl w:val="true"/>
          <w:lang w:bidi="ar-SA"/>
        </w:rPr>
        <w:t xml:space="preserve">أنّه قد جاء أمرًا إدًّا </w:t>
      </w:r>
      <w:r>
        <w:rPr>
          <w:rStyle w:val="FootnoteAnchor"/>
          <w:rtl w:val="true"/>
        </w:rPr>
        <w:footnoteReference w:id="853"/>
      </w:r>
      <w:r>
        <w:rPr>
          <w:rFonts w:ascii="Amiri" w:hAnsi="Amiri" w:eastAsia="Amiri" w:cs="Amiri"/>
          <w:color w:val="111111"/>
          <w:sz w:val="28"/>
          <w:sz w:val="28"/>
          <w:szCs w:val="28"/>
          <w:rtl w:val="true"/>
          <w:lang w:bidi="ar-SA"/>
        </w:rPr>
        <w:t xml:space="preserve">وأبرز قولاً 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السّموَاتُ یَتَفَطَّرْنَ مِنْهُ وَ تَنشَقُّ الأَرضُ وَتَخِرُّ الجِبَالُ هَدًّا </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الداعی له إلی هذه الاخبار ملاحظة کلام الشیخ فی المصباح، حیث أنّه أورد التشهّد الطویل فی النافلة، واقتصر فی مقام التسلیم بصیغة السلام علیکم </w:t>
      </w:r>
      <w:r>
        <w:rPr>
          <w:rStyle w:val="FootnoteAnchor"/>
          <w:rtl w:val="true"/>
        </w:rPr>
        <w:footnoteReference w:id="855"/>
      </w:r>
      <w:r>
        <w:rPr>
          <w:rFonts w:ascii="IRNazanin" w:hAnsi="IRNazanin" w:eastAsia="IRNazanin"/>
          <w:color w:val="111111"/>
          <w:sz w:val="28"/>
          <w:sz w:val="28"/>
          <w:szCs w:val="28"/>
          <w:rtl w:val="true"/>
          <w:lang w:bidi="fa-IR"/>
        </w:rPr>
        <w:t xml:space="preserve">، و منه یظهر انّه اطّلع علی خبر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غرائب الأمور لا یلیق بجنابه الشریف أن یجعل محملاً لکلامه،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کیف یمکن لعاقل العدول عن إطلاق کلام المعصوم لما وجد فی کتاب الفقیه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ذلک یستلزم الحکم بحجّیة قول کلّ فقیه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سیصرّح بأنّ إعتماده فی ذلک لیس علی قول الشیخ، حیث قال فی مقابلة قولنا مشیرًا إلی کلام الشیخ فی المصباح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قول الفقیه الواحد لایصلح أن یجعل دلیلاً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حقّ، و لکن یرد هذا علی من جعل قول الشیخ دلیلاً، و ما أدری من أین أخذ هذا، و مَن جعله دلیلاً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ذکره، کما </w:t>
      </w:r>
      <w:r>
        <w:rPr>
          <w:rStyle w:val="FootnoteAnchor"/>
          <w:rtl w:val="true"/>
        </w:rPr>
        <w:footnoteReference w:id="856"/>
      </w:r>
      <w:r>
        <w:rPr>
          <w:rFonts w:ascii="IRNazanin" w:hAnsi="IRNazanin" w:eastAsia="IRNazanin"/>
          <w:color w:val="111111"/>
          <w:sz w:val="28"/>
          <w:sz w:val="28"/>
          <w:szCs w:val="28"/>
          <w:rtl w:val="true"/>
          <w:lang w:bidi="fa-IR"/>
        </w:rPr>
        <w:t xml:space="preserve">ستقف علیه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ذلک یستلزم أن یصحّ أن ینسب إلی المعصوم فتوی کلّ فقیه، فیجعل فتاوی الشیخ مثلاً من الأحادیث الصادرة عن الأئمّة، فیعارض بها عموم الکتاب والسنّة، والضرورة قاضیة بفساده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إیراد التشهّد فی النافلة فی کلام شیخ الطائفة کما یمکن أن یکون لورود نصّ فیها بالخصوص، یمکن أن یکون من جهة القاعدة الّتی ستقف علیها </w:t>
      </w:r>
      <w:r>
        <w:rPr>
          <w:rStyle w:val="FootnoteAnchor"/>
          <w:rtl w:val="true"/>
        </w:rPr>
        <w:footnoteReference w:id="857"/>
      </w:r>
      <w:r>
        <w:rPr>
          <w:rFonts w:ascii="IRNazanin" w:hAnsi="IRNazanin" w:eastAsia="IRNazanin"/>
          <w:color w:val="111111"/>
          <w:sz w:val="28"/>
          <w:sz w:val="28"/>
          <w:szCs w:val="28"/>
          <w:rtl w:val="true"/>
          <w:lang w:bidi="fa-IR"/>
        </w:rPr>
        <w:t>، و معلوم أنّ العامّ لا دلالة له علی خصوص الخاصّ، فکیف یمکن بمجرّد الإحتمال العدول عن مقتضی کلام المعصوم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الثانی هو المتعیّن، لوضوح أنّه لو کان هناک نصّ مختصّ بتشهّد النافلة لأوردها هو و غیره فی کتب الأحادیث کما لا یخفی، و یظهر من إطباقهم علی عدم الإیراد عدم اطّلاعهم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المبیّن مثل شیخ 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انّه بیّن انّ الوارد فی الأخبار أنّ التشهّد فی النافلة کذا، فهو مخالف للواقع، لعدم وروده فی شیء من کتبه، مضافًا إلی أنّ مراده کلامه فی المصباح و ستقف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أراد أنّه بیّن التشهّد فی النافلة،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مسلّم، لکنّه لا یستلزم أن یکون لأجل خبر بخصوصه، فضلاً عن الأخبار، کما علمت ممّا فصّلناه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باعث و داع له علی الإبرام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عرفت أنّ الباعث دفع </w:t>
      </w:r>
      <w:r>
        <w:rPr>
          <w:rStyle w:val="FootnoteAnchor"/>
          <w:rtl w:val="true"/>
        </w:rPr>
        <w:footnoteReference w:id="858"/>
      </w:r>
      <w:r>
        <w:rPr>
          <w:rFonts w:ascii="IRNazanin" w:hAnsi="IRNazanin" w:eastAsia="IRNazanin"/>
          <w:color w:val="111111"/>
          <w:sz w:val="28"/>
          <w:sz w:val="28"/>
          <w:szCs w:val="28"/>
          <w:rtl w:val="true"/>
          <w:lang w:bidi="fa-IR"/>
        </w:rPr>
        <w:t>البدعة فی الدین والمصیر إلی ما یدلّ علیه کلام سیّد المرسلین علی ما فسّره السادس والثامن من عترته الطاهرین ـ علیه و علیهم آلاف التحیّة من ربّ العالمین ـ وإلی ما جرت علیه سیرة فقهائنا المتقدّمین و المتأخّرین علی ما ستقف علیه، ولیت شعری أیّ باعث یکون أقوی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لَنِعْمَ ما قیل </w:t>
      </w:r>
      <w:r>
        <w:rPr>
          <w:rFonts w:eastAsia="IRNazanin" w:cs="IRNazanin"/>
          <w:color w:val="111111"/>
          <w:sz w:val="28"/>
          <w:szCs w:val="28"/>
          <w:rtl w:val="true"/>
          <w:lang w:bidi="fa-IR"/>
        </w:rPr>
        <w:t xml:space="preserve">: </w:t>
      </w:r>
      <w:bookmarkStart w:id="254" w:name="pg3709_22238"/>
    </w:p>
    <w:p>
      <w:pPr>
        <w:pStyle w:val="BookText"/>
        <w:rPr/>
      </w:pPr>
      <w:bookmarkEnd w:id="254"/>
      <w:r>
        <w:rPr>
          <w:rFonts w:ascii="Amiri" w:hAnsi="Amiri" w:eastAsia="Amiri" w:cs="Amiri"/>
          <w:color w:val="111111"/>
          <w:sz w:val="28"/>
          <w:sz w:val="28"/>
          <w:szCs w:val="28"/>
          <w:rtl w:val="true"/>
          <w:lang w:bidi="ar-SA"/>
        </w:rPr>
        <w:t xml:space="preserve">لقد ظهرت فلایخفی علی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أَکْمَهٍ لا یبصر القمر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لقد بهرت فما تخفی علی أحد إلاّ علی أکمهٍ لا یَعرف القمرا</w:t>
      </w:r>
    </w:p>
    <w:p>
      <w:pPr>
        <w:pStyle w:val="BookText"/>
        <w:rPr/>
      </w:pPr>
      <w:r>
        <w:rPr>
          <w:rFonts w:ascii="IRNazanin" w:hAnsi="IRNazanin" w:eastAsia="IRNazanin"/>
          <w:color w:val="111111"/>
          <w:sz w:val="28"/>
          <w:sz w:val="28"/>
          <w:szCs w:val="28"/>
          <w:rtl w:val="true"/>
          <w:lang w:bidi="fa-IR"/>
        </w:rPr>
        <w:t xml:space="preserve">أنظر دیوان ذو الرمة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ومعجم شواهد العربیّة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لایخفی ما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باعث و 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النقصان و افتقاره إلی ما به یحصل الإرتباط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هذه الکلمات المتهافیة دالّة علی عدم جواز الإجتزاء فی تسلیم النوافل بصیغة السلام علینا، و لا الجمع بینها و بین السلام علیکم، فهو تناقض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لأنّی لا أنکر أنّ المصلّی نافلة إذا أتی بتلک الصیغة منفردة أو مع إنضمام السلام الشائع أتی بالمحلِّل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هذا مناف لما صدر منه سابقًا من حمل الإنصراف بتلک الصیغة علی کونها مفسدة، فهو بسبب هذا الإختلاف و الإختلال رفع وقعه فی نظر الأحباب والأصحاب و حطّ قدره عند أولی الأحلام والألباب، فالحمد للّه الّذی نصر عبده وأعزّ جنده </w:t>
      </w:r>
      <w:r>
        <w:rPr>
          <w:rFonts w:eastAsia="IRNazanin" w:cs="IRNazanin"/>
          <w:color w:val="111111"/>
          <w:sz w:val="28"/>
          <w:szCs w:val="28"/>
          <w:rtl w:val="true"/>
          <w:lang w:bidi="fa-IR"/>
        </w:rPr>
        <w:t>.</w:t>
      </w:r>
    </w:p>
    <w:p>
      <w:pPr>
        <w:pStyle w:val="Heading4"/>
        <w:numPr>
          <w:ilvl w:val="3"/>
          <w:numId w:val="1"/>
        </w:numPr>
        <w:rPr/>
      </w:pPr>
      <w:bookmarkStart w:id="255" w:name="__RefHeading___Toc594201_2281741623"/>
      <w:bookmarkStart w:id="256" w:name="_Toc91"/>
      <w:bookmarkEnd w:id="255"/>
      <w:r>
        <w:rPr>
          <w:rtl w:val="true"/>
        </w:rPr>
        <w:t xml:space="preserve">ومنها قوله بعد أن عنون قولنا </w:t>
      </w:r>
      <w:r>
        <w:rPr>
          <w:rtl w:val="true"/>
        </w:rPr>
        <w:t xml:space="preserve">: </w:t>
      </w:r>
      <w:r>
        <w:rPr>
          <w:rtl w:val="true"/>
        </w:rPr>
        <w:t>و من إطلاقات النصوص، إلخ</w:t>
      </w:r>
      <w:bookmarkEnd w:id="25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دام ظلّه </w:t>
      </w:r>
      <w:r>
        <w:rPr>
          <w:rStyle w:val="FootnoteAnchor"/>
          <w:rtl w:val="true"/>
        </w:rPr>
        <w:footnoteReference w:id="860"/>
      </w:r>
      <w:r>
        <w:rPr>
          <w:rFonts w:ascii="IRNazanin" w:hAnsi="IRNazanin" w:eastAsia="IRNazanin"/>
          <w:color w:val="111111"/>
          <w:sz w:val="28"/>
          <w:sz w:val="28"/>
          <w:szCs w:val="28"/>
          <w:rtl w:val="true"/>
          <w:lang w:bidi="fa-IR"/>
        </w:rPr>
        <w:t xml:space="preserve">ـ بعد أن عنون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إطلاقات النصوص المشار إلیها ما رواه فی أواخر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هو المتعیّن لما ستقف من عبارته الدالّة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المذکورة فی أواخر السرائر لا تدلّ </w:t>
      </w:r>
      <w:r>
        <w:rPr>
          <w:rStyle w:val="FootnoteAnchor"/>
          <w:rtl w:val="true"/>
        </w:rPr>
        <w:footnoteReference w:id="861"/>
      </w:r>
      <w:r>
        <w:rPr>
          <w:rFonts w:ascii="IRNazanin" w:hAnsi="IRNazanin" w:eastAsia="IRNazanin"/>
          <w:color w:val="111111"/>
          <w:sz w:val="28"/>
          <w:sz w:val="28"/>
          <w:szCs w:val="28"/>
          <w:rtl w:val="true"/>
          <w:lang w:bidi="fa-IR"/>
        </w:rPr>
        <w:t xml:space="preserve">علی مرامه إلاّ إذا ثبت أنّ التسلیم و التسلیمة فی کلام </w:t>
      </w:r>
    </w:p>
    <w:p>
      <w:pPr>
        <w:pStyle w:val="BookText"/>
        <w:rPr/>
      </w:pPr>
      <w:r>
        <w:rPr>
          <w:rFonts w:ascii="IRNazanin" w:hAnsi="IRNazanin" w:eastAsia="IRNazanin"/>
          <w:color w:val="111111"/>
          <w:sz w:val="28"/>
          <w:sz w:val="28"/>
          <w:szCs w:val="28"/>
          <w:rtl w:val="true"/>
          <w:lang w:bidi="fa-IR"/>
        </w:rPr>
        <w:t xml:space="preserve">الشارع إسم لتینک الصیغتین، بحیث إذا أطلق یتبادر منه کلاهما أو إحدیهما، و قد عرفت أنّه لیس کذلک، و شهد بذلک إعتراف السیّد بإطباق کلمات الفقهاء قاطبة أنّ المتبادر من ذلک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والإستشهاد بکلام الإمام علیه‌السلام بأنّک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 فقد سلّمت، قد عرفت ما فیه و فی نظائره من أنّ الإستعمال أعمّ من الحقیقة، فیحتمل أن یکون مجازًا کإطلاق الخمر علی الفقّاع، فقد ظهر ضعف دلالة ما استدلّ به فی النافلة، إذ لیس فیالروایة إلاّ الأمر بالفصل بین کلّ رکعتین من النافلة بالتسلیم، و لا نزاع فیه، بل هو شاهد لنا لا علینا بعد أن عرفت أنّ المتبادر من التسلیم هو السلام الشایع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 من وجوه،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مرادنا فی هذا المقام أنّه یجوز الإجتزاء فی تسلیم النوافل بکلّ واحدة من الصیغتین المذکورتین، 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إذا ثبت أنّ التسلیم والتسلیمة فی کلام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إمّا أن یکون المراد منه أنّه ثبت کون اللفظین معًا إسمًا لهما، أو لا بل واحد منهما إسمًا لهما، و علی التقدیرین لایخفی فساده، أمّا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المذکور فی الحدیث لفظ التسلیم، فیکفی فی دلالته علی المدّعی کون هذا اللفظ إسمًا لهما، فلا توقّف لدلالته علیه علی کون لفظ التسلیمة إسمًا لهما أصلاً کما لا یخفی، فجعل الموقوف علیه کونهما معًا إسمًا لهما بیّن الفساد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نفرض أنّ لفظ التسلیمة تکون إسمًا لهما دون التسلیم، فکیف یکفی الحدیث حینئذ فی الدلالة علی المرام مع أنّ المذکور فیه التسلیم دون التسلیمة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لا تعجّب من صدور مثله منه ـ دام ظلّه </w:t>
      </w:r>
      <w:r>
        <w:rPr>
          <w:rStyle w:val="FootnoteAnchor"/>
          <w:rtl w:val="true"/>
        </w:rPr>
        <w:footnoteReference w:id="862"/>
      </w:r>
      <w:r>
        <w:rPr>
          <w:rFonts w:ascii="IRNazanin" w:hAnsi="IRNazanin" w:eastAsia="IRNazanin"/>
          <w:color w:val="111111"/>
          <w:sz w:val="28"/>
          <w:sz w:val="28"/>
          <w:szCs w:val="28"/>
          <w:rtl w:val="true"/>
          <w:lang w:bidi="fa-IR"/>
        </w:rPr>
        <w:t xml:space="preserve">ـ لما عرفت مرارًا من أنّه عَوَّد نفسه فی التکلّم بکلّ ما یخطر بالبال ولو لم یکن له دخل بالمقال، بل کان مضرًّا بالحال، مضافًا إلی أنّه بالإضافة إلی إفاداته السابقة کالنور فی ظلم الدیجور، وغرابة الشیء انّما تظهر فی النظر عند عدم الإقتران بالأغرب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بحیث إذا أطلق یتبادر منه کلاهما أو إحدیهما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 علیه باب مؤاخذة أخری جزاء لعدم إبرازه فی حیّز التحریر علی النحو الصادر من الخبیر البصیر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هو 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هما معًا، أو بعنوان البدلیّة، وعلی الأوّل یکون مدلول الحدیث إعتبار الصیغتین معًا، و هو خلاف المدّعی، فلا یصحّ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یدلّ علی مرامه إلاّ إذا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علی الثانی و إن کان صحیحًا لکن یتوجّه المؤاخذة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إحدیهما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حینئذ لابدّ أن یکون المراد منها صیغة واحدة بعنوان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أو السلام علینا، و أیّ منهما کان، یکون مدلول الحدیث التعیّن، فلا ینطبق علی المرام، کما لایخفی علی أولی التأمّل والأفهام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لایخفی ما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کلتاهما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عرفت أنّه لیس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ینافی إصراره فی أنّ المتبادر من التسلیم هو السلام علیکم، إلاّ أن یکون المراد من إحدیهما بعنوان البدلیّة، فحینئذ یکون ذلک قرینة علی إرادة المعیّنة من کلاهما، و قد عرفت الحال فی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شهد بذلک إعتراف السیّد بإطباق کلمات الفقهاء أنّ المتبادر من ذلک هو 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للواقع، وقد علمت وجهه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المتبادر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ما فیه، والأولی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المتبادر، کما لایخفی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الإستدلال بالحدیث المذکور لإثبات المرام علی النحو المقرّر فی کلامنا مبنیّ علی تسلیم التبادر، کما لایخفی علی مَن له أدنی ربط بمبانی الفنّ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الحال فی ذلک هو أنّه لما أثبتنا من النبویّ المذکور و قول مولانا الصادق والرضا ـ علیهما آلاف التحیّة و الثناء ـ أنّه یجوز الإجتزاء فی تسلیم النوافل بکلّ واحدة من الصیغتین، فهو قرینة علی أنّ المراد من التسلیم فی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إفصل بین کلّ رکعتین من نوافلک بالتسلیم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یعمّ الصیغتین، إذ لو حمل علی السلام علیکم فقط یلزم حمل الأمر علی التخییر أو الإستحباب، بخلافه مع الحمل علی الإطلاق، فهو أولی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الإستشهاد بکلام الإمام علیه‌السلام بأنّک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فقد سلّمت، قد عرفت ما فیه و فی نظائره من أنّ الإستعمال أعمّ من الحقیقة، فیحتمل أن یکون مجازًا کإطلاق الخمر علی الفقّاع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لما عرفت ممّا فصّلناه من کونه علی وجه الحقیقة، فظهر من هذا الکلام ضعف ما فرّعه علیه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فظهر ضعف دلالة ما استدلّ به فی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ذکر النافلة هنا فی غیر موقعه، لإیهامه </w:t>
      </w:r>
      <w:r>
        <w:rPr>
          <w:rStyle w:val="FootnoteAnchor"/>
          <w:rtl w:val="true"/>
        </w:rPr>
        <w:footnoteReference w:id="863"/>
      </w:r>
      <w:r>
        <w:rPr>
          <w:rFonts w:ascii="IRNazanin" w:hAnsi="IRNazanin" w:eastAsia="IRNazanin"/>
          <w:color w:val="111111"/>
          <w:sz w:val="28"/>
          <w:sz w:val="28"/>
          <w:szCs w:val="28"/>
          <w:rtl w:val="true"/>
          <w:lang w:bidi="fa-IR"/>
        </w:rPr>
        <w:t xml:space="preserve">بأنّ الکلام فیما سبق لیس فی النافلة کما لایخفی </w:t>
      </w:r>
      <w:r>
        <w:rPr>
          <w:rFonts w:eastAsia="IRNazanin" w:cs="IRNazanin"/>
          <w:color w:val="111111"/>
          <w:sz w:val="28"/>
          <w:szCs w:val="28"/>
          <w:rtl w:val="true"/>
          <w:lang w:bidi="fa-IR"/>
        </w:rPr>
        <w:t xml:space="preserve">. </w:t>
      </w:r>
      <w:bookmarkStart w:id="257" w:name="pg3709_22242"/>
    </w:p>
    <w:p>
      <w:pPr>
        <w:pStyle w:val="BookText"/>
        <w:rPr/>
      </w:pPr>
      <w:bookmarkEnd w:id="257"/>
      <w:r>
        <w:rPr>
          <w:rFonts w:ascii="IRNazanin" w:hAnsi="IRNazanin" w:eastAsia="IRNazanin"/>
          <w:color w:val="111111"/>
          <w:sz w:val="28"/>
          <w:sz w:val="28"/>
          <w:szCs w:val="28"/>
          <w:rtl w:val="true"/>
          <w:lang w:bidi="fa-IR"/>
        </w:rPr>
        <w:t xml:space="preserve">و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لیس فی الروایة إلاّ الأمر بالفصل بین کلّ رکعتین من النافلة بالتسلیم، و لا نزاع فیه، بل هو شاهدٌ لنا لا علینا بعد أن عرفت أنّ المتبادر من التسلیم هو السلام الشائع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ما فیه،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غایة ما یستفاد منه بعد حمل التسلیم فیه علی السلام الشائع والإغماض عمّا بیّناه، أنّ الفصل بین کلّ رکعتین لابدّ أن یکون بذلک </w:t>
      </w:r>
      <w:r>
        <w:rPr>
          <w:rStyle w:val="FootnoteAnchor"/>
          <w:rtl w:val="true"/>
        </w:rPr>
        <w:footnoteReference w:id="864"/>
      </w:r>
      <w:r>
        <w:rPr>
          <w:rFonts w:ascii="IRNazanin" w:hAnsi="IRNazanin" w:eastAsia="IRNazanin"/>
          <w:color w:val="111111"/>
          <w:sz w:val="28"/>
          <w:sz w:val="28"/>
          <w:szCs w:val="28"/>
          <w:rtl w:val="true"/>
          <w:lang w:bidi="fa-IR"/>
        </w:rPr>
        <w:t xml:space="preserve">التسلیم، و هذا القدر لا یکفی فی کونه شاهدًا له، بل إنّما یصلح أن یکون شاهدًا له إذا منع عمّا عداه کما لا یخفی، و هو منتف هنا، للقطع بأنّه لا دلالة لقولک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لابدّ أن یکون الفصل بین کلّ رکعتین من النوافل بصیغة 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جواز إتیان السلام علینا أو السلام علیک أیّها النبیّ قبلها أصلاً،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الحدیث حینئذ و إن یخرج عمّا نحن فیه، لکنّ الکلام فی التنبیه علی عدم صحّة جعله الحدیث شاهدًا له کما عرفت </w:t>
      </w:r>
      <w:r>
        <w:rPr>
          <w:rFonts w:eastAsia="IRNazanin" w:cs="IRNazanin"/>
          <w:color w:val="111111"/>
          <w:sz w:val="28"/>
          <w:szCs w:val="28"/>
          <w:rtl w:val="true"/>
          <w:lang w:bidi="fa-IR"/>
        </w:rPr>
        <w:t>.</w:t>
      </w:r>
    </w:p>
    <w:p>
      <w:pPr>
        <w:pStyle w:val="Heading4"/>
        <w:numPr>
          <w:ilvl w:val="3"/>
          <w:numId w:val="1"/>
        </w:numPr>
        <w:rPr/>
      </w:pPr>
      <w:bookmarkStart w:id="258" w:name="__RefHeading___Toc594203_2281741623"/>
      <w:bookmarkStart w:id="259" w:name="_Toc92"/>
      <w:bookmarkEnd w:id="258"/>
      <w:r>
        <w:rPr>
          <w:rtl w:val="true"/>
        </w:rPr>
        <w:t xml:space="preserve">ومنها قوله </w:t>
      </w:r>
      <w:r>
        <w:rPr>
          <w:rtl w:val="true"/>
        </w:rPr>
        <w:t xml:space="preserve">: </w:t>
      </w:r>
      <w:r>
        <w:rPr>
          <w:rtl w:val="true"/>
        </w:rPr>
        <w:t>وأمّا الروایة المذکورة فی زیادات التهذیب الّتی، إلخ</w:t>
      </w:r>
      <w:bookmarkEnd w:id="25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دام ظلّه </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الروایة المذکورة فی زیادات التهذیب الّتی استشهد بها علی مرامه، فهی مع کون موردها الفریضة الخارجة عن محلّ النزاع لا دلالة فیها علی أنّ التسلیم یتبادر منه السلام علینا و علی عباد اللّه الصالحین، بل تلک الروایة یشعر </w:t>
      </w:r>
      <w:r>
        <w:rPr>
          <w:rStyle w:val="FootnoteAnchor"/>
          <w:rtl w:val="true"/>
        </w:rPr>
        <w:footnoteReference w:id="866"/>
      </w:r>
      <w:r>
        <w:rPr>
          <w:rFonts w:ascii="IRNazanin" w:hAnsi="IRNazanin" w:eastAsia="IRNazanin"/>
          <w:color w:val="111111"/>
          <w:sz w:val="28"/>
          <w:sz w:val="28"/>
          <w:szCs w:val="28"/>
          <w:rtl w:val="true"/>
          <w:lang w:bidi="fa-IR"/>
        </w:rPr>
        <w:t xml:space="preserve">بظاهرها علی عدم وجوب السلام علیکم بعد أن أتی بما یتحقّق به الإنصراف، و لکن هذا فی حال </w:t>
      </w:r>
    </w:p>
    <w:p>
      <w:pPr>
        <w:pStyle w:val="BookText"/>
        <w:rPr/>
      </w:pPr>
      <w:r>
        <w:rPr>
          <w:rFonts w:ascii="IRNazanin" w:hAnsi="IRNazanin" w:eastAsia="IRNazanin"/>
          <w:color w:val="111111"/>
          <w:sz w:val="28"/>
          <w:sz w:val="28"/>
          <w:szCs w:val="28"/>
          <w:rtl w:val="true"/>
          <w:lang w:bidi="fa-IR"/>
        </w:rPr>
        <w:t xml:space="preserve">السهو والنسیان، و بعد التذکّر أو تذکیر المأمومین الإمام یجب علیه الإتیان به کما فی آخر الروایة، فلا دلالة فیها علی عدم الوجوب أیضًا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فیه أیضًا، لأنّک قد عرفت أنّ المراد فی هذا المقام إثبات جواز الإکتفاء فی تسلیم النوافل بکلّ واحدة من الصیغتین، والتمسّک بالحدیث المذکور لیس لإثباته، بل لکون التسلیم حقیقة فی السلام علینا أیضًا، و دلالته علیه بعد ما أبرزناه فی معنی الحدیث ممّا لا یکاد یختفی علی من له أدنی تأمّل، بناء علی أنّ مِن أمارة المجاز صحّة السلب، و أمارة الحقیقة عدمها،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عن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تسلّم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عدم إمکان سلب التسلیم عن تلک الصیغة، فیکون حقیقة فیها أیضًا، و هو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وروده فی الفریضة غیر مضرّ بما نحن بصدده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یعلم الحال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دلالة فیها علی أنّ التسلیم یتبادر منه السلام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لوضوح أنّ التمسّک بالحدیث لیس لإثبات تبادره منه، بل لإثبات کونه حقیقة فیه، والفرق بین المطلبین ظاهر لِمَن له اطّلاع بعلامات الحقیقة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تلک الروایة یشعر بظاهرها عدم وجوب 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حکایة إشعارها بعدم وجوب السلام علیکم هنا ممّا لامدخلیّة له فیما هو بصدد بیانه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وجوب 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إسقاطًا لا یخفی، والأولی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وجوب السلام علیکم، أو علی عدم وجوبها، کما لا یخفی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هذا فی حال السهو والنسیان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عجائب الأمور، </w:t>
      </w:r>
      <w:bookmarkStart w:id="260" w:name="pg3709_22244"/>
    </w:p>
    <w:p>
      <w:pPr>
        <w:pStyle w:val="BookText"/>
        <w:rPr/>
      </w:pPr>
      <w:bookmarkEnd w:id="260"/>
      <w:r>
        <w:rPr>
          <w:rFonts w:ascii="IRNazanin" w:hAnsi="IRNazanin" w:eastAsia="IRNazanin"/>
          <w:color w:val="111111"/>
          <w:sz w:val="28"/>
          <w:sz w:val="28"/>
          <w:szCs w:val="28"/>
          <w:rtl w:val="true"/>
          <w:lang w:bidi="fa-IR"/>
        </w:rPr>
        <w:t>للقطع بانتفاء التکلیف فی حالة السهو، فکیف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تشعر بعدم الوجوب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أنّ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بمعونة المقام صریحٌ فی عدم الوجوب، فالقول </w:t>
      </w:r>
      <w:r>
        <w:rPr>
          <w:rStyle w:val="FootnoteAnchor"/>
          <w:rtl w:val="true"/>
        </w:rPr>
        <w:footnoteReference w:id="867"/>
      </w:r>
      <w:r>
        <w:rPr>
          <w:rFonts w:ascii="IRNazanin" w:hAnsi="IRNazanin" w:eastAsia="IRNazanin"/>
          <w:color w:val="111111"/>
          <w:sz w:val="28"/>
          <w:sz w:val="28"/>
          <w:szCs w:val="28"/>
          <w:rtl w:val="true"/>
          <w:lang w:bidi="fa-IR"/>
        </w:rPr>
        <w:t xml:space="preserve">بالإشعار عریّ عن الإعتبار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التذکّر أو تذکیر المأمومین الإمام یجب علیه الإتیان به کما فی آخر الروایة، فلا دلالة فیها علی عدم الوجوب أیضًا کما لا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یخفی ما فیها من التهافت، فانّ تفریع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دلالة فیها علی عدم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یشمأزّ عنه القلوب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القول بدلالة آخرها علی وجوب الإتیان به بعد التذکّر، لا یخفی ما فیه، لاسیّما بعد ما أبرزناه فی معنی الحدیث و بیان التغییر فیه، فالحکم بدلالته علی الوجوب بعد الإطّلاع علی ذلک من عجائب الأمور </w:t>
      </w:r>
      <w:r>
        <w:rPr>
          <w:rFonts w:eastAsia="IRNazanin" w:cs="IRNazanin"/>
          <w:color w:val="111111"/>
          <w:sz w:val="28"/>
          <w:szCs w:val="28"/>
          <w:rtl w:val="true"/>
          <w:lang w:bidi="fa-IR"/>
        </w:rPr>
        <w:t>.</w:t>
      </w:r>
    </w:p>
    <w:p>
      <w:pPr>
        <w:pStyle w:val="Heading4"/>
        <w:numPr>
          <w:ilvl w:val="3"/>
          <w:numId w:val="1"/>
        </w:numPr>
        <w:rPr/>
      </w:pPr>
      <w:bookmarkStart w:id="261" w:name="__RefHeading___Toc594205_2281741623"/>
      <w:bookmarkStart w:id="262" w:name="_Toc93"/>
      <w:bookmarkEnd w:id="261"/>
      <w:r>
        <w:rPr>
          <w:rtl w:val="true"/>
        </w:rPr>
        <w:t xml:space="preserve">ومنها قوله </w:t>
      </w:r>
      <w:r>
        <w:rPr>
          <w:rtl w:val="true"/>
        </w:rPr>
        <w:t xml:space="preserve">: </w:t>
      </w:r>
      <w:r>
        <w:rPr>
          <w:rtl w:val="true"/>
        </w:rPr>
        <w:t>وأمّا الإستشهاد بروایة الحلبیّ، فهو أیضًا فی غایة الضعف، إلخ</w:t>
      </w:r>
      <w:bookmarkEnd w:id="26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الإستشهاد بروایة الحلبیّ، فهو أیضًا فی غایة الضعف، إذ موردها الفریضة، کما صرّح به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المرویّ فی التشهّد فی الرکعتین الأولیین و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شکّ أنّ التشهّد فی الأولیین والرابعة لیس إلاّ فی الفریضة المشتملة علی أربع رکعات المتضمّنة علی تشهّدین الأولی والثانیة، و قد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فقد انصرفت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نسلّم ذلک بلا نزاع ولا تأمّل، وأین المدّعی من هذا، وهذا واضح بحمد اللّه لِمَن تجنّب عن اللجاج </w:t>
      </w:r>
    </w:p>
    <w:p>
      <w:pPr>
        <w:pStyle w:val="BookText"/>
        <w:rPr/>
      </w:pPr>
      <w:r>
        <w:rPr>
          <w:rFonts w:ascii="IRNazanin" w:hAnsi="IRNazanin" w:eastAsia="IRNazanin"/>
          <w:color w:val="111111"/>
          <w:sz w:val="28"/>
          <w:sz w:val="28"/>
          <w:szCs w:val="28"/>
          <w:rtl w:val="true"/>
          <w:lang w:bidi="fa-IR"/>
        </w:rPr>
        <w:t xml:space="preserve">وکان طالبًا للرشد والسداد، إنتهی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یخطر بالبال فی مقابلة هذا المقال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ـ دام ظلّه </w:t>
      </w:r>
      <w:r>
        <w:rPr>
          <w:rStyle w:val="FootnoteAnchor"/>
          <w:rtl w:val="true"/>
        </w:rPr>
        <w:footnoteReference w:id="868"/>
      </w:r>
      <w:r>
        <w:rPr>
          <w:rFonts w:ascii="IRNazanin" w:hAnsi="IRNazanin" w:eastAsia="IRNazanin"/>
          <w:color w:val="111111"/>
          <w:sz w:val="28"/>
          <w:sz w:val="28"/>
          <w:szCs w:val="28"/>
          <w:rtl w:val="true"/>
          <w:lang w:bidi="fa-IR"/>
        </w:rPr>
        <w:t xml:space="preserve">ـ أراد ترطیب دماغ الأحباب بلطائف المداعبات </w:t>
      </w:r>
      <w:r>
        <w:rPr>
          <w:rStyle w:val="FootnoteAnchor"/>
          <w:rtl w:val="true"/>
        </w:rPr>
        <w:footnoteReference w:id="869"/>
      </w:r>
      <w:r>
        <w:rPr>
          <w:rFonts w:ascii="IRNazanin" w:hAnsi="IRNazanin" w:eastAsia="IRNazanin"/>
          <w:color w:val="111111"/>
          <w:sz w:val="28"/>
          <w:sz w:val="28"/>
          <w:szCs w:val="28"/>
          <w:rtl w:val="true"/>
          <w:lang w:bidi="fa-IR"/>
        </w:rPr>
        <w:t xml:space="preserve">و ترویح روح الأصحاب بظرائف المطائبات، لوضوح انّ استماع عجائب الزمان ومشاهدة غرائب الدوران یوجب أن یتوجّه إلیها الأذهان، فیدعو ذلک إلی تفرّق الهموم والأحزان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الحال فی بیان المرام یستدعی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موردها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المرویّ فی التشهّد فی الرکعتین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ممّا یضحک علیه الثکلی، و یفرح به مَن ضلّ عن طریق الحقّ و سبیل الهدی، لأنّ عبارتی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إطلاقات المشار إلیها الصحیح المرویّ فی باب التشهّد فی الرکعتین الأولیین و الرابعة و التسلیم من الکافی، و باب کیفیّة الصلوة من زیادات التهذیب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فقد انصرفت </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ذلک فی الصلوة، فهو أعمّ من المفروضة والمسنونة، کما لایخفی علی من له درک و فطانة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مولانا ـ دام ظلّه </w:t>
      </w:r>
      <w:r>
        <w:rPr>
          <w:rStyle w:val="FootnoteAnchor"/>
          <w:rtl w:val="true"/>
        </w:rPr>
        <w:footnoteReference w:id="871"/>
      </w:r>
      <w:r>
        <w:rPr>
          <w:rFonts w:ascii="IRNazanin" w:hAnsi="IRNazanin" w:eastAsia="IRNazanin"/>
          <w:color w:val="111111"/>
          <w:sz w:val="28"/>
          <w:sz w:val="28"/>
          <w:szCs w:val="28"/>
          <w:rtl w:val="true"/>
          <w:lang w:bidi="fa-IR"/>
        </w:rPr>
        <w:t xml:space="preserve">ـ فهم من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باب 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المتعارف فی المحاورات،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التشهّد، فأسقط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صرّح به بقوله الصحیح المرویّ فی 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فوقع فیما لایسلم عن لومه إلی یوم القیام، </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الصحیح المذکور غیر مشتمل علی التشهّد أصلاً، فکیف یمکن أن یقول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المرویّ فی التشهّد فی الرکعتین الأولیین والرابعة، مع عدم اشتماله علی التشهّد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فلدلالة هذا الکلام علی جواز السلام علینا و علی عباد اللّه الصالحین فی کلّ من التشهّد الأوّل و الثانی، و هو من غرائب الزمان، و أعجب من ذلک تصریحه بذلک، بل دعوی عدم النزاع والخلاف فیه،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ونحن نسلّم ذلک بلانزاع ولاتأمّل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لوضوح أنّ المشار إلیه </w:t>
      </w:r>
      <w:r>
        <w:rPr>
          <w:rStyle w:val="FootnoteAnchor"/>
          <w:rtl w:val="true"/>
        </w:rPr>
        <w:footnoteReference w:id="872"/>
      </w:r>
      <w:r>
        <w:rPr>
          <w:rFonts w:ascii="IRNazanin" w:hAnsi="IRNazanin" w:eastAsia="IRNazanin"/>
          <w:color w:val="111111"/>
          <w:sz w:val="28"/>
          <w:sz w:val="28"/>
          <w:szCs w:val="28"/>
          <w:rtl w:val="true"/>
          <w:lang w:bidi="fa-IR"/>
        </w:rPr>
        <w:t>لإسم الإشارة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ونحن نسلّم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الصحیح وقد جعله مرویًّا فی التشهّد الأوّل والثانی، وهو مشتمل علی الصیغة المذکورة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التزامه بذلک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فی التشهّد الأوّل مفسدة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الصحیح جواز هذا القول و هو باطل قطعًا، وأین ذلک من کونه مفسدًا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مَن استفاد هذا المعنی من الکلام المذکور، ما أدری کیف یصنع بقولنا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الکافی، و باب کیفیّة الصلوة من زیادات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من الأغلاط، و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 الثانی، و ما أشبه هذا المقال بقول من قرء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خاء بصر اللّه والقبح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استفسر عن اللفظ الّذی بعده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التاس أو الباس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غلط من أغلاطک أصلح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ولیت شعری أیّ أمر من الأمور المذکورة اعتذر من قبل </w:t>
      </w:r>
      <w:r>
        <w:rPr>
          <w:rStyle w:val="FootnoteAnchor"/>
          <w:rtl w:val="true"/>
        </w:rPr>
        <w:footnoteReference w:id="873"/>
      </w:r>
      <w:r>
        <w:rPr>
          <w:rFonts w:ascii="IRNazanin" w:hAnsi="IRNazanin" w:eastAsia="IRNazanin"/>
          <w:color w:val="111111"/>
          <w:sz w:val="28"/>
          <w:sz w:val="28"/>
          <w:szCs w:val="28"/>
          <w:rtl w:val="true"/>
          <w:lang w:bidi="fa-IR"/>
        </w:rPr>
        <w:t xml:space="preserve">صدیقنا ـ دام ظلّه ـ غفلته من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المرویّ فی باب 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علی اللفظ الّذی لا معنی له أصلاً، و 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المرویّ فی التشهّد فی الرکعتین الأولیین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التزامه بجواز القول المذکور فی التشهّد الأوّل وتعبیره </w:t>
      </w:r>
      <w:r>
        <w:rPr>
          <w:rStyle w:val="FootnoteAnchor"/>
          <w:rtl w:val="true"/>
        </w:rPr>
        <w:footnoteReference w:id="874"/>
      </w:r>
      <w:r>
        <w:rPr>
          <w:rFonts w:ascii="IRNazanin" w:hAnsi="IRNazanin" w:eastAsia="IRNazanin"/>
          <w:color w:val="111111"/>
          <w:sz w:val="28"/>
          <w:sz w:val="28"/>
          <w:szCs w:val="28"/>
          <w:rtl w:val="true"/>
          <w:lang w:bidi="fa-IR"/>
        </w:rPr>
        <w:t>بالاُولی و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توجیه کلامه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الوجه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المرویّ فی التشهّد فی الرکعتین الأولیین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هو أنّ الباب لمّا کان باب التشهّد فی الرکعتین الأولیین یلزم منه کون النصوص المذکورة فیه فی التشهّد فی الرکعتین الأولیین، و لذا أسقط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المرویّ فی التشهّد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الحبیب هذا علاج الفاسد بالأفسد،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المناسب حینئذ بعد الإغماض عمّا فیه ممّا ستقف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الوارد فی التشهّد فی الرکعتین الأولیین ؛ لا المرویّ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عرفت من عدم اشتماله علی التشهّد أصلاً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عرفت من أنّ عنوان الباب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التشهّد فی الرکعتین الأولیین و الرابعة و التسلیم، و التسلیم فیه عطف علی التشهّد، و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التسلیم فی الصلوة، فالأحادیث المذکورة فی ذلک الباب ینبغی أن یکون متعلّقًا إمّا بالتشهّد، أو التسلیم، أو بهما معًا، والحدیث الّذی کلامنا فیه من القبیل الثانی، </w:t>
      </w:r>
      <w:bookmarkStart w:id="263" w:name="pg3709_22248"/>
    </w:p>
    <w:p>
      <w:pPr>
        <w:pStyle w:val="BookText"/>
        <w:rPr/>
      </w:pPr>
      <w:bookmarkEnd w:id="263"/>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المرویّ فی 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بیّن 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الإنصاف أن لا غرابة فی صدور أمثال هذه الأمور الّتی ما عثر به مرّ الدهور، ممّن </w:t>
      </w:r>
      <w:r>
        <w:rPr>
          <w:rStyle w:val="FootnoteAnchor"/>
          <w:rtl w:val="true"/>
        </w:rPr>
        <w:footnoteReference w:id="875"/>
      </w:r>
      <w:r>
        <w:rPr>
          <w:rFonts w:ascii="IRNazanin" w:hAnsi="IRNazanin" w:eastAsia="IRNazanin"/>
          <w:color w:val="111111"/>
          <w:sz w:val="28"/>
          <w:sz w:val="28"/>
          <w:szCs w:val="28"/>
          <w:rtl w:val="true"/>
          <w:lang w:bidi="fa-IR"/>
        </w:rPr>
        <w:t xml:space="preserve">لا اطّلاع له بالفنّ، و لا إحاطة له بکتب الأخبار، و لا بکیفیّة نقل الأحادیث المعهودة بین العلماء الأخیار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جمیع ما ذکر ظهر انّ ما ذکره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أیضًا فی غایة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مقلوبٌ علیه، و أنّ متاعه مردودٌ إلیه، للموثّق ـ کالصحیح ـ المرویّ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اللعنة إذا خرجت من فیّ صاحبها تردّدت بینهما، فإن وجدت مساغًا، وإلاّ رجعت علی صاحبها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ولنعم ما أفاد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واضح بحمد اللّه لِمَن تجنّب عن اللجاج وکان طالبًا للرشد والسداد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أیم اللّه أنّه کذلک، لکن اللازم من کلامه أنّه ـ دام ظلّه </w:t>
      </w:r>
      <w:r>
        <w:rPr>
          <w:rStyle w:val="FootnoteAnchor"/>
          <w:rtl w:val="true"/>
        </w:rPr>
        <w:footnoteReference w:id="878"/>
      </w:r>
      <w:r>
        <w:rPr>
          <w:rFonts w:ascii="IRNazanin" w:hAnsi="IRNazanin" w:eastAsia="IRNazanin"/>
          <w:color w:val="111111"/>
          <w:sz w:val="28"/>
          <w:sz w:val="28"/>
          <w:szCs w:val="28"/>
          <w:rtl w:val="true"/>
          <w:lang w:bidi="fa-IR"/>
        </w:rPr>
        <w:t xml:space="preserve">ـ شهد علی نفسه باللجاج والهجر عن طریق الرشد والسداد، حیث اختفی علیه هذا الأمر الظاهر الّذی نسبة </w:t>
      </w:r>
      <w:r>
        <w:rPr>
          <w:rStyle w:val="FootnoteAnchor"/>
          <w:rtl w:val="true"/>
        </w:rPr>
        <w:footnoteReference w:id="879"/>
      </w:r>
      <w:r>
        <w:rPr>
          <w:rFonts w:ascii="IRNazanin" w:hAnsi="IRNazanin" w:eastAsia="IRNazanin"/>
          <w:color w:val="111111"/>
          <w:sz w:val="28"/>
          <w:sz w:val="28"/>
          <w:szCs w:val="28"/>
          <w:rtl w:val="true"/>
          <w:lang w:bidi="fa-IR"/>
        </w:rPr>
        <w:t xml:space="preserve">ظهوره ظهور النور فی الظلمة، و تکلّم بما لایکاد یرتضی الأصحاب بصدوره ممّن اختلف فی مجلسه و لو بعنوان الندرة </w:t>
      </w:r>
      <w:r>
        <w:rPr>
          <w:rFonts w:eastAsia="IRNazanin" w:cs="IRNazanin"/>
          <w:color w:val="111111"/>
          <w:sz w:val="28"/>
          <w:szCs w:val="28"/>
          <w:rtl w:val="true"/>
          <w:lang w:bidi="fa-IR"/>
        </w:rPr>
        <w:t>.</w:t>
      </w:r>
    </w:p>
    <w:p>
      <w:pPr>
        <w:pStyle w:val="Heading4"/>
        <w:numPr>
          <w:ilvl w:val="3"/>
          <w:numId w:val="1"/>
        </w:numPr>
        <w:rPr/>
      </w:pPr>
      <w:bookmarkStart w:id="264" w:name="__RefHeading___Toc594207_2281741623"/>
      <w:bookmarkStart w:id="265" w:name="_Toc94"/>
      <w:bookmarkEnd w:id="264"/>
      <w:r>
        <w:rPr>
          <w:rtl w:val="true"/>
        </w:rPr>
        <w:t xml:space="preserve">ومنها قوله </w:t>
      </w:r>
      <w:r>
        <w:rPr>
          <w:rtl w:val="true"/>
        </w:rPr>
        <w:t xml:space="preserve">: </w:t>
      </w:r>
      <w:r>
        <w:rPr>
          <w:rtl w:val="true"/>
        </w:rPr>
        <w:t xml:space="preserve">وأمّا قوله دام ظلّه </w:t>
      </w:r>
      <w:r>
        <w:rPr>
          <w:rtl w:val="true"/>
        </w:rPr>
        <w:t xml:space="preserve">: </w:t>
      </w:r>
      <w:r>
        <w:rPr>
          <w:rtl w:val="true"/>
        </w:rPr>
        <w:t>مع أنّا لم نجد أحدًا فرّق بین، إلخ</w:t>
      </w:r>
      <w:bookmarkEnd w:id="26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ـ دام ظلّه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أنّا لم نجد أحدًا فرّق بین المقامین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ففیه أنّا لم نجد من کلمات القوم و فتاویهم و روایات سادات </w:t>
      </w:r>
    </w:p>
    <w:p>
      <w:pPr>
        <w:pStyle w:val="BookText"/>
        <w:rPr/>
      </w:pPr>
      <w:r>
        <w:rPr>
          <w:rFonts w:ascii="IRNazanin" w:hAnsi="IRNazanin" w:eastAsia="IRNazanin"/>
          <w:color w:val="111111"/>
          <w:sz w:val="28"/>
          <w:sz w:val="28"/>
          <w:szCs w:val="28"/>
          <w:rtl w:val="true"/>
          <w:lang w:bidi="fa-IR"/>
        </w:rPr>
        <w:t xml:space="preserve">القوم وموالیهم إلاّ الإکتفاء فی النافلة بالتسلیمة، و وجدناهم مع إعتراف السیّد ـ زید عمره ـ مصرّحین بأنّ التسلیم إسم للسّلام علیکم، فبعد اللّتیّا و الّتی لعمر الحبیب هل یلیق ممّن لا غرض له إلاّ ابتغاء وجه اللّه ورضوانه أن یصرّ و یبرم فی خلاف ذلک ولیس له خبر أصلاً ـ و لو کان ضعیف السند ـ یشمل علی مرامه، مع أنّ المذکور فی المصباح الّذی ألّفه لتعلیم الشیعة آداب العبادة علی وجه الإکمال، ذکر التسلیم فی النافلة، وصرّح بقوله بعد ذکر تمام المندوبات و المکمِّلات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الباعث له ـ دام ظلّه ـ أن یحمل ما ذکره الشیخ علی التخییر بین الأمرین، والحال أنّه لو کان کذلک لکان الجمع بین الصیغتین أکمل وأفضل، والّذی یذکر و یأمر بذکر الرکوع سبع مرّات مع الأدعیة السابقة واللاحقة، وکذا السجود و التشهّد المشتمل علی الأدعیة المندوبة، کیف ترک الجمع المشتمل علی الأفضلیّة و الأکملیّة، بل یحتمل الوجوب الشرطیّ لأجل إتّحاد الفریضة و النافلة بحسب النوع و المهیّة، أغفل عن ذلک أو تسامح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 الحبیب لم یغفل و لم یتسامح، بل لم یصل إلیه من موالیه فی النافلة إلاّ الأمر بالتسلیم، أو التسلیمة الواحدة المتبادرة منها السلام علیکم ورحمة اللّه و برکاته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إنتهی کلامه ـ أدام اللّه تعالی إنصافه ـ و فیه نظر من وجوه،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ففیه أنّا لم نجد من کلمات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الإکتفاء فی النافلة بالتسلیمة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لایخفی ما فی مقابلته بما حکاه عنّا، لأنّ مدلول کلامنا هو أنّا لم نجد أحدًا مِن فقهائنا مَن فرّق بین تسلیم النوافل والفرائض، و منه یظهر إنتفاء التفرقة بینهما فی نظرهم، و إلاّ لنبّهوا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الکلام ممّا لا ینبغی أن یشکّ فیه مَن له اطّلاع بسیرة العلماء الأعلام، والمناسب لِمَن أراد القدح فیه و یبدی عدم صحّته، التنبیه </w:t>
      </w:r>
      <w:r>
        <w:rPr>
          <w:rStyle w:val="FootnoteAnchor"/>
          <w:rtl w:val="true"/>
        </w:rPr>
        <w:footnoteReference w:id="880"/>
      </w:r>
      <w:r>
        <w:rPr>
          <w:rFonts w:ascii="IRNazanin" w:hAnsi="IRNazanin" w:eastAsia="IRNazanin"/>
          <w:color w:val="111111"/>
          <w:sz w:val="28"/>
          <w:sz w:val="28"/>
          <w:szCs w:val="28"/>
          <w:rtl w:val="true"/>
          <w:lang w:bidi="fa-IR"/>
        </w:rPr>
        <w:t xml:space="preserve">علی مَن فرّق بین المقامین، لا ما قابله به مولانا المکرَّم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وإن کان قبل أن یوفّق لمطالعة رسالتنا صادقًا فی هذا الإخبار إن أخبر به، لکنّه بعد مطالعة الرسالة مخالفٌ للواقع، لأنّا أوردنا فیها التصریح من شیخ الطائفة علی خلافه، و کذا حکایته عنه من جماعة من فحول الأعلام علی وجه یظهر منهم الإعتراف و الإذعان بحقّیّة المرام، کشیخنا الشهید، و صاحب المدارک، والشیخ البحرانیّ فی الوسائل، و العلاّمة السمیّ المجلسیّ، و الفاضل المعتمد المعروف بالفاضل الهندیّ ؛ و مع ذلک إصراره فی هذا الإخبار المخالف للواقع والإعتبار یوجب رفع وقعه فی الأنظار کاد أن یتعجّب منه الجبال والأشجار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ذکر النافلة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الإکتفاء فی النافلة بالتسلیمة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من قبیل ذکر القید فی الکلام لیعتبر مفهومه، أو لا، و علی التقدیرین لایخلو من شین و مین، أمّا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فلأنّا نقول ـ بعد تسلیم صحّة النسبة المذکورة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مدلول الکلام حینئذ بعد حمل التسلیمة علی السلام علیکم هو أنّ الموجود فی فتاوی الأصحاب و روایات الأئمّة علیهم‌السلام جواز الإکتفاء فی خصوص النافلة بالسلام علیکم دون الفریضة، و هو قد بلغ فی الفساد ممّا لایحوله شکّ </w:t>
      </w:r>
    </w:p>
    <w:p>
      <w:pPr>
        <w:pStyle w:val="BookText"/>
        <w:rPr/>
      </w:pPr>
      <w:r>
        <w:rPr>
          <w:rFonts w:ascii="IRNazanin" w:hAnsi="IRNazanin" w:eastAsia="IRNazanin"/>
          <w:color w:val="111111"/>
          <w:sz w:val="28"/>
          <w:sz w:val="28"/>
          <w:szCs w:val="28"/>
          <w:rtl w:val="true"/>
          <w:lang w:bidi="fa-IR"/>
        </w:rPr>
        <w:t xml:space="preserve">وارتیاب، لأنّ جواز الإقتصار فی مطلق الصلوات بخصوص السلام علیکم ممّا استفاض به دعوی الإجماع، مضافًا إلی عدم منافاته لما نحن بصدد بیانه، وعدم کفایته لما هو بصدد بیانه، کما ستقف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غایة ما یستفاد منه ـ بعد تسلیم صحّة النسبة المذکورة ـ جواز الإقتصار بصیغة السلام علیکم فی النافلة، و هو ممّا لا تأمّل فیه، لکن لایلزم منه عدم جواز العدول إلی غیرها، و لا عدم الجمع بینهما کما لایخفی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ذکر التسلیمة المراد بها السلام علیکم یکون من قبیل ذکر القید، لکنّه ممّا یقطع بفساده، مضافًا إلی أنّه لا یلزم منه عدم جواز الجمع بینهما، کما لایخفی وجهه للمتأمّل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المراد من هذا الکلام أنّه وجد فی فتاوی الأصحاب وأخبارهم أنّه یجوز الإکتفاء فی تسلیم النوافل بالتسلیمة بهذه العبارة، فلا شبهة أنّه مخالف للواقع، فلیأت به إن کان من الصادقین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المراد أنّ الموجود فیها أنّ کلّ رکعتین من النافلة بتسلیم، فهو مسلّم، لکنّک و کلّ سلیم العقل یعلم أنّ المراد منه أنّ النافلة رکعتان رکعتان، ولایجوز الإتیان بها ثلث رکعات، أو أربع رکعات بتسلیم، و حمله علی أنّ المراد منه تعیّن السلام علیکم، و عدم جواز الجمع بینه وبین غیره، ممّا لا یحتمله الطبع السلیم، ولایرتکبه الذوق المستقیم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تری مثل هذه العبارة موجودة فی الفرائض، و لم یذهب وهمُ واهمٍ إلی أنّ المراد منها الإقتصار بتلک التسلیمة، و نحن نقتصر فی المقام بإیراد کلام المصباح، </w:t>
      </w:r>
    </w:p>
    <w:p>
      <w:pPr>
        <w:pStyle w:val="BookText"/>
        <w:rPr/>
      </w:pPr>
      <w:r>
        <w:rPr>
          <w:rFonts w:ascii="IRNazanin" w:hAnsi="IRNazanin" w:eastAsia="IRNazanin"/>
          <w:color w:val="111111"/>
          <w:sz w:val="28"/>
          <w:sz w:val="28"/>
          <w:szCs w:val="28"/>
          <w:rtl w:val="true"/>
          <w:lang w:bidi="fa-IR"/>
        </w:rPr>
        <w:t xml:space="preserve">لکفایته لرفع الظلمة و فوز الفلاح، لما یظهر من شدّة اعتماد صدیقنا ـ دام ظلّه </w:t>
      </w:r>
      <w:r>
        <w:rPr>
          <w:rStyle w:val="FootnoteAnchor"/>
          <w:rtl w:val="true"/>
        </w:rPr>
        <w:footnoteReference w:id="881"/>
      </w:r>
      <w:r>
        <w:rPr>
          <w:rFonts w:ascii="IRNazanin" w:hAnsi="IRNazanin" w:eastAsia="IRNazanin"/>
          <w:color w:val="111111"/>
          <w:sz w:val="28"/>
          <w:sz w:val="28"/>
          <w:szCs w:val="28"/>
          <w:rtl w:val="true"/>
          <w:lang w:bidi="fa-IR"/>
        </w:rPr>
        <w:t xml:space="preserve">ـ علیه، حیث انّه لم یکن بیده فی فتواه أوّل الأمر غیره،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الظهر والعصر والعشاء الآخرة أربع رکعات فی الحضر بتشهّدین وتسلیمة فی الرابعة، ورکعتان رکعتان فی السفر بتشهّد واحد وتسلیم بعده، والمغرب ثلث رکعات بتشهّدین و تسلیمة واحدة فی السفر والحضر، و صلوة الغداة رکعتان بتشهّد واحد و تسلیم بعده فی الحالین، والنوافل أربع و ثلثون رکعة فی الحضر و سبع عشرة رکعة فی السفر، ثمانی رکعات قبل فریضة الظهر، کلّ رکعتین بتشهّد وتسلیم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أربع رکعات بتشهّدین و تسلیمین فی السفر و الحضر بعد صلوة المغرب، و رکعتان من جلوس بعد العشاء الآخرة تعدّان برکعة تسقطان فی السفر، و إحدی عشرة رکعة صلوة اللیل بعد انتصاف اللیل، کلّ رکعتین بتشهّد و تسلیم بعده، و المفردة من الوتر بتشهّد وتسلیم بعده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أنشدک أیّها العاقل اللبیب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استفادة المرام من أمثال هذه العبارات، مع أنّه وجد مثلها فی الفرائض، و عدم دلالتها علی لزوم الإقتصار بالصیغة المذکورة ممّا لا ینکره أحد، حتّی شقیقنا المکرَّم ـ دام ظلّه </w:t>
      </w:r>
      <w:r>
        <w:rPr>
          <w:rStyle w:val="FootnoteAnchor"/>
          <w:rtl w:val="true"/>
        </w:rPr>
        <w:footnoteReference w:id="883"/>
      </w:r>
      <w:r>
        <w:rPr>
          <w:rFonts w:ascii="IRNazanin" w:hAnsi="IRNazanin" w:eastAsia="IRNazanin"/>
          <w:color w:val="111111"/>
          <w:sz w:val="28"/>
          <w:sz w:val="28"/>
          <w:szCs w:val="28"/>
          <w:rtl w:val="true"/>
          <w:lang w:bidi="fa-IR"/>
        </w:rPr>
        <w:t xml:space="preserve">ـ مضافًا إلی أنّک و کلّ سلیم العقل یعلم انّ مرادهم ما نبّهنا علیه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وجدناهم مصرّحین بأنّ التسلیم إسم للسلام علیکم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مخالفٌ للواقع أیضًا، إذ ظاهره أنّ الفقهاء بأسرهم صرّحوا بأنّ التسلیم إسم للسلام علیکم فقط، و لا یخفی ما فیه، لوضوح أنّ کثیرًا منهم جعلوه إسمًا لکلّ منهما، کما فی المعتبر و الشرائع و النافع و المنتهی و التذکرة و التحریر و القواعد و الإرشاد، وقد سمعت عبارة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تحصیل المنافع ـ بعد الحکم بوجوب التسلیم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إمّا السلام علینا وعلی عباد اللّه الصالحین، أو السلام علیکم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نهایة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صیغتان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و </w:t>
      </w:r>
      <w:r>
        <w:rPr>
          <w:rStyle w:val="FootnoteAnchor"/>
          <w:rtl w:val="true"/>
        </w:rPr>
        <w:footnoteReference w:id="885"/>
      </w:r>
      <w:r>
        <w:rPr>
          <w:rFonts w:ascii="IRNazanin" w:hAnsi="IRNazanin" w:eastAsia="IRNazanin"/>
          <w:color w:val="111111"/>
          <w:sz w:val="28"/>
          <w:sz w:val="28"/>
          <w:szCs w:val="28"/>
          <w:rtl w:val="true"/>
          <w:lang w:bidi="fa-IR"/>
        </w:rPr>
        <w:t xml:space="preserve">السلام علیکم ورحمة اللّه و برکاته، لوقوع إسم التسلیم علیهما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اللمعة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عبارتان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أو السلام علیکم ورحمة اللّه و برکاته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ذلک نسبة تصریح کون التسلیم إسمًا لخصوص السلام علیکم إلی جمیع الأصحاب من عجائب الزمان، نعم انّ جماعة من الأصحاب ظاهرهم ذلک، وأین ذلک من النسبة إلی الجمیع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جمیع ما ذکر تبیّن أنّ ما فرّعه علی هذه الأمور الواهیة و المقابح الفاضحة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فبعد اللّتیّا والّتی، هل یلیق ممّن لا غرض له إلاّ ابتغاء وجه اللّه ورضوانه </w:t>
      </w:r>
    </w:p>
    <w:p>
      <w:pPr>
        <w:pStyle w:val="BookText"/>
        <w:rPr/>
      </w:pPr>
      <w:r>
        <w:rPr>
          <w:rFonts w:ascii="IRNazanin" w:hAnsi="IRNazanin" w:eastAsia="IRNazanin"/>
          <w:color w:val="111111"/>
          <w:sz w:val="28"/>
          <w:sz w:val="28"/>
          <w:szCs w:val="28"/>
          <w:rtl w:val="true"/>
          <w:lang w:bidi="fa-IR"/>
        </w:rPr>
        <w:t xml:space="preserve">أن یصرّ و یبرم فی خلاف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باب الإصرار فی إبطال خلافة أمیرالمؤمنین علیه‌السلام بتزیین المقالات الفاسدة و تمویهها لإثبات خلافة الخلفاء السابقین ؛ لما عرفت من أنّ جمیع ما أفاده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الإستشهاد بروایة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مِن أوّل ما بنی الکتابة إلی هنا، ممّا یهزء به السفهاء والصبیان، ویسخر به البلهاء والنسوان، و مع ذلک حاول به إطفاء نور اللّه تعالی ؛ یریدون لیطفئوا نور اللّه، ولکنّ اللّه یتمّ نوره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أعجب من جمیع العجائب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لیس له خبر أصلاً ـ و لو کان ضعیف السند ـ یشمل علی مرامه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أدری أیّ شمول أظهر من شمول قول مولانا الصادق والرضا ـ علیهما آلاف التحیّة والثناء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لایجوز أن یقول فی التشهّد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لأنّ تحلیل الصلوة التسلیم، فإذا قلت هذا فقد سلّمت </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ینکره إلاّ معاند لجوج، أو مَن لم یصل إلی مذاقه فهم معانی الأخبار ولو کانت کالشمس فی فرط الظهور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یمکن لعاقل معارضته و رفع الید عنه بمجرّد ما یوهمه عبارة المصباح علی ما یستفاد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 المذکور 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مع أنّ الوجه فی دلالتها غیر معلوم إلاّ من جهة السکوت فی مقام البیان، لا سیّما بعد اشتمال التشهّد المذکور فیها علی کثیر من الأمور المندوبة، و هو إنّما یعتنی به إذا لم یعارضه ما هو أقوی، و قد بیّناه کما ستقف علیه، و علی تقدیر عدم المعارض کیف یمکن رفع الید عن مدلول النصّ بمجرّد ما یظهر من کلام الفقیه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کیف یمکن إستفادة عدم جواز تلک الصیغة لعدم ذکرها فی عبارة المصباح، ولایمکن إستفادة الجواز من الحدیث المذکور مع أنّ دلالته علیه کالنور فی ظلم الدیجور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من الغرائب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الباعث له أن یحمل ما ذکره الشیخ علی التخییر بین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لأنّا لا ندری أیّ باعث یکون أقوی من تصریحه بجواز الإقتصار بصیغة السلام علینا علی نحوٍ یکون ظاهره دعوی إطباق علمائنا علیه ـ کما ستقف علیه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أحد البواعث، و الباعث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أنّا نعتقد أنّ شیخ الطائفة ـ قدّس اللّه روحه ـ من رؤساء الفقهاء و عظمائهم، و نعلم أنّ مَن وفّق لسلوک مسلک الفقیه بعین صحیحة و یعتقد جواز الإقتصار بکلّ مِن الصیغتین فی الفرائض، لایمکن أن یحتمل فی حقّه إنکار ذلک فی النوافل، فکیف فی حقّ مَن یکون مِن أساطین الفقهاء و رؤسائهم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والباعث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دلالة قول مولانا الرضا ـ علیه آلاف التحیّة والثناء ـ علیه </w:t>
      </w:r>
      <w:r>
        <w:rPr>
          <w:rStyle w:val="FootnoteAnchor"/>
          <w:rtl w:val="true"/>
        </w:rPr>
        <w:footnoteReference w:id="889"/>
      </w:r>
      <w:r>
        <w:rPr>
          <w:rFonts w:ascii="IRNazanin" w:hAnsi="IRNazanin" w:eastAsia="IRNazanin"/>
          <w:color w:val="111111"/>
          <w:sz w:val="28"/>
          <w:sz w:val="28"/>
          <w:szCs w:val="28"/>
          <w:rtl w:val="true"/>
          <w:lang w:bidi="fa-IR"/>
        </w:rPr>
        <w:t xml:space="preserve">، بحیث لایکاد یشکّ فیه من له أدنی إطّلاع بقواعد الإستدلال، کما لایخفی علی أولی التأمّل والأفضال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صاحبنا ـ دام ظلّه ـ و إن لم یوفّق لدرک وجه الحمل علی التخییر، سیّما بعد أن تلونا علیه کلام الشیخ فی التهذیب، لکن أدری أنّ الباعث لإنکاره الحمل علیه مع ظهور الحال فیه، إمّا إنتفاء مقدّمات العلم فی حقّه، أو کون ذلک منافیًا </w:t>
      </w:r>
    </w:p>
    <w:p>
      <w:pPr>
        <w:pStyle w:val="BookText"/>
        <w:rPr/>
      </w:pPr>
      <w:r>
        <w:rPr>
          <w:rFonts w:ascii="IRNazanin" w:hAnsi="IRNazanin" w:eastAsia="IRNazanin"/>
          <w:color w:val="111111"/>
          <w:sz w:val="28"/>
          <w:sz w:val="28"/>
          <w:szCs w:val="28"/>
          <w:rtl w:val="true"/>
          <w:lang w:bidi="fa-IR"/>
        </w:rPr>
        <w:t xml:space="preserve">لاعتقاده السابق، لکن بعد أن جاء الحقّ، لا یکون الباطل إلاّ و هو زاهق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ما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یحمل ما ذکره الشیخ علی التخییر بین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الملائمة للمرام المعلن لنقصانه فی کلّ مقام، فلاحظ ما ذکرناه فی کلام الشیخ حتّی ینکشف لک حقیقة الحال و سرّ المقال، حیث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لجواز أن یکون ذلک من باب الإکتفاء بأحد الأمرین المخیّرین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الحال أنّه لو کان کذلک لکان الجمع بین الصیغتین أکمل وأفضل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الأفضلیّة و الأکملیّة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مؤاخذة من وجوه،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الشرطیّة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کذلک لکان الجمع بین الصیغتین أکمل وأفضل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ممنوعة، لظهور أنّ التخییر بین الأمرین قد یتحقّق مع عدم جواز الجمع بینهما، فتعلیق أفضلیّة الجمع علی ثبوت التخییر غیر جیّد، والمناسب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یتعیّن السلام علیکم عنده، بل یجوز الجمع بینه و بین السلام علینا، لکان الجمع بینهما أولی، و لو کان کذلک لفعله،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اللایق ترک هذا الإیراد هنا والتعرّض له فی المطلب الثانی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الفعلین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یذکر و یأمر بذکر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مفتقر إلیهما، والأولی الإقتصار بالأوّل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یذکر ذکر الرکوع إلخ، کما لایخفی وجهه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إتیان الأدعیة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الأدعیة السابقة واللاحقة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الجمع غیر صحیح، والصواب مع الدعاء السابق علیها مثلاً، و کذلک الحال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والتشهّد المشتمل علی الأدعیة المندوبة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الدعاء الّذی اشتمل علیه التشهّد المذکور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وتقبّل شفاعته فی أمّته وارفع درجته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والصواب أن یقال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والتشهّد المشتمل علی الذکر والدعاء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اللازم من هذا الکلام أن لا یجوز التعدّی فی ذکر رکوع النافلة عن السبع، إذ لو جاز ذلک کان أفضل، ولو کان کذلک لذکره لعین ما ذکره، و هکذا الحال فی ذکر السجود، و أن لا یجوز فی حال القیام إلی الرکعة الثانیة فی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وقوّته أقوم و أقعد، إذ لو جاز ذلک لذکره بعین ما ذکره، لا سیّما بعد ملاحظة ذکره فی الفریضة و عدم ذکره فی النافلة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الحال انّه یجب فی تشهّد النافلة الإقتصار بالتشهد المذکور فیه، وهو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 باللّه و الأسماء الحسنی کلّها للّه، أشهد أن لا إله إلاّ اللّه وحده لاشریک له، وأشهد أنّ محمّدًا عبده و رسوله، أللّهم صلّ علی محمّد و آل محمّد، وتقبّل شفاعته فی أمّته، وارفع درجته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یجوز الزیادة علیه بأن یقول بعد الشهادة بالرسالة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أرسله بالهدی و دین الحقّ لیظهره علی الدین کلّه و لو کره المشرکون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بعین ما ذکره، لاسیّما بعد ذکره فی تشهّد الفریضة وعدم ذکره فی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الحال </w:t>
      </w:r>
      <w:r>
        <w:rPr>
          <w:rStyle w:val="FootnoteAnchor"/>
          <w:rtl w:val="true"/>
        </w:rPr>
        <w:footnoteReference w:id="890"/>
      </w:r>
      <w:r>
        <w:rPr>
          <w:rFonts w:ascii="IRNazanin" w:hAnsi="IRNazanin" w:eastAsia="IRNazanin"/>
          <w:color w:val="111111"/>
          <w:sz w:val="28"/>
          <w:sz w:val="28"/>
          <w:szCs w:val="28"/>
          <w:rtl w:val="true"/>
          <w:lang w:bidi="fa-IR"/>
        </w:rPr>
        <w:t>فی غیره، بل عدم الجواز هنا أولی من عدم الجواز فی التسلیم، لما عرفت من ثبوت الإطلاقات الشاملة فی التسلیم و لم یظهر مثلها هنا،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شعری انّ شقیقنا المکرَّم ـ دام ظلّه ـ لِمَ خصّص المنع بصیغتی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ورحمة اللّه و برکاته، والسلام علینا، مع عموم مستنده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لایجوز أن یقول فی تشهّد النافلة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أرسله بالهدی و دین الحقّ </w:t>
      </w:r>
    </w:p>
    <w:p>
      <w:pPr>
        <w:pStyle w:val="BookText"/>
        <w:rPr/>
      </w:pPr>
      <w:r>
        <w:rPr>
          <w:rFonts w:ascii="IRNazanin" w:hAnsi="IRNazanin" w:eastAsia="IRNazanin"/>
          <w:color w:val="111111"/>
          <w:sz w:val="28"/>
          <w:sz w:val="28"/>
          <w:szCs w:val="28"/>
          <w:rtl w:val="true"/>
          <w:lang w:bidi="fa-IR"/>
        </w:rPr>
        <w:t xml:space="preserve">لیظهره علی الدین کلّه و لو کره المشرکون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المذکور فی المصباح الّذی ألّفه لتعلیم العباد آداب </w:t>
      </w:r>
      <w:r>
        <w:rPr>
          <w:rStyle w:val="FootnoteAnchor"/>
          <w:rtl w:val="true"/>
        </w:rPr>
        <w:footnoteReference w:id="891"/>
      </w:r>
      <w:r>
        <w:rPr>
          <w:rFonts w:ascii="IRNazanin" w:hAnsi="IRNazanin" w:eastAsia="IRNazanin"/>
          <w:color w:val="111111"/>
          <w:sz w:val="28"/>
          <w:sz w:val="28"/>
          <w:szCs w:val="28"/>
          <w:rtl w:val="true"/>
          <w:lang w:bidi="fa-IR"/>
        </w:rPr>
        <w:t>العبادة علی وجه الإکمال، ذکر التشهّد فی النافلة و لم یذکر فیه ذلک، ولو کان ذلک ثابتًا فیه لکان الجمع بینه وبین الشهادة بالرسالة أفضل ؛ والّذی یذکر ذکر الرکوع سبع مرّات، کیف یترک الجمع المشتمل علی الأفضلیّة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الحال فی کلّ ما یکون علی هذا المنوال، کما لایخفی علی أولی التأمّل والأفضال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الوهن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یحتمل الوجوب الشرطیّ لأجل اتّحاد الفریضة والنافلة بحسب النوع و المهیّة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أحد، لأنّه إن أراد أنّ الجمع بینهما فی الفریضة واجبٌ شرطًا والنافلة متّحدة معها فی المهیّة، ففیه ما لایخفی، للقطع بعدم وجوبه فی الفریضة کما ستقف علیه، و علی فرض الإغماض عنه مقتضی الإتّحاد فی المهیّة مشارکتهما فی الحکم، فالإحتمال فی النافلة ممّا لامعنی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 أنّ وجوب الجمع بینهما فی الفریضة محتمل، و مقتضی الإتّحاد فی المهیّة أن یکون الأمر فی النافلة کذلک،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هذا الإحتمال مع إستفاضة نقل الإجماع علی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 لو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ورحمة اللّه وبرکاته، کان خروجًا جایزًا، فعلیه إجماع علماء الإسلام کافّةً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التذکرة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عبارتان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و </w:t>
      </w:r>
      <w:r>
        <w:rPr>
          <w:rStyle w:val="FootnoteAnchor"/>
          <w:rtl w:val="true"/>
        </w:rPr>
        <w:footnoteReference w:id="893"/>
      </w:r>
      <w:r>
        <w:rPr>
          <w:rFonts w:ascii="IRNazanin" w:hAnsi="IRNazanin" w:eastAsia="IRNazanin"/>
          <w:color w:val="111111"/>
          <w:sz w:val="28"/>
          <w:sz w:val="28"/>
          <w:szCs w:val="28"/>
          <w:rtl w:val="true"/>
          <w:lang w:bidi="fa-IR"/>
        </w:rPr>
        <w:t xml:space="preserve">السلام </w:t>
      </w:r>
    </w:p>
    <w:p>
      <w:pPr>
        <w:pStyle w:val="BookText"/>
        <w:rPr/>
      </w:pPr>
      <w:r>
        <w:rPr>
          <w:rFonts w:ascii="IRNazanin" w:hAnsi="IRNazanin" w:eastAsia="IRNazanin"/>
          <w:color w:val="111111"/>
          <w:sz w:val="28"/>
          <w:sz w:val="28"/>
          <w:szCs w:val="28"/>
          <w:rtl w:val="true"/>
          <w:lang w:bidi="fa-IR"/>
        </w:rPr>
        <w:t xml:space="preserve">علیکم ورحمة اللّه و 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العبارة الثانیة فعلیها علماء الإسلام کافًّة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أنّ علماء الإسلام علی جواز الإجتزاء بها فی الخروج عن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نهایة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العلماء علی أنّ العبارة الثانیة إنصراف أیضًا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الذکری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أبی المصلّی إلاّ إحدی الصیغتین، فالسلام علیکم مخرجة بالإجماع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السلام علیکم فلإجماع الأمّة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السلام علیکم عینًا، لإجماع الأمّة علی فعله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المسالک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الثانیة فمخرجة بالإجماع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المقاصد العلیّة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هی مخرجة بلا خلاف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والأولی الإقتصار فی الخروج بالسلام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 xml:space="preserve">للإجماع علی الخروج بها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البیان ـ بعد أن حکم بوجوب التسلیم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ورحمة اللّه وبرکاته، والأکثر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 xml:space="preserve">الإجتزاء بالسّلام علیکم، و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فالأخبار صریحة فی الخروج بها من الصلوة، ولکن لم یوجبها أحد من القدماء، بل القائل بوجوب التسلیم یجعلها مستحبّة کالسلام علی الأنبیاء والملائکة، غیر مخرجة من الصلوة، والقائل بندب التسلیم یجعلها مخرجة من الصلوة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الذکری ـ بعد إحتمال الوجوب العینیّ فی الصیغتین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لم یقل به أحد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المنتهی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نعرف خلافًا فی أنّه لا یجب علیه الإتیان بهما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مع هذه الإجماعات المتکثّرة الّتی شهد التتبّع بصدقها، لیت شعری کیف یبقی هذا الإحتمال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فرض الإغماض و تسلیم هذا الإحتمال، ما أدری ما الّذی یرفعه حتّی یحکم صدیقنا بمنع الجمع بین الصیغتین مثلاً فی النافلة و لزوم الإقتصار بصیغة 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هذا إلاّ تناقض قد وقع فیه من حیث لا یشعر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المانع ما أورده من الأخبار فی النافلة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 تسلیمة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تسلّم تسلیمة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انّه خیانة فی الدین وجعل علی أجدادی الطاهرین ـ علیهم صلوات اللّه و سلامه أجمعین ـ و أهل البیت أدری بما فی البیت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فرض التسلیم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اعتقاده أنّ لفظ التسلیم إسم لخصوص السلام علیکم، فغایة ما یستفاد من تلک الأخبار المجعولة قول تلک الصیغة مرّة واحدة وعدم الإتیان بها متکرّرة، فکما لا یلزم من ذلک المنع عن الشهادتین، فکذلک الحال فی السلام علینا و علی عباد اللّه الصالحین </w:t>
      </w:r>
      <w:r>
        <w:rPr>
          <w:rStyle w:val="FootnoteAnchor"/>
          <w:rtl w:val="true"/>
        </w:rPr>
        <w:footnoteReference w:id="908"/>
      </w:r>
      <w:r>
        <w:rPr>
          <w:rFonts w:ascii="IRNazanin" w:hAnsi="IRNazanin" w:eastAsia="IRNazanin"/>
          <w:color w:val="111111"/>
          <w:sz w:val="28"/>
          <w:sz w:val="28"/>
          <w:szCs w:val="28"/>
          <w:rtl w:val="true"/>
          <w:lang w:bidi="fa-IR"/>
        </w:rPr>
        <w:t xml:space="preserve">، و السلام علیک کما لایخفی، فهو قد تمسّک فی مقام المنع عن الجمع بین الصیغتین و الثلث بما </w:t>
      </w:r>
      <w:r>
        <w:rPr>
          <w:rStyle w:val="FootnoteAnchor"/>
          <w:rtl w:val="true"/>
        </w:rPr>
        <w:footnoteReference w:id="909"/>
      </w:r>
      <w:r>
        <w:rPr>
          <w:rFonts w:ascii="IRNazanin" w:hAnsi="IRNazanin" w:eastAsia="IRNazanin"/>
          <w:color w:val="111111"/>
          <w:sz w:val="28"/>
          <w:sz w:val="28"/>
          <w:szCs w:val="28"/>
          <w:rtl w:val="true"/>
          <w:lang w:bidi="fa-IR"/>
        </w:rPr>
        <w:t xml:space="preserve">یکون مقتضاه الجمع، و هو غافل عن ذلک، منشاؤه التصرّف فی أمور الدین مع الحرمان عن مبانی </w:t>
      </w:r>
      <w:r>
        <w:rPr>
          <w:rStyle w:val="FootnoteAnchor"/>
          <w:rtl w:val="true"/>
        </w:rPr>
        <w:footnoteReference w:id="910"/>
      </w:r>
      <w:r>
        <w:rPr>
          <w:rFonts w:ascii="IRNazanin" w:hAnsi="IRNazanin" w:eastAsia="IRNazanin"/>
          <w:color w:val="111111"/>
          <w:sz w:val="28"/>
          <w:sz w:val="28"/>
          <w:szCs w:val="28"/>
          <w:rtl w:val="true"/>
          <w:lang w:bidi="fa-IR"/>
        </w:rPr>
        <w:t>فهم الآثار الصادرة من شفعاء یوم الدین ـ علیهم آلاف التحیّة من ربّ العالمین</w:t>
      </w:r>
      <w:r>
        <w:rPr>
          <w:rFonts w:eastAsia="IRNazanin" w:cs="IRNazanin"/>
          <w:color w:val="111111"/>
          <w:sz w:val="28"/>
          <w:szCs w:val="28"/>
          <w:rtl w:val="true"/>
          <w:lang w:bidi="fa-IR"/>
        </w:rPr>
        <w:t xml:space="preserve">. </w:t>
      </w:r>
      <w:bookmarkStart w:id="266" w:name="pg3709_22262"/>
    </w:p>
    <w:p>
      <w:pPr>
        <w:pStyle w:val="Heading4"/>
        <w:numPr>
          <w:ilvl w:val="3"/>
          <w:numId w:val="1"/>
        </w:numPr>
        <w:rPr/>
      </w:pPr>
      <w:bookmarkStart w:id="267" w:name="__RefHeading___Toc594209_2281741623"/>
      <w:bookmarkStart w:id="268" w:name="_Toc95"/>
      <w:bookmarkEnd w:id="266"/>
      <w:bookmarkEnd w:id="267"/>
      <w:r>
        <w:rPr>
          <w:rtl w:val="true"/>
        </w:rPr>
        <w:t xml:space="preserve">ومنها قوله بعد أن عنون کلامنا و هو هذا </w:t>
      </w:r>
      <w:r>
        <w:rPr>
          <w:rtl w:val="true"/>
        </w:rPr>
        <w:t xml:space="preserve">: </w:t>
      </w:r>
      <w:r>
        <w:rPr>
          <w:rtl w:val="true"/>
        </w:rPr>
        <w:t xml:space="preserve">المطلب الثانی </w:t>
      </w:r>
      <w:r>
        <w:rPr>
          <w:rtl w:val="true"/>
        </w:rPr>
        <w:t xml:space="preserve">: </w:t>
      </w:r>
      <w:r>
        <w:rPr>
          <w:rtl w:val="true"/>
        </w:rPr>
        <w:t>انّه، إلخ</w:t>
      </w:r>
      <w:bookmarkEnd w:id="268"/>
    </w:p>
    <w:p>
      <w:pPr>
        <w:pStyle w:val="BookText"/>
        <w:rPr/>
      </w:pPr>
      <w:r>
        <w:rPr>
          <w:rFonts w:ascii="IRNazanin" w:hAnsi="IRNazanin" w:eastAsia="IRNazanin"/>
          <w:color w:val="111111"/>
          <w:sz w:val="28"/>
          <w:sz w:val="28"/>
          <w:szCs w:val="28"/>
          <w:rtl w:val="true"/>
          <w:lang w:bidi="fa-IR"/>
        </w:rPr>
        <w:t xml:space="preserve">قوله ـ بعد أن عنون کلامنا و هو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لایجوز الجمع فی مقام التسلیم فی النوافل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مقتضی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صلّ، إتیان الصلوة واجبةً کانت أو مستحبّةً علی النحو الصادر منه، و هو إنّما یکون عند إتّحاد المهیّة، و هو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بذل السیّد ـ دام ظلّه ـ سعیه، و کدّ فی سعیه، وجدّ فی ترویج متاعه بتأسیس أساس واتیان بنیان وأرکان قد ظهر ضعف البناء والأساس، وانهدام السطوح والجدران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غرائب الزمان و عجائب الأیّام، إذ لم یظهر من هذا الکلام إلاّ أنّه استهدف نفسه بسهام الآلام، وفتح علیه أبواب الطعون من العلماء العظام، وسلب منه آثار الوثوق والإعتماد حتّی من الصبیان والعوام، فالمناسب حمل کلامه علی ضعف بناء الوثوق والإعتماد علیه، إذ هو الظاهر فی جمیع کلماته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هذه القاعدة المحکمة المتقنة الّتی أسّسناها فی المقام، و عرف قدرها مَن هو مِن أعاظم العلماء العظام، لکثرة ما یترتّب النفع علیها فی کثیر من المقام کما لایخفی علی أولی التأمّل والأحلام والأفهام، فهو قبل التکلّم علیها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ظهر ضعف البناء و الأساس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لم یظهر من کلماته السابقة إلاّ ما یشیّد أرکانها ویتقن أصلها و أغصانها، کما لایخفی علی من خاض فیها بالبصیرة النافذة، وجنی ثمراتها بأیاد غیر قصیرة، نعم أنّ الّذی یظهر ممّا ذکره أنّه ما انتقل إلی معناها، ومع ذلک یظهر علیها لسان الطعن، بناءً علی أنّ المرء عدوّ لما جهل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الحال فی بیان المرام هو أنّ غایة ما یظهر ممّا کرّره فی کلماته السابقة </w:t>
      </w:r>
      <w:bookmarkStart w:id="269" w:name="pg3709_22263"/>
    </w:p>
    <w:p>
      <w:pPr>
        <w:pStyle w:val="BookText"/>
        <w:rPr/>
      </w:pPr>
      <w:bookmarkEnd w:id="269"/>
      <w:r>
        <w:rPr>
          <w:rFonts w:ascii="IRNazanin" w:hAnsi="IRNazanin" w:eastAsia="IRNazanin"/>
          <w:color w:val="111111"/>
          <w:sz w:val="28"/>
          <w:sz w:val="28"/>
          <w:szCs w:val="28"/>
          <w:rtl w:val="true"/>
          <w:lang w:bidi="fa-IR"/>
        </w:rPr>
        <w:t xml:space="preserve">ـ و قد عرفت أنّه لیس فی کیسه غیره ـ هو الّذی ظفر به فی کلام الذکری ـ جزی اللّه صاحبه عنه خیر الجزاء ـ و هو أنّ المتبادر من التسلیم هو السلام علیکم، فیحمل علیه ما ورد عنهم علیهم‌السلام فی النافلة بقولهم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 تسلیمة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 یعدل عن مقتضی القاعدة المذکورة، لکنّک قد عرفت ممّا نبّهنا علیه مرارًا أنّ نسبة أمثال ذلک إلی الأئمّة الطاهرین إفتراء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فرض التسلیم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ما یظهر من ذلک إعتبار السلام علیکم فی النافلة، و أمّا الصیغتان الأولیان، فلا دلالة لما ذکر علی جواز الإتیان بهما فیها و عدمه، و قد عرفت أنّ مقتضی القاعدة الّتی مهّدناها جوازه، فکیف یمکن للعاقل الخبیر بمعانی الألفاظ و قواعد الإستدلال معارضتها بما لا منافات بینه و بینها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ضعف الأساس ؛ ولعمر الحبیب أنّه لایصدر أمثال ذلک من العاقل فضلاً عن العالم، و لهذا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یظهر منه إلاّ انهدام آثار الإعتماد علیه، و لم یتبیّن منه إلاّ انطماس أمارات الوثوق به </w:t>
      </w:r>
      <w:r>
        <w:rPr>
          <w:rFonts w:eastAsia="IRNazanin" w:cs="IRNazanin"/>
          <w:color w:val="111111"/>
          <w:sz w:val="28"/>
          <w:szCs w:val="28"/>
          <w:rtl w:val="true"/>
          <w:lang w:bidi="fa-IR"/>
        </w:rPr>
        <w:t>.</w:t>
      </w:r>
    </w:p>
    <w:p>
      <w:pPr>
        <w:pStyle w:val="Heading4"/>
        <w:numPr>
          <w:ilvl w:val="3"/>
          <w:numId w:val="1"/>
        </w:numPr>
        <w:rPr/>
      </w:pPr>
      <w:bookmarkStart w:id="270" w:name="__RefHeading___Toc594211_2281741623"/>
      <w:bookmarkStart w:id="271" w:name="_Toc96"/>
      <w:bookmarkEnd w:id="270"/>
      <w:r>
        <w:rPr>
          <w:rtl w:val="true"/>
        </w:rPr>
        <w:t xml:space="preserve">ومنها قوله </w:t>
      </w:r>
      <w:r>
        <w:rPr>
          <w:rtl w:val="true"/>
        </w:rPr>
        <w:t xml:space="preserve">: </w:t>
      </w:r>
      <w:r>
        <w:rPr>
          <w:rtl w:val="true"/>
        </w:rPr>
        <w:t xml:space="preserve">حبیبی و سیّدی </w:t>
      </w:r>
      <w:r>
        <w:rPr>
          <w:rtl w:val="true"/>
        </w:rPr>
        <w:t xml:space="preserve">! </w:t>
      </w:r>
      <w:r>
        <w:rPr>
          <w:rtl w:val="true"/>
        </w:rPr>
        <w:t>قد وصل إلینا من الشارع، إلخ</w:t>
      </w:r>
      <w:bookmarkEnd w:id="27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و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 إلینا من الشارع أنّ الصلوة إفتتاحها وتحریمها التکبیر علی الوجه المعهود منه، و تحلیلها التسلیم، وصلّی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کما رأیتمونی أصلّی </w:t>
      </w:r>
      <w:r>
        <w:rPr>
          <w:rStyle w:val="FootnoteAnchor"/>
          <w:rtl w:val="true"/>
        </w:rPr>
        <w:footnoteReference w:id="911"/>
      </w:r>
      <w:r>
        <w:rPr>
          <w:rFonts w:ascii="IRNazanin" w:hAnsi="IRNazanin" w:eastAsia="IRNazanin"/>
          <w:color w:val="111111"/>
          <w:sz w:val="28"/>
          <w:sz w:val="28"/>
          <w:szCs w:val="28"/>
          <w:rtl w:val="true"/>
          <w:lang w:bidi="fa-IR"/>
        </w:rPr>
        <w:t xml:space="preserve">، و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الفعل المأتیّ به أیّ جزء من أجزائها واجب، و أیّ جزء منها مندوب، فحکمنا </w:t>
      </w:r>
    </w:p>
    <w:p>
      <w:pPr>
        <w:pStyle w:val="BookText"/>
        <w:rPr/>
      </w:pPr>
      <w:r>
        <w:rPr>
          <w:rFonts w:ascii="Amiri" w:hAnsi="Amiri" w:eastAsia="Amiri" w:cs="Amiri"/>
          <w:color w:val="111111"/>
          <w:sz w:val="28"/>
          <w:sz w:val="28"/>
          <w:szCs w:val="28"/>
          <w:rtl w:val="true"/>
          <w:lang w:bidi="ar-SA"/>
        </w:rPr>
        <w:t xml:space="preserve">بوجوب جزء و ندب جزء آخر، منوط بالإجماع والأخبار الواردة عن سادات الأنام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أنّه لم یصل إلینا منهم أنّ الرکوع رکن، و ذکره واجب غیر رکن، بل إنّا بعد أن علمنا منهم أنّ السهو إذا وقع من المصلّی و ترک الرکوع حتّی خرج عن محلّه، یوجب بطلان الصلوة، و کذا فی زیادة الرکوع الموجب للبطلان، ولم یحکموا بالبطلان إذا وقع السهو فی الذکر، علمنا أنّ الواجب من أجزاء هذه العبادة لیست علی وتیرة واحدة، فجعلنا الأجزاء الواجبة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رکنًا و غیر رکن، تمییزًا بین الأجزاء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لا الإجماع و الأخبار من المتواترة و الآحاد لم یمکن لنا الحکم بالتفاوت بین الأجزاء ندبًا و وجوبًا، و رکنًا و غیر رکن، و لو لم یبیّنوا لنا کیفیّة إتیان النساء تلک العبادة، لم یمکن لنا الحکم فی النساء بأنّ رکوعهنّ لیس مثل رکوع النساء، و کذا فی جهرهنّ وإخفاتهنّ وآدابهنّ فی القیام والقعود والسجود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إنتهی کلمات لا دخل لها فی المقام، و لا ربط لها بما هو أصل المرام، فلعلّ المنشأ للإیراد بها هنا حبّ تکثیر السواد والعجز عن التکلّم فیما أبرزناه بمعونة اللّه الموفِّق لطریق السداد و الرشاد، و حبّ مقابلته بأیّ شیء کان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ذلک أنّ ما ذکره منظور فیه من وجوه،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المناسب لما هو بصدده فی هذا المقام ترک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الصلوة إفتتاحها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فالأولی أن یقتصر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وصل إلینا من الشارع أنّه صلّی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کما رأیتمونی أصلّی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یقل هذا الفعل المأتیّ به أیّ جزء من أجزائها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غیر صحیح، فحقّ العبارة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یصل إلینا أنّه صلی‌الله‌علیه‌و‌آله میّز بین الأجزاء الواجبة و المندوبة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جزء من أجزائها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ما فیه، والصواب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الحصر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منوط بالإجماع والأخبار الواردة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کما لایخفی علی المطّلع بمبانی الفنّ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انّا بعد أن علمنا منهم أنّ السهو إذا وقع من المصلّی وترک الرکوع حتّی خرج عن محلّه یوجب بطلان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ما فیه من الإطالة الّتی لا تعود إلی طائل، فالأولی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علمنا منهم أنّ المصلّی إذا أخلّ بالرکوع عمدًا کان أو سهوًا و لم یتذکّر به حتّی تعدّی </w:t>
      </w:r>
      <w:r>
        <w:rPr>
          <w:rStyle w:val="FootnoteAnchor"/>
          <w:rtl w:val="true"/>
        </w:rPr>
        <w:footnoteReference w:id="912"/>
      </w:r>
      <w:r>
        <w:rPr>
          <w:rFonts w:ascii="IRNazanin" w:hAnsi="IRNazanin" w:eastAsia="IRNazanin"/>
          <w:color w:val="111111"/>
          <w:sz w:val="28"/>
          <w:sz w:val="28"/>
          <w:szCs w:val="28"/>
          <w:rtl w:val="true"/>
          <w:lang w:bidi="fa-IR"/>
        </w:rPr>
        <w:t xml:space="preserve">عن محلّه، أوجب ذلک بطلان صلوته، بخلاف الذکر فیه، فإنّ الإخلال به عمدًا و إن أوجب البطلان، لکنّه سهوًا لیس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لیست علی وتیرة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الإتیان بصیغة المتکلّم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فجعلنا الأجزاء الواجبة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مناسب بالإضافة إلی حاله و حالنا، فالمناسب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الأجزاء الواجبة ؛ و هکذا الحال فی الصیغ السابقة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لا الإجماع والأخبار من المتواترة </w:t>
      </w:r>
      <w:bookmarkStart w:id="272" w:name="pg3709_22266"/>
    </w:p>
    <w:p>
      <w:pPr>
        <w:pStyle w:val="BookText"/>
        <w:rPr/>
      </w:pPr>
      <w:bookmarkEnd w:id="272"/>
      <w:r>
        <w:rPr>
          <w:rFonts w:ascii="IRNazanin" w:hAnsi="IRNazanin" w:eastAsia="IRNazanin"/>
          <w:color w:val="111111"/>
          <w:sz w:val="28"/>
          <w:sz w:val="28"/>
          <w:szCs w:val="28"/>
          <w:rtl w:val="true"/>
          <w:lang w:bidi="fa-IR"/>
        </w:rPr>
        <w:t xml:space="preserve">والآحاد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مفتقر إلیه، و أیضًا نطالبه بالأخبار المتواترة الواردة فی بیان تفاوت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رکوعهنّ لیس مثل رکوع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یشبه أفعال النساء، و کأنّه من طغیان القلم، و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رکوع الرجال</w:t>
      </w:r>
      <w:r>
        <w:rPr>
          <w:rFonts w:eastAsia="IRNazanin" w:cs="IRNazanin"/>
          <w:color w:val="111111"/>
          <w:sz w:val="28"/>
          <w:szCs w:val="28"/>
          <w:rtl w:val="true"/>
          <w:lang w:bidi="fa-IR"/>
        </w:rPr>
        <w:t>.</w:t>
      </w:r>
    </w:p>
    <w:p>
      <w:pPr>
        <w:pStyle w:val="Heading4"/>
        <w:numPr>
          <w:ilvl w:val="3"/>
          <w:numId w:val="1"/>
        </w:numPr>
        <w:rPr/>
      </w:pPr>
      <w:bookmarkStart w:id="273" w:name="__RefHeading___Toc594213_2281741623"/>
      <w:bookmarkStart w:id="274" w:name="_Toc97"/>
      <w:bookmarkEnd w:id="273"/>
      <w:r>
        <w:rPr>
          <w:rtl w:val="true"/>
        </w:rPr>
        <w:t xml:space="preserve">ومنها قوله </w:t>
      </w:r>
      <w:r>
        <w:rPr>
          <w:rtl w:val="true"/>
        </w:rPr>
        <w:t xml:space="preserve">: </w:t>
      </w:r>
      <w:r>
        <w:rPr>
          <w:rtl w:val="true"/>
        </w:rPr>
        <w:t>وبالجملة لیس لنا من الأمر شیء إلاّ ما، إلخ</w:t>
      </w:r>
      <w:bookmarkEnd w:id="274"/>
    </w:p>
    <w:p>
      <w:pPr>
        <w:pStyle w:val="BookText"/>
        <w:rPr/>
      </w:pPr>
      <w:r>
        <w:rPr>
          <w:rFonts w:ascii="IRNazanin" w:hAnsi="IRNazanin" w:eastAsia="IRNazanin"/>
          <w:color w:val="111111"/>
          <w:sz w:val="28"/>
          <w:sz w:val="28"/>
          <w:szCs w:val="28"/>
          <w:rtl w:val="true"/>
          <w:lang w:bidi="fa-IR"/>
        </w:rPr>
        <w:t xml:space="preserve">قوله ـ دام ظلّه </w:t>
      </w:r>
      <w:r>
        <w:rPr>
          <w:rStyle w:val="FootnoteAnchor"/>
          <w:rtl w:val="true"/>
        </w:rPr>
        <w:footnoteReference w:id="91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لنا من الأمر شیء إلاّ ما علَّمنا موالینا و أئمّتنا،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بلغ منهم إلینا وجوب التسلیم أو ندبه، ولذا وقع الخلاف بین الأصحاب فی أنّه واجب أو ندب، و علی تقدیر الوجوب فهل هو جزء و شطر، أو خارج و شرط، و منشأ الخلاف إختلاف الآثار واختلاف الآراء فی درک الأخبار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یستفاد من الآثار سوی أنّ التسلیم محلِّل، و لم یقیّدوا بأنّه محصورٌ فی الفریضة، بل حکموا علی الصلوة المطلقة المرسلة بأنّ التکبیر بدؤها و منشأ حرمة التکلّم فیها، و التسلیم محلِّلها و ختمها، ونحن نسلّم ذلک فی تلک العبادة المرکّبة الممثّلة بالمعجون المؤلّفة من أجزاء بعضها فیه بمنزلة الجدران فی البیت، و بعضها بمنزلة الجصّ والزخارف والنقوش، وبعضها المتوسّط بین الأمرین و هو الواجب غیر الرکن، و قد ظهر لنا من الآثار أنّ التسلیم لیست رکنًا، و لکن أمر واجب یوجب ترکه البطلان عمدًا، و هل هو جزء واجب آخر الاجزاء الواجبة، </w:t>
      </w:r>
    </w:p>
    <w:p>
      <w:pPr>
        <w:pStyle w:val="BookText"/>
        <w:rPr/>
      </w:pPr>
      <w:r>
        <w:rPr>
          <w:rFonts w:ascii="IRNazanin" w:hAnsi="IRNazanin" w:eastAsia="IRNazanin"/>
          <w:color w:val="111111"/>
          <w:sz w:val="28"/>
          <w:sz w:val="28"/>
          <w:szCs w:val="28"/>
          <w:rtl w:val="true"/>
          <w:lang w:bidi="fa-IR"/>
        </w:rPr>
        <w:t>أو شرط خارج ؟ فهو محلّ النزاع و میدان الجدال للفرسان، و نحن قد ذکرنا فی الرسالة ما یشفی العلیل و یهدی إلی السبیل، 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لنا من الأمر شیء إلاّ ما علَّمنا موالینا و 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حقیقٌ بأن یکتب بالنور علی صفحات الحور، و لکن لیت شعری أنّه ـ دام ظلّه </w:t>
      </w:r>
      <w:r>
        <w:rPr>
          <w:rStyle w:val="FootnoteAnchor"/>
          <w:rtl w:val="true"/>
        </w:rPr>
        <w:footnoteReference w:id="914"/>
      </w:r>
      <w:r>
        <w:rPr>
          <w:rFonts w:ascii="IRNazanin" w:hAnsi="IRNazanin" w:eastAsia="IRNazanin"/>
          <w:color w:val="111111"/>
          <w:sz w:val="28"/>
          <w:sz w:val="28"/>
          <w:szCs w:val="28"/>
          <w:rtl w:val="true"/>
          <w:lang w:bidi="fa-IR"/>
        </w:rPr>
        <w:t xml:space="preserve">ـ مع هذا الإعتقاد الصحیح کیف اجترئ علی الإقدام بإخبار تلک الأمور المخالفة للواقع الّتی یترتّب علی شیء منها لایقاومه السموات والأرضون </w:t>
      </w:r>
      <w:r>
        <w:rPr>
          <w:rStyle w:val="FootnoteAnchor"/>
          <w:rtl w:val="true"/>
        </w:rPr>
        <w:footnoteReference w:id="915"/>
      </w:r>
      <w:r>
        <w:rPr>
          <w:rFonts w:ascii="IRNazanin" w:hAnsi="IRNazanin" w:eastAsia="IRNazanin"/>
          <w:color w:val="111111"/>
          <w:sz w:val="28"/>
          <w:sz w:val="28"/>
          <w:szCs w:val="28"/>
          <w:rtl w:val="true"/>
          <w:lang w:bidi="fa-IR"/>
        </w:rPr>
        <w:t>فضلاً عن جمیعها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ما بلغ إلینا منهم وجوب التسلیم أو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العبارة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بلغ إلینا منهم النصوص الّتی بعضها إقتضی وجوب التسلیم و بعضها إقتضی ندبه، و لذا وقع الخلاف بین الأصحاب فی أنّه واجب أو ندب ؛ فلاحظ العبارتین حتّی ینکشف لک حقیقة الحال فی 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تقدیر الوجوب، فهل هو جزء و شطر أو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انتفاء الخلاف المذکور علی تقدیر الندبیّة کما لا یخفی، و هو غیر صحیح، لاختلاف کلمات القائلین بالندب فی ذلک أیضًا، والظاهر من جماعة منهم الدخول، لتصریحهم بأنّه من أفعال الصلوة و أجزائها، قال العلاّمة ـ أحلّه اللّه تعالی محلّ الکرامة ـ فی النهایة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یجب نیّة الخروج ؟ الأقرب المنع، لأنّه فعل من أفعال الصلوة، فأشبه سائر الأفعال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التذکرة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تجب نیّة الخروج عن الصلوة بالسلام ؟ الأقرب العدم، لانّه فعل من أفعال الصلوة، فصار کسائر الأفعال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مجمع الفائدة و البرهان مجیبًا عن موثّقة أبی بصیر المتقدّمة المشتملة علی أنّ آخر الصلوة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الجزء المستحبّ أیضًا آخر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یقرب منه ما ذکره فی المدارک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والعلاّمة ـ نوّر اللّه تعالی ضریحه ـ مع ما عرفت من التصریح بأنّه من أفعاله، قال فی المختلف مجیبًا عن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کما رأیتمونی أصلّی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نمنع من دلالته علی صورة النزاع، فإنّ التسلیم عندنا خارج عن الصلوة، فلا یدخل تحت الأمر بها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الروض احتمل کلاًّ من الدخول والخروج،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أنّ آخر الصلوة التسلیم، لا یدلّ علی وجوبه أیضًا، فانّ أفعال الصلاة منها واجبة و منها مندوبة، فلا یدلّ کونه منها علی وجوبه، بل هو أعمّ، ولا دلالة للعامّ علی الخاصّ، مع أنّه یحتمل کون التسلیم غایةً للصلوة، والغایة قد تدخل فی المغیّی وقد لا تدخل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الذخیرة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التسلیم جزء من الصلوة أم خارج عنها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الثانی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البحار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اختلفوا أیضًا فی أنّه هل هو جزء من الصلوة أم خارج عنها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یشکل الجزم بأحد الطرفین، وإن کان الإستحباب والخروج لایخلوان من قوّة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بالجملة ما یستفاد من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الواجب غیر الرکن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بعضها مکرّر، و کلّها کلام لا طائل له أصلاً، فلا وجه للتمسّک به فی هذا المقام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ظهر لنا من الآثار أنّ التسلیم لیست رکنًا، و لکن أمر واجب یوجب ترکه البطلان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أیضًا ممّا لا فائدة له فی هذا المقام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التسلیم لیست رکنًا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طغیان القلم،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هل هو جزء واجب آخر الأجزاء الواجبة، أو شرط خارج ؟ فهو محل النزاع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مکرّر لا دخل له فی المقام، و مع ذلک قاصر عن إفادة محلّ الخلاف، والصواب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هو واجب أو مندوب ؟ وعلی التقدیرین هل هو داخل أو خارج ؟ فیه خلاف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نحن قد ذکرنا فی الرسالة ما یشفی العلیل و یهدی إلی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فیها إلاّ مستند القولین من غیر تکلّم فی ترجیح الجانبین، فما أدری مِن أین جاء 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لمّا کان العلاج بقدر حذاقة الطبیب، فلاینبغی المؤاخذة عن ذلک من العاقل </w:t>
      </w:r>
      <w:r>
        <w:rPr>
          <w:rStyle w:val="FootnoteAnchor"/>
          <w:rtl w:val="true"/>
        </w:rPr>
        <w:footnoteReference w:id="924"/>
      </w:r>
      <w:r>
        <w:rPr>
          <w:rFonts w:ascii="IRNazanin" w:hAnsi="IRNazanin" w:eastAsia="IRNazanin"/>
          <w:color w:val="111111"/>
          <w:sz w:val="28"/>
          <w:sz w:val="28"/>
          <w:szCs w:val="28"/>
          <w:rtl w:val="true"/>
          <w:lang w:bidi="fa-IR"/>
        </w:rPr>
        <w:t xml:space="preserve">اللبیب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من الشفاء، وإن قرأته بالقاف من الشقاء بمعنی التعب لیکون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فی الرسالة فی تلک المسئلة ما أوجب تعب العلیل و محنته، بناءً علی أنّ التکلّم فی أطراف المسئلة من غیر ترجیح یوجب تعب الطالب، فالأمر کما أنصف، فعلی هذا لا مؤاخذة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إنّا نرجو أن یجزی اللّه تعالی شیخنا البهائی عنه جزاءً عظیمًا، فإنّه لو لم یتکلّم فی المسئلة، لا یمکن له التکلّم فیها أصلاً، و إن کنت فی ریب ممّا نبّهنا علیک، فاستمع لما أتلو علیک ممّا ذکراه فی المسئلة،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البهائی فی الحبل المتین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الکلام فی أنّ التسلیم هل هو جزء من الصلوة أو خارج عنها فالروایات الّتی یمکن أن یستنبط منها ذلک متخالفة، فإنّ قوله علیه‌السلام فی الحدیث الخامس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فرغ فلیُسلّم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الحدیث 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صلوته ثمّ یسلّم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یعطی خروجه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علیه‌السلام فی الحدیث الخامس و العشرین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آخر الصلوة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کونه جزءًا منها، و کذا قوله علیه‌السلام فی الحدیث الثامن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للأوّلین التکبیر و افتتاح الصلوة، و للآخرین التسلیم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کلام علمائنا ـ قدّس اللّه أرواحهم ـ فقد قال السیّد المرتضی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نجد </w:t>
      </w:r>
      <w:r>
        <w:rPr>
          <w:rStyle w:val="FootnoteAnchor"/>
          <w:rtl w:val="true"/>
        </w:rPr>
        <w:footnoteReference w:id="925"/>
      </w:r>
      <w:r>
        <w:rPr>
          <w:rFonts w:ascii="Amiri" w:hAnsi="Amiri" w:eastAsia="Amiri" w:cs="Amiri"/>
          <w:color w:val="111111"/>
          <w:sz w:val="28"/>
          <w:sz w:val="28"/>
          <w:szCs w:val="28"/>
          <w:rtl w:val="true"/>
          <w:lang w:bidi="ar-SA"/>
        </w:rPr>
        <w:t>لهم نصًّا فی ذلک، ثمّ قوّی کونه جزءًا من الصلوة،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رکن من أرکانها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یلوح من کلام بعض القائلین بوجوبه الحکم بخروجه عنها، حیث اشترطوا فی صحّة الصلوة ـ لظنّ دخول الوقت ـ دخوله فی أثنائها، وقیّدوه بما قبل التسلیم، و لم یعتبروا دخوله فی أثنائه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یتراءی أنّه لا طائل فی البحث عن ذلک، لرجوع هذا البحث فی الحقیقة إلی البحث عن وجوب التسلیم و استحبابه، فعلی القول بوجوبه لامعنی لخروجه، و علی القول باستحبابه لا معنی لدخوله، ولیس بشیء ؛ إذ علی القول باستحبابه یمکن أن یکون من الأجزاء المندوبة کبعض التکبیرات السبع و کالسلام علی النبیّ و الملائکة فی آخر التشهّد، و علی القول بوجوبه یمکن أن یکون من الأمور الخارجة عن حقیقة الصلوة کالنیّة عند بعض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جوّز صاحب البشری السیّد جمال الدین بن طاووس ـ قدّس اللّه روحه ـ أن یکون الخروج من الصلوة بالسلام علینا و علی عباد اللّه الصالحین، و یکون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وبرکاته بعد ذلک واجبًا أیضًا، و إن کان المخرج غیره </w:t>
      </w:r>
      <w:r>
        <w:rPr>
          <w:rStyle w:val="FootnoteAnchor"/>
          <w:rtl w:val="true"/>
        </w:rPr>
        <w:footnoteReference w:id="926"/>
      </w:r>
      <w:r>
        <w:rPr>
          <w:rFonts w:ascii="IRNazanin" w:hAnsi="IRNazanin" w:eastAsia="IRNazanin"/>
          <w:color w:val="111111"/>
          <w:sz w:val="28"/>
          <w:sz w:val="28"/>
          <w:szCs w:val="28"/>
          <w:rtl w:val="true"/>
          <w:lang w:bidi="fa-IR"/>
        </w:rPr>
        <w:t xml:space="preserve">، إنتهی کلامه أعلی اللّه مقامه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صاحبنا ـ دام ظلّه </w:t>
      </w:r>
      <w:r>
        <w:rPr>
          <w:rStyle w:val="FootnoteAnchor"/>
          <w:rtl w:val="true"/>
        </w:rPr>
        <w:footnoteReference w:id="927"/>
      </w:r>
      <w:r>
        <w:rPr>
          <w:rFonts w:ascii="IRNazanin" w:hAnsi="IRNazanin" w:eastAsia="IRNazanin"/>
          <w:color w:val="111111"/>
          <w:sz w:val="28"/>
          <w:sz w:val="28"/>
          <w:szCs w:val="28"/>
          <w:rtl w:val="true"/>
          <w:lang w:bidi="fa-IR"/>
        </w:rPr>
        <w:t xml:space="preserve">ـ فی رسالته ما هذا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التسلیم هل هو جزء من الصلوة أو خارج عنها ؟ 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الروایات الّتی یمکن أن یستنبط منها ذلک متخالفة، ولأجل إختلاف الروایات إختلف الفقهاء، فقال السیّد المرتضی رضی‌الله‌عنه فی الناصریّة ـ لمّا قال 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تکبیرة الإفتتاح من الصلوة، والتسلیم لیس منها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إلی هذه الغایة لأصحابنا نصًّا فی هاتین المسئلتین، ویقوی فی نفسی أنّ تکبیرة الإفتتاح من الصلوة، و أنّ التسلیم أیضًا من جملة الصلوة، وهو رکن من أرکانها، و هی مذهب الشافعیّ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الجزئیّة موثّقة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یقول فی رجل صلّی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جلس فی الرکعتین قبل أن یتشهّد رعف،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فلیخرج و لیغسل أنفه، ثمّ لیرجع ولیتمّ صلوته، فإنّ آخر الصلوة التسلیم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زرارة و فضیل و محمّد بن مسلم،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صلوة المغرب فی الخوف فرِّقهم فرقتین، فیصلّی بفرقة رکعتین، ثمّ جلس بهم، ثمّ أشار إلیهم بیده، فقام کلّ إنسان منهم فیصلّی رکعة، ثمّ سلّموا وقاموا مقام أصحابهم، و جائت الطائفة الأخری فکبّروا ودخلوا فی الصلوة وقام الإمام فیصلّی بهم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سلّم ثمّ قام کلّ رجل منهم </w:t>
      </w:r>
    </w:p>
    <w:p>
      <w:pPr>
        <w:pStyle w:val="BookText"/>
        <w:rPr/>
      </w:pPr>
      <w:r>
        <w:rPr>
          <w:rFonts w:ascii="Amiri" w:hAnsi="Amiri" w:eastAsia="Amiri" w:cs="Amiri"/>
          <w:color w:val="111111"/>
          <w:sz w:val="28"/>
          <w:sz w:val="28"/>
          <w:szCs w:val="28"/>
          <w:rtl w:val="true"/>
          <w:lang w:bidi="ar-SA"/>
        </w:rPr>
        <w:t xml:space="preserve">فصلّی رکعة فشفعها بالّتی صلّی مع الإمام ثمّ قام فصلّی رکعة </w:t>
      </w:r>
      <w:r>
        <w:rPr>
          <w:rFonts w:eastAsia="Amiri" w:cs="Amiri" w:ascii="Amiri" w:hAnsi="Amiri"/>
          <w:color w:val="111111"/>
          <w:sz w:val="28"/>
          <w:szCs w:val="28"/>
          <w:rtl w:val="true"/>
          <w:lang w:bidi="ar-SA"/>
        </w:rPr>
        <w:t xml:space="preserve">] </w:t>
      </w:r>
      <w:r>
        <w:rPr>
          <w:rStyle w:val="FootnoteAnchor"/>
          <w:rtl w:val="true"/>
        </w:rPr>
        <w:footnoteReference w:id="930"/>
      </w:r>
      <w:r>
        <w:rPr>
          <w:rFonts w:ascii="IRNazanin" w:hAnsi="IRNazanin" w:eastAsia="IRNazanin"/>
          <w:color w:val="111111"/>
          <w:sz w:val="28"/>
          <w:sz w:val="28"/>
          <w:szCs w:val="28"/>
          <w:rtl w:val="true"/>
          <w:lang w:bidi="fa-IR"/>
        </w:rPr>
        <w:t xml:space="preserve">لیس فیها قرائة، فتمّت للإمام ثلث رکعات و للأوَّلین رکعتان فی جماعة و للاخرین وحدانًا، فصار للأوَّلین التکبیر وإفتتاح الصلوة، و للآخرین التسلیم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کونه خارجًا عنها، صحیحة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نسی أن یجلس فی الرکعتین الأولیین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ذکر قبل أن یرکع فلیجلس، و إن لم یذکر حتّی رکع فلیتمّ الصلوة حتّی إذا فرغ فلیسلّم و لیسجد سجدتی السهو </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صحیحة إبن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الرجل صلّی الرکعتین من المکتوبة، فلا یجلس فیها </w:t>
      </w:r>
      <w:r>
        <w:rPr>
          <w:rStyle w:val="FootnoteAnchor"/>
          <w:rtl w:val="true"/>
        </w:rPr>
        <w:footnoteReference w:id="933"/>
      </w:r>
      <w:r>
        <w:rPr>
          <w:rFonts w:ascii="IRNazanin" w:hAnsi="IRNazanin" w:eastAsia="IRNazanin"/>
          <w:color w:val="111111"/>
          <w:sz w:val="28"/>
          <w:sz w:val="28"/>
          <w:szCs w:val="28"/>
          <w:rtl w:val="true"/>
          <w:lang w:bidi="fa-IR"/>
        </w:rPr>
        <w:t xml:space="preserve">حتّی یرکع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صلوته، ثمّ یسلّم ویسجد سجدتی السهو وهو جالس قبل أن یتکلّم </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موثّقة غالب بن عثمان،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المکتوبة فیقضی صلوته ویتشهّد، و </w:t>
      </w:r>
      <w:r>
        <w:rPr>
          <w:rStyle w:val="FootnoteAnchor"/>
          <w:rtl w:val="true"/>
        </w:rPr>
        <w:footnoteReference w:id="935"/>
      </w:r>
      <w:r>
        <w:rPr>
          <w:rFonts w:ascii="IRNazanin" w:hAnsi="IRNazanin" w:eastAsia="IRNazanin"/>
          <w:color w:val="111111"/>
          <w:sz w:val="28"/>
          <w:sz w:val="28"/>
          <w:szCs w:val="28"/>
          <w:rtl w:val="true"/>
          <w:lang w:bidi="fa-IR"/>
        </w:rPr>
        <w:t xml:space="preserve">ینام قبل أن یسلّم،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تمّت صلوته، و إن کان رعافًا فاغسله ثمّ ارجع فسلّم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یخطر بالبال أنّه لا طائل فی البحث عن ذلک، لرجوع هذا البحث </w:t>
      </w:r>
    </w:p>
    <w:p>
      <w:pPr>
        <w:pStyle w:val="BookText"/>
        <w:rPr/>
      </w:pPr>
      <w:r>
        <w:rPr>
          <w:rFonts w:ascii="IRNazanin" w:hAnsi="IRNazanin" w:eastAsia="IRNazanin"/>
          <w:color w:val="111111"/>
          <w:sz w:val="28"/>
          <w:sz w:val="28"/>
          <w:szCs w:val="28"/>
          <w:rtl w:val="true"/>
          <w:lang w:bidi="fa-IR"/>
        </w:rPr>
        <w:t xml:space="preserve">فی الحقیقة إلی البحث عن وجوب التسلیم و ندبه، فعلی القول بوجوبه لامعنی لخروجه، و علی القول بندبه لا معنی لدخوله، و لیس بشیء، إذ علی القول بندبه یمکن أن یکون التسلیم من الأجزاء المندوبة کبعض التکبیرات السبع، و کالصلوة علی النبیّ و آله ـ علی القول بندبها فی التشهّد، و کالصلوة علی الملئکة و الأنبیاء و المرسلین ـ و کالقنوت، بل یمکن علی القول بالوجوب منع إستلزامه الدخول باحتمال کونه من الأمور الواجبة الخارجة عن حقیقتها، بل جوّز صاحب البشری جمال الدّین بن طاوس العلویّ الفاطمیّ ـ قدّس اللّه روحه ، و عطّر مرقده ـ أن یکون الخروج من الصلوة بالسلام علینا و علی عباد اللّه الصالحین، ویکون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وبرکاته بعد ذلک واجبًا أیضًا وإن کان قد خرج من الصلوة بالأولی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إنتهی کلامه ـ أطال اللّه تعالی بقاءه </w:t>
      </w:r>
      <w:r>
        <w:rPr>
          <w:rStyle w:val="FootnoteAnchor"/>
          <w:rtl w:val="true"/>
        </w:rPr>
        <w:footnoteReference w:id="939"/>
      </w:r>
      <w:r>
        <w:rPr>
          <w:rFonts w:ascii="IRNazanin" w:hAnsi="IRNazanin" w:eastAsia="IRNazanin"/>
          <w:color w:val="111111"/>
          <w:sz w:val="28"/>
          <w:sz w:val="28"/>
          <w:szCs w:val="28"/>
          <w:rtl w:val="true"/>
          <w:lang w:bidi="fa-IR"/>
        </w:rPr>
        <w:t xml:space="preserve">ـ و لا مخالفة بینه و بین ما ذکره شیخنا البهائی إلاّ فی أمور،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صدیقنا المکرَّم بعد أن ذکر إختلاف الروایات، فرّع علیه إختلاف الفقهاء، فحکی القول بالجزئیّة عن السیّد المرتضی، و سکت عن حکایة القول بالخروج، و هو غیر مناسب، و لهذا تری شیخنا البهائی أجری لسان البیان إلی کلّ من الإحتمالین، وما أدری لِمَ غفل صدیقنا المکرَّم عنه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حکی عین عبارة السیّد علی النحو المذکور فی الذکری، لکن بدّل ضمیر المذکّر بضمیر المؤنّث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 مذهب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لعلّه من طغیان القلم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شیخنا البهائی إستند القول بالخروج إلی حدیثین، و صدیقنا المکرَّم زاد علیهما موثّقة غالب بن عثمان، و لیته لم یزده، لأنّه ذکره علی النحو الّذی یتعجّب منه الصبیان، لأنّ الحدیث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المکتوبة فتنقضی صلوته و یتشهّد، ثمّ ینام قبل أن یسلّم،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صلوته، وإن کان رعافًا فاغسله، ثمّ رجع فسلّم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توهّم و جعل </w:t>
      </w:r>
      <w:r>
        <w:rPr>
          <w:rStyle w:val="FootnoteAnchor"/>
          <w:rtl w:val="true"/>
        </w:rPr>
        <w:footnoteReference w:id="941"/>
      </w:r>
      <w:r>
        <w:rPr>
          <w:rFonts w:ascii="IRNazanin" w:hAnsi="IRNazanin" w:eastAsia="IRNazanin"/>
          <w:color w:val="111111"/>
          <w:sz w:val="28"/>
          <w:sz w:val="28"/>
          <w:szCs w:val="28"/>
          <w:rtl w:val="true"/>
          <w:lang w:bidi="fa-IR"/>
        </w:rPr>
        <w:t xml:space="preserve">فعل الماضی فی المواضع الثلاثة فعل أمر، فزاد </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 فذکر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رعافًا فاغسله ثمّ ارجع ؛ وهو وإن کان من غرائب الأمور، لکنّه بالإضافة إلیه معذور، لما سیصرّح به من أنّه لیس کتاب التهذیب عنده، و نقله کغیره من الحبل المتین، فیمکن أن یکون غلطًا، أو تصرّف فیه کسائر تصرّفاته الجزئیّة الّتی وقعت منه فی کلام الحبل المتین إظهارًا للفضیلة، و تحاشیًا عن نقل ما فی کتاب الغیر من غیر تصرّف فیه بالمرّة، فیتصرّف فیه و لو أوجب ذلک أنواع الفضیحة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یخطر بالبال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کلام الحبل المتین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یتراءی أنّه لا طائل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کأنّه أراد بهذا التغییر أن یوهم أنّه من المخطرة فی باله، لکون أمثال العبارة معهودة فی ذلک، و یمکن أن یکون الداعی ما سلف من التحاشی عن نقل کلام الغیر من غیر تصرّف أصلاً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کالصلوة علی الملائکة و الأنبیاء و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عرفت أنّ الموجود فی عبارة الحبل المتین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کالسلام علی النبیّ و الملائکة فی آخر </w:t>
      </w:r>
      <w:bookmarkStart w:id="275" w:name="pg3709_22276"/>
    </w:p>
    <w:p>
      <w:pPr>
        <w:pStyle w:val="BookText"/>
        <w:rPr/>
      </w:pPr>
      <w:bookmarkEnd w:id="275"/>
      <w:r>
        <w:rPr>
          <w:rFonts w:ascii="IRNazanin" w:hAnsi="IRNazanin" w:eastAsia="IRNazanin"/>
          <w:color w:val="111111"/>
          <w:sz w:val="28"/>
          <w:sz w:val="28"/>
          <w:szCs w:val="28"/>
          <w:rtl w:val="true"/>
          <w:lang w:bidi="fa-IR"/>
        </w:rPr>
        <w:t xml:space="preserve">التشهّد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لایخفی ما فیه من مطابقته لظاهر ما اشتمل علیه موثّقة أبی بصیر المعهودة، و مخالفة لفظ الصلوة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ما ذکر من التغییرات الجزئیّة الّتی صدرت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کلامه مأخوذ من الحبل المتین کما عرفت، و هو لمّا أورد مسئلة الخروج و الدخول من غیر ترجیح بأحد الجانبین، أوردها شقیقنا المکرَّم کذلک، وأنت وإن شئت أن تطّلع علی حقیقة الحال، فعلیک بمطالعة ما بیّناه فی مطالع الأنوار </w:t>
      </w:r>
      <w:r>
        <w:rPr>
          <w:rStyle w:val="FootnoteAnchor"/>
          <w:rtl w:val="true"/>
        </w:rPr>
        <w:footnoteReference w:id="943"/>
      </w:r>
      <w:r>
        <w:rPr>
          <w:rFonts w:ascii="Amiri" w:hAnsi="Amiri" w:eastAsia="Amiri" w:cs="Amiri"/>
          <w:color w:val="111111"/>
          <w:sz w:val="28"/>
          <w:sz w:val="28"/>
          <w:szCs w:val="28"/>
          <w:rtl w:val="true"/>
          <w:lang w:bidi="ar-SA"/>
        </w:rPr>
        <w:t xml:space="preserve">بإرشاد اللّه الوهّاب الفیّاض الغفّار </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594215_2281741623"/>
      <w:bookmarkStart w:id="277" w:name="_Toc98"/>
      <w:bookmarkEnd w:id="276"/>
      <w:r>
        <w:rPr>
          <w:rtl w:val="true"/>
        </w:rPr>
        <w:t xml:space="preserve">ومنها قوله </w:t>
      </w:r>
      <w:r>
        <w:rPr>
          <w:rtl w:val="true"/>
        </w:rPr>
        <w:t xml:space="preserve">: </w:t>
      </w:r>
      <w:r>
        <w:rPr>
          <w:rtl w:val="true"/>
        </w:rPr>
        <w:t>وهذه القاعدة الّتی مهّدها و قرّرها یوفی بما، إلخ</w:t>
      </w:r>
      <w:bookmarkEnd w:id="27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دام ظلّه </w:t>
      </w:r>
      <w:r>
        <w:rPr>
          <w:rStyle w:val="FootnoteAnchor"/>
          <w:rtl w:val="true"/>
        </w:rPr>
        <w:footnoteReference w:id="94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القاعدة الّتی مهّدها و قرّرها یوفی بما ادّعاه إذا أنکرنا مدخلیّة التسلیم فی مطلق الصلوة، و نحن بُرآء منه،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التسلیم لابدّ منه فی مطلق الصلوة، و الکلام فی معنی التسلیم هل هو الصیغ الثلث علی ما هو المقرّر فی الفریضة، بأن یأتی أوَّلاً بالصیغة المندوبة بلا خلاف، ثمّ بالثانی الّذی لا خلاف لنا مع القوم فی أنّه ینصرف به من الصلوة، ثمّ بالثالث الّذی وقع الإجماع علی کونه محلِّلاً، و کلّ هذه معنی التسلیم لم یقل به أحد، بل کلّهم نطقوا بأنّ التسلیم المطلق الوارد فی الأخبار و الآثار معناه هو السلام علیکم، والتحلیل یحصل منه بلا خلاف، لأنّه کلام الآدمیّین، فکما أنّ بالتکبیر یحرم کلام الآدمیّین، فبالتسلیم یحلّ له ما حرّم، کما أنّ التقصیر فی موضعه محلِّل للمحرم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إنتهی منه الکلام الّذی أوجب علیه ضروبًا من الملام، 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قد علّق فیه إیفاء القاعدة المذکورة بما ادّعیناه علی إنکاره مدخلیّة التسلیم فی مطلق الصلوة، و مقتضی هذا التعلیق عدم الإیفاء عند إنتفاء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لا یتفوّه به أدانی الجهّال فضلاً عن أواسطهم و أعالیهم، لأنّ حاصله یرجع إلی أنّه إذا لم نقل بثبوت التسلیم فی النافلة أصلاً، یلزم من القاعدة المذکورة ثبوت الصیغ الثلاث للتسلیم فیها، و أمّا إذا قلنا بثبوت التسلیم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ـ فی مطلق الصلوة، فلا یلزم منها ثبوت الصیغتین الأخریین فیها، وهذا لایصدر ممّن یتصوّر فی حقّه إحتمال جواز التصرّف فی أحکام الدین، فکیف ممّن جعل نفسه مِن خلفاء أمناء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یحکم بما أنزل اللّه فأولئک هم الفاسقون </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شئت أن ینکشف لک الحال إنکشاف القمر لیلة البدر </w:t>
      </w:r>
      <w:r>
        <w:rPr>
          <w:rStyle w:val="FootnoteAnchor"/>
          <w:rtl w:val="true"/>
        </w:rPr>
        <w:footnoteReference w:id="946"/>
      </w:r>
      <w:r>
        <w:rPr>
          <w:rFonts w:ascii="IRNazanin" w:hAnsi="IRNazanin" w:eastAsia="IRNazanin"/>
          <w:color w:val="111111"/>
          <w:sz w:val="28"/>
          <w:sz w:val="28"/>
          <w:szCs w:val="28"/>
          <w:rtl w:val="true"/>
          <w:lang w:bidi="fa-IR"/>
        </w:rPr>
        <w:t xml:space="preserve">، فاستمع لما أتلو علیک،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أسّسنا قاعدة محکمة، مقتضاها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ما ثبت فی الفریضة ینبغی الحکم بثبوته فی النافلة، إلاّ إذا دلّ الدلیل علی الإختصاص،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المفروض ثبوت الصیغ الثلاث فی الفریضة، فینبغی الحکم بثبوتها فی النافلة، لانتفاء الدلیل علی الإختصاص، و ما ذکره هذا الفاضل یرجع إلی أنّ مقتضی القاعدة المذکورة إنّما یکون ذلک إذا لم نقل بثبوت السلام علیکم فی مطلق الصلوة الّتی منها النافلة، و أمّا إذا قلنا به فلا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من عجائب الزمان الّتی یتعجّب منها المجانین و الصبیان، و یتحاشی منها </w:t>
      </w:r>
    </w:p>
    <w:p>
      <w:pPr>
        <w:pStyle w:val="BookText"/>
        <w:rPr/>
      </w:pPr>
      <w:r>
        <w:rPr>
          <w:rFonts w:ascii="IRNazanin" w:hAnsi="IRNazanin" w:eastAsia="IRNazanin"/>
          <w:color w:val="111111"/>
          <w:sz w:val="28"/>
          <w:sz w:val="28"/>
          <w:szCs w:val="28"/>
          <w:rtl w:val="true"/>
          <w:lang w:bidi="fa-IR"/>
        </w:rPr>
        <w:t xml:space="preserve">الوحوش و النسوان، لوضوح أنّه إذا اقتضت القاعدة ثبوت الثلاث فی النافلة فیما إذا لم یکن لنا دلیل علی ثبوت شیء منها فیها، فکیف لا یقتضی </w:t>
      </w:r>
      <w:r>
        <w:rPr>
          <w:rStyle w:val="FootnoteAnchor"/>
          <w:rtl w:val="true"/>
        </w:rPr>
        <w:footnoteReference w:id="947"/>
      </w:r>
      <w:r>
        <w:rPr>
          <w:rFonts w:ascii="IRNazanin" w:hAnsi="IRNazanin" w:eastAsia="IRNazanin"/>
          <w:color w:val="111111"/>
          <w:sz w:val="28"/>
          <w:sz w:val="28"/>
          <w:szCs w:val="28"/>
          <w:rtl w:val="true"/>
          <w:lang w:bidi="fa-IR"/>
        </w:rPr>
        <w:t>ثبوت إثنتین فیها مع قیام الدلیل علی ثبوت واحدة منها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قد بلغ حدًّا فی الفساد یوجب لمدّعیه أنواع اللوم والعتاب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الکلام فی معنی التسلیم هل هو الصیغ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مقابح الأمور ومفاسد الدهور، نِعْمَ ما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خود می‌بری وزحمت ما می‌داری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عرفت انّ الکلام هنا فی انّ کلّما ثبت فی الفریضة یحکم بثبوته فی النافلة، سواء کان لفظ التسلیم حقیقة فی السلام علیکم فقط أو لا،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أنّ لفظ التسلیم حقیقة فی السلام علیکم فقط، لکن الصیغتان الأخریان ثابتتان </w:t>
      </w:r>
      <w:r>
        <w:rPr>
          <w:rStyle w:val="FootnoteAnchor"/>
          <w:rtl w:val="true"/>
        </w:rPr>
        <w:footnoteReference w:id="949"/>
      </w:r>
      <w:r>
        <w:rPr>
          <w:rFonts w:ascii="IRNazanin" w:hAnsi="IRNazanin" w:eastAsia="IRNazanin"/>
          <w:color w:val="111111"/>
          <w:sz w:val="28"/>
          <w:sz w:val="28"/>
          <w:szCs w:val="28"/>
          <w:rtl w:val="true"/>
          <w:lang w:bidi="fa-IR"/>
        </w:rPr>
        <w:t>فی الفرائض أیضًا، فنحکم بثبوتهما فی النوافل للقاعدة المؤسّسة، و أین ذلک من الکلام فی معنی التسلیم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یمکن صدور هذا الکلام فی هذا المقام ممّن یتصوّر فی حقّه جواز التصرّف فی الأحکام، و یتصدّی للفتاوی بین الأنام، و یخاف الإنتقام من المنتقم العلاّم فی یوم القیام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الظاهر انّ الباعث لتمسّکه بذلک هو انّه لمّا لم یکن له سواه، یتمسّک به أیّ موضع اتّفق و لو لم یکن له مناسبة أصلاً، ولذا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لم یظفر به فی کلام شیخنا الشهید، لم یمکن له التکلّم فی المسئلة أصلاً، فهو وإن حصل النفع له من وجه، لکنّه فتح علیه باب الضرر من وجوه، فإثمه أکبر من نفعه، فلیته لم یظفر به لئلاّ یقع فی </w:t>
      </w:r>
    </w:p>
    <w:p>
      <w:pPr>
        <w:pStyle w:val="BookText"/>
        <w:rPr/>
      </w:pPr>
      <w:r>
        <w:rPr>
          <w:rFonts w:ascii="IRNazanin" w:hAnsi="IRNazanin" w:eastAsia="IRNazanin"/>
          <w:color w:val="111111"/>
          <w:sz w:val="28"/>
          <w:sz w:val="28"/>
          <w:szCs w:val="28"/>
          <w:rtl w:val="true"/>
          <w:lang w:bidi="fa-IR"/>
        </w:rPr>
        <w:t>هذه المهالک العظیمة الّتی لایرجی له الخلاص منها ولو عمّر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ما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هو الصیغ الثلاث علی ما هو المقرّر فی الفریضة، بأن یأتی أوّلاً بالصیغة المندوبة بلا خلاف، ثمّ بالثانی الّذی لا خلاف لنا مع القوم فی أنّه ینصرف به من الصلوة، ثمّ بالثالث الّذی وقع الإجماع علی کونه محلِّلاً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هو المقرّر فی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یظهر لک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نفی الخلاف فی ندبیّة السلام علی النبیّ صلی‌الله‌علیه‌و‌آله ، غلطٌ، لوجود القائل بوجوبها، و هو جماعة من الأصحاب،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الفاخر ـ علی ما حکاه شیخنا الشهید فی الذکری </w:t>
      </w:r>
      <w:r>
        <w:rPr>
          <w:rStyle w:val="FootnoteAnchor"/>
          <w:rtl w:val="true"/>
        </w:rPr>
        <w:footnoteReference w:id="950"/>
      </w:r>
      <w:r>
        <w:rPr>
          <w:rFonts w:ascii="IRNazanin" w:hAnsi="IRNazanin" w:eastAsia="IRNazanin"/>
          <w:color w:val="111111"/>
          <w:sz w:val="28"/>
          <w:sz w:val="28"/>
          <w:szCs w:val="28"/>
          <w:rtl w:val="true"/>
          <w:lang w:bidi="fa-IR"/>
        </w:rPr>
        <w:t xml:space="preserve">عنه ـ و الفاضل المقداد فی کنز العرفان بعد حکایته عن بعض شیوخه المعاصرین،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بعض شیوخنا المعاصرین علی أنّه یجب إضافة السلام علیک أیّها النبیّ و رحمة اللّه و برکاته فی </w:t>
      </w:r>
      <w:r>
        <w:rPr>
          <w:rStyle w:val="FootnoteAnchor"/>
          <w:rtl w:val="true"/>
        </w:rPr>
        <w:footnoteReference w:id="951"/>
      </w:r>
      <w:r>
        <w:rPr>
          <w:rFonts w:ascii="IRNazanin" w:hAnsi="IRNazanin" w:eastAsia="IRNazanin"/>
          <w:color w:val="111111"/>
          <w:sz w:val="28"/>
          <w:sz w:val="28"/>
          <w:szCs w:val="28"/>
          <w:rtl w:val="true"/>
          <w:lang w:bidi="fa-IR"/>
        </w:rPr>
        <w:t>التشهّد الأخیر بما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النبیّ واجب ـ و لا شیء منه فی غیر التشهّد الأخیر بواجب ـ ینتج أنّه فیه واجب ؛ إلی آخر ما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هو بعد إیراد جملة من‌الکلام المشتملة علی‌النقض والإبرام ما هذا لفظه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الّذی یغلب علی ظنّی الوجوب، و یؤیّده ما رواه أبو بصیر عن الصادق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إمامًا فإنّما التسلیم أن تسلّم علی النبیّ صلی‌الله‌علیه‌و‌آله ، الحدیث </w:t>
      </w:r>
      <w:r>
        <w:rPr>
          <w:rStyle w:val="FootnoteAnchor"/>
          <w:rtl w:val="true"/>
        </w:rPr>
        <w:footnoteReference w:id="952"/>
      </w:r>
      <w:r>
        <w:rPr>
          <w:rFonts w:ascii="IRNazanin" w:hAnsi="IRNazanin" w:eastAsia="IRNazanin"/>
          <w:color w:val="111111"/>
          <w:sz w:val="28"/>
          <w:sz w:val="28"/>
          <w:szCs w:val="28"/>
          <w:rtl w:val="true"/>
          <w:lang w:bidi="fa-IR"/>
        </w:rPr>
        <w:t xml:space="preserve">، إلی آخر ما ذکره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فمع تحقّق الخلاف من جماعة من علماء الأصحاب، الحکم بنفی الخلاف یرفع الوثوق عن قائله من غیر خلاف، لکن لا 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معذور فی ذلک، لأنّ غالب مطالبه فی رسالته لمّا کان مأخوذًا من شیخنا البهائی فی الحبل المتین وعبارته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وهیهنا عبارة ثالثة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 رحمة اللّه وبرکاته، ولا کلام فی عدم کونها مُخرجة من الصلوة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عبّر ـ دام ظلّه </w:t>
      </w:r>
      <w:r>
        <w:rPr>
          <w:rStyle w:val="FootnoteAnchor"/>
          <w:rtl w:val="true"/>
        </w:rPr>
        <w:footnoteReference w:id="955"/>
      </w:r>
      <w:r>
        <w:rPr>
          <w:rFonts w:ascii="IRNazanin" w:hAnsi="IRNazanin" w:eastAsia="IRNazanin"/>
          <w:color w:val="111111"/>
          <w:sz w:val="28"/>
          <w:sz w:val="28"/>
          <w:szCs w:val="28"/>
          <w:rtl w:val="true"/>
          <w:lang w:bidi="fa-IR"/>
        </w:rPr>
        <w:t xml:space="preserve">ـ بما ذکره إظهارًا للفضیلة و تحاشیًا عن نقل کلام الغیر من غیر تصرّف بالمرّة، و لا یتنبّه بأنّ نفی الکلام عن کونها مخرجة لا یستلزم إنتفاء القول بالوجوب، کما لا یخفی علی الخبیر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مقتضی السیاق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بالثانیة الّتی لا خلاف لنا مع القوم فی أنّه ینصرف بها من الصلوة، و کذا الحال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کلّهم نطقوا بأنّ التسلیم المطلق الوارد فی الأخبار و الآثار معناه هو 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واضح، لما عرفت من التصریح من المعتبر والمنتهی والتذکرة علی خلافه، و کلمات کثیر منهم خالیة عنه، نعم انّ المصرّح به فی کلمات جماعة منهم ذلک </w:t>
      </w:r>
      <w:r>
        <w:rPr>
          <w:rStyle w:val="FootnoteAnchor"/>
          <w:rtl w:val="true"/>
        </w:rPr>
        <w:footnoteReference w:id="956"/>
      </w:r>
      <w:r>
        <w:rPr>
          <w:rFonts w:ascii="IRNazanin" w:hAnsi="IRNazanin" w:eastAsia="IRNazanin"/>
          <w:color w:val="111111"/>
          <w:sz w:val="28"/>
          <w:sz w:val="28"/>
          <w:szCs w:val="28"/>
          <w:rtl w:val="true"/>
          <w:lang w:bidi="fa-IR"/>
        </w:rPr>
        <w:t>، و أین ذلک من دعوی أنّ کلّهم نطقوا بذلک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التحلیل یحصل منه بلا خلاف، لأنّه کلام الآدمیّین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من هذا الکلام عدم جواز الإجتزاء فی تسلیم الفرائض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و هو ضعیف جدًّا، لأنّ النصوص المعتبرة الواردة عن أئمّتنا الطاهرة </w:t>
      </w:r>
      <w:bookmarkStart w:id="278" w:name="pg3709_22281"/>
    </w:p>
    <w:p>
      <w:pPr>
        <w:pStyle w:val="BookText"/>
        <w:rPr/>
      </w:pPr>
      <w:bookmarkEnd w:id="278"/>
      <w:r>
        <w:rPr>
          <w:rFonts w:ascii="IRNazanin" w:hAnsi="IRNazanin" w:eastAsia="IRNazanin"/>
          <w:color w:val="111111"/>
          <w:sz w:val="28"/>
          <w:sz w:val="28"/>
          <w:szCs w:val="28"/>
          <w:rtl w:val="true"/>
          <w:lang w:bidi="fa-IR"/>
        </w:rPr>
        <w:t xml:space="preserve">ـ علیهم آلاف السلام والثناء والتحیّة ـ مصرّحة بخلاف ذلک، کما عرفت جملة منها فی المباحث السالفة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ذهب کثیر من الأصحاب إلی جواز الإجتزاء بکلّ من العبارتین، وهو المختار وفاقًا للمعتبر و الشرائع و النافع و المنتهی و اللمعة و الألفیّة والدروس والمهذّب و الموجز و الحبل المتین </w:t>
      </w:r>
      <w:r>
        <w:rPr>
          <w:rStyle w:val="FootnoteAnchor"/>
          <w:rtl w:val="true"/>
        </w:rPr>
        <w:footnoteReference w:id="957"/>
      </w:r>
      <w:r>
        <w:rPr>
          <w:rFonts w:ascii="IRNazanin" w:hAnsi="IRNazanin" w:eastAsia="IRNazanin"/>
          <w:color w:val="111111"/>
          <w:sz w:val="28"/>
          <w:sz w:val="28"/>
          <w:szCs w:val="28"/>
          <w:rtl w:val="true"/>
          <w:lang w:bidi="fa-IR"/>
        </w:rPr>
        <w:t xml:space="preserve">؛ بل المشهور کما فی غایة المراد والمهذّب </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أراد تحقیق المسئلة، فعلیه بمطالعة ما بیّناه فی مطالع الأنوار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594217_2281741623"/>
      <w:bookmarkStart w:id="280" w:name="_Toc99"/>
      <w:bookmarkEnd w:id="279"/>
      <w:r>
        <w:rPr>
          <w:rtl w:val="true"/>
        </w:rPr>
        <w:t xml:space="preserve">ومنها قوله </w:t>
      </w:r>
      <w:r>
        <w:rPr>
          <w:rtl w:val="true"/>
        </w:rPr>
        <w:t xml:space="preserve">: </w:t>
      </w:r>
      <w:r>
        <w:rPr>
          <w:rtl w:val="true"/>
        </w:rPr>
        <w:t>فإن أراد السیّد دام ظلّه أن یجعل هذه، إلخ</w:t>
      </w:r>
      <w:bookmarkEnd w:id="280"/>
    </w:p>
    <w:p>
      <w:pPr>
        <w:pStyle w:val="BookText"/>
        <w:rPr/>
      </w:pPr>
      <w:r>
        <w:rPr>
          <w:rFonts w:ascii="IRNazanin" w:hAnsi="IRNazanin" w:eastAsia="IRNazanin"/>
          <w:color w:val="111111"/>
          <w:sz w:val="28"/>
          <w:sz w:val="28"/>
          <w:szCs w:val="28"/>
          <w:rtl w:val="true"/>
          <w:lang w:bidi="fa-IR"/>
        </w:rPr>
        <w:t xml:space="preserve">قوله ـ دام ظلّه </w:t>
      </w:r>
      <w:r>
        <w:rPr>
          <w:rStyle w:val="FootnoteAnchor"/>
          <w:rtl w:val="true"/>
        </w:rPr>
        <w:footnoteReference w:id="96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السیّد ـ دام ظلّه ـ أن یجعل هذه الصیغ فی النافلة لمجرّد کونها مذکورة فی الفریضة لأنّ هذه کلّها مأخوذة فی معنی التسلیم، فهو ممنوع أشدّ المنع، کیف و قد عرفت واعترف السیّد إطباق القوم علی أنّ معنی التسلیم هو السلام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لایخفی ما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هذه کلّها مأخوذة فی معنی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لو کان الأمر کذلک، لکان الإستدلال حینئذ بالحدیث النبویّ المذکور، لا بالقاعدة المتقنة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إمّا تعلیل لکون الصیغ فی الفریضة ـ کما هو الظاهر من الکلام ـ أو لجعلها فی النافلة، و علی التقدیرین لا وجه له، لوضوح أنّ کلامنا </w:t>
      </w:r>
      <w:bookmarkStart w:id="281" w:name="pg3709_22282"/>
    </w:p>
    <w:p>
      <w:pPr>
        <w:pStyle w:val="BookText"/>
        <w:rPr/>
      </w:pPr>
      <w:bookmarkEnd w:id="281"/>
      <w:r>
        <w:rPr>
          <w:rFonts w:ascii="IRNazanin" w:hAnsi="IRNazanin" w:eastAsia="IRNazanin"/>
          <w:color w:val="111111"/>
          <w:sz w:val="28"/>
          <w:sz w:val="28"/>
          <w:szCs w:val="28"/>
          <w:rtl w:val="true"/>
          <w:lang w:bidi="fa-IR"/>
        </w:rPr>
        <w:t xml:space="preserve">صریحٌ فی أنّ الإستدلال إنّما هو لمحض ثبوتها فی الفریضة حیث 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یمکن أن یقال بعنوان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ثبت فی الفرائض یمکن الحکم بثبوته فی النوافل بمجرّد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أمّا کون ثبوتها فی الفرائض لکونها مأخوذة فی معنی التسلیم، فکلاّ،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عرفت من أنّه حینئذ لا حاجة للتمسّک بثبوتها فی الفرائض کما لایخفی، فذکر هذا الإحتمال غیر صحیح، لعدم إحتمال العبارة له </w:t>
      </w:r>
      <w:r>
        <w:rPr>
          <w:rFonts w:eastAsia="IRNazanin" w:cs="IRNazanin"/>
          <w:color w:val="111111"/>
          <w:sz w:val="28"/>
          <w:szCs w:val="28"/>
          <w:rtl w:val="true"/>
          <w:lang w:bidi="fa-IR"/>
        </w:rPr>
        <w:t>.</w:t>
      </w:r>
    </w:p>
    <w:p>
      <w:pPr>
        <w:pStyle w:val="Heading4"/>
        <w:numPr>
          <w:ilvl w:val="3"/>
          <w:numId w:val="1"/>
        </w:numPr>
        <w:rPr/>
      </w:pPr>
      <w:bookmarkStart w:id="282" w:name="__RefHeading___Toc594219_2281741623"/>
      <w:bookmarkStart w:id="283" w:name="_Toc100"/>
      <w:bookmarkEnd w:id="282"/>
      <w:r>
        <w:rPr>
          <w:rtl w:val="true"/>
        </w:rPr>
        <w:t xml:space="preserve">ومنها قوله </w:t>
      </w:r>
      <w:r>
        <w:rPr>
          <w:rtl w:val="true"/>
        </w:rPr>
        <w:t xml:space="preserve">: </w:t>
      </w:r>
      <w:r>
        <w:rPr>
          <w:rtl w:val="true"/>
        </w:rPr>
        <w:t>وإن أراد أنّ هذه الصیغ مأخوذة فی التسلیم، إلخ</w:t>
      </w:r>
      <w:bookmarkEnd w:id="283"/>
    </w:p>
    <w:p>
      <w:pPr>
        <w:pStyle w:val="BookText"/>
        <w:rPr/>
      </w:pPr>
      <w:r>
        <w:rPr>
          <w:rFonts w:ascii="IRNazanin" w:hAnsi="IRNazanin" w:eastAsia="IRNazanin"/>
          <w:color w:val="111111"/>
          <w:sz w:val="28"/>
          <w:sz w:val="28"/>
          <w:szCs w:val="28"/>
          <w:rtl w:val="true"/>
          <w:lang w:bidi="fa-IR"/>
        </w:rPr>
        <w:t xml:space="preserve">قوله ـ دام ظلّه </w:t>
      </w:r>
      <w:r>
        <w:rPr>
          <w:rStyle w:val="FootnoteAnchor"/>
          <w:rtl w:val="true"/>
        </w:rPr>
        <w:footnoteReference w:id="96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أراد أنّ هذه الصیغ مأخوذة فی التسلیم لأجل ورود الروایتین المتضمّنتین </w:t>
      </w:r>
      <w:r>
        <w:rPr>
          <w:rStyle w:val="FootnoteAnchor"/>
          <w:rtl w:val="true"/>
        </w:rPr>
        <w:footnoteReference w:id="962"/>
      </w:r>
      <w:r>
        <w:rPr>
          <w:rFonts w:ascii="IRNazanin" w:hAnsi="IRNazanin" w:eastAsia="IRNazanin"/>
          <w:color w:val="111111"/>
          <w:sz w:val="28"/>
          <w:sz w:val="28"/>
          <w:szCs w:val="28"/>
          <w:rtl w:val="true"/>
          <w:lang w:bidi="fa-IR"/>
        </w:rPr>
        <w:t xml:space="preserve">لإطلاق التسلیم علی الصیغة الثانیة واشتمالهما علی الحکم بتحقّق الإنصراف بها، فقد عرفت أنّ الإستعمال أعمّ من الحقیقة، کما أنّ الأخبار واردة بأنّ الفقّاع خمر، ولایلزم منه أن یکون ذلک معناه عند الإطلاق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الإحتمال أیضًا من مقابح الأمور الّتی یتحاشی منها الوحوش و الطیور، لما عرفت من صراحة کلامنا فی أنّ المقصود جواز الجمع بین الصیغ الثلث فی النافلة لمحض ثبوتها فی الفریضة، سواء کان لفظ التسلیم حقیقة فی الجمیع، أم لا، فاحتمال کون الصیغ مأخوذة فی التسلیم لأجل ورود الروایتین إلخ، فی المقام ممّا یوجب رفع وقع مباشره </w:t>
      </w:r>
      <w:r>
        <w:rPr>
          <w:rStyle w:val="FootnoteAnchor"/>
          <w:rtl w:val="true"/>
        </w:rPr>
        <w:footnoteReference w:id="963"/>
      </w:r>
      <w:r>
        <w:rPr>
          <w:rFonts w:ascii="IRNazanin" w:hAnsi="IRNazanin" w:eastAsia="IRNazanin"/>
          <w:color w:val="111111"/>
          <w:sz w:val="28"/>
          <w:sz w:val="28"/>
          <w:szCs w:val="28"/>
          <w:rtl w:val="true"/>
          <w:lang w:bidi="fa-IR"/>
        </w:rPr>
        <w:t xml:space="preserve">بین الأعلام، فلا یمکن صدوره من عقلاء الأنام، </w:t>
      </w:r>
      <w:bookmarkStart w:id="284" w:name="pg3709_22283"/>
    </w:p>
    <w:p>
      <w:pPr>
        <w:pStyle w:val="BookText"/>
        <w:rPr/>
      </w:pPr>
      <w:bookmarkEnd w:id="284"/>
      <w:r>
        <w:rPr>
          <w:rFonts w:ascii="Amiri" w:hAnsi="Amiri" w:eastAsia="Amiri" w:cs="Amiri"/>
          <w:color w:val="111111"/>
          <w:sz w:val="28"/>
          <w:sz w:val="28"/>
          <w:szCs w:val="28"/>
          <w:rtl w:val="true"/>
          <w:lang w:bidi="ar-SA"/>
        </w:rPr>
        <w:t xml:space="preserve">فضلاً عمّن هیّأ نفسه للتصرّف فی الأحکام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یخفی ما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هذه الصیغ مأخوذة فی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فی التمسّک بما تمسّک به فی إثباته علی مَن له أدنی تأمّل، والمناسب فی الجملة لما هو بصدده وإن لم یکن له ربط فی المقام أصلاً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 لفظ التسلیم حقیقة فی الصیغ الثلاث إلخ، کما لایخفی </w:t>
      </w:r>
      <w:r>
        <w:rPr>
          <w:rFonts w:eastAsia="IRNazanin" w:cs="IRNazanin"/>
          <w:color w:val="111111"/>
          <w:sz w:val="28"/>
          <w:szCs w:val="28"/>
          <w:rtl w:val="true"/>
          <w:lang w:bidi="fa-IR"/>
        </w:rPr>
        <w:t>.</w:t>
      </w:r>
    </w:p>
    <w:p>
      <w:pPr>
        <w:pStyle w:val="Heading4"/>
        <w:numPr>
          <w:ilvl w:val="3"/>
          <w:numId w:val="1"/>
        </w:numPr>
        <w:rPr/>
      </w:pPr>
      <w:bookmarkStart w:id="285" w:name="__RefHeading___Toc594221_2281741623"/>
      <w:bookmarkStart w:id="286" w:name="_Toc101"/>
      <w:bookmarkEnd w:id="285"/>
      <w:r>
        <w:rPr>
          <w:rtl w:val="true"/>
        </w:rPr>
        <w:t xml:space="preserve">ومنها قوله </w:t>
      </w:r>
      <w:r>
        <w:rPr>
          <w:rtl w:val="true"/>
        </w:rPr>
        <w:t xml:space="preserve">: </w:t>
      </w:r>
      <w:r>
        <w:rPr>
          <w:rtl w:val="true"/>
        </w:rPr>
        <w:t>وإن أراد أنّ ما کان ثابتًا فی الفریضة وجب أن، إلخ</w:t>
      </w:r>
      <w:bookmarkEnd w:id="286"/>
    </w:p>
    <w:p>
      <w:pPr>
        <w:pStyle w:val="BookText"/>
        <w:rPr/>
      </w:pPr>
      <w:r>
        <w:rPr>
          <w:rFonts w:ascii="IRNazanin" w:hAnsi="IRNazanin" w:eastAsia="IRNazanin"/>
          <w:color w:val="111111"/>
          <w:sz w:val="28"/>
          <w:sz w:val="28"/>
          <w:szCs w:val="28"/>
          <w:rtl w:val="true"/>
          <w:lang w:bidi="fa-IR"/>
        </w:rPr>
        <w:t xml:space="preserve">قوله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أراد أنّ ما کان ثابتًا فی الفریضة وجب أن یکون ثابتًا فی النافلة لأجل الإتّحاد فی المهیّة،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کذلک إذا لم یبیّن لنا الشارع أمر التحلیل فی النافلة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هذا هو المراد، لکن لا بهذا التعبیر الغیر المطابق، بل علی التعبیر الّذی عبّرنا به حیث 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یمکن أن یقال بعنوان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ثبت فی الفرائض یمکن الحکم بثبوته فی النوافل بمجرّد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قد سلّم ذلک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قیّده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أشار بذلک إلی ما افتری به علی أجدادی المعصومین، و لم یبال بمؤاخذة خالق السموات و الأرضین، حیث نسب إلیهم علیهم‌السلام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فی النافلة تسلیمة واحدة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أجبنا عنه فیما سلف بکونه إفتراء فی الدین، و بعد الإغماض عنه أنّه لایجدی له نفعًا، لأنّ بناءه علی أنّ لفظ التسلیم حقیقة فی السلام علیکم فقط، کما أنّ کلامه مشحون بذلک سابقًا و لاحقًا، فمقتضی الأخبار المجعولة بعد التسلیم عدم الإتیان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فی النافلة مکرّرًا، وأین ذلک من الدلالة علی عدم جواز الإتیان بغیره، حتّی یحکم بعدم جواز الجمع بینه و بین الصیغتین </w:t>
      </w:r>
    </w:p>
    <w:p>
      <w:pPr>
        <w:pStyle w:val="BookText"/>
        <w:rPr/>
      </w:pPr>
      <w:r>
        <w:rPr>
          <w:rFonts w:ascii="IRNazanin" w:hAnsi="IRNazanin" w:eastAsia="IRNazanin"/>
          <w:color w:val="111111"/>
          <w:sz w:val="28"/>
          <w:sz w:val="28"/>
          <w:szCs w:val="28"/>
          <w:rtl w:val="true"/>
          <w:lang w:bidi="fa-IR"/>
        </w:rPr>
        <w:t>المعلومتین، کما هو المراد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فی هذا المقام هو أنّه لمّا جاز الجمع بین الصیغ الثلاث فی الفرائض، ینبغی أن یحکم بجوازها فی النوافل، للقاعدة المؤسّسة، نظرًا إلی إنتفاء الدلیل علی الإختصاص، و صاحبنا المکرَّم ـ دام ظلّه ـ سلّم القاعدة المذکورة، لکن ذهب إلی الخروج عن مقتضاها بمجرّد ما جعله دالاًّ علی اعتبار السلام علیکم فی النوافل، ولم یتنبّه بأنّ إثبات الشیء لا ینفی ما عداه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شئت أن یتّضح لک حقیقة الحال بأوضح بیان، فاستمع لما أتلو علیک،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التعلیق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کذلک إذا لم یبیّن لنا الشارع أمر التحلیل فی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بعد البیان من الشارع لم یکن کذلک، فإن کان المراد أنّه بعد بیان التحلیل فی النافلة لا یمکن الحکم بثبوت ما ثبت فی الفریضة فی النافلة </w:t>
      </w:r>
      <w:r>
        <w:rPr>
          <w:rStyle w:val="FootnoteAnchor"/>
          <w:rtl w:val="true"/>
        </w:rPr>
        <w:footnoteReference w:id="964"/>
      </w:r>
      <w:r>
        <w:rPr>
          <w:rFonts w:ascii="IRNazanin" w:hAnsi="IRNazanin" w:eastAsia="IRNazanin"/>
          <w:color w:val="111111"/>
          <w:sz w:val="28"/>
          <w:sz w:val="28"/>
          <w:szCs w:val="28"/>
          <w:rtl w:val="true"/>
          <w:lang w:bidi="fa-IR"/>
        </w:rPr>
        <w:t>مطلقًا، فذلک بیّن الفساد، ضروریّ البطلان، لظهور أنّ بیان التحلیل بعد تسلیمه إنّما یقتضی أن لا یکون أمر التحلیل فی النافلة کالتحلیل فی الفریضة، ولایلزم منه إنتفاء المشارکة بالمرّة، حتّی یخرج عن مقتضی القاعدة المذکورة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المراد أنّه بعد بیان التحلیل فی النافلة لا یکون تحلیلها کتحلیل الفریضة، سلّمنا ذلک، لکن غایة ما یلزم منه أن لا یکون غیر السلام علیکم محلِّلاً فی النافلة، لا أنّه لا یجوز الإتیان به فیها، و قد عرفت انّ المراد فی هذا المقام جواز الجمع بین الصیغ الثلاث فی النافلة لجوازه فی الفریضة، و لا یلزم ممّا أفاده خلافه، کما لایخفی </w:t>
      </w:r>
      <w:r>
        <w:rPr>
          <w:rFonts w:eastAsia="IRNazanin" w:cs="IRNazanin"/>
          <w:color w:val="111111"/>
          <w:sz w:val="28"/>
          <w:szCs w:val="28"/>
          <w:rtl w:val="true"/>
          <w:lang w:bidi="fa-IR"/>
        </w:rPr>
        <w:t xml:space="preserve">. </w:t>
      </w:r>
      <w:bookmarkStart w:id="287" w:name="pg3709_22285"/>
    </w:p>
    <w:p>
      <w:pPr>
        <w:pStyle w:val="Heading4"/>
        <w:numPr>
          <w:ilvl w:val="3"/>
          <w:numId w:val="1"/>
        </w:numPr>
        <w:rPr/>
      </w:pPr>
      <w:bookmarkStart w:id="288" w:name="__RefHeading___Toc594223_2281741623"/>
      <w:bookmarkStart w:id="289" w:name="_Toc102"/>
      <w:bookmarkEnd w:id="287"/>
      <w:bookmarkEnd w:id="288"/>
      <w:r>
        <w:rPr>
          <w:rtl w:val="true"/>
        </w:rPr>
        <w:t xml:space="preserve">ومنها قوله </w:t>
      </w:r>
      <w:r>
        <w:rPr>
          <w:rtl w:val="true"/>
        </w:rPr>
        <w:t xml:space="preserve">: </w:t>
      </w:r>
      <w:r>
        <w:rPr>
          <w:rtl w:val="true"/>
        </w:rPr>
        <w:t>وأمّا إذا بیّنه بالإکتفاء بالتسلیم وکان معنی، إلخ</w:t>
      </w:r>
      <w:bookmarkEnd w:id="289"/>
    </w:p>
    <w:p>
      <w:pPr>
        <w:pStyle w:val="BookText"/>
        <w:rPr/>
      </w:pPr>
      <w:r>
        <w:rPr>
          <w:rFonts w:ascii="IRNazanin" w:hAnsi="IRNazanin" w:eastAsia="IRNazanin"/>
          <w:color w:val="111111"/>
          <w:sz w:val="28"/>
          <w:sz w:val="28"/>
          <w:szCs w:val="28"/>
          <w:rtl w:val="true"/>
          <w:lang w:bidi="fa-IR"/>
        </w:rPr>
        <w:t xml:space="preserve">قوله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بیّنه بالإکتفاء بالتسلیم و کان معنی التسلیم هو السلام الشائع، و الصیغتان خارجتان عن معناه واردتان عنهم علیهم‌السلام فی الفریضة، و لعلّها لأجل مزیّة کانت للفریضة، و لیس لنا فی الإدخال والإخراج مدخلیّة أصلاً، 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علینا </w:t>
      </w:r>
      <w:r>
        <w:rPr>
          <w:rFonts w:eastAsia="IRNazanin" w:cs="IRNazanin"/>
          <w:color w:val="111111"/>
          <w:sz w:val="28"/>
          <w:szCs w:val="28"/>
          <w:rtl w:val="true"/>
          <w:lang w:bidi="fa-IR"/>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قیاس حنفیّ </w:t>
      </w:r>
      <w:r>
        <w:rPr>
          <w:rStyle w:val="FootnoteAnchor"/>
          <w:rtl w:val="true"/>
        </w:rPr>
        <w:footnoteReference w:id="966"/>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حجّة تحکم بجواز ذکرها و لیست دعاءً ولا ذکرًا، کما أنّ المندوبات الواردة فی التشهّد و السجود والرکوع لأجل کون هذه المواضع مواضع الدعاء، لنا أن نأتی بها و أن نترکها بالإجماع من أصحابنا الإمامیّة، فقیاس هاتین الصیغتین بالأدعیة والأذکار المندوبة قیاس باطل، إذ لا ملازمة ولا أولویّة، بل بعد ورود الأمر البیانیّ فی تسلیم النافلة، جرءة عظیمة علی اللّه ورسوله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إنتهی کلامه الّذی لا یخفی علی أدانی الطلبة وهنه و ضعفه،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فساد هذا الکلام وإن بلغ حدًّا لایکاد یختفی علی أحد من الطلبة، لا سیّما بعد الإطّلاع علی ما جری به قلم البیان، لکنّا نصرف عنان البیان إلی ما فیه من الفساد، للتنبیه علی بعض المناسبات،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إذا بیّنه بالإکتفاء بالتسلیم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فبأیّ حجّة تحکم بجواز ذکرها و لیست دعاءً و لا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فیه،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فلأنّا سلّمنا أنّ معنی التسلیم ما ذکر، 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الإکتفاء بالتسلیم إمّا لزومه ـ و إن کان خلاف الظاهر من الکلام ـ أو جوازه، و علی التقدیرین لایتمّ المرام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علی الثانی فظاهر، إذ غایة ما یلزم منه جواز الإکتفاء فی تحلیل النوافل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وهو ممّا لا ینکره أحد، ولایلزم منه أن لایکون السلام علینا محلِّلاً فیها،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الأوّل، فلأنّا نقول بعد الإغماض عن مطالبة مستنده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غایة ما یلزم منه أن لا یکون غیر السلام علیکم محلِّلاً فی النافلة، و قد عرفت أنّ المراد فی هذا المقام جواز الجمع بین الصیغ الثلث فی النافلة، لا کون غیر السلام علیکم محلِّلاً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الإتیان بضمیر المؤنّث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لعلّها لأجل مزیّة فی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محلّه، و الصواب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إذ مقتضی السیاق عوده إلی الورود المدلول علیه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واردتان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لیس لنا فی الإدخال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قیاس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شنایع ما صدر منه، لوضوح أنّ بناء کلامنا هو أنّ مهیّة الصلوة من مجعولات الشارع، و عیّن لفظ الصلوة لتلک المهیّة، و بیّن أجزائها فیما إذا کانت متعلّقة لطلبه الحتمیّ، ثمّ صارت تلک المهیّة الّتی عیّن لها اللفظ المذکور متعلّقة لطلبه الندبیّ، والقریحة السلیمة یقضی بعنوان البدیهة بأنّها المرادة هنا بجمیع أجزائها المقوِّمة والمکمّلة، إلاّ إذا دلّ دلیل علی خلافه، کما أوضحنا الحال بتصویر مثال یکفی لتوضیح المقال وضوح الشمس رابعة النهار، فلایکاد یختفی إلاّ علی خفافیش الزمان المحرومة عن مشاهدة النور، فلا یجتزی الظهور إلاّ فی ظلم الدیجور، وأین ذلک من القیاس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منه یظهر أنّه ـ دام ظلّه </w:t>
      </w:r>
      <w:r>
        <w:rPr>
          <w:rStyle w:val="FootnoteAnchor"/>
          <w:rtl w:val="true"/>
        </w:rPr>
        <w:footnoteReference w:id="967"/>
      </w:r>
      <w:r>
        <w:rPr>
          <w:rFonts w:ascii="IRNazanin" w:hAnsi="IRNazanin" w:eastAsia="IRNazanin"/>
          <w:color w:val="111111"/>
          <w:sz w:val="28"/>
          <w:sz w:val="28"/>
          <w:szCs w:val="28"/>
          <w:rtl w:val="true"/>
          <w:lang w:bidi="fa-IR"/>
        </w:rPr>
        <w:t xml:space="preserve">ـ ما فهم معنی 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وأعجب منه أنّه سلّمه أوَّلاً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 ذلک حکم ثانیًا بأنّه من باب القیاس، فهل یوجب ذلک إلاّ رفع وقعه بین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ذکر تبیّن أنّ الحجّة المجوّزة للجمع بین الصیغ الثلاث فی النافلة أقوی من الجَبَل الشامخ، و أظهر من القَمَر الباذخ، نِعْمَ ما قیل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ظهرت فلا تخفی علی أحد إلاّ علی أکمهٍ لا یبصر القمرا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 xml:space="preserve">لقد بهرت فما تخفی علی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أکمهٍ لا یعرف القمرا</w:t>
      </w:r>
    </w:p>
    <w:p>
      <w:pPr>
        <w:pStyle w:val="BookText"/>
        <w:rPr/>
      </w:pPr>
      <w:r>
        <w:rPr>
          <w:rFonts w:ascii="IRNazanin" w:hAnsi="IRNazanin" w:eastAsia="IRNazanin"/>
          <w:color w:val="111111"/>
          <w:sz w:val="28"/>
          <w:sz w:val="28"/>
          <w:szCs w:val="28"/>
          <w:rtl w:val="true"/>
          <w:lang w:bidi="fa-IR"/>
        </w:rPr>
        <w:t xml:space="preserve">أنظر دیوان ذو الرمة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ومعجم شواهد العربیّة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المناسب ـ بل اللازم ـ تبدیل الضمیر المفرد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فبأیّ حجّة تحکم بجواز ذکرها و لیست دعاءً و لا ذکرًا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بالتثنیة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ذکرهما ولیستا إلخ، لوضوح أنّ المرجع الصیغتان فی قوله </w:t>
      </w:r>
      <w:r>
        <w:rPr>
          <w:rStyle w:val="FootnoteAnchor"/>
          <w:rtl w:val="true"/>
        </w:rPr>
        <w:footnoteReference w:id="9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والصیغتان خارجتان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أمثال هذه المقابح منه ـ دام ظلّه ـ معدودة من المحاسن، بالإضافة إلی الشنایع الصادرة منه، فلا ینبغی المؤاخذة علیها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تبیّن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لیس لنا فی الإدخال والإخراج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علیه، لا له، لأنّه ناطقٌ بفساد اعتقاده، إذ قد عرفت ممّا نبّهنا علیه انّ مهیّة الصلوة عند کونها متعلّقة للطلب الندبیّ، هی الّتی کانت متعلّقة للطلب الحتمیّ، والمفروض أنّ الصیغتین کانتا من أجزائها هناک، فاللازم منه أن تکونا کذلک عند کونها متعلّقة للطلب الندبیّ، فالقول بخلافه إخراج للشیءالثابت من غیر أن یکون هناک مخرج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المخرج تشهی النفس، فیحکم بالإخراج من قبل نفسه، ومع ذلک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لیس لنا فی الإدخال و الإخراج مدخلیّة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دلیلٌ لایحٌ أیضًا علی أنّه یتفوّه بما لایشعر بمعناه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ولیست دعاءً ولا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أنّ السلام علی النبیّ صلی‌الله‌علیه‌و‌آله لیس من الأذکار، و هو باطل للصحیح المتقدّم، و لجعلهم ذلک من أذکار سجدة السهو، و لازم ما ذکره أنّ من أتی به فی غیر محلّه فی الفریضة عامدًا یحکم بفساد صلوته، و ساهیًا یحکم بلزوم سجدتی السهو، و قد عرفت التحقیق فی ذلک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اللازم من حکمه بعدم کونهما دعاءً و لا ذکرًا، کونهما من کلام الآدمیّین، مع أنّ الظاهر منه فیما سلف ـ حیث جعل الوجه فی کون السلام علیکم محلِّلاً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من کلام الآدمیّین ـ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دام ظلّه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أنّ المندوبات الواردة فی التشهّد و السجود والرکوع لأجل کون هذه المواضع مواضع الدعاء، لنا أن نأتی بها و أن نترکها بالإجماع من أصحابنا الإمامیّة، فقیاس هاتین الصیغتین بالأدعیة و الأذکار المندوبة قیاس باطل، إذ لا ملازمة و لا أولویّة، بل بعد ورود الأمر البیانیّ فی تسلیم النافلة جرءة عظیمة علی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فیه أیضًا ما لایخفی،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المشبَّه فی کلامه لم یعلم حتّی یجعل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أنّ المندوبات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مشبَّهًا به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اللازم ممّا ذکره عدم جواز الإتیان بتلک المندوبات لکونها مندوبة فی النوافل، بل لکونها دعاء، مع أنّه ممّا </w:t>
      </w:r>
      <w:r>
        <w:rPr>
          <w:rStyle w:val="FootnoteAnchor"/>
          <w:rtl w:val="true"/>
        </w:rPr>
        <w:footnoteReference w:id="971"/>
      </w:r>
      <w:r>
        <w:rPr>
          <w:rFonts w:ascii="IRNazanin" w:hAnsi="IRNazanin" w:eastAsia="IRNazanin"/>
          <w:color w:val="111111"/>
          <w:sz w:val="28"/>
          <w:sz w:val="28"/>
          <w:szCs w:val="28"/>
          <w:rtl w:val="true"/>
          <w:lang w:bidi="fa-IR"/>
        </w:rPr>
        <w:t>لا تأمّل لأحد فی فساده</w:t>
      </w:r>
      <w:r>
        <w:rPr>
          <w:rFonts w:eastAsia="IRNazanin" w:cs="IRNazanin"/>
          <w:color w:val="111111"/>
          <w:sz w:val="28"/>
          <w:szCs w:val="28"/>
          <w:rtl w:val="true"/>
          <w:lang w:bidi="fa-IR"/>
        </w:rPr>
        <w:t xml:space="preserve">. </w:t>
      </w:r>
      <w:bookmarkStart w:id="290" w:name="pg3709_22289"/>
    </w:p>
    <w:p>
      <w:pPr>
        <w:pStyle w:val="BookText"/>
        <w:rPr/>
      </w:pPr>
      <w:bookmarkEnd w:id="290"/>
      <w:r>
        <w:rPr>
          <w:rFonts w:ascii="IRNazanin" w:hAnsi="IRNazanin" w:eastAsia="IRNazanin"/>
          <w:color w:val="111111"/>
          <w:sz w:val="28"/>
          <w:sz w:val="28"/>
          <w:szCs w:val="28"/>
          <w:rtl w:val="true"/>
          <w:lang w:bidi="fa-IR"/>
        </w:rPr>
        <w:t xml:space="preserve">و 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فقیاس هاتین الصیغتین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من مقابح ما صدر منه، لأنّ کلامنا صریح فی أنّ الإتیان بما ذکر انّما هو لأجل الإتّحاد فی المهیّة، وأین ذلک من أنّ الإتیان بالصیغتین فی النافلة لقیاسهما علی الأذکار والأدعیة المندوبة فیها </w:t>
      </w:r>
      <w:r>
        <w:rPr>
          <w:rStyle w:val="FootnoteAnchor"/>
          <w:rtl w:val="true"/>
        </w:rPr>
        <w:footnoteReference w:id="97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المناسب تبدیل الباء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بالأدعیة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بعد ورود الأمر البیانیّ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قد عرفت ما فیه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 اللّه انّ التصدّی للأحکام والفتاوی بین الأنام لِمَن له هذا الإستعداد جرءةٌ عظیمةٌ علی اللّه المتعال و رسوله المختار </w:t>
      </w:r>
      <w:r>
        <w:rPr>
          <w:rFonts w:eastAsia="IRNazanin" w:cs="IRNazanin"/>
          <w:color w:val="111111"/>
          <w:sz w:val="28"/>
          <w:szCs w:val="28"/>
          <w:rtl w:val="true"/>
          <w:lang w:bidi="fa-IR"/>
        </w:rPr>
        <w:t>.</w:t>
      </w:r>
    </w:p>
    <w:p>
      <w:pPr>
        <w:pStyle w:val="Heading4"/>
        <w:numPr>
          <w:ilvl w:val="3"/>
          <w:numId w:val="1"/>
        </w:numPr>
        <w:rPr/>
      </w:pPr>
      <w:bookmarkStart w:id="291" w:name="__RefHeading___Toc594225_2281741623"/>
      <w:bookmarkStart w:id="292" w:name="_Toc103"/>
      <w:bookmarkEnd w:id="291"/>
      <w:r>
        <w:rPr>
          <w:rtl w:val="true"/>
        </w:rPr>
        <w:t xml:space="preserve">ومنها قوله </w:t>
      </w:r>
      <w:r>
        <w:rPr>
          <w:rtl w:val="true"/>
        </w:rPr>
        <w:t xml:space="preserve">: </w:t>
      </w:r>
      <w:r>
        <w:rPr>
          <w:rtl w:val="true"/>
        </w:rPr>
        <w:t>إذ لو أخَذَنا مولانا جعفر بن محمّد الصادق علیهماالسلام ، إلخ</w:t>
      </w:r>
      <w:bookmarkEnd w:id="292"/>
    </w:p>
    <w:p>
      <w:pPr>
        <w:pStyle w:val="BookText"/>
        <w:rPr/>
      </w:pPr>
      <w:r>
        <w:rPr>
          <w:rFonts w:ascii="IRNazanin" w:hAnsi="IRNazanin" w:eastAsia="IRNazanin"/>
          <w:color w:val="111111"/>
          <w:sz w:val="28"/>
          <w:sz w:val="28"/>
          <w:szCs w:val="28"/>
          <w:rtl w:val="true"/>
          <w:lang w:bidi="fa-IR"/>
        </w:rPr>
        <w:t xml:space="preserve">قوله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أخَذَنا مولانا جعفر بن محمّد الصادق علیهماالسلام وسَئَلَنا عن الحجّة فی ذلک مع تأکیداتهم الوکیدة، و تخویفاتهم العظیمة وتحذیراتهم الشدیدة عن إرتکاب القیاس و اعتبار الإستنباطات، وتصریحاتهم بأنّ أوّل من قاس إبلیس، ما الحجّة لنا فی الخلاص بعد العتاب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أتقول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تحلیلها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والتسلیم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فقد عرفت الفساد ؛ وإن قلت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إنصرفتم، فإن أجاب بأنّ ذلک وقع منّا فی الفریضة، وقد </w:t>
      </w:r>
    </w:p>
    <w:p>
      <w:pPr>
        <w:pStyle w:val="BookText"/>
        <w:rPr/>
      </w:pPr>
      <w:r>
        <w:rPr>
          <w:rFonts w:ascii="IRNazanin" w:hAnsi="IRNazanin" w:eastAsia="IRNazanin"/>
          <w:color w:val="111111"/>
          <w:sz w:val="28"/>
          <w:sz w:val="28"/>
          <w:szCs w:val="28"/>
          <w:rtl w:val="true"/>
          <w:lang w:bidi="fa-IR"/>
        </w:rPr>
        <w:t>جوّزنا ذلک فی الفریضة لحکمة خفیّة علیکم، و لم نترک أمر المحلِّل فی النافلة، و قد بیّنا لکم أن أتمّوا نوافلکم بالتسلیمة، و قد تداول معناه عندکم، ولم یصر حقیقة شرعیّة فی الصیغ الثلث، غایة الأمر أنّا حلّلنا لکم فرائضکم بهذه الصیغة خاصّةً، فمِن أیّ جهة جعلتموها فی النافلة مع تحریم 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الحجّة فی الخلاص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حجّتنا فی ذلک لایخفی علی مَن أحاط خبرًا بما أوردناه بعین البصیرة، لکن شقیقنا المکرَّم لمّا غفل أو تغافل لا بأس بالإشارة إلیه هنا أیضًا، و إن کرّرنا فیه المقال،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کلامنا فی مقام الجواب عن السؤال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دعونا شیعتکم إلی ترک البدعة، و تلونا علیهم أنّه لا فرق بین النوافل والفرائض فی التسلیم أصلاً، فکما أنّه لا یتعیّن فی الفرائض الإقتصار بصیغة السلام علیکم، بل یجوز العدول عنها إلی السلام علینا </w:t>
      </w:r>
      <w:r>
        <w:rPr>
          <w:rStyle w:val="FootnoteAnchor"/>
          <w:rtl w:val="true"/>
        </w:rPr>
        <w:footnoteReference w:id="973"/>
      </w:r>
      <w:r>
        <w:rPr>
          <w:rFonts w:ascii="IRNazanin" w:hAnsi="IRNazanin" w:eastAsia="IRNazanin"/>
          <w:color w:val="111111"/>
          <w:sz w:val="28"/>
          <w:sz w:val="28"/>
          <w:szCs w:val="28"/>
          <w:rtl w:val="true"/>
          <w:lang w:bidi="fa-IR"/>
        </w:rPr>
        <w:t>إلخ، فکذا الحال فی النوافل ؛ وکما یجوز الجمع بین الصیغ الثلث فی الفرائض، کذلک الحال فی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فلقول جدّکم ـ صلوات اللّه علیه و علیکم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تحلیلها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بناء علی التفسیر الّذی بلغ إلینا منکم و من مولانا الرضا علیه‌السلام فی شمول التسلیم لقول السلام علینا أیضًا، کما مرّ الکلام فیه مرارًا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إصرار شقیقنا المکرّم أنّه فی مقام الجواب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کلام شیخ الطائفة فی المصباح، إعتقدتُ من حسن ظنّی به تعیّن السلام علیکم فی النوافل، فأبرزتُ ذلک فی شیعتکم، ثمّ لمّا نبّهنی بعض القاصرین بما ورد منکم ـ صلوات اللّه علیکم ـ الصریح فی تحقّق التحلیل بالسلام علینا أیضًا، ألقیتُ فی </w:t>
      </w:r>
    </w:p>
    <w:p>
      <w:pPr>
        <w:pStyle w:val="BookText"/>
        <w:rPr/>
      </w:pPr>
      <w:r>
        <w:rPr>
          <w:rFonts w:ascii="IRNazanin" w:hAnsi="IRNazanin" w:eastAsia="IRNazanin"/>
          <w:color w:val="111111"/>
          <w:sz w:val="28"/>
          <w:sz w:val="28"/>
          <w:szCs w:val="28"/>
          <w:rtl w:val="true"/>
          <w:lang w:bidi="fa-IR"/>
        </w:rPr>
        <w:t xml:space="preserve">مقام الجواب بدعوی التبادر،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وإن کان دالاًّ علیه، لکن لمّا کان المتبادر </w:t>
      </w:r>
      <w:r>
        <w:rPr>
          <w:rStyle w:val="FootnoteAnchor"/>
          <w:rtl w:val="true"/>
        </w:rPr>
        <w:footnoteReference w:id="974"/>
      </w:r>
      <w:r>
        <w:rPr>
          <w:rFonts w:ascii="IRNazanin" w:hAnsi="IRNazanin" w:eastAsia="IRNazanin"/>
          <w:color w:val="111111"/>
          <w:sz w:val="28"/>
          <w:sz w:val="28"/>
          <w:szCs w:val="28"/>
          <w:rtl w:val="true"/>
          <w:lang w:bidi="fa-IR"/>
        </w:rPr>
        <w:t xml:space="preserve">من لفظ التسلیم هو السلام علیکم، عدلتُ عن مقتضی تفسیرکم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نعوذ باللّه عن مؤاخذة هذا الجواب، فانّه فی قوّة ردّ قول المعصوم بدعوی تبادر اللفظ فی غیر تفسیره ؛ نظیره سلطان حکیم أمَرَ بمعجون عیّن له أجزاء، وجعل فی أجزائه جزءًا خیّره بین أمرین، و صرّح بترتّب الثمرة المعهودة علی کلّ واحد منهما، و ینکر ذلک بعض عبیده و یتمسّک بأنّه و إن صرّح بترتّب الثمرة علی کلّ واحد منهما، لکنّی أنکر ذلک، لکون المتبادر من اللفظ أحدهما، و هل هو إلاّ مخالفة ذلک السلطان الموجبة لأشدّ الإنتقام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فساد الفاتحة و سوء الختام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الصلوة عندنا مثل معجون رکّبه سلطان حکیم من أجزاء، و عیّن له لفظًا، و طلبه تارة من عبیده فی ضمن ذلک اللفظ بعنوان الحتم والإلزام، و بیّن أجزائها بالتمام، و أخری فی ضمن ذلک اللفظ أیضًا بعنوان الندب والرجحان، والظاهر منه أنّه لا تفاوت فی المطلوب، بل التفاوت فی کیفیّة الطلب، و کلّ أحد حتّی الصبیان و النسوان یعلم من ذلک أنّ المراد ذلک المعجون عند انتفاء الدلیل الدالّ علی المغایرة ـ کما هو المفروض ـ فلهذا حکمنا بجواز الجمع بین الصیغ الثلث فی النافلة، و لا شبهة فی مقبولیّة هذا الجواب عند العقلاء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لکنّی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شقیقنا المکرَّم لعلّه نسی حال الکتابة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أتأمرون الناس بالبرّ و تنسون أنفسکم </w:t>
      </w:r>
      <w:r>
        <w:rPr>
          <w:rFonts w:eastAsia="IRNazanin" w:cs="IRNazanin"/>
          <w:color w:val="111111"/>
          <w:sz w:val="28"/>
          <w:szCs w:val="28"/>
          <w:rtl w:val="true"/>
          <w:lang w:bidi="fa-IR"/>
        </w:rPr>
        <w:t>»</w:t>
      </w:r>
      <w:r>
        <w:rPr>
          <w:rStyle w:val="FootnoteAnchor"/>
          <w:rtl w:val="true"/>
        </w:rPr>
        <w:footnoteReference w:id="975"/>
      </w:r>
      <w:r>
        <w:rPr>
          <w:rFonts w:ascii="IRNazanin" w:hAnsi="IRNazanin" w:eastAsia="IRNazanin"/>
          <w:color w:val="111111"/>
          <w:sz w:val="28"/>
          <w:sz w:val="28"/>
          <w:szCs w:val="28"/>
          <w:rtl w:val="true"/>
          <w:lang w:bidi="fa-IR"/>
        </w:rPr>
        <w:t xml:space="preserve">، و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یقولون بأفواههم ما لیس </w:t>
      </w:r>
    </w:p>
    <w:p>
      <w:pPr>
        <w:pStyle w:val="BookText"/>
        <w:rPr/>
      </w:pPr>
      <w:r>
        <w:rPr>
          <w:rFonts w:ascii="IRNazanin" w:hAnsi="IRNazanin" w:eastAsia="IRNazanin"/>
          <w:color w:val="111111"/>
          <w:sz w:val="28"/>
          <w:sz w:val="28"/>
          <w:szCs w:val="28"/>
          <w:rtl w:val="true"/>
          <w:lang w:bidi="fa-IR"/>
        </w:rPr>
        <w:t xml:space="preserve">فی قلوبهم </w:t>
      </w:r>
      <w:r>
        <w:rPr>
          <w:rFonts w:eastAsia="IRNazanin" w:cs="IRNazanin"/>
          <w:color w:val="111111"/>
          <w:sz w:val="28"/>
          <w:szCs w:val="28"/>
          <w:rtl w:val="true"/>
          <w:lang w:bidi="fa-IR"/>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المرام هو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ألقی إلیک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المتصدّی للأحکام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نسبتَ إلی الصدوق و السیّد المرتضی أنّهما رویا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الصلوة الطهور، و تحریمها التکبیر، و تحلیلها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بن عبداللّه، عن سهل بن زیاد، عن جعفر بن محمّد الأشعری، عن القدّاح، عن أبی عبداللّه علیه‌السلام </w:t>
      </w:r>
      <w:r>
        <w:rPr>
          <w:rStyle w:val="FootnoteAnchor"/>
          <w:rtl w:val="true"/>
        </w:rPr>
        <w:footnoteReference w:id="977"/>
      </w:r>
      <w:r>
        <w:rPr>
          <w:rFonts w:ascii="IRNazanin" w:hAnsi="IRNazanin" w:eastAsia="IRNazanin"/>
          <w:color w:val="111111"/>
          <w:sz w:val="28"/>
          <w:sz w:val="28"/>
          <w:szCs w:val="28"/>
          <w:rtl w:val="true"/>
          <w:lang w:bidi="fa-IR"/>
        </w:rPr>
        <w:t>، و هو کذبٌ محض، وإفتراء بحت، ما العذر فی مقام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انّک نسبتَ إلی الصدوق أنّه ادّعی أنّ القول بوجوب التسلیم من ضروریّات المذهب، و هو أیضًا إفتراء و مخالفٌ للواقع، فما الجواب عن هذا السؤال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انّک نسبتَ إلی أبی الصلاح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نراه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الکلام المتقدّم، مع أنّه خلاف الواقع، بل هو کلام المحقّق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إشتباه وغفلة منّی، کیف یکون الإعتذار لو ألقی إلیک أنّ مَن کان له هذا الإستعداد کیف یهیّئ نفسه للتصدّی بمسائل الحلال والحرام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انّک نسبتَ إلی الأئمّة الطاهرین أنّهم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صام شهرًا و یومًا، فقد صام شهرین متتابعین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مخالفٌ للواقع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انّک نسبتَ إلیهم علیهم‌السلام أنّهم قالوا فی النافلة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 تسلیمة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جعل فی الدین ؛ و غیر ذلک ممّا نبّهنا علیه فی المباحث السالفة، و ما أدری ما یکون الإعتذار عن هذه المفتریات عند مؤاخذة خلاّق الأرضین والسموات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افتَری عَلَی اللّه‌ِ کَذبًا أو کَذّبَ بِالحَقِّ لَمَّا جَاءَه </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لا یخفی ما فی کلماته الواهیة المذکورة، فإنّ منها ـ و هو أکثرها ـ یظهر من المباحث السالفة، فلا إفتقار إلی الذکر،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واعتبار الإستنباطات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إرتکاب 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منعهم علیهم‌السلام عن مطلق الإستنباط، وهو أیضًا مخالفٌ للواقع، لما ورد عنهم علیهم‌السلام مِن أنّ علینا إلقاء الأصول، وعلیکم التفرّع، ففی السرائر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هشام بن سالم، عن 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علینا أن نلقی إلیکم الأصول، وعلیکم أن تفرّعوا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أحمد بن محمّد بن أبی نصر، عن أبی الحسن الرضا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علینا إلقاء الأصول إلیکم، و علیکم التفرّع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أجاب بأنّ ذلک وقع منّا فی الفریضة و قد جوّزنا ذلک فی الفریضة لحکمة خفیّة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فانّا نستحیل صدور هذا الجواب منه علیه‌السلام ، لأنّ ممّا دلّ علی تحقّق الإنصراف بتلک الصیغة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 الصلوة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تقدّم ممّا هو صریح فی شمول التسلیم فیه لها، و قد عرفت أنّ الصلوة فیه أعمّ من الفریضة والنافلة، و مع ذلک کیف یقول علیه‌السلام بأنّ ذلک وقع منّا فی الفریضة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فرض الإغماض عنه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المراد وقوعه فی الفریضة بحیث </w:t>
      </w:r>
      <w:bookmarkStart w:id="293" w:name="pg3709_22294"/>
    </w:p>
    <w:p>
      <w:pPr>
        <w:pStyle w:val="BookText"/>
        <w:rPr/>
      </w:pPr>
      <w:bookmarkEnd w:id="293"/>
      <w:r>
        <w:rPr>
          <w:rFonts w:ascii="IRNazanin" w:hAnsi="IRNazanin" w:eastAsia="IRNazanin"/>
          <w:color w:val="111111"/>
          <w:sz w:val="28"/>
          <w:sz w:val="28"/>
          <w:szCs w:val="28"/>
          <w:rtl w:val="true"/>
          <w:lang w:bidi="fa-IR"/>
        </w:rPr>
        <w:t xml:space="preserve">یمنع من الإتیان بها فی غیرها، فهو کذبٌ محض ؛ وإن کان المراد أنّ مورده فی الفریضة،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 الأدعیة و الأذکار کذلک، کما عرفت ممّا فصّلنا سابقًا، فکما لا یمنع ذلک من الإتیان بها فی النافلة، فکذلک الحال فیما نحن فیه، لأنّ المقتضی ـ و هو ما نبّهنا علیه من الإتّحاد فی المهیّة ـ مشترکٌ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بیّنا لکم أن أتمّوا نوافلکم بالتسلیمة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أیضًا مخالفٌ للواقع، لعدم ورود هذا اللفظ فی الأخبار الصادرة من الأئمّة الأطهار علیهم صلوات اللّه الملک العزیز الجبّار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حلَّلنا لکم فرائضکم بهذه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الفرائض لا تحلّل بتلک الصیغة، بل الأمور المحرَّمة فیها یحلّل بها، فالصواب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جعلنا تحلیل فرائضکم بها </w:t>
      </w:r>
      <w:r>
        <w:rPr>
          <w:rFonts w:eastAsia="IRNazanin" w:cs="IRNazanin"/>
          <w:color w:val="111111"/>
          <w:sz w:val="28"/>
          <w:szCs w:val="28"/>
          <w:rtl w:val="true"/>
          <w:lang w:bidi="fa-IR"/>
        </w:rPr>
        <w:t>.</w:t>
      </w:r>
    </w:p>
    <w:p>
      <w:pPr>
        <w:pStyle w:val="Heading4"/>
        <w:numPr>
          <w:ilvl w:val="3"/>
          <w:numId w:val="1"/>
        </w:numPr>
        <w:rPr/>
      </w:pPr>
      <w:bookmarkStart w:id="294" w:name="__RefHeading___Toc594227_2281741623"/>
      <w:bookmarkStart w:id="295" w:name="_Toc104"/>
      <w:bookmarkEnd w:id="294"/>
      <w:r>
        <w:rPr>
          <w:rtl w:val="true"/>
        </w:rPr>
        <w:t xml:space="preserve">ومنها قوله </w:t>
      </w:r>
      <w:r>
        <w:rPr>
          <w:rtl w:val="true"/>
        </w:rPr>
        <w:t xml:space="preserve">: </w:t>
      </w:r>
      <w:r>
        <w:rPr>
          <w:rtl w:val="true"/>
        </w:rPr>
        <w:t>وأمّا إذا کان الأمر علی ما ندّعیه، فنقول، إلخ</w:t>
      </w:r>
      <w:bookmarkEnd w:id="295"/>
    </w:p>
    <w:p>
      <w:pPr>
        <w:pStyle w:val="BookText"/>
        <w:rPr/>
      </w:pPr>
      <w:r>
        <w:rPr>
          <w:rFonts w:ascii="IRNazanin" w:hAnsi="IRNazanin" w:eastAsia="IRNazanin"/>
          <w:color w:val="111111"/>
          <w:sz w:val="28"/>
          <w:sz w:val="28"/>
          <w:szCs w:val="28"/>
          <w:rtl w:val="true"/>
          <w:lang w:bidi="fa-IR"/>
        </w:rPr>
        <w:t xml:space="preserve">قوله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الأمر علی ما ندّعیه، فنقول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التسلیم معناه لغةً وعرفًا هو السلام علیکم، ولیس الخبر الوارد عنکم إلاّ قولکم ـ سلام اللّه علیکم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 تسلیمة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تسلیمة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رکعتین من النافلة إفصل بالتسلیمة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البیان لیس لنا مجال القیاس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ممّا أسلفناه أنّ هذا الجواب لایلیق أن یلقی إلی الجهّال، فضلاً إلی الأفاضل، فکیف إلی أمناء اللّه الجبّار ؛ و ذلک لأنّ المدّعی فی المقام أنّه لایجوز الجمع فی النافلة بین الصیغ الثلث المعهودة، و مقتضی ما ذکره ـ بعد الإغماض عن جعل ما نسبه إلی الأئمّة علیهم آلاف السلام والتحیّة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قولکم </w:t>
      </w:r>
      <w:bookmarkStart w:id="296" w:name="pg3709_22295"/>
    </w:p>
    <w:p>
      <w:pPr>
        <w:pStyle w:val="BookText"/>
        <w:rPr/>
      </w:pPr>
      <w:bookmarkEnd w:id="296"/>
      <w:r>
        <w:rPr>
          <w:rFonts w:ascii="IRNazanin" w:hAnsi="IRNazanin" w:eastAsia="IRNazanin"/>
          <w:color w:val="111111"/>
          <w:sz w:val="28"/>
          <w:sz w:val="28"/>
          <w:szCs w:val="28"/>
          <w:rtl w:val="true"/>
          <w:lang w:bidi="fa-IR"/>
        </w:rPr>
        <w:t xml:space="preserve">سلام اللّه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تسلیمة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ورود مثل ذلک فی النافلة کما نبّهنا علیه غیر مرّة، و تسلیم التبادر المتکرّر ـ إعتبار السلام علیکم فی النافلة، ولیس فیه دلالة علی عدم إنضمام الصیغتین به أصلاً، فعند ردّه علیه‌السلام هذا الجواب إلیک، ما یکون الإعتذار أیّها المتصدّی لمسائل الحلال و الحرام ؟</w:t>
      </w:r>
      <w:r>
        <w:rPr>
          <w:rFonts w:eastAsia="IRNazanin" w:cs="IRNazanin"/>
          <w:color w:val="111111"/>
          <w:sz w:val="28"/>
          <w:szCs w:val="28"/>
          <w:rtl w:val="true"/>
          <w:lang w:bidi="fa-IR"/>
        </w:rPr>
        <w:t>!</w:t>
      </w:r>
    </w:p>
    <w:p>
      <w:pPr>
        <w:pStyle w:val="Heading4"/>
        <w:numPr>
          <w:ilvl w:val="3"/>
          <w:numId w:val="1"/>
        </w:numPr>
        <w:rPr/>
      </w:pPr>
      <w:bookmarkStart w:id="297" w:name="__RefHeading___Toc594229_2281741623"/>
      <w:bookmarkStart w:id="298" w:name="_Toc105"/>
      <w:bookmarkEnd w:id="297"/>
      <w:r>
        <w:rPr>
          <w:rtl w:val="true"/>
        </w:rPr>
        <w:t xml:space="preserve">ومنها قوله </w:t>
      </w:r>
      <w:r>
        <w:rPr>
          <w:rtl w:val="true"/>
        </w:rPr>
        <w:t xml:space="preserve">: </w:t>
      </w:r>
      <w:r>
        <w:rPr>
          <w:rtl w:val="true"/>
        </w:rPr>
        <w:t>فقد ظهر بما قرّرنا فساد تلک القاعدة الوجیهة، إلخ</w:t>
      </w:r>
      <w:bookmarkEnd w:id="298"/>
    </w:p>
    <w:p>
      <w:pPr>
        <w:pStyle w:val="BookText"/>
        <w:rPr/>
      </w:pPr>
      <w:r>
        <w:rPr>
          <w:rFonts w:ascii="IRNazanin" w:hAnsi="IRNazanin" w:eastAsia="IRNazanin"/>
          <w:color w:val="111111"/>
          <w:sz w:val="28"/>
          <w:sz w:val="28"/>
          <w:szCs w:val="28"/>
          <w:rtl w:val="true"/>
          <w:lang w:bidi="fa-IR"/>
        </w:rPr>
        <w:t xml:space="preserve">قوله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بما قرّرنا فساد تلک القاعدة الوجیهة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أشبه هذا الکلام بما حکاه بعض الظرفاء عن لسان الجمل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تجیء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ظاهر من رجلک النظیف وخفّک اللطیف </w:t>
      </w:r>
      <w:r>
        <w:rPr>
          <w:rFonts w:eastAsia="IRNazanin" w:cs="IRNazanin"/>
          <w:color w:val="111111"/>
          <w:sz w:val="28"/>
          <w:szCs w:val="28"/>
          <w:rtl w:val="true"/>
          <w:lang w:bidi="fa-IR"/>
        </w:rPr>
        <w:t>!!</w:t>
      </w:r>
    </w:p>
    <w:p>
      <w:pPr>
        <w:pStyle w:val="Heading4"/>
        <w:numPr>
          <w:ilvl w:val="3"/>
          <w:numId w:val="1"/>
        </w:numPr>
        <w:rPr/>
      </w:pPr>
      <w:bookmarkStart w:id="299" w:name="__RefHeading___Toc594231_2281741623"/>
      <w:bookmarkStart w:id="300" w:name="_Toc106"/>
      <w:bookmarkEnd w:id="299"/>
      <w:r>
        <w:rPr>
          <w:rtl w:val="true"/>
        </w:rPr>
        <w:t xml:space="preserve">ومنها قوله </w:t>
      </w:r>
      <w:r>
        <w:rPr>
          <w:rtl w:val="true"/>
        </w:rPr>
        <w:t xml:space="preserve">: </w:t>
      </w:r>
      <w:r>
        <w:rPr>
          <w:rtl w:val="true"/>
        </w:rPr>
        <w:t>وأمّا الجواب عن حدیث حمّاد بن عیسی، فهو، إلخ</w:t>
      </w:r>
      <w:bookmarkEnd w:id="30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الجواب عن حدیث حمّاد بن عیسی، فهو أنّ تلک الّتی أدّاها لیست بفریضة و لا نافلة، بل هی صورة الصلوة أدّاها لتعلیمه، و لذا تکلّم فی البین و قال ـ واضعًا جبهته علی الأرض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منها واجبة، و هی الّتی ذکرها اللّه تعالی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المساجد للّه فلا تدعوا مع اللّه أحدًا </w:t>
      </w:r>
      <w:r>
        <w:rPr>
          <w:rFonts w:eastAsia="IRNazanin" w:cs="IRNazanin"/>
          <w:color w:val="111111"/>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 xml:space="preserve">،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الجبهة، و الکفّان، و الإبهامان، والرکبتان، ووضع الأنف علی الأرض سنّة، ثمّ رفع رأسه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أیضًا خیانةٌ فی الدین، لأنّ النقل بالمعنی إنّما یجوز إذا لم یظهر من النقل المخالفة، و هو ـ دام ظلّه </w:t>
      </w:r>
      <w:r>
        <w:rPr>
          <w:rStyle w:val="FootnoteAnchor"/>
          <w:rtl w:val="true"/>
        </w:rPr>
        <w:footnoteReference w:id="983"/>
      </w:r>
      <w:r>
        <w:rPr>
          <w:rFonts w:ascii="IRNazanin" w:hAnsi="IRNazanin" w:eastAsia="IRNazanin"/>
          <w:color w:val="111111"/>
          <w:sz w:val="28"/>
          <w:sz w:val="28"/>
          <w:szCs w:val="28"/>
          <w:rtl w:val="true"/>
          <w:lang w:bidi="fa-IR"/>
        </w:rPr>
        <w:t xml:space="preserve">ـ قد نقل الحدیث إلی ما یکون بمعونة السیاق صریحًا أو کالصریح فی خلافه، إذ الضمائر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واضعًا جبهته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عائدًا إلی مولانا الصادق علیه‌السلام ، و المعنی أنّه علیه‌السلام قال حال وضع جبهته الشریفة علی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سبعة منها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لیس فی الحدیث ما یظهر منه ذلک إلاّ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رفع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هذا الظهور معارض بما هو أقوی منه،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فلعدم معهودیّة التکلّم حال وضع الجبهة،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فلوضوح انّ ابتداء الکلام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سبعة منها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غیر مناسب، کما لا یخفی علی المتأمّل، بل المناسب ـ علی فرض کونه من کلامه علیه‌السلام فی تلک الحال ـ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سجدت علی ثمانیة أعظم مثلاً، ثمّ یقول بعد 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منها واجبة، 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فلوضوح انّ الکیفیّة الصادرة منه علیه‌السلام الّتی اشتملت علیها الصحیحة المذکورة، مشتملة علی کثیر من الآداب و المستحبّات، فکیف یحسن منه التنبیه علی استحباب خصوص وضع الأنف دون غیره من المستحبّات المتکثّرة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صدر منه علیه‌السلام مشتمل علی الأمور المفروضة والمندوبة، وکیف تعرّض علیه‌السلام فی حال وضع الجبهة بأنّ وضع الأعضاء السبعة واجب، ووضع الأنف سنّة، و لم یتعرّض علیه‌السلام إلاّ فی تلک الحالة، و لا فی حالة القیام، ولا فی غیرهما، للإمتیاز بین سائر الأمور المفروضة و المسنونة، بل کیف تعرّض علیه‌السلام حال وضع الجبهة لذلک و لم یتعرّض أنّ التسبیحات الثلث الصادرة منه علیه‌السلام فی السجود </w:t>
      </w:r>
    </w:p>
    <w:p>
      <w:pPr>
        <w:pStyle w:val="BookText"/>
        <w:rPr/>
      </w:pPr>
      <w:r>
        <w:rPr>
          <w:rFonts w:ascii="IRNazanin" w:hAnsi="IRNazanin" w:eastAsia="IRNazanin"/>
          <w:color w:val="111111"/>
          <w:sz w:val="28"/>
          <w:sz w:val="28"/>
          <w:szCs w:val="28"/>
          <w:rtl w:val="true"/>
          <w:lang w:bidi="fa-IR"/>
        </w:rPr>
        <w:t xml:space="preserve">واحد منها واجب والباقی مستحبّ، و أنّ أصل وضع الید حال السجود واجب، وضمّ الأصابع حینئذ مستحبّ، و غیر ذلک من الآداب حال السجود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فالمناسب إمّا عدم التعرّض للتمیز أصلاً، أو التعرّض للجمیع، إذ التعرّض للبعض دون غیره موجبٌ للإغراء بالجهل، و احتمال کون الراوی ممّن حصل الإمتیاز بین جمیع الأمور المفروضة و المسنونة عدا ما ذکر، ممّا لا شبهة فی فساده، کما لا یخفی علی من لاحظ صدر الحدیث و ذیله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جمیع ما ذکر تبیّن أنّ التعقیب المستفاد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رفع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هو بالإضافة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سجد علی ثمانیة 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وسبعة منها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وضع الأنف علی الأرض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حمّاد أخذه منهم علیهم‌السلام إمّا قبل ذلک الوقت أو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علی ذلک ـ مضافًا إلی ما ذکر ـ الحدیث علی النحو المرویّ فی الفقیه، و هو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 علی ثمانیة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الجبهة، و الکفّین، و عینی الرکبتین، وأنامل إبهامی الرجلین، و الأنف، فهذه السبعة فرض، و وضع الأنف علی الأرض سنّة، و هو الإرغام، ثمّ رفع رأسه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بمثله رواه فی المجالس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دلیلٌ ظاهرٌ علی أنّه لیس من کلامه علیه‌السلام فی حال السجود، بل فی حال الصلوة، ولعلّ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ما فی الکافی </w:t>
      </w:r>
      <w:r>
        <w:rPr>
          <w:rStyle w:val="FootnoteAnchor"/>
          <w:rtl w:val="true"/>
        </w:rPr>
        <w:footnoteReference w:id="986"/>
      </w:r>
      <w:r>
        <w:rPr>
          <w:rFonts w:ascii="IRNazanin" w:hAnsi="IRNazanin" w:eastAsia="IRNazanin"/>
          <w:color w:val="111111"/>
          <w:sz w:val="28"/>
          <w:sz w:val="28"/>
          <w:szCs w:val="28"/>
          <w:rtl w:val="true"/>
          <w:lang w:bidi="fa-IR"/>
        </w:rPr>
        <w:t xml:space="preserve">ـ للتنبیه علی أنّه لم یقل به من قبل نفسه، بل مأخوذ منهم علیهم‌السلام فی غیر تلک الحالة، بل لا یبعد أن یکون هذا الکلام </w:t>
      </w:r>
    </w:p>
    <w:p>
      <w:pPr>
        <w:pStyle w:val="BookText"/>
        <w:rPr/>
      </w:pPr>
      <w:r>
        <w:rPr>
          <w:rFonts w:ascii="IRNazanin" w:hAnsi="IRNazanin" w:eastAsia="IRNazanin"/>
          <w:color w:val="111111"/>
          <w:sz w:val="28"/>
          <w:sz w:val="28"/>
          <w:szCs w:val="28"/>
          <w:rtl w:val="true"/>
          <w:lang w:bidi="fa-IR"/>
        </w:rPr>
        <w:t xml:space="preserve">منه إشارة إلی الصحیح الّذی رواه حمّاد هذا عن حریز، عن زرارة،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سبعة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والیدین، والرکبتین، و الإبهامین، و ترغم بأنفک إرغامًا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الفرض فهذه السبعة، وأمّا الإرغام بالأنف فسنّة من النبیّ صلی‌الله‌علیه‌و‌آله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یجعل المذکور فی الفقیه و المجالس، قرینة علی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کلام حمّاد، بل من کلام إبراهیم بن هاشم الراوی عنه، فیکون الضمیر فیه عائدًا إلی حمّاد، کما فی عدّة مواضع فی صدر الحدیث،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الحدیث علی النحو المرویّ فی الفقیه والمجالس بمعونة السیاق صریحٌ فی أنّ الکلام المذکور من حمّاد، و علی النحو المرویّ فی الکافی ـ علی فرض التسلیم ـ ظاهرٌ فی کونه من الإمام علیه‌السلام ، فلابدّ من إرجاع الظهور إلی الصریح، لکون الحدیث واحدًا،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انّه علیه‌السلام قاله فی غیر تلک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صرّح بأنّه من کلام الراوی ـ ممّن یحضرنی حال الکتابة ـ مولانا ملاّ مراد التفرشی، حیث قال بعد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من کلام الراویّ، یمکن أن یکون قد سمعه من الإمام بعد إتمام الصلوة، إنتهی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فالقول بأنّ الصادر منه علیه‌السلام انّما هو صورة الصلوة ـ کما صدر من شقیقنا المکرَّم </w:t>
      </w:r>
    </w:p>
    <w:p>
      <w:pPr>
        <w:pStyle w:val="BookText"/>
        <w:rPr/>
      </w:pPr>
      <w:r>
        <w:rPr>
          <w:rFonts w:ascii="Amiri" w:hAnsi="Amiri" w:eastAsia="Amiri" w:cs="Amiri"/>
          <w:color w:val="111111"/>
          <w:sz w:val="28"/>
          <w:sz w:val="28"/>
          <w:szCs w:val="28"/>
          <w:rtl w:val="true"/>
          <w:lang w:bidi="ar-SA"/>
        </w:rPr>
        <w:t xml:space="preserve">دام ظلّه </w:t>
      </w:r>
      <w:r>
        <w:rPr>
          <w:rStyle w:val="FootnoteAnchor"/>
          <w:rtl w:val="true"/>
        </w:rPr>
        <w:footnoteReference w:id="989"/>
      </w:r>
      <w:r>
        <w:rPr>
          <w:rFonts w:ascii="Amiri" w:hAnsi="Amiri" w:eastAsia="Amiri" w:cs="Amiri"/>
          <w:color w:val="111111"/>
          <w:sz w:val="28"/>
          <w:sz w:val="28"/>
          <w:szCs w:val="28"/>
          <w:rtl w:val="true"/>
          <w:lang w:bidi="ar-SA"/>
        </w:rPr>
        <w:t xml:space="preserve">إستنادًا إلی أنّه علیه‌السلام تکلّم فی البین ـ نشأ مِن غیر تأمّل، لکنّه دام ظلّه </w:t>
      </w:r>
      <w:r>
        <w:rPr>
          <w:rStyle w:val="FootnoteAnchor"/>
          <w:rtl w:val="true"/>
        </w:rPr>
        <w:footnoteReference w:id="990"/>
      </w:r>
      <w:r>
        <w:rPr>
          <w:rFonts w:ascii="IRNazanin" w:hAnsi="IRNazanin" w:eastAsia="IRNazanin"/>
          <w:color w:val="111111"/>
          <w:sz w:val="28"/>
          <w:sz w:val="28"/>
          <w:szCs w:val="28"/>
          <w:rtl w:val="true"/>
          <w:lang w:bidi="fa-IR"/>
        </w:rPr>
        <w:t xml:space="preserve">معذورٌ فی ذلک، لأنّه لمّا رآه فی کلمات بعض العلماء تبعه فی ذلک، وإن کان مقصّرًا فی إفراطه فی التعبیر علی 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یدلّک علی ضعف هذا القول ـ مضافًا إلی ما ذکر ـ أمور،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أنّه لو کان ما صدر منه علیه‌السلام أصل الصلوة، یکون أولی من کونه صورة الصلوة کما لایخفی، وأفعالهم ـ علیهم آلاف التحیّة والثناء ـ محمولة علی وجه الأکمل عند العارف بمراتبهم و العالم بأحوالهم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کما قال فی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بعد جعل التکلّم منه علیه‌السلام فی السجود بما ذکر، یکون مقتضی هذا الکلام أن یتکلّم بذلک فی السجدة الثانیة أیضًا، ولایخفی ما فیه، فیحتاج إلی التقیید بغیر ما ذکر، و هو مخالف للظاهر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فصلّی رکعتین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لوضوح أنّ الظاهر منه أنّه علیه‌السلام أتی بحقیقة الصلوة، فالحمل </w:t>
      </w:r>
      <w:r>
        <w:rPr>
          <w:rStyle w:val="FootnoteAnchor"/>
          <w:rtl w:val="true"/>
        </w:rPr>
        <w:footnoteReference w:id="991"/>
      </w:r>
      <w:r>
        <w:rPr>
          <w:rFonts w:ascii="IRNazanin" w:hAnsi="IRNazanin" w:eastAsia="IRNazanin"/>
          <w:color w:val="111111"/>
          <w:sz w:val="28"/>
          <w:sz w:val="28"/>
          <w:szCs w:val="28"/>
          <w:rtl w:val="true"/>
          <w:lang w:bidi="fa-IR"/>
        </w:rPr>
        <w:t xml:space="preserve">علی الصورة مجازًا لا داعی لارتکابه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الداعی تکلّمه علیه‌السلام فی حال السجود،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الحال فی ذلک بأوضح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صورة الصلوة، لما افتقار إلی الإتیان برکعتین، لکفایة الرکعة الواحدة فی مقام التعلیم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لم یشتمل الرکعة الواحدة علی التشهّد والتسلیم، أتی بالرکعتین </w:t>
      </w:r>
      <w:bookmarkStart w:id="301" w:name="pg3709_22300"/>
    </w:p>
    <w:p>
      <w:pPr>
        <w:pStyle w:val="BookText"/>
        <w:rPr/>
      </w:pPr>
      <w:bookmarkEnd w:id="301"/>
      <w:r>
        <w:rPr>
          <w:rFonts w:ascii="IRNazanin" w:hAnsi="IRNazanin" w:eastAsia="IRNazanin"/>
          <w:color w:val="111111"/>
          <w:sz w:val="28"/>
          <w:sz w:val="28"/>
          <w:szCs w:val="28"/>
          <w:rtl w:val="true"/>
          <w:lang w:bidi="fa-IR"/>
        </w:rPr>
        <w:t xml:space="preserve">لذلک،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الإکتفاء فی تعلیم التسلیم فی الرکعة الثالثة فی الصلوة الثلاثیّة و الرابعة فی الصلوات الرباعیّة بما صدر منه علیه‌السلام فی صورة الرکعة الثانیة، یمکن الإکتفاء فی تعلیم أصل التشهّد و التسلیم بما یقع فی صورة الرکعة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جمیع ما ذکر لاینبغی التأمّل فی المتأمّل العارف بکیفیّة الإستدلال أنّ حمل ما صدر منه علیه‌السلام علی نفس الصلوة أولی من حمله علی صورتها ؛ ولذا تری المولی العالم ملاّ مراد حمله علیها، و قد سمعت عبارته، و هکذا المولی المحقّق الأردبیلیّ ـ نوّر اللّه تعالی روحه ـ حیث قال بعد أن أورد الحدیث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ویفهم منه إستحباب وضع الید قبل الصلوة علی فخذیه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جواز الصلوة من غیر سبب و فی مطلق الوقت و فعلها، لیعلم أنّها صحیحة أم لا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إنتهی کلامه ـ أعلی اللّه مقامه ـ و هو صریحٌ فی أنّه حمله علی نفس الصلوة، بل فی حمل ما صدر من حمّاد علیها أیضًا </w:t>
      </w:r>
      <w:r>
        <w:rPr>
          <w:rFonts w:eastAsia="IRNazanin" w:cs="IRNazanin"/>
          <w:color w:val="111111"/>
          <w:sz w:val="28"/>
          <w:szCs w:val="28"/>
          <w:rtl w:val="true"/>
          <w:lang w:bidi="fa-IR"/>
        </w:rPr>
        <w:t>.</w:t>
      </w:r>
    </w:p>
    <w:p>
      <w:pPr>
        <w:pStyle w:val="Heading4"/>
        <w:numPr>
          <w:ilvl w:val="3"/>
          <w:numId w:val="1"/>
        </w:numPr>
        <w:rPr/>
      </w:pPr>
      <w:bookmarkStart w:id="302" w:name="__RefHeading___Toc594233_2281741623"/>
      <w:bookmarkStart w:id="303" w:name="_Toc107"/>
      <w:bookmarkEnd w:id="302"/>
      <w:r>
        <w:rPr>
          <w:rtl w:val="true"/>
        </w:rPr>
        <w:t>ومنها قوله بعد ما تقدّم نقله عنه</w:t>
      </w:r>
      <w:r>
        <w:rPr>
          <w:rtl w:val="true"/>
        </w:rPr>
        <w:t xml:space="preserve">: </w:t>
      </w:r>
      <w:r>
        <w:rPr>
          <w:rtl w:val="true"/>
        </w:rPr>
        <w:t>مع أنّه لایفیده فیما ادّعاه، إلخ</w:t>
      </w:r>
      <w:bookmarkEnd w:id="30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دام ظلّه ـ بعد ما تقدّم نقله عنه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یفیده فیما ادّعاه، إذ الحمّاد نقل عنه علیه‌السلام أنّه بعد الفراغ من تشهّده سلّم، فیعود الکلام إلیه کما ذکرنا مکرّرًا، و الحال أنّ المتبادر و الظاهر فی هذا البیان أنّ الإمام أراد أن یعلِّمه الفریضة الّتی فرضها اللّه تعالی و کان عهدًا مسئولاً، لا النافلة </w:t>
      </w:r>
    </w:p>
    <w:p>
      <w:pPr>
        <w:pStyle w:val="BookText"/>
        <w:rPr/>
      </w:pPr>
      <w:r>
        <w:rPr>
          <w:rFonts w:ascii="IRNazanin" w:hAnsi="IRNazanin" w:eastAsia="IRNazanin"/>
          <w:color w:val="111111"/>
          <w:sz w:val="28"/>
          <w:sz w:val="28"/>
          <w:szCs w:val="28"/>
          <w:rtl w:val="true"/>
          <w:lang w:bidi="fa-IR"/>
        </w:rPr>
        <w:t xml:space="preserve">الّتی یجوز فعلها و ترکها، و هی لیست ممّا یلیق أن یوبخها و یعاتبها بأنّ مَن بلغ ستّین أو سبعین و لم یحسن تلک العبادة بحدودها تامّةً، إذ النافلة لاعتاب فی ترکها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الإیراد أیضًا من غرائب الزمان، لأنّ کلامنا صریح فی انّ التمسّک بحدیث حمّاد فی المقام إنّما هو لإتقان القاعدة المذکورة، و إثبات إتّحاد الفریضة والنافلة فی المهیّة، حیث 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القاعدة وإن کانت وجیهة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وقلنا بعد ذکر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الدلالة علی المرام هو أنّ الظاهر انّ الصلوة الصادرة منه علیه‌السلام النافلة، و المراد من الصلوة المأمور بها فی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هکذا 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الفریضة فقط، أو أعمّ من الفریضة و النافلة، واحتمال کون المراد منها خصوص النافلة ممّا لایذهب إلیه وهم، و علی التقدیرین یثبت المرام ـ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إشتراکهما فی المهیّة ـ أمّا علی التقدیر الأوّل فظاهر، لأنّ الإتیان بالنافلة وإحالة الفریضة بها إنّما یصحّ علی تقدیر الإشتراک فی المهیّة ؛ وأمّا علی الثانی فیظهر الحال فیه ممّا ذکر، ضرورة انّ إحالة المفروضة و المسنونة بالمسنونة لا یتمّ إلاّ علی التقدیر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العجائب أنّه ادّعی عدم إفادة الحدیث لما ادّعیناه، و قال فی بیانه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والحال أنّ المتبادر والظاهر من هذا البیان أنّ الإمام أراد أن یعلّمه الفریضة الّتی فرضها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 صریح فی إفادته للمدّعی، و لقد أجری اللّه تعالی فی لسانه الحقّ، و هو غیر شاعر بذلک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النافلة الّتی یجوز فعلها و ترکها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إن أراد أنّه لیس المراد تعلیم خصوص النافلة، و هو مسلّم و إلیه الإشارة بقولنا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احتمال کون المراد منها خصوص النافلة ممّا لا یذهب إلیه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 هذه المبالغة فی إنکار ذلک </w:t>
      </w:r>
    </w:p>
    <w:p>
      <w:pPr>
        <w:pStyle w:val="BookText"/>
        <w:rPr/>
      </w:pPr>
      <w:r>
        <w:rPr>
          <w:rFonts w:ascii="IRNazanin" w:hAnsi="IRNazanin" w:eastAsia="IRNazanin"/>
          <w:color w:val="111111"/>
          <w:sz w:val="28"/>
          <w:sz w:val="28"/>
          <w:szCs w:val="28"/>
          <w:rtl w:val="true"/>
          <w:lang w:bidi="fa-IR"/>
        </w:rPr>
        <w:t>یکون إحتماله من مقابح الأمور، لایصدر إلاّ ممّن اختار الجمود فی میدان الغفول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أنّه لیس المراد تعلیم النافلة مطلقًا،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الدعوی عریّة من البرهان، و ما ذکره فی بیانه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النافلة لا عتاب فی ترکها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منقوضٌ بما فی الفرائض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الحال یستدعی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صلوة حمّاد کانت مشتملة علی الأمور المفروضة فی الصلوة، مسقطة للقضاء، لأنّه بعید فی الغایة أنّ حمّادًا ـ مع کونه حافظًا لکتاب حریز فی الصلوة ـ لم یکن صلوته مسقطة للقضاء، قال شیخنا الشهید فی الذکری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صلوة حمّاد کانت مسقطة للقضاء، و إلاّ لأمره بقضائها، ولکنّه عدل به إلی الصلوة التامّة،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یقیم صلوة واحدة بحدودها تامّة </w:t>
      </w:r>
      <w:r>
        <w:rPr>
          <w:rStyle w:val="FootnoteAnchor"/>
          <w:rtl w:val="true"/>
        </w:rPr>
        <w:footnoteReference w:id="993"/>
      </w:r>
      <w:r>
        <w:rPr>
          <w:rFonts w:ascii="IRNazanin" w:hAnsi="IRNazanin" w:eastAsia="IRNazanin"/>
          <w:color w:val="111111"/>
          <w:sz w:val="28"/>
          <w:sz w:val="28"/>
          <w:szCs w:val="28"/>
          <w:rtl w:val="true"/>
          <w:lang w:bidi="fa-IR"/>
        </w:rPr>
        <w:t xml:space="preserve">، إنتهی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التوبیخ المستفاد من کلامه علیه‌السلام یکون لخلوّ صلوته من الآداب و المستحبّات، و لا شبهة فی أنّها ممّا جاز ترکها أصلاً </w:t>
      </w:r>
      <w:r>
        <w:rPr>
          <w:rStyle w:val="FootnoteAnchor"/>
          <w:rtl w:val="true"/>
        </w:rPr>
        <w:footnoteReference w:id="994"/>
      </w:r>
      <w:r>
        <w:rPr>
          <w:rFonts w:ascii="IRNazanin" w:hAnsi="IRNazanin" w:eastAsia="IRNazanin"/>
          <w:color w:val="111111"/>
          <w:sz w:val="28"/>
          <w:sz w:val="28"/>
          <w:szCs w:val="28"/>
          <w:rtl w:val="true"/>
          <w:lang w:bidi="fa-IR"/>
        </w:rPr>
        <w:t xml:space="preserve">، فإذا لم یکن جواز ترکها مانعًا من التوبیخ، فلیکن الأمر فی صلوة النافلة أیضًا کذلک، بأن یکون توبیخه علیه‌السلام للإخلال بالآداب فی مطلق الصلوات و لو کانت مستحبّة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ذلک، لکنّه غیر مضرّ بما نحن بصدد بیانه، بعد تسلیم أنّ المراد منه تعلیم الفریضة، کما ادّعی الظهور و التبادر فی ذلک،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الدلالة علی المرام حینئذ یکون أقوی، کما لا یخفی علی أولی التأمّل والنهی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جمیع ما ذکر تبیّن أنّ الإتیان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الحمّاد نقل عنه علیه‌السلام أنّه بعد الفراغ من تشهّده سلّم، فیعود الکلام إلیه کما ذکرنا مکرّرًا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ممّا یتعجّب منه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الإیراد فی العبارة بحسب القواعد العربیّة من وجوه،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لایفیده فیما ادّعاه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یفید ما ادّعاه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الحمّاد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حمّاد نقل، 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 لیست ممّا یلیق أن یوبخها و یعاتبها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والمناسب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لیست ممّا یوبخ و یعاتب علیها،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من بلغ ستّین أو سبعین ولم یحسن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والمناسب إسقاط الواو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لکونه خبرًا لأنّ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محصّل المقال هو 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ما صدر عنه علیه‌السلام فی مقام التعلیم هو الصلوة، لا صورتها، و أنّها نافلة، أمّا انّها صلوة حقیقة فلما عرفت، و أمّا انّها النافلة فلما ستقف علیه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أیضًا کذلک فیما صدر من حمّاد، أمّا أنّه کانت صلوة حقیقة فلأنّه أتی به إمتثالاً لقوله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فقمت بین یدیه متوجّهًا إلی القبلة، فاستفتحت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حمل الصلوة علی صورتها مجاز، لایصار إلیه </w:t>
      </w:r>
      <w:r>
        <w:rPr>
          <w:rStyle w:val="FootnoteAnchor"/>
          <w:rtl w:val="true"/>
        </w:rPr>
        <w:footnoteReference w:id="995"/>
      </w:r>
      <w:r>
        <w:rPr>
          <w:rFonts w:ascii="IRNazanin" w:hAnsi="IRNazanin" w:eastAsia="IRNazanin"/>
          <w:color w:val="111111"/>
          <w:sz w:val="28"/>
          <w:sz w:val="28"/>
          <w:szCs w:val="28"/>
          <w:rtl w:val="true"/>
          <w:lang w:bidi="fa-IR"/>
        </w:rPr>
        <w:t xml:space="preserve">إلاّ عند قیام القرینة المانعة عن الحمل علی الظاهر، و هو منتف فیما نحن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أنّها کانت نافلة، فلأنّها علی تقدیر کونها فریضة إمّا کانت قضاء عمّا اشتغل ذمّته به، أو منذورة، إذ الظاهر من السیاق انّها لیست ممّا تجب علیه أداء، وکلاهما مدفوع بالأصل، و قد علمت ممّا حکینا فی السابق انّ المحقّق المولی الأردبیلیّ ـ قدّس اللّه روحه ـ حمل ما صدر من حمّاد علی أنّه صلوة حقیقة، وممّا ذکر یظهر الحال فی حمل ما صدر منه علیه‌السلام علی النافلة، بل الأمر فیه أظهر، کما لایخفی علی المتأمّل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الظاهر أنّ توبیخه علیه‌السلام لأجل إتیان المفروضة بتلک الکیفیّة، وهو إنّما یکون عند اتّحاد المهیّة، کما نبّهنا علیه فی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فرکعت و سجدت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أنّ ما صدر من حمّاد کان صورة الصلوة، لظهور عدم تمامیّة أصل الصلوة بمحض الرکوع والسجود، ولایمکن المصیر إلی أنّه قطع الصلوة فی أثنائها، نظرًا إلی عدم اشتمالها لشرائط الصحّة، لما عرفت من أنّ الظاهر أنّ صلوة حمّاد کانت مبراة للذمّة لما سلف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من الإکتفاء بذکر الرکوع و السجود دفعةً عدم الإتیان بهما مکرّرًا، کما أنّه لم ینبّه علی الإتیان </w:t>
      </w:r>
      <w:r>
        <w:rPr>
          <w:rStyle w:val="FootnoteAnchor"/>
          <w:rtl w:val="true"/>
        </w:rPr>
        <w:footnoteReference w:id="996"/>
      </w:r>
      <w:r>
        <w:rPr>
          <w:rFonts w:ascii="IRNazanin" w:hAnsi="IRNazanin" w:eastAsia="IRNazanin"/>
          <w:color w:val="111111"/>
          <w:sz w:val="28"/>
          <w:sz w:val="28"/>
          <w:szCs w:val="28"/>
          <w:rtl w:val="true"/>
          <w:lang w:bidi="fa-IR"/>
        </w:rPr>
        <w:t>بفاتحة الکتاب و السورة، مع أنّ الظاهر انّ اشتمال ما صدر منه علیهما ممّا لا ینبغی التأمّل فیه، فلیکن ما نحن فیه أیضًا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فرض تسلیم أنّ ما صدر من حمّاد کان صورة الصلوة، لا یوجب ذلک أن یکون ما صدر عنه علیه‌السلام کذلک کما لا یخفی، لاسیّما بعد ما نبّهنا علیه من قیام الدلیل علی خلافه، و هو کاف لإثبات المرام علی ما ظهر ممّا بیّناه فی الرسالة، وللّه الحمد و الشکر و المنّة، و صلواته علی من ختمت به الرسالة و آله أصحاب العصمة والطهارة </w:t>
      </w:r>
      <w:r>
        <w:rPr>
          <w:rFonts w:eastAsia="IRNazanin" w:cs="IRNazanin"/>
          <w:color w:val="111111"/>
          <w:sz w:val="28"/>
          <w:szCs w:val="28"/>
          <w:rtl w:val="true"/>
          <w:lang w:bidi="fa-IR"/>
        </w:rPr>
        <w:t xml:space="preserve">. </w:t>
      </w:r>
      <w:bookmarkStart w:id="304" w:name="pg3709_22305"/>
    </w:p>
    <w:p>
      <w:pPr>
        <w:pStyle w:val="Heading4"/>
        <w:numPr>
          <w:ilvl w:val="3"/>
          <w:numId w:val="1"/>
        </w:numPr>
        <w:rPr/>
      </w:pPr>
      <w:bookmarkStart w:id="305" w:name="__RefHeading___Toc594235_2281741623"/>
      <w:bookmarkStart w:id="306" w:name="_Toc108"/>
      <w:bookmarkEnd w:id="304"/>
      <w:bookmarkEnd w:id="305"/>
      <w:r>
        <w:rPr>
          <w:rtl w:val="true"/>
        </w:rPr>
        <w:t>ومنها قوله بعد أن عنون قولنا</w:t>
      </w:r>
      <w:r>
        <w:rPr>
          <w:rtl w:val="true"/>
        </w:rPr>
        <w:t xml:space="preserve">: </w:t>
      </w:r>
      <w:r>
        <w:rPr>
          <w:rtl w:val="true"/>
        </w:rPr>
        <w:t xml:space="preserve">إن قیل </w:t>
      </w:r>
      <w:r>
        <w:rPr>
          <w:rtl w:val="true"/>
        </w:rPr>
        <w:t xml:space="preserve">: </w:t>
      </w:r>
      <w:r>
        <w:rPr>
          <w:rtl w:val="true"/>
        </w:rPr>
        <w:t>سلّمنا ذلک، إلخ</w:t>
      </w:r>
      <w:bookmarkEnd w:id="306"/>
    </w:p>
    <w:p>
      <w:pPr>
        <w:pStyle w:val="BookText"/>
        <w:rPr/>
      </w:pPr>
      <w:r>
        <w:rPr>
          <w:rFonts w:ascii="IRNazanin" w:hAnsi="IRNazanin" w:eastAsia="IRNazanin"/>
          <w:color w:val="111111"/>
          <w:sz w:val="28"/>
          <w:sz w:val="28"/>
          <w:szCs w:val="28"/>
          <w:rtl w:val="true"/>
          <w:lang w:bidi="fa-IR"/>
        </w:rPr>
        <w:t xml:space="preserve">قوله دام ظلّه ـ بعد أن عنون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ذلک،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دلیل یدلّ علی لزوم الإقتصار فی النوافل بصیغة السلام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ما حکینا عن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فکان التخییر إنّما تناول هذا الضرب من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تتبّع التهذیب و الإستبصار علم أنّ بنائه فی الکتابین علی رفع الإختلاف من الأحادیث، و کتاب التهذیب لیس عندی، و الإستبصار هکذا، فأمّا ما رواه الحسین بن سعید، عن النضر، عن محمّد بن أبی حمزة، عن یعقوب بن شعیب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التسلیم فی رکعتی الشفع </w:t>
      </w:r>
      <w:r>
        <w:rPr>
          <w:rStyle w:val="FootnoteAnchor"/>
          <w:rtl w:val="true"/>
        </w:rPr>
        <w:footnoteReference w:id="997"/>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سلّمت، وإن شئت لم تسلّم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 عن النضر بن سوید، عن محمّد بن أبی حمزة،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التسلیم </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 xml:space="preserve">فی رکعتی الوتر،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سلّمت، و إن شئت لم تسلّم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الشیخ بعد ذکر روایة ثالثة ترکت ذکرها لعدم المناسبة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فی هذه الروایات کلّها أن نحملها علی ضرب من التقیّة، لأنّها موافقة لمذاهب کثیر من العامّة، مع أنّ مضمون الحدیثین التخییر، ولیس ذلک </w:t>
      </w:r>
    </w:p>
    <w:p>
      <w:pPr>
        <w:pStyle w:val="BookText"/>
        <w:rPr/>
      </w:pPr>
      <w:r>
        <w:rPr>
          <w:rFonts w:ascii="IRNazanin" w:hAnsi="IRNazanin" w:eastAsia="IRNazanin"/>
          <w:color w:val="111111"/>
          <w:sz w:val="28"/>
          <w:sz w:val="28"/>
          <w:szCs w:val="28"/>
          <w:rtl w:val="true"/>
          <w:lang w:bidi="fa-IR"/>
        </w:rPr>
        <w:t xml:space="preserve">مذهبًا لأحد، لأنّ مَن أوجب الفصل لا یجوّز الوصل، و من أوجب الوصل لا یجوّز الفصل ؛ و یجوز 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 سلّم، وإن شاء لم یسلّم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الکلام الّذی یستباح بالتسلیم، لأنّ ذلک لیس بشرط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أیّد التوجیه الآخر </w:t>
      </w:r>
      <w:r>
        <w:rPr>
          <w:rStyle w:val="FootnoteAnchor"/>
          <w:rtl w:val="true"/>
        </w:rPr>
        <w:footnoteReference w:id="1001"/>
      </w:r>
      <w:r>
        <w:rPr>
          <w:rFonts w:ascii="IRNazanin" w:hAnsi="IRNazanin" w:eastAsia="IRNazanin"/>
          <w:color w:val="111111"/>
          <w:sz w:val="28"/>
          <w:sz w:val="28"/>
          <w:szCs w:val="28"/>
          <w:rtl w:val="true"/>
          <w:lang w:bidi="fa-IR"/>
        </w:rPr>
        <w:t>بذکر روایة تناسب ذلک، فانظر إلی هذین التوجیهین وارتکابه ذلک مع بعده، کما صرّح بذلک بعض المتأخّرین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یخفی ما فیهما من البعد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والأولی أن یقال بالتخییر بین الوصل والفصل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ما ذکر فیهما من الحمل والتوجیه بحیث یکون مذهبًا له، ولمّا کان المذهب أنّ الصیغة الأخری بها یتحقّق الإنصراف وأراد أن یدفع التناقض من الأخبار، حَمَل الروایتین علی أنّ التسلیم فی الشفع علی التخییر، إن شاء أن یأتی بتلک الصیغة فهو له، و إن شاء أن یترک فهو له، ولایلزم منه أن یکون الترک المرخّص فیه فی الشفع هو ترک السلام الأخیر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منه محض إحتمال لرفع إختلاف، و الحال أنّ السند فی الروایتین فی کمال الضعف، لاشتماله علی علیّ بن أبی حمزة البطائنیّ الکذّاب </w:t>
      </w:r>
      <w:r>
        <w:rPr>
          <w:rStyle w:val="FootnoteAnchor"/>
          <w:rtl w:val="true"/>
        </w:rPr>
        <w:footnoteReference w:id="1002"/>
      </w:r>
      <w:r>
        <w:rPr>
          <w:rFonts w:ascii="IRNazanin" w:hAnsi="IRNazanin" w:eastAsia="IRNazanin"/>
          <w:color w:val="111111"/>
          <w:sz w:val="28"/>
          <w:sz w:val="28"/>
          <w:szCs w:val="28"/>
          <w:rtl w:val="true"/>
          <w:lang w:bidi="fa-IR"/>
        </w:rPr>
        <w:t xml:space="preserve">، وفی کتب الرجال أنّه رأس العمد الواقفیّة،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p>
    <w:p>
      <w:pPr>
        <w:pStyle w:val="BookText"/>
        <w:rPr/>
      </w:pPr>
      <w:r>
        <w:rPr>
          <w:rFonts w:ascii="IRNazanin" w:hAnsi="IRNazanin" w:eastAsia="IRNazanin"/>
          <w:color w:val="111111"/>
          <w:sz w:val="28"/>
          <w:sz w:val="28"/>
          <w:szCs w:val="28"/>
          <w:rtl w:val="true"/>
          <w:lang w:bidi="fa-IR"/>
        </w:rPr>
        <w:t xml:space="preserve">فی الخبرین 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إنتهی منه الکلام الّذی أوجب علیه أنواع الملام، بل یتعجّب منه النسوان، ویهزء به الصبیان، و یتحاشی عنه الوحوش والسکران، وإن شئت أن تتّضح لک الحال فاستمع لما أتلو علیک،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شقیقنا ـ دام ظلّه ـ لمّا لم یکن بیده فی حال فتواه المخالفة للواقع سوی کلام الشیخ الطائفة فی المصباح ـ کما أومأنا إلیه وستقف علی حقیقة الحال فی ذلک ـ تعرّضنا للجواب عنه بعد أن أقمنا البرهان لإثبات المرام علی حدٍّ یصل إلی حقیقة الحال کلّ من له أدنی دُرْبة </w:t>
      </w:r>
      <w:r>
        <w:rPr>
          <w:rStyle w:val="FootnoteAnchor"/>
          <w:rtl w:val="true"/>
        </w:rPr>
        <w:footnoteReference w:id="1003"/>
      </w:r>
      <w:r>
        <w:rPr>
          <w:rFonts w:ascii="IRNazanin" w:hAnsi="IRNazanin" w:eastAsia="IRNazanin"/>
          <w:color w:val="111111"/>
          <w:sz w:val="28"/>
          <w:sz w:val="28"/>
          <w:szCs w:val="28"/>
          <w:rtl w:val="true"/>
          <w:lang w:bidi="fa-IR"/>
        </w:rPr>
        <w:t xml:space="preserve">من غیر ارتیاب، فقلنا بما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 المصباح و إن کان موهمًا لذلک، لکن هذا الإیهام لایعتنی به بعد ما وجد منه ما هو صریح فی خلافه، لأنّه صرّح فی التهذیب بجواز الجمع بین الصیغتین فی تشهّد النوافل، حیث قال بعد أن أورد جملة من النصوص الدالّة علی التخییر بین التسلیم فی رکعتی الشفع و عدمه الّتی منها صحیحة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فی رکعتی الوتر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سلّمت، و إن شئت لم تسلّم </w:t>
      </w:r>
      <w:r>
        <w:rPr>
          <w:rStyle w:val="FootnoteAnchor"/>
          <w:rtl w:val="true"/>
        </w:rPr>
        <w:footnoteReference w:id="1004"/>
      </w:r>
      <w:r>
        <w:rPr>
          <w:rFonts w:ascii="IRNazanin" w:hAnsi="IRNazanin" w:eastAsia="IRNazanin"/>
          <w:color w:val="111111"/>
          <w:sz w:val="28"/>
          <w:sz w:val="28"/>
          <w:szCs w:val="28"/>
          <w:rtl w:val="true"/>
          <w:lang w:bidi="fa-IR"/>
        </w:rPr>
        <w:t xml:space="preserve">، ما هذا محصّله، إلی آخر ما أوردناه فی الرسالة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شقیقنا ـ دام ظلّه ـ حاول الجواب عن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مَن تتبّع التهذیب والإستبصار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فیه نظر من وجوه،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انّ بناء شیخ الطائفة فی الکتابین علی رفع الإختلاف بین الأحادیث، إن أراد انّ بناءه فیهما رفع </w:t>
      </w:r>
    </w:p>
    <w:p>
      <w:pPr>
        <w:pStyle w:val="BookText"/>
        <w:rPr/>
      </w:pPr>
      <w:r>
        <w:rPr>
          <w:rFonts w:ascii="IRNazanin" w:hAnsi="IRNazanin" w:eastAsia="IRNazanin"/>
          <w:color w:val="111111"/>
          <w:sz w:val="28"/>
          <w:sz w:val="28"/>
          <w:szCs w:val="28"/>
          <w:rtl w:val="true"/>
          <w:lang w:bidi="fa-IR"/>
        </w:rPr>
        <w:t>الإختلاف بین الأحادیث فقط، بمعنی انّه لا یذکر فیهما شیئًا من فتواه، فهو قطعیّ الفساد، وکیف مع أنّ کلامه فی أوّل الکتابین صریح فی خلافه، قال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أذکر مسئلة مسئلة، فأستدلّ علیها إمّا من ظاهر القرآن، أو من صریحه، أو فحواه، أو دلیله، أو معناه، و إمّا من السنّة المقطوع بها من الأخبار المتواترة، أو الأخبار التّی تقترن إلیها القرائن الّتی تدلّ علی صحّتها، وإمّا من إجماع المسلمین إن کان فیها، أو إجماع الفرقة المحقّة، ثمّ أذکر بعد ذلک ما ورد من أحادیث أصحابنا المشهورة فی ذلک، وأنظر فیما ورد بعد ذلک ممّا ینافیها و یضادّها، و أبیّن الوجه فیها إمّا بتأویل أجمع بینها و بینها، أو أذکر وجه الفساد فیها </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الإستبصار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سألونی فی </w:t>
      </w:r>
      <w:r>
        <w:rPr>
          <w:rStyle w:val="FootnoteAnchor"/>
          <w:rtl w:val="true"/>
        </w:rPr>
        <w:footnoteReference w:id="1006"/>
      </w:r>
      <w:r>
        <w:rPr>
          <w:rFonts w:ascii="IRNazanin" w:hAnsi="IRNazanin" w:eastAsia="IRNazanin"/>
          <w:color w:val="111111"/>
          <w:sz w:val="28"/>
          <w:sz w:val="28"/>
          <w:szCs w:val="28"/>
          <w:rtl w:val="true"/>
          <w:lang w:bidi="fa-IR"/>
        </w:rPr>
        <w:t xml:space="preserve">تجرید ذلک و صرف العنایة إلی جمعه وتلخیصه وإن إبتدء فی </w:t>
      </w:r>
      <w:r>
        <w:rPr>
          <w:rStyle w:val="FootnoteAnchor"/>
          <w:rtl w:val="true"/>
        </w:rPr>
        <w:footnoteReference w:id="1007"/>
      </w:r>
      <w:r>
        <w:rPr>
          <w:rFonts w:ascii="IRNazanin" w:hAnsi="IRNazanin" w:eastAsia="IRNazanin"/>
          <w:color w:val="111111"/>
          <w:sz w:val="28"/>
          <w:sz w:val="28"/>
          <w:szCs w:val="28"/>
          <w:rtl w:val="true"/>
          <w:lang w:bidi="fa-IR"/>
        </w:rPr>
        <w:t xml:space="preserve">کلّ باب بإیراد ما اعتمده من الفتوی والأحادیث فیه، ثمّ أعقب بما یخالفها من الأخبار، وأبیّن وجه الجمع بینها </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انّ فتاویه فی الکتابین أکثر من أن یحصیها العادّون، و أوضح من أن ینکرها المنکرون، فها أبیّن جملة منها من التهذیب،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قوله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ینبغی أن لا یتقدّم القوم إلاّ ذوو الرأی والعقل والسداد ویکون أقرأ </w:t>
      </w:r>
    </w:p>
    <w:p>
      <w:pPr>
        <w:pStyle w:val="BookText"/>
        <w:rPr/>
      </w:pPr>
      <w:r>
        <w:rPr>
          <w:rFonts w:ascii="IRNazanin" w:hAnsi="IRNazanin" w:eastAsia="IRNazanin"/>
          <w:color w:val="111111"/>
          <w:sz w:val="28"/>
          <w:sz w:val="28"/>
          <w:szCs w:val="28"/>
          <w:rtl w:val="true"/>
          <w:lang w:bidi="fa-IR"/>
        </w:rPr>
        <w:t xml:space="preserve">القوم </w:t>
      </w:r>
      <w:r>
        <w:rPr>
          <w:rStyle w:val="FootnoteAnchor"/>
          <w:rtl w:val="true"/>
        </w:rPr>
        <w:footnoteReference w:id="1009"/>
      </w:r>
      <w:r>
        <w:rPr>
          <w:rFonts w:ascii="IRNazanin" w:hAnsi="IRNazanin" w:eastAsia="IRNazanin"/>
          <w:color w:val="111111"/>
          <w:sz w:val="28"/>
          <w:sz w:val="28"/>
          <w:szCs w:val="28"/>
          <w:rtl w:val="true"/>
          <w:lang w:bidi="fa-IR"/>
        </w:rPr>
        <w:t xml:space="preserve">، و </w:t>
      </w:r>
      <w:r>
        <w:rPr>
          <w:rStyle w:val="FootnoteAnchor"/>
          <w:rtl w:val="true"/>
        </w:rPr>
        <w:footnoteReference w:id="1010"/>
      </w:r>
      <w:r>
        <w:rPr>
          <w:rFonts w:ascii="IRNazanin" w:hAnsi="IRNazanin" w:eastAsia="IRNazanin"/>
          <w:color w:val="111111"/>
          <w:sz w:val="28"/>
          <w:sz w:val="28"/>
          <w:szCs w:val="28"/>
          <w:rtl w:val="true"/>
          <w:lang w:bidi="fa-IR"/>
        </w:rPr>
        <w:t xml:space="preserve">أفقههم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صلّیت خلف من یقتدی به، فلا یجوز لک أن تقرأ خلفه فی سایر الصلوة، سواء کان ممّا یجهر فیها بالقرائة، أو ممّا لا یجهر، و علیک أن تسبّح اللّه تعالی وتهلّله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تکون صلوة یجهر فیها بالقرائة ولاتسمعها أنت، فإنّه حینئذ یجب علیک القرائة، و إن سمعت شیئًا من القرائة أجزأک و إن خفی علیک بعضه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غیر ذلک من الفتاوی المتکثّرة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لیت شعری کیف حاول ذلک إلی المتتبّع فیهما، إلاّ أن یکون المراد من المتتبّع مثل جنابه الّذی یشهد له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کتاب التهذیب لیس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 یجمع فی الکتابین بین الأخبار، فهو مسلّم، لکنّه لاینافی ذکر فتاویه فیهما أیضًا کما لا یخفی، فذکره فی المقام لایوجب إلاّ رفع وقعه بین العلماء الأعلام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التعرّض لما فی الإستبصار ـ فیما نحن فیه ـ فی غیر محلّه، لعدم إسنادنا إلیه شیئًا فی المقام، ولعلّه ـ دام ظلّه ـ أراد تکثیر السواد و إن أوجب علیه أنواع العتاب، لکنّه ـ دام ظلّه ـ معذور فی ذلک لقوله المذکور، فهو من باب الإکتفاء بأقرب المجازات عند تعذّر الحقیقة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رفع الإیجاب الکلّی المستفاد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بالجملة لیس کلّ ما ذکر فیهما من الحمل و التوجیه بحیث یکون مذهبًا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مسلّمًا، لکن ذکره فیما نحن فیه من عجائب الأمور، لأنّ استشهادنا فی المقام لیس فی الحمل الّذی صدر منه فی التهذیب، بل فیما جعله شاهدًا للحمل و باعثًا علیه، و هو قوله ـ نوّر اللّه تعالی ضریحه ـ بعد حمل التسلیم المخیّر فیه فی النصّ علی السلام علیکم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w:t>
      </w:r>
      <w:r>
        <w:rPr>
          <w:rStyle w:val="FootnoteAnchor"/>
          <w:rtl w:val="true"/>
        </w:rPr>
        <w:footnoteReference w:id="1013"/>
      </w:r>
      <w:r>
        <w:rPr>
          <w:rFonts w:ascii="IRNazanin" w:hAnsi="IRNazanin" w:eastAsia="IRNazanin"/>
          <w:color w:val="111111"/>
          <w:sz w:val="28"/>
          <w:sz w:val="28"/>
          <w:szCs w:val="28"/>
          <w:rtl w:val="true"/>
          <w:lang w:bidi="fa-IR"/>
        </w:rPr>
        <w:t xml:space="preserve">عندنا أنّ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فی التشهّد، فقد انقطعت صلوته، فإن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w:t>
      </w:r>
      <w:r>
        <w:rPr>
          <w:rStyle w:val="FootnoteAnchor"/>
          <w:rtl w:val="true"/>
        </w:rPr>
        <w:footnoteReference w:id="1014"/>
      </w:r>
      <w:r>
        <w:rPr>
          <w:rFonts w:ascii="IRNazanin" w:hAnsi="IRNazanin" w:eastAsia="IRNazanin"/>
          <w:color w:val="111111"/>
          <w:sz w:val="28"/>
          <w:sz w:val="28"/>
          <w:szCs w:val="28"/>
          <w:rtl w:val="true"/>
          <w:lang w:bidi="fa-IR"/>
        </w:rPr>
        <w:t xml:space="preserve">جاز، و إن لم یقل جاز أیضًا </w:t>
      </w:r>
      <w:r>
        <w:rPr>
          <w:rFonts w:eastAsia="IRNazanin" w:cs="IRNazanin"/>
          <w:color w:val="111111"/>
          <w:sz w:val="28"/>
          <w:szCs w:val="28"/>
          <w:rtl w:val="true"/>
          <w:lang w:bidi="fa-IR"/>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واللازم ممّا ذکره ـ دام ظلّه ـ فیما إذا ذکر شیخ الطائفة فی الخبر الدالّ علی الجبر انّه یجب الحمل فی هذا الخبر لأنّ صانع العالم تعالی غیر ظالم، أن لایصحّ اسناد نفی التکلّم منه تعالی إلی الشیخ فی التهذیب لعین ما ذکره ـ دام فضله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لمّا کان المذهب أنّ الصیغة الأخری بها یتحقّق الإنصراف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یلزم منه أن یکون الترک المرخّص فیه فی الشفع هو ترک السلام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غرائب الأمور أیضًا، لانّ عبارة التهذیب الّتی أوردناها هکذا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عندنا أنّ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فی التشهّد، فقد انقطعت صلوته، فإن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جاز، و إن لم یقل جاز أیضًا، فکان التخییر إنّما یتناول </w:t>
      </w:r>
      <w:r>
        <w:rPr>
          <w:rStyle w:val="FootnoteAnchor"/>
          <w:rtl w:val="true"/>
        </w:rPr>
        <w:footnoteReference w:id="1016"/>
      </w:r>
      <w:r>
        <w:rPr>
          <w:rFonts w:ascii="IRNazanin" w:hAnsi="IRNazanin" w:eastAsia="IRNazanin"/>
          <w:color w:val="111111"/>
          <w:sz w:val="28"/>
          <w:sz w:val="28"/>
          <w:szCs w:val="28"/>
          <w:rtl w:val="true"/>
          <w:lang w:bidi="fa-IR"/>
        </w:rPr>
        <w:t xml:space="preserve">هذا الضرب من التسلیم </w:t>
      </w:r>
      <w:r>
        <w:rPr>
          <w:rFonts w:eastAsia="IRNazanin" w:cs="IRNazanin"/>
          <w:color w:val="111111"/>
          <w:sz w:val="28"/>
          <w:szCs w:val="28"/>
          <w:rtl w:val="true"/>
          <w:lang w:bidi="fa-IR"/>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إذا علمت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الصیغة الأخری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الصیغة الأخری بها یتحقّق الإنصراف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إمّا السلام علینا کما یستدعیه کلام الشیخ، أو السلام علیکم، و علی الأوّل لا وجه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یلزم منه أن یکون الترک المرخّص فیه فی الشفع هو السلام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عرفت من أنّ کلام الشیخ صریح فی أنّ السلام المخیّر فیه هو السلام علیکم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المراد من الصیغة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بتلک الصیغة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أیضًا أو السلام علینا، و علی الأوّل یکون حاصل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المذهب أنّ صیغة السلام علیکم یتحقّق بها الإنصراف، و أراد الشیخ رفع التناقض بین‌الأخبار، حَمَل الروایتین علی أنّه إن شاء أتی بتلک الصیغة فهو له، وإن شاء أن یترک فهو له، ولایخفی فساده، لعدم ترتّب الجزاء علی‌الشرط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لمّا کان المذهب تحقّق الإنصراف بصیغة السلام علیکم، و أراد رفع التناقض، حَمَل الروایتین علی أنّه إن شاء أتی بالسلام علینا، و إن شاء ترکه، ویتوجّه علیه أنّه مخالف للواقع لما عرفت من أنّ کلام الشیخ صریحٌ فی أنّ التخییر فی صیغة السلام علیکم بعد أن أتی بصیغة السلام علینا، وهو واردٌ علی الثانی أیضًا، فلیس للعبارة معنی محصّل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 الروایتین علی أنّ التسلیم فی الشفع علی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لایخفی ما فیه، والصواب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الروایتین علی انّ التسلیم المخیّر فیه هو السلام علیکم فیما إذا کان بعد السلام علینا، کما لا یخفی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منه محض إحتمال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عرفت فساده، و أنّه فی کمال الصراحة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الحال أنّ السند فی الروایتین فی کمال الضعف، لاشتماله علی علیّ بن أبی حمزة البطائنیّ الکذّاب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یضحک علیه الثکلی، ویستغربه السفهاء، إذ المذکور فی السندین ـ علی ما فی التهذیب والإستبصار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حمزة، لا علیّ بن أبی حمزة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الغرائب أنّه ـ دام ظلّه ـ أورده عن الإستبصار کذلک </w:t>
      </w:r>
      <w:r>
        <w:rPr>
          <w:rStyle w:val="FootnoteAnchor"/>
          <w:rtl w:val="true"/>
        </w:rPr>
        <w:footnoteReference w:id="1018"/>
      </w:r>
      <w:r>
        <w:rPr>
          <w:rFonts w:ascii="IRNazanin" w:hAnsi="IRNazanin" w:eastAsia="IRNazanin"/>
          <w:color w:val="111111"/>
          <w:sz w:val="28"/>
          <w:sz w:val="28"/>
          <w:szCs w:val="28"/>
          <w:rtl w:val="true"/>
          <w:lang w:bidi="fa-IR"/>
        </w:rPr>
        <w:t xml:space="preserve">، و مع ذلک حکم باشتمال سندهما علی علیّ بن أبی حمزة، وهو من عجائب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أبی حمزة ثقة، وثّقه جماعة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 xml:space="preserve">قال العلاّمة رحمه‌الله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بن أبی حمزة، ثقة فاضل ؛ قال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حمدویه بن نصیر، عن علیّ بن أبی حمزة والحسین بن أبی حمزة ومحمّد أخویه،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ثقات فاضلون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إختیار معرفة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السیّد بحر العلوم فی فوائده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أبی حمزة مشترک بین الثمالی الثقة، والتیملی الّذی ذکره الشیخ رحمه‌الله فی أصحاب الصادق علیه‌السلام من غیر توثیق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هامش الکتاب فی هذا الموضع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وثّقه ابن داود، و ردّ بأنّه لیس فی غیره ؛ والظاهر ـ کما استظهره الأمیر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التفریشی قدس‌سره فی کتابه نقد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اتّحادهما وانّه لا اشتراک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الإشتراک یمکن تعیین انّه الثمالی بروایة ابن أبی عمیر وأیّوب بن نوح عنه، وروایته عن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وینصرف الإطلاق إلی الأوّل، بل لایبعد أن یکون التیملی تصحیفًا للثمالی، فیرتفع الإشتراک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الرجالیة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الوحید البهبهانی رحمه‌الله فی تعلیقته علی رجال الاسترآبادی المطبوعة 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تأمّل فی اتّحادهما،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والظاهر انّه والّذی سیجیء بعنوان ابن أبی حمزة الثمالی واحد، لأنّه فی کتب الرجال ما یدلّ علی تعدّده، ولعلّ منشأ الاثنینیة تصحیف الثمالی بالتیملی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الوجیزة أیضًا حکم بالتصحیف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الوجیزة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ولایخلو ما ذکراه من تأمّل، وفی البلغة لایبعد الإتّحاد، فتأمّل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فالحدیثان صحیحان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تقدیر تسلیم الضعف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التمسّک بضعفهما فی محلّ الکلام،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أعجب عجائب الزمان، لأنّ الضعف إنّما یضرّ علی مَن </w:t>
      </w:r>
    </w:p>
    <w:p>
      <w:pPr>
        <w:pStyle w:val="BookText"/>
        <w:rPr/>
      </w:pPr>
      <w:r>
        <w:rPr>
          <w:rFonts w:ascii="IRNazanin" w:hAnsi="IRNazanin" w:eastAsia="IRNazanin"/>
          <w:color w:val="111111"/>
          <w:sz w:val="28"/>
          <w:sz w:val="28"/>
          <w:szCs w:val="28"/>
          <w:rtl w:val="true"/>
          <w:lang w:bidi="fa-IR"/>
        </w:rPr>
        <w:t>استدلّ بهما لإثبات المرام، و قد عرفت أنّ التمسّک إنّما هو بکلام الشیخ، وذکر صحیحة معاویة بن عمّار إنّما هو لتعیین الموضع الّذی أتی بذلک الکلام فیه، حیث قلنا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شیخ الطائفة صرّح فی التهذیب بجواز الجمع بین الصیغتین فی تشهّد النافلة، حیث قال بعد أن أورد جملة من النصوص الدالّة علی التخییر بین التسلیم فی رکعتی الشفع و عدمه الّتی منها صحیحة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فی رکعتی الوتر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سلّمت، و إن شئت لم تسلّم، ما هذا محصّله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آخر ما قدّمناه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فالتمسّک بضعف سند الحدیث فی هذا المقام من مقابح الأمور، منشاؤه ضعف المتمسّک، لاسیّما بعد ما عرفت من مخالفته للواقع، ومن هنا تبیّن ما لخّصه فی الآخر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وبالجملة لیس فی الخبرین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لایکون المتحصّل منه إلاّ رفع وقع قائله فی نظر الأعلام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کتب الرجال أنّه رأس العمد الواقفیّة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محلّ مؤاخذة، لأنّ عُمُد ـ بالعین والمیم المضمومتین ـ جمع الکثرة لعُمود </w:t>
      </w:r>
      <w:r>
        <w:rPr>
          <w:rStyle w:val="FootnoteAnchor"/>
          <w:rtl w:val="true"/>
        </w:rPr>
        <w:footnoteReference w:id="1020"/>
      </w:r>
      <w:r>
        <w:rPr>
          <w:rFonts w:ascii="Amiri" w:hAnsi="Amiri" w:eastAsia="Amiri" w:cs="Amiri"/>
          <w:color w:val="111111"/>
          <w:sz w:val="28"/>
          <w:sz w:val="28"/>
          <w:szCs w:val="28"/>
          <w:rtl w:val="true"/>
          <w:lang w:bidi="ar-SA"/>
        </w:rPr>
        <w:t xml:space="preserve">، کما انّ أَعْمِدَة جمع القلّة له </w:t>
      </w:r>
      <w:r>
        <w:rPr>
          <w:rStyle w:val="FootnoteAnchor"/>
          <w:rtl w:val="true"/>
        </w:rPr>
        <w:footnoteReference w:id="1021"/>
      </w:r>
      <w:r>
        <w:rPr>
          <w:rFonts w:ascii="IRNazanin" w:hAnsi="IRNazanin" w:eastAsia="IRNazanin"/>
          <w:color w:val="111111"/>
          <w:sz w:val="28"/>
          <w:sz w:val="28"/>
          <w:szCs w:val="28"/>
          <w:rtl w:val="true"/>
          <w:lang w:bidi="fa-IR"/>
        </w:rPr>
        <w:t xml:space="preserve">؛ فعلی هذا، کان المناسب تعریته عن الألف واللام وإضافته إلی الواقفة، کما ذکره النجاشیّ و غیره </w:t>
      </w: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فنسبة العبارة المذکورة إلی کتب الرجال إفتراء علیهم، و لا ینبّئک مثل خبیر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الجمع المضاف من أدوات العموم، فالظاهر من کلامه المذکور انّ هذه العبارة موجودة فی جمیع کتب الرجال، وهو غیر صحیح، لأنّه غیر مذکور فی </w:t>
      </w:r>
    </w:p>
    <w:p>
      <w:pPr>
        <w:pStyle w:val="BookText"/>
        <w:rPr/>
      </w:pPr>
      <w:r>
        <w:rPr>
          <w:rFonts w:ascii="IRNazanin" w:hAnsi="IRNazanin" w:eastAsia="IRNazanin"/>
          <w:color w:val="111111"/>
          <w:sz w:val="28"/>
          <w:sz w:val="28"/>
          <w:szCs w:val="28"/>
          <w:rtl w:val="true"/>
          <w:lang w:bidi="fa-IR"/>
        </w:rPr>
        <w:t>رجال الکشّی، ولا فی رجال شیخ الطائفة، ولا فی فهرسته، ولا فی رجال النجاشیّ، ولا فی خلاصة العلاّمة، و لا فی رجال ابن داود، و لا فی کتاب منهج المقال فی تحقیق أحوال الرجال، ولافی کتاب تلخیص الأقوال، ولافی نقد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رجال النجاشیّ والعلاّمة فی ترجمة علیّ بن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أحد عمد الواقفة </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منهج المقال و غیره أیضًا </w:t>
      </w:r>
      <w:r>
        <w:rPr>
          <w:rStyle w:val="FootnoteAnchor"/>
          <w:rtl w:val="true"/>
        </w:rPr>
        <w:footnoteReference w:id="1024"/>
      </w:r>
      <w:r>
        <w:rPr>
          <w:rFonts w:ascii="IRNazanin" w:hAnsi="IRNazanin" w:eastAsia="IRNazanin"/>
          <w:color w:val="111111"/>
          <w:sz w:val="28"/>
          <w:sz w:val="28"/>
          <w:szCs w:val="28"/>
          <w:rtl w:val="true"/>
          <w:lang w:bidi="fa-IR"/>
        </w:rPr>
        <w:t xml:space="preserve">لکن نقلاً عنهما، والفرق بینه و بین ما ذکره ـ دام ظلّه ـ من وجوه،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المضاف فی کلامهما </w:t>
      </w:r>
      <w:r>
        <w:rPr>
          <w:rStyle w:val="FootnoteAnchor"/>
          <w:rtl w:val="true"/>
        </w:rPr>
        <w:footnoteReference w:id="1025"/>
      </w:r>
      <w:r>
        <w:rPr>
          <w:rFonts w:ascii="IRNazanin" w:hAnsi="IRNazanin" w:eastAsia="IRNazanin"/>
          <w:color w:val="111111"/>
          <w:sz w:val="28"/>
          <w:sz w:val="28"/>
          <w:szCs w:val="28"/>
          <w:rtl w:val="true"/>
          <w:lang w:bidi="fa-IR"/>
        </w:rPr>
        <w:t xml:space="preserve">إلی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وفی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و الفرق بینهما بحسب المعنی ظاهر، إذ معنی قول مَن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أحد عمد الواقفة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أحد رؤسائهم، و هذا المعنی لا یصحّ إرادته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رأس العمد الواقفیّة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ستقف علیه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المذکور فی کلام النجاشی و العلاّمة إیراد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الألف واللام، مضافة إلی الواقفة، والمذکور فی کلامه ـ دام ظلّه ـ معها، فلا یکون مضافة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الواقفة فی کلامهما من غیر یاء النسبة، و فی کلامه معها، و معنی قولهما قد عرفته، و ما ذکره ـ دام ظلّه ـ نقلاً عن کتب الرجال المجعول علیهم ممّا لا معنی له، و علی فرض تسلیم أن یتکلّف له معنی، لا یمکن اتّحاده مع ما عرفت، ومعلوم أنّ النقل بالمعنی إنّما یجوز إذا لم یتحقّق المخالفة ؛ لکنّ الإنصاف أنّ هذا مع ما فیه من القبح، ینبغی أن یعدّ من المحاسن بالإضافة إلی سایر المقابح الّتی </w:t>
      </w:r>
    </w:p>
    <w:p>
      <w:pPr>
        <w:pStyle w:val="BookText"/>
        <w:rPr/>
      </w:pPr>
      <w:r>
        <w:rPr>
          <w:rFonts w:ascii="IRNazanin" w:hAnsi="IRNazanin" w:eastAsia="IRNazanin"/>
          <w:color w:val="111111"/>
          <w:sz w:val="28"/>
          <w:sz w:val="28"/>
          <w:szCs w:val="28"/>
          <w:rtl w:val="true"/>
          <w:lang w:bidi="fa-IR"/>
        </w:rPr>
        <w:t xml:space="preserve">صدرت منه فی هذا المقام، فضلاً عمّا عرفت ممّا صدر منه فی المباحث السالفة، فاعتبروا یا أولی الأبصار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بعث جدّی المخاطب بخطاب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لولاک لما خلقت الأفلاک </w:t>
      </w:r>
      <w:r>
        <w:rPr>
          <w:rStyle w:val="FootnoteAnchor"/>
          <w:rtl w:val="true"/>
        </w:rPr>
        <w:footnoteReference w:id="1027"/>
      </w:r>
      <w:r>
        <w:rPr>
          <w:rFonts w:ascii="IRNazanin" w:hAnsi="IRNazanin" w:eastAsia="IRNazanin"/>
          <w:color w:val="111111"/>
          <w:sz w:val="28"/>
          <w:sz w:val="28"/>
          <w:szCs w:val="28"/>
          <w:rtl w:val="true"/>
          <w:lang w:bidi="fa-IR"/>
        </w:rPr>
        <w:t>ـ صلوات اللّه و سلامه علیه و علی آله الأطهار ـ انّی لفی شدید التعجّب فی أنّ مَن کانت هذه بضاعته فی الفنّ و مبانیه، کیف یهیّئ نفسه لتصدّی مسائل الحلال والحرام، وجعل محلّه مقام أمناء اللّه الکرام وحججه الکمَّل الّذین بهم الإفتتاح والختام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انتهی الکلام إلی هذا المقام، خطر بخاطری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أتأمرون الناس بالبرّ و تنسون أنفسکم </w:t>
      </w:r>
      <w:r>
        <w:rPr>
          <w:rFonts w:eastAsia="IRNazanin" w:cs="IRNazanin"/>
          <w:color w:val="111111"/>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 xml:space="preserve">، ففاضت الدموع من عینی،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که منعت می‌کنم، هستم بدردت مبتلا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محیص إلاّ الإلتجاء بتفضّله سبحانه،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یا سیّدی إنّک أنشأتنی سویًّا، و ربّیتنی صغیرًا، ورزقتنی مکفیًّا، فلک الحمد کلّما حمدک حامد، و کما أنت أهله و مستحقّه، و أسئلک بقدرتک الّتی بها أنشأت السموات و الأرضین و تفضّلک علی العالمین و حبیبک سیّد المرسلین و ولیّک علیّ أمیرالمؤمنین والأئمّة الطاهرین و حجّتک القائم علی العالمین والأنبیاء المرسلین والملائکة المقرّبین أن لاتؤاخذنا بسوء أعمالنا وبما صدر منّا من المسامحة فی شریعتک، و تعفو عن کبائر ذنوبنا و صغائرها، وبواطن </w:t>
      </w:r>
      <w:bookmarkStart w:id="307" w:name="pg3709_22316"/>
    </w:p>
    <w:p>
      <w:pPr>
        <w:pStyle w:val="BookText"/>
        <w:rPr/>
      </w:pPr>
      <w:bookmarkEnd w:id="307"/>
      <w:r>
        <w:rPr>
          <w:rFonts w:ascii="IRNazanin" w:hAnsi="IRNazanin" w:eastAsia="IRNazanin"/>
          <w:color w:val="111111"/>
          <w:sz w:val="28"/>
          <w:sz w:val="28"/>
          <w:szCs w:val="28"/>
          <w:rtl w:val="true"/>
          <w:lang w:bidi="fa-IR"/>
        </w:rPr>
        <w:t>سیّئاتنا و ظواهرها، و سوالف زلاّتنا وحوادثها، و تعیننا علی طاعتک، و تمنعنا من ارتکاب معصیتک، و لا تکلنا إلی أنفسنا طرفة عین، و لا فی حوائجنا إلی المخلوقین، فإنّک المنّان علی العالمین، والفیّاض للمطیعین، والغفّار للعاصین</w:t>
      </w:r>
      <w:r>
        <w:rPr>
          <w:rFonts w:eastAsia="IRNazanin" w:cs="IRNazanin"/>
          <w:color w:val="111111"/>
          <w:sz w:val="28"/>
          <w:szCs w:val="28"/>
          <w:rtl w:val="true"/>
          <w:lang w:bidi="fa-IR"/>
        </w:rPr>
        <w:t>.</w:t>
      </w:r>
    </w:p>
    <w:p>
      <w:pPr>
        <w:pStyle w:val="Heading4"/>
        <w:numPr>
          <w:ilvl w:val="3"/>
          <w:numId w:val="1"/>
        </w:numPr>
        <w:rPr/>
      </w:pPr>
      <w:bookmarkStart w:id="308" w:name="__RefHeading___Toc594237_2281741623"/>
      <w:bookmarkStart w:id="309" w:name="_Toc109"/>
      <w:bookmarkEnd w:id="308"/>
      <w:r>
        <w:rPr>
          <w:rtl w:val="true"/>
        </w:rPr>
        <w:t xml:space="preserve">ومنها قوله بعد ما حکینا عنه فیما سلف </w:t>
      </w:r>
      <w:r>
        <w:rPr>
          <w:rtl w:val="true"/>
        </w:rPr>
        <w:t xml:space="preserve">: </w:t>
      </w:r>
      <w:r>
        <w:rPr>
          <w:rtl w:val="true"/>
        </w:rPr>
        <w:t>و قوله، إلخ</w:t>
      </w:r>
      <w:bookmarkEnd w:id="309"/>
    </w:p>
    <w:p>
      <w:pPr>
        <w:pStyle w:val="BookText"/>
        <w:rPr/>
      </w:pPr>
      <w:r>
        <w:rPr>
          <w:rFonts w:ascii="IRNazanin" w:hAnsi="IRNazanin" w:eastAsia="IRNazanin"/>
          <w:color w:val="111111"/>
          <w:sz w:val="28"/>
          <w:sz w:val="28"/>
          <w:szCs w:val="28"/>
          <w:rtl w:val="true"/>
          <w:lang w:bidi="fa-IR"/>
        </w:rPr>
        <w:t xml:space="preserve">قوله ـ دام ظلّه ـ بعد ما حکینا عنه فیما سلف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المذهب أنّ تلک الصیغة یتحقّق به الإنصراف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نحن أیضًا نقول به، ولکنّا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الشارع فی النافلة هو التسلیم، و معناه المتبادر هو السلام الشائع، ولا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أنّه أتی بالسلام علینا لم یتحقّق الإنصراف،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أنّ شیئین یفسدان الصلوة،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الصیغة، والآخر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تعالی جدّک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وقد ذکرنا فی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أیضًا منظورٌ فیه، لأنّ ما ذکره ـ أی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المذهب أنّ تلک الصیغة یتحقّق به الإنصراف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الظاهر أنّ الضمیر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 یعود إلی شیخ الطائفة، لعدم إمکان إرادة غیره، بناء علی أنّه حکی ما حکیناه عنه بالمعنی، فجعل الألف واللام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عوضًا عن المضاف إلیه، فالمراد أنّ قول الشیخ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مذهب الشیعة أنّ صیغة السلام علینا یتحقّق بها الإنصراف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أراد به کلامه فی التهذیب، و 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عندنا أنّ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فی التشهّد، فقد انقطعت صلوته </w:t>
      </w:r>
      <w:r>
        <w:rPr>
          <w:rFonts w:eastAsia="IRNazanin" w:cs="IRNazanin"/>
          <w:color w:val="111111"/>
          <w:sz w:val="28"/>
          <w:szCs w:val="28"/>
          <w:rtl w:val="true"/>
          <w:lang w:bidi="fa-IR"/>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أیضًا نقول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الإذعان بتحقّق الإنصراف بصیغة </w:t>
      </w:r>
    </w:p>
    <w:p>
      <w:pPr>
        <w:pStyle w:val="BookText"/>
        <w:rPr/>
      </w:pPr>
      <w:r>
        <w:rPr>
          <w:rFonts w:ascii="IRNazanin" w:hAnsi="IRNazanin" w:eastAsia="IRNazanin"/>
          <w:color w:val="111111"/>
          <w:sz w:val="28"/>
          <w:sz w:val="28"/>
          <w:szCs w:val="28"/>
          <w:rtl w:val="true"/>
          <w:lang w:bidi="fa-IR"/>
        </w:rPr>
        <w:t>السلام علینا فی النافلة، و لقد أجری اللّه تعالی الحقّ بلسانه و هو غیر شاعر به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أذعنتَ بذلک، یلزمک الإعتراف بفساد ما کنتَ معتقدًا له فیما قبل من القول بتعیّن السلام علیکم فی الإنصراف عن النافلة، فلم تکتمون الحقّ وأنتم تعلمون </w:t>
      </w:r>
      <w:r>
        <w:rPr>
          <w:rStyle w:val="FootnoteAnchor"/>
          <w:rtl w:val="true"/>
        </w:rPr>
        <w:footnoteReference w:id="103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کیف یجتمع هذا الإذعان مع المبالغة الّتی صدرت منه فی السابق فی إنکار الإنصراف بتلک الصیغة عن النافلة،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قلت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إنصرفتم، فإن أجاب بأنّ ذلک وقع منّا فی الفریضة و قد جوّزنا ذلک فی الفریضة لحکمة خفیّة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أیّ جهة جعلتموها فی النافلة مع تحریم القیاس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غیر ذلک من کلماته المتهافیة الرکیکة، فإنّ مقتضی ذلک حرمة الإتیان بصیغة السلام علینا فی النافلة، حتّی جعل المنشأ فی ذلک القیاس، و مع ذلک یقول فی هذا 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أیضًا نقول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أقسمک باللّه الّذی أنشأ السموات و الأرضین من غیر ممدّ و نصیر، هل یمکن صدور أمثال ذلک إلاّ ممّن سلب منه العقل وانخرط </w:t>
      </w:r>
      <w:r>
        <w:rPr>
          <w:rStyle w:val="FootnoteAnchor"/>
          <w:rtl w:val="true"/>
        </w:rPr>
        <w:footnoteReference w:id="1031"/>
      </w:r>
      <w:r>
        <w:rPr>
          <w:rFonts w:ascii="IRNazanin" w:hAnsi="IRNazanin" w:eastAsia="IRNazanin"/>
          <w:color w:val="111111"/>
          <w:sz w:val="28"/>
          <w:sz w:val="28"/>
          <w:szCs w:val="28"/>
          <w:rtl w:val="true"/>
          <w:lang w:bidi="fa-IR"/>
        </w:rPr>
        <w:t xml:space="preserve">فی عداد المجانین، أو ممّن ثبت النقوش فی الطُرُوس </w:t>
      </w:r>
      <w:r>
        <w:rPr>
          <w:rStyle w:val="FootnoteAnchor"/>
          <w:rtl w:val="true"/>
        </w:rPr>
        <w:footnoteReference w:id="1032"/>
      </w:r>
      <w:r>
        <w:rPr>
          <w:rFonts w:ascii="IRNazanin" w:hAnsi="IRNazanin" w:eastAsia="IRNazanin"/>
          <w:color w:val="111111"/>
          <w:sz w:val="28"/>
          <w:sz w:val="28"/>
          <w:szCs w:val="28"/>
          <w:rtl w:val="true"/>
          <w:lang w:bidi="fa-IR"/>
        </w:rPr>
        <w:t>من غیر شعور بالمدلول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أعجب من ذلک الإستدراک المذکور فی کلامه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الشارع فی النافلة و هو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فإنّ الحاصل من الکلام هو أنّا </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 المصلّی فی النافلة بصیغة السلام علینا، یتحقّق بها الإنصراف من الصلوة، لکنّه لم یرد من الشارع ذلک، و لا یتنبّه علی أنّه لو لم یرد من الشارع لم یجز الإتیان بها، فضلاً عن تحقّق الإنصراف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ما فی الإستشهاد المذکور فی کلامه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و قد ورد أنّ شیئین یفسدان الصلوة،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الصیغة، و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جدّک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المراد من الإنصراف الّذی کان فی کلام شیخ الطائفة ـ و قد سلّمه دام ظلّه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أیضًا نقول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 الفراغ من الصلوة بتلک الصیغة، و هو غیر الإفساد المذکور فی هذا الحدیث ؛ والظاهر أنّ المراد من هذا الحدیث التنبیه علی فساد ما علیه العامّة، کما أنّ الناس فی الغالب إشارة إلیهم، حیث أنّهم یوردون السلام علینا فی التشهّد الأوّل أیضًا، و أشار علیه‌السلام إلی أنّهم یبطلون صلوتهم بذلک، و أین ذلک من الإنصراف الّذی یکون الکلام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تسلیم کون المراد من الإفساد فی هذا الحدیث الإنصراف والفراغ ـ کما یظهر من کلامه، لأنّه سلّم ما یظهر من کلام شیخ الطائفة و قال تأکیدًا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نقول لو أنّه أتی بالسلام علینا لم یتحقّق الإنصراف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جعل الحدیث المذکور شاهدًا علیه ـ یکون هذا الحدیث ممّا دلّ علی تحقّق الإنصراف بتلک الصیغة فی مطلق الصلوات، حتّی فی النافلة، بناء علی ما ذکره، فکیف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الإنصراف بتلک الصیغة فی النافلة لم یرد من الشارع و أنّه من خواصّ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یمکن صدوره ممّن عرف مدلول کلامه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کیف یجتمع ذلک مع الحصر الّذی أراد من کلامه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الشارع فی النافلة هو التسلیم، و معناه المتبادر هو السلام الشائع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10" w:name="pg3709_22319"/>
    </w:p>
    <w:p>
      <w:pPr>
        <w:pStyle w:val="BookText"/>
        <w:rPr/>
      </w:pPr>
      <w:bookmarkEnd w:id="310"/>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غریب، بل أعجب من کلّ عجیب، هل یمکن صدوره من العاقل اللبیب ؟</w:t>
      </w:r>
      <w:r>
        <w:rPr>
          <w:rFonts w:eastAsia="IRNazanin" w:cs="IRNazanin"/>
          <w:color w:val="111111"/>
          <w:sz w:val="28"/>
          <w:szCs w:val="28"/>
          <w:rtl w:val="true"/>
          <w:lang w:bidi="fa-IR"/>
        </w:rPr>
        <w:t>!</w:t>
      </w:r>
    </w:p>
    <w:p>
      <w:pPr>
        <w:pStyle w:val="Heading4"/>
        <w:numPr>
          <w:ilvl w:val="3"/>
          <w:numId w:val="1"/>
        </w:numPr>
        <w:rPr/>
      </w:pPr>
      <w:bookmarkStart w:id="311" w:name="__RefHeading___Toc594239_2281741623"/>
      <w:bookmarkStart w:id="312" w:name="_Toc110"/>
      <w:bookmarkEnd w:id="311"/>
      <w:r>
        <w:rPr>
          <w:rtl w:val="true"/>
        </w:rPr>
        <w:t xml:space="preserve">ومنها قوله </w:t>
      </w:r>
      <w:r>
        <w:rPr>
          <w:rtl w:val="true"/>
        </w:rPr>
        <w:t xml:space="preserve">: </w:t>
      </w:r>
      <w:r>
        <w:rPr>
          <w:rtl w:val="true"/>
        </w:rPr>
        <w:t>وأمّا قوله</w:t>
      </w:r>
      <w:r>
        <w:rPr>
          <w:rtl w:val="true"/>
        </w:rPr>
        <w:t xml:space="preserve">: </w:t>
      </w:r>
      <w:r>
        <w:rPr>
          <w:rtl w:val="true"/>
        </w:rPr>
        <w:t>قول الفقیه الواحد لایصلح أن یجعل، إلخ</w:t>
      </w:r>
      <w:bookmarkEnd w:id="312"/>
    </w:p>
    <w:p>
      <w:pPr>
        <w:pStyle w:val="BookText"/>
        <w:rPr/>
      </w:pPr>
      <w:r>
        <w:rPr>
          <w:rFonts w:ascii="IRNazanin" w:hAnsi="IRNazanin" w:eastAsia="IRNazanin"/>
          <w:color w:val="111111"/>
          <w:sz w:val="28"/>
          <w:sz w:val="28"/>
          <w:szCs w:val="28"/>
          <w:rtl w:val="true"/>
          <w:lang w:bidi="fa-IR"/>
        </w:rPr>
        <w:t xml:space="preserve">قوله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الفقیه الواحد لایصلح أن یجعل دلیلاً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حقّ و لکن یرد هذا علی من جعل قول الشیخ دلیلاً، وما أدری من أین أخذ هذا، و مَن جعله دلیلاً ؟</w:t>
      </w:r>
    </w:p>
    <w:p>
      <w:pPr>
        <w:pStyle w:val="BookText"/>
        <w:rPr/>
      </w:pPr>
      <w:r>
        <w:rPr>
          <w:rFonts w:ascii="IRNazanin" w:hAnsi="IRNazanin" w:eastAsia="IRNazanin"/>
          <w:color w:val="111111"/>
          <w:sz w:val="28"/>
          <w:sz w:val="28"/>
          <w:szCs w:val="28"/>
          <w:rtl w:val="true"/>
          <w:lang w:bidi="fa-IR"/>
        </w:rPr>
        <w:t xml:space="preserve">أیّها المتصدّی لمسائل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علمک بأنّه لم یکن لک فی هذا الحکم فی أوّل الأمر سوی کلام شیخ الطائفة فی المصباح، کیف تنکر هذا المقال مع أنّ السلوک فی مسلک الإنصاف ممّا یقضی به العقل والنقل المستطاب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Style w:val="FootnoteAnchor"/>
          <w:rtl w:val="true"/>
        </w:rPr>
        <w:footnoteReference w:id="103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أدری من أین أخذ هذا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قلنا له فی مجلس المباحثة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أخذنا ذلک من کلامکم فی مقام الإستدلال لإثبات فتواکم، حیث قلتم بعد الحکم بتعیّن السلام علیکم فی النافلة و عدم جواز الإتیان بالسلام علینا ما هذا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له إشتباه فی هذا الحکم، فلیرجع إلی کتاب المصباح، فإنّه إذا رجع إلیه یرفع إشتباهه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یمکن رفع الإشتباه من غیر الدلیل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أخذنا ذلک من کلامکم المذکور،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ذلک للعوام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العامیّ إذا رجع إلی کلام الشیخ فی المصباح یرفع إشتباهه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العامیّ حجّته قول المفتیّ، فبعد الإطّلاع علیه لایبقی له إشتباه حتّی یزول بالرجوع إلی کلام فقیه، ثمّ علی تقدیر الإشتباه کیف یرفع بالرجوع إلی کلام فقیه ؟</w:t>
      </w:r>
      <w:r>
        <w:rPr>
          <w:rFonts w:eastAsia="IRNazanin" w:cs="IRNazanin"/>
          <w:color w:val="111111"/>
          <w:sz w:val="28"/>
          <w:szCs w:val="28"/>
          <w:rtl w:val="true"/>
          <w:lang w:bidi="fa-IR"/>
        </w:rPr>
        <w:t xml:space="preserve">! </w:t>
      </w:r>
      <w:bookmarkStart w:id="313" w:name="pg3709_22320"/>
    </w:p>
    <w:p>
      <w:pPr>
        <w:pStyle w:val="BookText"/>
        <w:rPr/>
      </w:pPr>
      <w:bookmarkEnd w:id="313"/>
      <w:r>
        <w:rPr>
          <w:rFonts w:ascii="IRNazanin" w:hAnsi="IRNazanin" w:eastAsia="IRNazanin"/>
          <w:color w:val="111111"/>
          <w:sz w:val="28"/>
          <w:sz w:val="28"/>
          <w:szCs w:val="28"/>
          <w:rtl w:val="true"/>
          <w:lang w:bidi="fa-IR"/>
        </w:rPr>
        <w:t xml:space="preserve">ثمّ لایخفی أنّ المناسب إیراد هذا الکلام قبل التعرّض لکلام التهذیب، لأنّا ذکرناه کذلک، فلاحظ الرسالة حتّی یظهر لک حقیقة الحال </w:t>
      </w:r>
      <w:r>
        <w:rPr>
          <w:rFonts w:eastAsia="IRNazanin" w:cs="IRNazanin"/>
          <w:color w:val="111111"/>
          <w:sz w:val="28"/>
          <w:szCs w:val="28"/>
          <w:rtl w:val="true"/>
          <w:lang w:bidi="fa-IR"/>
        </w:rPr>
        <w:t>.</w:t>
      </w:r>
    </w:p>
    <w:p>
      <w:pPr>
        <w:pStyle w:val="Heading4"/>
        <w:numPr>
          <w:ilvl w:val="3"/>
          <w:numId w:val="1"/>
        </w:numPr>
        <w:rPr/>
      </w:pPr>
      <w:bookmarkStart w:id="314" w:name="__RefHeading___Toc594241_2281741623"/>
      <w:bookmarkStart w:id="315" w:name="_Toc111"/>
      <w:bookmarkEnd w:id="314"/>
      <w:r>
        <w:rPr>
          <w:rtl w:val="true"/>
        </w:rPr>
        <w:t xml:space="preserve">ومنها قوله </w:t>
      </w:r>
      <w:r>
        <w:rPr>
          <w:rtl w:val="true"/>
        </w:rPr>
        <w:t xml:space="preserve">: </w:t>
      </w:r>
      <w:r>
        <w:rPr>
          <w:rtl w:val="true"/>
        </w:rPr>
        <w:t>وکما أنّ قول الفقیه الواحد لا یصلح للدلالة، إلخ</w:t>
      </w:r>
      <w:bookmarkEnd w:id="31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أنّ قول الفقیه الواحد لا یصلح للدلالة، قول الفقیهین وثلثة وأربعة کذلک ما لم یبلغ درجة الإجماع، فالتقیید بالواحد یوهم خلاف الواقع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مفهوم القید إنّما یعتبر عند المحقّقین إذا لم یظهر للتقیید فائدة، والباعث علی التقیید فیما نحن فیه هو التنبیه علی حقیقة الحال و الواقع، لا لأنّه عند إنتفاء الوحدة یصلح القول للدلالة </w:t>
      </w:r>
      <w:r>
        <w:rPr>
          <w:rFonts w:eastAsia="IRNazanin" w:cs="IRNazanin"/>
          <w:color w:val="111111"/>
          <w:sz w:val="28"/>
          <w:szCs w:val="28"/>
          <w:rtl w:val="true"/>
          <w:lang w:bidi="fa-IR"/>
        </w:rPr>
        <w:t>.</w:t>
      </w:r>
    </w:p>
    <w:p>
      <w:pPr>
        <w:pStyle w:val="Heading4"/>
        <w:numPr>
          <w:ilvl w:val="3"/>
          <w:numId w:val="1"/>
        </w:numPr>
        <w:rPr/>
      </w:pPr>
      <w:bookmarkStart w:id="316" w:name="__RefHeading___Toc594243_2281741623"/>
      <w:bookmarkStart w:id="317" w:name="_Toc112"/>
      <w:bookmarkEnd w:id="316"/>
      <w:r>
        <w:rPr>
          <w:rtl w:val="true"/>
        </w:rPr>
        <w:t xml:space="preserve">ومنها قوله </w:t>
      </w:r>
      <w:r>
        <w:rPr>
          <w:rtl w:val="true"/>
        </w:rPr>
        <w:t xml:space="preserve">: </w:t>
      </w:r>
      <w:r>
        <w:rPr>
          <w:rtl w:val="true"/>
        </w:rPr>
        <w:t>وأمّا قول الفقیه الواحد ـ سیّما إذا کان شیخ، إلخ</w:t>
      </w:r>
      <w:bookmarkEnd w:id="317"/>
    </w:p>
    <w:p>
      <w:pPr>
        <w:pStyle w:val="BookText"/>
        <w:rPr/>
      </w:pPr>
      <w:r>
        <w:rPr>
          <w:rFonts w:ascii="IRNazanin" w:hAnsi="IRNazanin" w:eastAsia="IRNazanin"/>
          <w:color w:val="111111"/>
          <w:sz w:val="28"/>
          <w:sz w:val="28"/>
          <w:szCs w:val="28"/>
          <w:rtl w:val="true"/>
          <w:lang w:bidi="fa-IR"/>
        </w:rPr>
        <w:t xml:space="preserve">قوله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 الفقیه الواحد ـ سیّما إذا کان شیخ الطائفة ورئیس الفرقة المحقّة ـ للتأیید و نصرة القول، فهو یصلح ویلیق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من عجائب الزمان، لا یمکن أن یصدر ممّن له حظّ من الإنصاف ولو بمقدار رأس إبرة، بل مثقال ذرّة، لظهور أنّ ذلک لیس قولاً، بل ظهور مستند إلی السکوت فی مقام البیان، و تعبیرنا بالقول من باب المماشات مع الخصم، و قولنا فی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وجه للتعویل علی ما یوهمه کلامه 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علیه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 فإذا أوردنا منه کلامًا صریحًا فی خلافه، بل مظهرًا لإجماع الشیعة علی خلافه، کیف یبقی ذلک الظهور صالحًا للتأیید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یمکن أن یصدر </w:t>
      </w:r>
      <w:bookmarkStart w:id="318" w:name="pg3709_22321"/>
    </w:p>
    <w:p>
      <w:pPr>
        <w:pStyle w:val="BookText"/>
        <w:rPr/>
      </w:pPr>
      <w:bookmarkEnd w:id="318"/>
      <w:r>
        <w:rPr>
          <w:rFonts w:ascii="IRNazanin" w:hAnsi="IRNazanin" w:eastAsia="IRNazanin"/>
          <w:color w:val="111111"/>
          <w:sz w:val="28"/>
          <w:sz w:val="28"/>
          <w:szCs w:val="28"/>
          <w:rtl w:val="true"/>
          <w:lang w:bidi="fa-IR"/>
        </w:rPr>
        <w:t>ذلک ممّن له أدنی حظّ من الإنصاف والبصیرة، و کان قابلاً للإختلاف إلی مجالس العلماء الأجلّة، فضلاً عمّن هیّأ نفسه للتصرّف فی الأحکام الشرعیّة، وجعله من خلفاء الأنوار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تعالی من سوء الفاتحة والخاتمة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ما فی قوله، إذ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للتأیید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فالمناسب أن یؤخّر عن عامله، أو یقدّم علیه، لکن یذکر متوسّطًا بین جزئی الجزاء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للتأیید ونصرة القول یصلح ؛ لئلاّ یلزم تقدیم المعمول علی الفاء الجزائیّة </w:t>
      </w:r>
      <w:r>
        <w:rPr>
          <w:rFonts w:eastAsia="IRNazanin" w:cs="IRNazanin"/>
          <w:color w:val="111111"/>
          <w:sz w:val="28"/>
          <w:szCs w:val="28"/>
          <w:rtl w:val="true"/>
          <w:lang w:bidi="fa-IR"/>
        </w:rPr>
        <w:t>.</w:t>
      </w:r>
    </w:p>
    <w:p>
      <w:pPr>
        <w:pStyle w:val="Heading4"/>
        <w:numPr>
          <w:ilvl w:val="3"/>
          <w:numId w:val="1"/>
        </w:numPr>
        <w:rPr/>
      </w:pPr>
      <w:bookmarkStart w:id="319" w:name="__RefHeading___Toc594245_2281741623"/>
      <w:bookmarkStart w:id="320" w:name="_Toc113"/>
      <w:bookmarkEnd w:id="319"/>
      <w:r>
        <w:rPr>
          <w:rtl w:val="true"/>
        </w:rPr>
        <w:t xml:space="preserve">ومنها قوله </w:t>
      </w:r>
      <w:r>
        <w:rPr>
          <w:rtl w:val="true"/>
        </w:rPr>
        <w:t xml:space="preserve">: </w:t>
      </w:r>
      <w:r>
        <w:rPr>
          <w:rtl w:val="true"/>
        </w:rPr>
        <w:t>وظاهره دعوی إجماع الشیعة، ففیه أنّ ظهور، إلخ</w:t>
      </w:r>
      <w:bookmarkEnd w:id="320"/>
    </w:p>
    <w:p>
      <w:pPr>
        <w:pStyle w:val="BookText"/>
        <w:rPr/>
      </w:pPr>
      <w:r>
        <w:rPr>
          <w:rFonts w:ascii="IRNazanin" w:hAnsi="IRNazanin" w:eastAsia="IRNazanin"/>
          <w:color w:val="111111"/>
          <w:sz w:val="28"/>
          <w:sz w:val="28"/>
          <w:szCs w:val="28"/>
          <w:rtl w:val="true"/>
          <w:lang w:bidi="fa-IR"/>
        </w:rPr>
        <w:t xml:space="preserve">قوله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دعوی إجماع الشیعة، ففیه أنّ ظهور دعواه الإجماع فی محلّ المنع، ولکن بعد التسلیم و إغماض النظر، غایة ما فی الباب وقوع الإنصراف بتلک الصیغة، و أمّا أنّ النافلة فالمعتبر فیه هو بعینه ما یعتبر فی الفریضة، فأین من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ذکرنا أنّ الشیخ غرضه رفع الإختلاف بأیّ وجه إتّفق، ولو کان فی نهایة البُعد والکُلفة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أیضًا نظرٌ، لظهور أنّ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کلمات فقهائنا ـ أعلی اللّه مقامهم ـ مصطلحة فی مقابلة العامّة، فالمراد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علماء الشیعة، و منع ذلک ناش من قلّة الأنس باصطلاحهم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 بعد التسلیم و إغماض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فأین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عجائب الزمان و غرائب الدوران، لأنّ کلامنا صریحٌ فی أنّ إیراد کلام الشیخ فی التهذیب إنّما هو للدلالة علی أنّه یقول بجواز الجمع بین السلام علینا والسلام </w:t>
      </w:r>
    </w:p>
    <w:p>
      <w:pPr>
        <w:pStyle w:val="BookText"/>
        <w:rPr/>
      </w:pPr>
      <w:r>
        <w:rPr>
          <w:rFonts w:ascii="IRNazanin" w:hAnsi="IRNazanin" w:eastAsia="IRNazanin"/>
          <w:color w:val="111111"/>
          <w:sz w:val="28"/>
          <w:sz w:val="28"/>
          <w:szCs w:val="28"/>
          <w:rtl w:val="true"/>
          <w:lang w:bidi="fa-IR"/>
        </w:rPr>
        <w:t xml:space="preserve">علیکم فی تشهّد النافلة، حیث 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ذلک، 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دلیل یدلّ علی لزوم الإقتصار فی النوافل بصیغة السلام علیکم وعدم جواز الجمع بینها وبین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ثانیًا فلأنّه صرّح فی التهذیب بجواز الجمع بین الصیغتین فی تشهّد النافلة،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قلنا بعد إیراد کلامه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الکلام منه ـ قدّس اللّه روحه ـ تصریحٌ بجواز الجمع بین السلام علینا و علی عباد اللّه الصالحین و بین السلام علیکم فی تشهّد الشفع، بل فی تشهّد مطلق النوافل، بل فی مطلق التشهّد، و ظاهره دعوی إجماع الشیعة علیه، ومع ذلک لاوجه للتعویل علی ما یوهمه کلامه فی المصباح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والمفروض أنّ صاحبنا المنصف ـ دام ظلّه ـ سلّم دلالة الکلام علیه، بل ظهوره فی دعوی الإجماع علیه، و مع ذلک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أنّ النافلة فالمعتبر فیه هو بعینه ما یعتبر فی الفریضة، فأین من هذا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أنشدک باللّه العلیّ العظیم أنّ مَن له أدنی حظّ من الفهم و البصیرة، هل یقدر أن یأتی بمثل هذه المقالة الّتی لا یمکن صدورها ممّن اختلف إلی مجالس الطلبة، فضلاً عمّن کان معدودًا من جملة العلماء الأجلّة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استند إلی کلام الشیخ فی إثبات أنّ المعتبر فی النافلة هو المعتبر فی الفریضة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أنّ مدّعاه لزوم الإقتصار فی تشهّد النوافل بصیغة السلام علیکم و عدم جواز الجمع بینها و بین السلام علینا مثلاً، نظرًا إلی أنّ کلام المصباح </w:t>
      </w:r>
    </w:p>
    <w:p>
      <w:pPr>
        <w:pStyle w:val="BookText"/>
        <w:rPr/>
      </w:pPr>
      <w:r>
        <w:rPr>
          <w:rFonts w:ascii="IRNazanin" w:hAnsi="IRNazanin" w:eastAsia="IRNazanin"/>
          <w:color w:val="111111"/>
          <w:sz w:val="28"/>
          <w:sz w:val="28"/>
          <w:szCs w:val="28"/>
          <w:rtl w:val="true"/>
          <w:lang w:bidi="fa-IR"/>
        </w:rPr>
        <w:t xml:space="preserve">ظاهرٌ فیه، و قد نبّهنا علی أنّ الکلام المذکور منه </w:t>
      </w:r>
      <w:r>
        <w:rPr>
          <w:rStyle w:val="FootnoteAnchor"/>
          <w:rtl w:val="true"/>
        </w:rPr>
        <w:footnoteReference w:id="1034"/>
      </w:r>
      <w:r>
        <w:rPr>
          <w:rFonts w:ascii="IRNazanin" w:hAnsi="IRNazanin" w:eastAsia="IRNazanin"/>
          <w:color w:val="111111"/>
          <w:sz w:val="28"/>
          <w:sz w:val="28"/>
          <w:szCs w:val="28"/>
          <w:rtl w:val="true"/>
          <w:lang w:bidi="fa-IR"/>
        </w:rPr>
        <w:t xml:space="preserve">فی التهذیب صریح فی جواز الإقتصار بصیغة السلام علینا فقط، و فی جواز الجمع بینها و بین السلام علیکم،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عندنا أنّ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فی التشهّد، فقد انقطعت صلوته </w:t>
      </w:r>
      <w:r>
        <w:rPr>
          <w:rFonts w:eastAsia="IRNazanin" w:cs="IRNazanin"/>
          <w:color w:val="111111"/>
          <w:sz w:val="28"/>
          <w:szCs w:val="28"/>
          <w:rtl w:val="true"/>
          <w:lang w:bidi="fa-IR"/>
        </w:rPr>
        <w:t xml:space="preserve">» </w:t>
      </w:r>
      <w:r>
        <w:rPr>
          <w:rStyle w:val="FootnoteAnchor"/>
          <w:rtl w:val="true"/>
        </w:rPr>
        <w:footnoteReference w:id="1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و برکاته، جاز و إن لم یقل جاز أیضًا </w:t>
      </w:r>
      <w:r>
        <w:rPr>
          <w:rFonts w:eastAsia="IRNazanin" w:cs="IRNazanin"/>
          <w:color w:val="111111"/>
          <w:sz w:val="28"/>
          <w:szCs w:val="28"/>
          <w:rtl w:val="true"/>
          <w:lang w:bidi="fa-IR"/>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هذا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بعد التسلیم و إغماض النظر، غایة ما فی الباب وقوع الإنصراف بتلک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أراد منه أنّ اللازم منه وقوع الإنصراف بصیغة السلام علینا، لا الجمع بینها و بین السلام علیکم، فهو بیّن الفساد، لما بیّنا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و برکاته 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جواز الجمع بین الصیغتین، علی أنّا بعد الإغماض عن دلالته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الإقتصار بصیغة السلام علینا فقط أیضًا یکفی للحکم بعدم تعیّن السلام علیکم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 أنّ اللازم منه وقوع الإنصراف بتلک الصیغة مع جواز الجمع بینها و بین غیرها،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غایة المرام، فلا وجه للإنکار و الإبرام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دام ظلّه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ذکرنا أنّ الشیخ غرضه رفع الإختلاف بأیّ وجه إتّفق، و لو کان فی نهایة البعد و الکُلفة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أراد أنّ شیخ الطائفة وإن ذکر کلامًا یظهر منه أنّ جواز الإنصراف بصیغة السلام علینا فی النافلة ممّا أطبقت علیه علماء الشیعة، لکنّه لیس معتقدًا له، بل إنّما أتی بهذا الحکم الغیر المطابق للواقع لرفع الإختلاف بین الأخبار،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ضروریّ البطلان، لوضوح أنّه کیف یمکن لعاقل أن یأتی </w:t>
      </w:r>
      <w:bookmarkStart w:id="321" w:name="pg3709_22324"/>
    </w:p>
    <w:p>
      <w:pPr>
        <w:pStyle w:val="BookText"/>
        <w:rPr/>
      </w:pPr>
      <w:bookmarkEnd w:id="321"/>
      <w:r>
        <w:rPr>
          <w:rFonts w:ascii="IRNazanin" w:hAnsi="IRNazanin" w:eastAsia="IRNazanin"/>
          <w:color w:val="111111"/>
          <w:sz w:val="28"/>
          <w:sz w:val="28"/>
          <w:szCs w:val="28"/>
          <w:rtl w:val="true"/>
          <w:lang w:bidi="fa-IR"/>
        </w:rPr>
        <w:t>بالکذب لرفع الإختلاف بین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شأن شیخ الطائفة أجلّ من أن یحتمل فی حقّه مثل ذلک، نعم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کافر همه را بکیش خود پندارد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حمل الحدیث علی المعنی الّذی ذکره بعید، سلّمنا ذلک، لکن قد عرفت أنّ الإستشهاد لیس من جهة الحمل المذکور، بل ممّا جعله شاهدًا علیه، فأنت إذا أحطت خبرًا بما أوردناه تعلم أنّ غایة ما یظهر من هذا الکلام رفع وقع قائله بین العلماء الأعلام، کما لا یخفی علی أولی التأمّل والأحلام، فلاحظ الإرتباط بین هذا الکلام وما تقدّم علیه، حتّی یتبیّن لک حقیقة الحال</w:t>
      </w:r>
      <w:r>
        <w:rPr>
          <w:rFonts w:eastAsia="IRNazanin" w:cs="IRNazanin"/>
          <w:color w:val="111111"/>
          <w:sz w:val="28"/>
          <w:szCs w:val="28"/>
          <w:rtl w:val="true"/>
          <w:lang w:bidi="fa-IR"/>
        </w:rPr>
        <w:t>.</w:t>
      </w:r>
    </w:p>
    <w:p>
      <w:pPr>
        <w:pStyle w:val="Heading4"/>
        <w:numPr>
          <w:ilvl w:val="3"/>
          <w:numId w:val="1"/>
        </w:numPr>
        <w:rPr/>
      </w:pPr>
      <w:bookmarkStart w:id="322" w:name="__RefHeading___Toc594247_2281741623"/>
      <w:bookmarkStart w:id="323" w:name="_Toc114"/>
      <w:bookmarkEnd w:id="322"/>
      <w:r>
        <w:rPr>
          <w:rtl w:val="true"/>
        </w:rPr>
        <w:t>ومنها قوله بعد أن عنون قولنا</w:t>
      </w:r>
      <w:r>
        <w:rPr>
          <w:rtl w:val="true"/>
        </w:rPr>
        <w:t xml:space="preserve">: </w:t>
      </w:r>
      <w:r>
        <w:rPr>
          <w:rtl w:val="true"/>
        </w:rPr>
        <w:t>ثمّ الظاهر أنّ شیخ الطائفة، إلخ</w:t>
      </w:r>
      <w:bookmarkEnd w:id="323"/>
    </w:p>
    <w:p>
      <w:pPr>
        <w:pStyle w:val="BookText"/>
        <w:rPr/>
      </w:pPr>
      <w:r>
        <w:rPr>
          <w:rFonts w:ascii="IRNazanin" w:hAnsi="IRNazanin" w:eastAsia="IRNazanin"/>
          <w:color w:val="111111"/>
          <w:sz w:val="28"/>
          <w:sz w:val="28"/>
          <w:szCs w:val="28"/>
          <w:rtl w:val="true"/>
          <w:lang w:bidi="fa-IR"/>
        </w:rPr>
        <w:t xml:space="preserve">قوله ـ بعد أن عنون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الظاهر أنّ شیخ الطائفة فی هذا الإقتصار تابع شیخنا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فکیف یجعل کلامه دلیلاً علی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سعیه، و أجزل مثوبته، و عظّم أجره، فإنّ السیّد ـ دام ظلّه ـ أعاننی علی ما أدّی إلیه فکری، و بلغ إلیه نظری و سعیی ـ جزاه اللّه خیر الجزاء ـ فإنّی کنت غافلاً عمّا أفاده شیخنا المفید أعلی اللّه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هذه الغفلة، فإنّها نافعة له فی الدنیا والآخرة، فإنّه بمحض اطّلاعه علی عبارة المصباح وقع فی هذه المعرکة العظمی الّتی یبقی ثمرتها له إلی یوم القیامة، فکیف لو اطّلع علی غیرها ممّا یضاهیها فی الدلالة ؟</w:t>
      </w:r>
      <w:r>
        <w:rPr>
          <w:rFonts w:eastAsia="IRNazanin" w:cs="IRNazanin"/>
          <w:color w:val="111111"/>
          <w:sz w:val="28"/>
          <w:szCs w:val="28"/>
          <w:rtl w:val="true"/>
          <w:lang w:bidi="fa-IR"/>
        </w:rPr>
        <w:t>!</w:t>
      </w:r>
    </w:p>
    <w:p>
      <w:pPr>
        <w:pStyle w:val="Heading4"/>
        <w:numPr>
          <w:ilvl w:val="3"/>
          <w:numId w:val="1"/>
        </w:numPr>
        <w:rPr/>
      </w:pPr>
      <w:bookmarkStart w:id="324" w:name="__RefHeading___Toc594249_2281741623"/>
      <w:bookmarkStart w:id="325" w:name="_Toc115"/>
      <w:bookmarkEnd w:id="324"/>
      <w:r>
        <w:rPr>
          <w:rtl w:val="true"/>
        </w:rPr>
        <w:t xml:space="preserve">ومنها قوله </w:t>
      </w:r>
      <w:r>
        <w:rPr>
          <w:rtl w:val="true"/>
        </w:rPr>
        <w:t xml:space="preserve">: </w:t>
      </w:r>
      <w:r>
        <w:rPr>
          <w:rtl w:val="true"/>
        </w:rPr>
        <w:t>وأمّا إسقاط الوحدة فی کلام الشیخ، فلیس، إلخ</w:t>
      </w:r>
      <w:bookmarkEnd w:id="325"/>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إسقاط الوحدة فی کلام الشیخ، فلیس </w:t>
      </w:r>
    </w:p>
    <w:p>
      <w:pPr>
        <w:pStyle w:val="BookText"/>
        <w:rPr/>
      </w:pPr>
      <w:r>
        <w:rPr>
          <w:rFonts w:ascii="Amiri" w:hAnsi="Amiri" w:eastAsia="Amiri" w:cs="Amiri"/>
          <w:color w:val="111111"/>
          <w:sz w:val="28"/>
          <w:sz w:val="28"/>
          <w:szCs w:val="28"/>
          <w:rtl w:val="true"/>
          <w:lang w:bidi="ar-SA"/>
        </w:rPr>
        <w:t xml:space="preserve">لأجل عدم التوهّم، فإنّ بعض الظنّ إثم </w:t>
      </w:r>
      <w:r>
        <w:rPr>
          <w:rStyle w:val="FootnoteAnchor"/>
          <w:rtl w:val="true"/>
        </w:rPr>
        <w:footnoteReference w:id="1037"/>
      </w:r>
      <w:r>
        <w:rPr>
          <w:rFonts w:ascii="IRNazanin" w:hAnsi="IRNazanin" w:eastAsia="IRNazanin"/>
          <w:color w:val="111111"/>
          <w:sz w:val="28"/>
          <w:sz w:val="28"/>
          <w:szCs w:val="28"/>
          <w:rtl w:val="true"/>
          <w:lang w:bidi="fa-IR"/>
        </w:rPr>
        <w:t xml:space="preserve">، بل لمّا کان فی الفریضة قد ورد عن سادات الأنام بأنّه إذا کان إمامًا یسلّم علی المأمومین وغیرهم، و إذا کان مأمومًا یسلّم تسلیمتین علی الإمام مرّة، و علی مَن علی یمینه مرّة أخری، و لو کان منفردًا یسلّم علی الثقلین والأنبیاء والمقرّبین، فهل یکفی مرّة أو مرّتین ؟ ففیه خلاف، قد استوفینا بما لا مزید علیه فی الرسالة، فأشار بالوحدة إلی أنّ النافلة لیست مثل الفریضة، بل یکتفی بالمرّة علی کلّ حال، و لیس المراد بالوحدة والتکرار باعتبار السلام علینا و علی عباد اللّه الصالحین کلاّ و حاشا،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کلاّ و حاشا </w:t>
      </w:r>
      <w:r>
        <w:rPr>
          <w:rFonts w:eastAsia="IRNazanin" w:cs="IRNazanin"/>
          <w:color w:val="111111"/>
          <w:sz w:val="28"/>
          <w:szCs w:val="28"/>
          <w:rtl w:val="true"/>
          <w:lang w:bidi="fa-IR"/>
        </w:rPr>
        <w:t xml:space="preserve">] </w:t>
      </w:r>
      <w:r>
        <w:rPr>
          <w:rStyle w:val="FootnoteAnchor"/>
          <w:rtl w:val="true"/>
        </w:rPr>
        <w:footnoteReference w:id="1038"/>
      </w:r>
      <w:r>
        <w:rPr>
          <w:rFonts w:ascii="IRNazanin" w:hAnsi="IRNazanin" w:eastAsia="IRNazanin"/>
          <w:color w:val="111111"/>
          <w:sz w:val="28"/>
          <w:sz w:val="28"/>
          <w:szCs w:val="28"/>
          <w:rtl w:val="true"/>
          <w:lang w:bidi="fa-IR"/>
        </w:rPr>
        <w:t xml:space="preserve">، و هذا من مثله لغریب بعید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 نظرٌ أیضًا من وجوه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أفاده من أنّ الوارد عن سادات الأنام </w:t>
      </w:r>
      <w:r>
        <w:rPr>
          <w:rStyle w:val="FootnoteAnchor"/>
          <w:rtl w:val="true"/>
        </w:rPr>
        <w:footnoteReference w:id="1039"/>
      </w:r>
      <w:r>
        <w:rPr>
          <w:rFonts w:ascii="IRNazanin" w:hAnsi="IRNazanin" w:eastAsia="IRNazanin"/>
          <w:color w:val="111111"/>
          <w:sz w:val="28"/>
          <w:sz w:val="28"/>
          <w:szCs w:val="28"/>
          <w:rtl w:val="true"/>
          <w:lang w:bidi="fa-IR"/>
        </w:rPr>
        <w:t>أنّ المأموم یسلّم تسلیمتین مرّة علی الإمام و أخری علی من علی یمینه، خیانة فی الدین، و جعل علی أجدادی الطاهرین ـ علیهم آلاف السلام من ربّ العالمین ـ فإنّ أهل البیت أدری بما فی البیت، فإنّ الخبط فیه من وجهین،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 کلامه یقتضی أنّ الوارد عنهم علیهم‌السلام أنّ المأموم یسلّم تسلیمتین مطلقًا ولو لم یکن علی یساره أحد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یسلّم بالتسلیم الأوّل علی الإمام فقط، وبالثانی علی مَن علی یمینه، و کلاهما مخالفٌ للواقع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شئت أن تطّلع علی حقیقة الحال، فاستمع لما أتلو علیک من النصوص </w:t>
      </w:r>
    </w:p>
    <w:p>
      <w:pPr>
        <w:pStyle w:val="BookText"/>
        <w:rPr/>
      </w:pPr>
      <w:r>
        <w:rPr>
          <w:rFonts w:ascii="IRNazanin" w:hAnsi="IRNazanin" w:eastAsia="IRNazanin"/>
          <w:color w:val="111111"/>
          <w:sz w:val="28"/>
          <w:sz w:val="28"/>
          <w:szCs w:val="28"/>
          <w:rtl w:val="true"/>
          <w:lang w:bidi="fa-IR"/>
        </w:rPr>
        <w:t xml:space="preserve">الواردة فی الباب،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المرویّ فی الکافی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فی صفّ فسلّم تسلیمة عن یمینک و تسلیمة عن یسارک، لأنّ عن یسارک من یسلّم علیک، و إذا کنت إمامًا فسلّم تسلیمة وأنت مستقبل القبلة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صریحٌ فی أنّ التسلیم الأوّل من المأموم علی من علی الیمین، والتسلیم الثانی علی من علی الیسار، خلاف ما أفاده ـ دام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التهذیب عن أبی بصیر،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کنت فی جماعة فقل مثل ما قلت، و سلّم علی مَن علی یمینک و شمالک، فإن لم یکن علی شمالک أحد فسلّم علی الّذین علی یمینک، ولاتدع التسلیم علی یمینک إن لم یکن علی شمالک أحد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علی مَن علی شمالک، أی یسارک، والمراد سلّم علیهم السلام علی حدّه، للصحیح المذکور ولقوله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یکن علی شمالک أحد فسلّم علی الّذین علی یمینک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ومدلوله أیضًا أنّ السلام الأوّل علی من علی الیمین، والثانی علی من علی 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المرویّ فی التهذیب عن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یسلّم واحدة و من ورائه یسلّم إثنتین، فإن لم یکن عن شماله أحد سلّم واحدة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دلیلٌ علی أنّ السلام الثانی علی من یساره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المرویّ فی التهذیب أیضًا عن عبدالحمید بن عواض،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تؤمّ قومًا أجزأک تسلیمة واحدة عن یمینک، و إن کنت مع إمام فتسلیمتین، و إن کنت وحدک فواحدة مستقبل القبلة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کنت مع إمام فتسلیمتین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کان مطلقًا، لکنّه مقیّد بما إذا کان عن یساره أحد، للنصوص المتقدّمة، و للصحیح المرویّ فی الکافی والتهذیب عن ابن مسکان، عن عنبسة بن مصعب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الرجل یقوم بالصفّ خلف الإمام و لیس علی یساره أحد، کیف یسلّم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یسلّم واحدة عن یمینه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فالمتحصّل من النصوص المذکورة أنّ تعدّد التسلیم من المأموم إنّما هو إذا کان علی یساره أحد، و أنّه یسلّم بالسلام الأوّل علی مَن علی یمینه، و بالسلام الثانی علی مَن علی یساره، فعلی هذا نقول </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مخالفٌ لما أخذ من سادات الأنام ـ علیهم آلاف التحیّة و السلام ـ و مع ذلک نسبه </w:t>
      </w:r>
      <w:r>
        <w:rPr>
          <w:rStyle w:val="FootnoteAnchor"/>
          <w:rtl w:val="true"/>
        </w:rPr>
        <w:footnoteReference w:id="1046"/>
      </w:r>
      <w:r>
        <w:rPr>
          <w:rFonts w:ascii="IRNazanin" w:hAnsi="IRNazanin" w:eastAsia="IRNazanin"/>
          <w:color w:val="111111"/>
          <w:sz w:val="28"/>
          <w:sz w:val="28"/>
          <w:szCs w:val="28"/>
          <w:rtl w:val="true"/>
          <w:lang w:bidi="fa-IR"/>
        </w:rPr>
        <w:t xml:space="preserve">إلیهم، وقی اللّه شرّه عن جمیع المؤمنین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کما یکون مخالفًا لما هو المستفاد ممّا ورد عن سادات العباد، کذا یکون مخالفًا لما هو المعروف بین الأصحاب، فها أنا أورد شطرًا من عباراتهم فی المقام، لیظهر لک حقیقة المرام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فی جمل العلم والعمل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یسلّم تسلیمة واحدة مستقبل القبلة، و ینحرف بوجهه قلیلاً إلی 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منفردًا أو إمامًا </w:t>
      </w:r>
      <w:r>
        <w:rPr>
          <w:rFonts w:eastAsia="IRNazanin" w:cs="IRNazanin"/>
          <w:color w:val="111111"/>
          <w:sz w:val="28"/>
          <w:szCs w:val="28"/>
          <w:rtl w:val="true"/>
          <w:lang w:bidi="fa-IR"/>
        </w:rPr>
        <w:t xml:space="preserve">] </w:t>
      </w:r>
      <w:r>
        <w:rPr>
          <w:rStyle w:val="FootnoteAnchor"/>
          <w:rtl w:val="true"/>
        </w:rPr>
        <w:footnoteReference w:id="1047"/>
      </w:r>
      <w:r>
        <w:rPr>
          <w:rFonts w:ascii="Amiri" w:hAnsi="Amiri" w:eastAsia="Amiri" w:cs="Amiri"/>
          <w:color w:val="111111"/>
          <w:sz w:val="28"/>
          <w:sz w:val="28"/>
          <w:szCs w:val="28"/>
          <w:rtl w:val="true"/>
          <w:lang w:bidi="ar-SA"/>
        </w:rPr>
        <w:t xml:space="preserve">، و إن کان مأمومًا سلّم </w:t>
      </w:r>
      <w:r>
        <w:rPr>
          <w:rStyle w:val="FootnoteAnchor"/>
          <w:rtl w:val="true"/>
        </w:rPr>
        <w:footnoteReference w:id="1048"/>
      </w:r>
      <w:r>
        <w:rPr>
          <w:rFonts w:ascii="IRNazanin" w:hAnsi="IRNazanin" w:eastAsia="IRNazanin"/>
          <w:color w:val="111111"/>
          <w:sz w:val="28"/>
          <w:sz w:val="28"/>
          <w:szCs w:val="28"/>
          <w:rtl w:val="true"/>
          <w:lang w:bidi="fa-IR"/>
        </w:rPr>
        <w:t xml:space="preserve">تسلیمتین عن </w:t>
      </w:r>
      <w:r>
        <w:rPr>
          <w:rStyle w:val="FootnoteAnchor"/>
          <w:rtl w:val="true"/>
        </w:rPr>
        <w:footnoteReference w:id="1049"/>
      </w:r>
      <w:r>
        <w:rPr>
          <w:rFonts w:ascii="IRNazanin" w:hAnsi="IRNazanin" w:eastAsia="IRNazanin"/>
          <w:color w:val="111111"/>
          <w:sz w:val="28"/>
          <w:sz w:val="28"/>
          <w:szCs w:val="28"/>
          <w:rtl w:val="true"/>
          <w:lang w:bidi="fa-IR"/>
        </w:rPr>
        <w:t xml:space="preserve">یمینه و عن شماله، إلاّ أن یکون جهة شماله خالیة من مصلٍّ، فیسلّم علی </w:t>
      </w:r>
      <w:r>
        <w:rPr>
          <w:rStyle w:val="FootnoteAnchor"/>
          <w:rtl w:val="true"/>
        </w:rPr>
        <w:footnoteReference w:id="1050"/>
      </w:r>
      <w:r>
        <w:rPr>
          <w:rFonts w:ascii="Amiri" w:hAnsi="Amiri" w:eastAsia="Amiri" w:cs="Amiri"/>
          <w:color w:val="111111"/>
          <w:sz w:val="28"/>
          <w:sz w:val="28"/>
          <w:szCs w:val="28"/>
          <w:rtl w:val="true"/>
          <w:lang w:bidi="ar-SA"/>
        </w:rPr>
        <w:t xml:space="preserve">یمینه خاصّة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التهذیب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التسلیم فی الصلوة علی أربعة أضرب، إذا کان الرجل إمامًا یسلّم تسلیمة واحدة، و إن کان مأمومًا و لم یکن عن شماله أحد یسلّم واحدة أیضًا، و إن کان عن شماله إنسان یسلّم تسلیمتین، و إن کان منفردًا یسلّم تسلیمة واحدة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فرغت من صلوتک سلّمت، فإن کنت وحدک سلّمت مرّة واحدة تجاه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w:t>
      </w:r>
      <w:r>
        <w:rPr>
          <w:rStyle w:val="FootnoteAnchor"/>
          <w:rtl w:val="true"/>
        </w:rPr>
        <w:footnoteReference w:id="1053"/>
      </w:r>
      <w:r>
        <w:rPr>
          <w:rFonts w:ascii="Amiri" w:hAnsi="Amiri" w:eastAsia="Amiri" w:cs="Amiri"/>
          <w:color w:val="111111"/>
          <w:sz w:val="28"/>
          <w:sz w:val="28"/>
          <w:szCs w:val="28"/>
          <w:rtl w:val="true"/>
          <w:lang w:bidi="ar-SA"/>
        </w:rPr>
        <w:t xml:space="preserve">کنتَ مأمومًا سلّمت عن یمینک مرّة وعن یسارک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 xml:space="preserve">أخری إذا کان علی یسارک أحد </w:t>
      </w:r>
      <w:r>
        <w:rPr>
          <w:rStyle w:val="FootnoteAnchor"/>
          <w:rtl w:val="true"/>
        </w:rPr>
        <w:footnoteReference w:id="1055"/>
      </w:r>
      <w:r>
        <w:rPr>
          <w:rFonts w:ascii="IRNazanin" w:hAnsi="IRNazanin" w:eastAsia="IRNazanin"/>
          <w:color w:val="111111"/>
          <w:sz w:val="28"/>
          <w:sz w:val="28"/>
          <w:szCs w:val="28"/>
          <w:rtl w:val="true"/>
          <w:lang w:bidi="fa-IR"/>
        </w:rPr>
        <w:t xml:space="preserve">، فإن لم یکن علی یسارک أحد أجزأک مرّة واحدة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المبسوط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التسلیم علی أربعة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و المنفرد یسلّمان تجاه القبلة، والمأموم الّذی لا أحد علی یساره یسلّم علی یمینه، و من کان علی یساره غیره یسلّم یمینًا و شمالاً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السرائر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یسلّم تسلیمة واحدة مستقبل القبلة، و ینحرف بوجهه قلیلاً إلی یمینه إن کان منفردًا، أو إمامًا، وإن کان مأمومًا یسلّم تسلیمتین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عن یمینه علی کلّ حال، و أخری عن شماله، إلاّ أن یکون جهة شماله خالیة من أحد، فیسلّم عن یمینه و یدع التسلیم علی شماله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المعتبر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السنّة فی التسلیم أن یسلّم المنفرد تسلیمة إلی القبلة، و یومئ بمؤخّر عینیه، والإمام بصفحة وجهه، والمأموم تسلیمتین بوجهه یمینًا وشمالاً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الشرائع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مسنون هذا القسم أن یسلّم المنفرد إلی القبلة تسلیمة واحدة، ویومئ </w:t>
      </w:r>
    </w:p>
    <w:p>
      <w:pPr>
        <w:pStyle w:val="BookText"/>
        <w:rPr/>
      </w:pPr>
      <w:r>
        <w:rPr>
          <w:rFonts w:ascii="IRNazanin" w:hAnsi="IRNazanin" w:eastAsia="IRNazanin"/>
          <w:color w:val="111111"/>
          <w:sz w:val="28"/>
          <w:sz w:val="28"/>
          <w:szCs w:val="28"/>
          <w:rtl w:val="true"/>
          <w:lang w:bidi="fa-IR"/>
        </w:rPr>
        <w:t xml:space="preserve">بمؤخّر عینیه إلی یمینه، و الإمام بصفحة وجهه، وکذا المأموم، ثمّ إن کان علی یساره غیره أومأ بتسلیمة أخری إلی یساره بصفحة وجهه أیضًا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التحریر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المرّة الواحدة مجزیة للإمام و المأموم و المنفرد، لکن یستحبّ للمنفرد أن یسلّم تسلیمة إلی القبلة، و یومئ بمؤخّر عینه إلی یمینه، والإمام بصفحة وجهه، والمأموم یسلّم بوجهه مرّتین یمینًا وشمالاً إن کان علی یساره غیره، و إلاّ اقتصر علی یمینه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نهایة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المنفرد یسلّم تسلیمة واحدة إلی القبلة، و یومئ بمؤخّر 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یمینه </w:t>
      </w:r>
      <w:r>
        <w:rPr>
          <w:rFonts w:eastAsia="IRNazanin" w:cs="IRNazanin"/>
          <w:color w:val="111111"/>
          <w:sz w:val="28"/>
          <w:szCs w:val="28"/>
          <w:rtl w:val="true"/>
          <w:lang w:bidi="fa-IR"/>
        </w:rPr>
        <w:t xml:space="preserve">] </w:t>
      </w:r>
      <w:r>
        <w:rPr>
          <w:rStyle w:val="FootnoteAnchor"/>
          <w:rtl w:val="true"/>
        </w:rPr>
        <w:footnoteReference w:id="1062"/>
      </w:r>
      <w:r>
        <w:rPr>
          <w:rFonts w:ascii="IRNazanin" w:hAnsi="IRNazanin" w:eastAsia="IRNazanin"/>
          <w:color w:val="111111"/>
          <w:sz w:val="28"/>
          <w:sz w:val="28"/>
          <w:szCs w:val="28"/>
          <w:rtl w:val="true"/>
          <w:lang w:bidi="fa-IR"/>
        </w:rPr>
        <w:t xml:space="preserve">، و کذا الإمام، لکن یومئ بصفحة وجهه، و المأموم کالإمام إن لم یکن علی یساره أحد، وإن کان سلّم إثنتین بوجهه یمینًا وشمالاً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التذکرة مثل ما فی نهایة الأحکام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المنتهی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للمنفرد أن یسلّم تسلیمة إلی القبلة، و یومئ بمؤخّر عینیه إلی یمینه، والإمام بصفحة وجهه، والمأموم یسلّم تسلیمتین بوجهه یمینًا وشمالاً إن کان علی یساره غیره، وإن لم یکن اقتصر بالتسلیم علی یمینه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القواعد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یسلّم المنفرد إلی القبلة مرّة، و یومئ بمؤخّر عینیه إلی یمینه، والإمام بصفحة وجهه، و کذا المأموم، ولو کان علی یساره أحد سلّم ثانیةً یومئ بصفحة وجهه عن یساره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التبصرة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یستحبّ أن یسلّم المنفرد إلی القبلة، و یومئ بمؤخّر عینیه إلی یمینه، والإمام بصفحة وجهه، والمأموم عن یمینه ویساره إن کان علی یساره أحد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الإرشاد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یستحبّ أن یسلّم المنفرد إلی القبلة، و یشیر بمؤخّر عینیه إلی یمینه، والإمام بصفحة وجهه، والمأموم عن الجانبین إن کان علی یساره أحد، وإلاّ فعن یمینه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المستفاد من هؤلاء الأماجد العظام انّ المأموم یسلّم بالتسلیم الثانی علی مَن علی یساره، وأنّه یکتفی بسلام واحد فیما إذا لم یکن علی یساره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الإنتصار، والخلاف، والغنیة علیه الإجماع، قال فی الأوّل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انفردت به الإمامیّة القول بأنّ المنفرد و </w:t>
      </w:r>
      <w:r>
        <w:rPr>
          <w:rStyle w:val="FootnoteAnchor"/>
          <w:rtl w:val="true"/>
        </w:rPr>
        <w:footnoteReference w:id="1069"/>
      </w:r>
      <w:r>
        <w:rPr>
          <w:rFonts w:ascii="IRNazanin" w:hAnsi="IRNazanin" w:eastAsia="IRNazanin"/>
          <w:color w:val="111111"/>
          <w:sz w:val="28"/>
          <w:sz w:val="28"/>
          <w:szCs w:val="28"/>
          <w:rtl w:val="true"/>
          <w:lang w:bidi="fa-IR"/>
        </w:rPr>
        <w:t xml:space="preserve">الإمام یسلّم تسلیمة واحدة، مستقبل القبلة، وینحرف بوجهه قلیلاً إلی یمینه، فإن </w:t>
      </w:r>
      <w:r>
        <w:rPr>
          <w:rStyle w:val="FootnoteAnchor"/>
          <w:rtl w:val="true"/>
        </w:rPr>
        <w:footnoteReference w:id="1070"/>
      </w:r>
      <w:r>
        <w:rPr>
          <w:rFonts w:ascii="IRNazanin" w:hAnsi="IRNazanin" w:eastAsia="IRNazanin"/>
          <w:color w:val="111111"/>
          <w:sz w:val="28"/>
          <w:sz w:val="28"/>
          <w:szCs w:val="28"/>
          <w:rtl w:val="true"/>
          <w:lang w:bidi="fa-IR"/>
        </w:rPr>
        <w:t xml:space="preserve">کان </w:t>
      </w:r>
    </w:p>
    <w:p>
      <w:pPr>
        <w:pStyle w:val="BookText"/>
        <w:rPr/>
      </w:pPr>
      <w:r>
        <w:rPr>
          <w:rFonts w:ascii="IRNazanin" w:hAnsi="IRNazanin" w:eastAsia="IRNazanin"/>
          <w:color w:val="111111"/>
          <w:sz w:val="28"/>
          <w:sz w:val="28"/>
          <w:szCs w:val="28"/>
          <w:rtl w:val="true"/>
          <w:lang w:bidi="fa-IR"/>
        </w:rPr>
        <w:t xml:space="preserve">مأمومًا یسلّم تسلیمتین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عن یمینه، و أخری عن شماله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الحجّة لنا الإجماع المتکرّر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والمنفرد یسلّمان تسلیمة واحدة، والمأموم إن کان علی یساره إنسان سلّم یمینًا وشمالاً، وإن لم یکن علی یساره إنسان سلّم تسلیمة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دلیلنا إجماع الفرقة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یسلّم المنفرد تسلیمة واحدة إلی جهة القبلة، و یومئ إلیها </w:t>
      </w:r>
      <w:r>
        <w:rPr>
          <w:rStyle w:val="FootnoteAnchor"/>
          <w:rtl w:val="true"/>
        </w:rPr>
        <w:footnoteReference w:id="1073"/>
      </w:r>
      <w:r>
        <w:rPr>
          <w:rFonts w:ascii="IRNazanin" w:hAnsi="IRNazanin" w:eastAsia="IRNazanin"/>
          <w:color w:val="111111"/>
          <w:sz w:val="28"/>
          <w:sz w:val="28"/>
          <w:szCs w:val="28"/>
          <w:rtl w:val="true"/>
          <w:lang w:bidi="fa-IR"/>
        </w:rPr>
        <w:t xml:space="preserve">إلی جهة الیمین، و کذلک الإمام، والمأموم کذلک إلاّ أن یکون علی یساره غیره، فإنّه حینئذ یسلّم یمینًا وشمالاً، بدلیل الإجماع الماضی ذکره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انّ شیخنا الصدوق ـ نوّر اللّه ضریحه ـ و إن قال بأنّ المأموم یسلّم بالتسلیم الثانی علی مَن علی یمینه، لکنّه قال بثلاث تسلیمات له، قال فی الفقیه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کنت خلف إمام تأتمّ به، فسلّم تجاه القبلة واحدة ردًّا علی الإمام، </w:t>
      </w:r>
    </w:p>
    <w:p>
      <w:pPr>
        <w:pStyle w:val="BookText"/>
        <w:rPr/>
      </w:pPr>
      <w:r>
        <w:rPr>
          <w:rFonts w:ascii="IRNazanin" w:hAnsi="IRNazanin" w:eastAsia="IRNazanin"/>
          <w:color w:val="111111"/>
          <w:sz w:val="28"/>
          <w:sz w:val="28"/>
          <w:szCs w:val="28"/>
          <w:rtl w:val="true"/>
          <w:lang w:bidi="fa-IR"/>
        </w:rPr>
        <w:t xml:space="preserve">وتسلّم علی یمینک واحدة، و علی یسارک واحدة </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مستنده ما رواه فی العلل عن مفضّل بن عمر 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یسلّم المأموم ثلاث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واحدة ردًّا علی الإمام، و تکون علیه وعلی ملکیه، و تکون الثانیة علی یمینه و الملکین الموکّلین به، و تکون الثالثة علی من علی یساره و ملکیه الموکّلین به، الحدیث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الحدیث شاذّ ضعیف، فلا یصلح لمعارضة النصوص المعتبرة السالفة، فالحکم بأنّ الوارد عن سادات الأنام هو أنّ المصلّی إذا کان مأمومًا یسلّم تسلیمتین، علی الإمام مرّة و علی مَن علی یمینه مرّة أخری، إمّا مسامحةٌ فی أمور الدین، أو افتراء علی أجدادی الطاهرین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افْتَری عَلَی اللّه‌ِ کَذِبًا أَوْ کَذَّبَ بِالحقِّ لَمَّا جَآءَهُ </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 xml:space="preserve">، نِعْمَ ما قیل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خود می‌بری و زحمت ما می‌داری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رسالته ـ دام ظلّه ـ لم یکن عندی فی هذا الوقت حتّی استفید ممّا استوفاه فیها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استوفینا بما لا مزید علیه فی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سالی که نکوست از بهارش پیداست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کان منفردًا یسلّم علی الثقلین والأنبیاء والمقرّبین، فهل یکفی مرّة أو مرّتین ؟ ففیه خلاف، قد استوفینا بما لا مزید علیه فی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أیضًا محلّ مؤاخذة، 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کان منفردًا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عطفٌ علی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فی الفریضة قد ورد عن سادات الأنام </w:t>
      </w:r>
    </w:p>
    <w:p>
      <w:pPr>
        <w:pStyle w:val="BookText"/>
        <w:rPr/>
      </w:pPr>
      <w:r>
        <w:rPr>
          <w:rFonts w:ascii="IRNazanin" w:hAnsi="IRNazanin" w:eastAsia="IRNazanin"/>
          <w:color w:val="111111"/>
          <w:sz w:val="28"/>
          <w:sz w:val="28"/>
          <w:szCs w:val="28"/>
          <w:rtl w:val="true"/>
          <w:lang w:bidi="fa-IR"/>
        </w:rPr>
        <w:t xml:space="preserve">بأنّه لو کان منفردًا یسلّم علی الثقلین،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أیضًا مخالفٌ للواقع، تحقیق الحال یستدعی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عثرنا به ممّا یناسب المقام عدّة نصوص،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المنویّ فی حقّ الإمام المأمومون، کالموثّق المرویّ فی زیادات التهذیب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علیه‌السلام صلّیت بقوم صلوة فقعدت للتشهد، ثمّ قمت و نسیت أن أسلّم علیهم،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سلّمت علینا،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تسلّم و أنت جالس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فلابأس علیک، و لو نسیت حین قالوا لک ذلک استقبلتهم بوجهک،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یفهم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نسیت أن أسلّم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یعتقد السلام علی المأمومین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قرّره علیه‌السلام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ذکره علیه‌السلام فی ذیل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إمامًا فإنّما التسلیم أن تسلّم علی النبیّ صلی‌الله‌علیه‌و‌آله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 فإذا قلت ذلک فقد انقطعت الصلوة، ثمّ تؤذن القوم فتقول و أنت مستقبل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المراد من القوم فیه المأمومون، والمراد بإیذانهم بتلک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علیهم بها، لیعلموا الفراغ من الصلوة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أنّ المنویّ فی حقّه أیضًا بتلک الصیغة هو من علی یمینه، </w:t>
      </w:r>
    </w:p>
    <w:p>
      <w:pPr>
        <w:pStyle w:val="BookText"/>
        <w:rPr/>
      </w:pPr>
      <w:r>
        <w:rPr>
          <w:rFonts w:ascii="IRNazanin" w:hAnsi="IRNazanin" w:eastAsia="IRNazanin"/>
          <w:color w:val="111111"/>
          <w:sz w:val="28"/>
          <w:sz w:val="28"/>
          <w:szCs w:val="28"/>
          <w:rtl w:val="true"/>
          <w:lang w:bidi="fa-IR"/>
        </w:rPr>
        <w:t>کالصحیح المرویّ فی التهذیب عن عبد الحمید بن عواض،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تؤمّ قومًا أجزأک تسلیمة واحدة عن یمینک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الظاهر من التسلیم عن الیمین أن یکون المنویّ به من فی ذلک الجانب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أنّ المنویّ فی حقّه أیضًا ملکیه الموکّلین به مع المأمومین، کالمرویّ فی العلل عن المفضّل بن عمر،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فتسلیم الإمام علی مَن یقع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ملکَیه و المأمومین، الحدیث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حقّ </w:t>
      </w:r>
      <w:r>
        <w:rPr>
          <w:rStyle w:val="FootnoteAnchor"/>
          <w:rtl w:val="true"/>
        </w:rPr>
        <w:footnoteReference w:id="1082"/>
      </w:r>
      <w:r>
        <w:rPr>
          <w:rFonts w:ascii="IRNazanin" w:hAnsi="IRNazanin" w:eastAsia="IRNazanin"/>
          <w:color w:val="111111"/>
          <w:sz w:val="28"/>
          <w:sz w:val="28"/>
          <w:szCs w:val="28"/>
          <w:rtl w:val="true"/>
          <w:lang w:bidi="fa-IR"/>
        </w:rPr>
        <w:t xml:space="preserve">المأموم، و هو علی أقسام أیضًا،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أنّ المنویّ فی حقّ المأمومین ملائکتهم الموکّلین بهم، و الإمام و ملکیه </w:t>
      </w:r>
      <w:r>
        <w:rPr>
          <w:rStyle w:val="FootnoteAnchor"/>
          <w:rtl w:val="true"/>
        </w:rPr>
        <w:footnoteReference w:id="1083"/>
      </w:r>
      <w:r>
        <w:rPr>
          <w:rFonts w:ascii="IRNazanin" w:hAnsi="IRNazanin" w:eastAsia="IRNazanin"/>
          <w:color w:val="111111"/>
          <w:sz w:val="28"/>
          <w:sz w:val="28"/>
          <w:szCs w:val="28"/>
          <w:rtl w:val="true"/>
          <w:lang w:bidi="fa-IR"/>
        </w:rPr>
        <w:t xml:space="preserve">، ومَن علی یمینه و ملکیه </w:t>
      </w:r>
      <w:r>
        <w:rPr>
          <w:rStyle w:val="FootnoteAnchor"/>
          <w:rtl w:val="true"/>
        </w:rPr>
        <w:footnoteReference w:id="1084"/>
      </w:r>
      <w:r>
        <w:rPr>
          <w:rFonts w:ascii="IRNazanin" w:hAnsi="IRNazanin" w:eastAsia="IRNazanin"/>
          <w:color w:val="111111"/>
          <w:sz w:val="28"/>
          <w:sz w:val="28"/>
          <w:szCs w:val="28"/>
          <w:rtl w:val="true"/>
          <w:lang w:bidi="fa-IR"/>
        </w:rPr>
        <w:t>، و من علی یساره و ملکیه، کالمرویّ فی العلل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یسلّم المأموم ثلاثًا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واحدة ردًّا علی الإمام، وتکون علیه و علی ملکَیه، و تکون الثانیة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 xml:space="preserve">یمینه و الملکین الموکّلین به، و تکون الثالثة علی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 xml:space="preserve">یساره و ملکیه الموکّلین به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أنّ المنویّ فی حقّه سائر المأمومین، کقوله علیه‌السلام فیما رواه أبو بصیر حیث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کنت فی جماعة فقل مثل ما قلت، و سلّم علی مَن علی یمینک و شمالک، فإن لم یکن علی شمالک أحد فسلّم علی الّذین علی یمینک </w:t>
      </w:r>
      <w:r>
        <w:rPr>
          <w:rStyle w:val="FootnoteAnchor"/>
          <w:rtl w:val="true"/>
        </w:rPr>
        <w:footnoteReference w:id="1088"/>
      </w:r>
      <w:r>
        <w:rPr>
          <w:rFonts w:ascii="IRNazanin" w:hAnsi="IRNazanin" w:eastAsia="IRNazanin"/>
          <w:color w:val="111111"/>
          <w:sz w:val="28"/>
          <w:sz w:val="28"/>
          <w:szCs w:val="28"/>
          <w:rtl w:val="true"/>
          <w:lang w:bidi="fa-IR"/>
        </w:rPr>
        <w:t xml:space="preserve">، إلی آخر ما تقدّم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هذا القبیل صحیحة أبی بصیر المتقدّمة لقوله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فی صفّ فسلّم تسلیمة عن یمینک وتسلیمة عن یسارک، لأنّ عن یسارک من یسلّم علیک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أن یجعل من هذا القبیل، بل لا یبعد دعوی الظهور فی ذلک، صحیحة منصور المتقدّمة،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یسلّم واحدة، و من ورائه یسلّم إثنتین، فإن لم یکن عن شماله أحد یسلّم واحدة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الحال فی الصحیح المتقدّم، عن ابن مسکان، عن عنبسة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أنّ المنویّ فی حقّه الّذین علی یمینهم، و هو الّذی رواه فی قرب الإسناد عن علیّ بن جعفر، عن أخیه موسی بن جعفر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تسلیم الرجل خلف الإمام فی الصلوة کیف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تسلیمة واحدة عن یمینک إذا کان عن یمینک أحد أو لم یکن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محمول فیما إذا لم یکن علی یساره أحد، لما تقدّم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المنفرد، فمقتضی روایة المفضّل المذکورة أنّ المنویّ فی حقّه الملکان،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فلأیّ علّة یسلّم علی الیمین و لا یسلّم علی الیسار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الملک الموکّل الّذی یکتب الحسنات علی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الیسار </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 xml:space="preserve">و الّذی یکتب السیّئات علی الیسار، والصلوة حسنات لیس فیها سیّئات، فلهذا یسلّم علی الیمین دون الیسار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والملک علی الیمین واحد، ولکن </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قد سلّم علیه و علی مَن علی الیسار، وفضل صاحب الیمین علیه بالإیماء إلیه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أن یحمل علیه ما رواه المحقّق فی المعتبر نقلاً عن جامع البزنطیّ، عن عبدالکریم،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وحدک فسلّم تسلیمة واحدة عن یمینک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علمت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ـ دام ظلّه ـ فی وظیفة الإمام و إن أمکن تطبیقه بما یستفاد من النصوص الواردة عن سادات الأنام، لکن ما جعله وظیفة المأموم والمنفرد مع النسبة إلی ما ورد عن سادات الأنام، فغیر مطابق له،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فصّلنا الحال فیه، 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ممّا ذکرنا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تسلیم المنفرد علی الثقلین والأنبیاء والمقرّبین، فلم أجد ما یدلّ علیه من الأخبار، بل لم یوجد ذلک فی الکافی والفقیه والتهذیب والإستبصار، ولا ذکره أحد من علمائنا الأخیار فی شیء من کتبهم الإستدلالیّة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أدری مَن لم یکن عنده کتاب التهذیب، مِن أین اطّلع علی الأحادیث الدالّة علی ذلک و لم یطّلع علیها غیره من المحدّثین الّذین صرفوا الأعمار فی اللیالی والأنهار فی تتبّع الأخبار الواردة عن سادات الأطهار ـ علیهم صلوات اللّه الملک العزیز الغفّار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غضب الجبّار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Style w:val="FootnoteAnchor"/>
          <w:rtl w:val="true"/>
        </w:rPr>
        <w:footnoteReference w:id="1096"/>
      </w:r>
      <w:r>
        <w:rPr>
          <w:rFonts w:ascii="IRNazanin" w:hAnsi="IRNazanin" w:eastAsia="IRNazanin"/>
          <w:color w:val="111111"/>
          <w:sz w:val="28"/>
          <w:sz w:val="28"/>
          <w:szCs w:val="28"/>
          <w:rtl w:val="true"/>
          <w:lang w:bidi="fa-IR"/>
        </w:rPr>
        <w:t xml:space="preserve">المراد من الثقلین فی أمثال المقام هو الجنّ والإنس، ومعلوم أنّ کلاًّ منهما ینقسم إلی مسلم و غیره، و مقتضی ما أفاده ـ دام ظلّه ـ حیث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کان منفردًا یسلّم علی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المنفرد ینوی بالسلام کفّار الجنّ والإنس أیضًا، و هو من عجائب الأمور، و لذا تری انّ جماعة من الأصحاب قیّد الکلام بمسلمی الجنّ و الإنس، کما ستقف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تقدیم الثقلین علی الأنبیاء والمقرّبین غیر مناسب، و لذا تری تأخیر الثقلین فی کلماتهم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مقتضی المقابلة فی کلامه ـ دام ظلّه ـ أنّه لا یجوز للإمام والمأموم أن ینوی بتسلیمهما الأنبیاء والمقرّبین مثلاً، و هو من غرائب الدوران، لوضوح أنّ ذلک إن جاز ینبغی أن یجوز بالإضافة إلی الجمیع، و إلاّ فلا کذلک، والتفصیل ممّا لا مقتضی له، بل و لا وجه له، و لذا تری التعمیم فی کلمات جماعة من علمائنا المتأخّرین، قال فی الذکری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أن یقصد الإمام التسلیم علی الأنبیاء والأئمّة والحفظة والمأمومین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والمأموم یقصد بأولی التسلیمتین الردّ علی الإمام ـ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ویقصد المأموم بالثانیة الأنبیاء والأئمّة و الحفظة و المأمومین، وأمّا المنفرد فیقصد بتسلیمه ذلک، و لو أضاف الجمیع إلی ذلک، قصد الملائکة أجمعین، و من علی الجانبین من مسلمی الجنّ والإنس، کان حسنًا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الدروس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یقصد المصلّی الأنبیاء والملائکة والحفظة والأئمّة علیهم‌السلام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الإمام یقصد السلام علی الأنبیاء والأئمّة والحفظة والمأمومین، وکذا المنفرد إلاّ فی قصد المأمومین، والمؤتمّ یقصد بإحدیهما الردّ علی الإمام، و بالأخری مقصد الإمام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قصد المصلّی مسلمی الإنس و الجنّ و جمیع الملائکة جاز، ولو ذهل عن هذا القصد فلا بأس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اللمعة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لیقصد المصلّی الأنبیاء و الملائکة و الأئمّة علیهم‌السلام و المسلمین من الإنس والجنّ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المسالک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یقصد المنفرد بتسلیمه الأنبیاء و الأئمّة علیهم‌السلام و الملائکة والحفظة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ذلک مع إضافة المأمومین أیضًا، و المأموم بالأولی الردّ علی الإمام، و بالثانیة ما قصد </w:t>
      </w:r>
      <w:r>
        <w:rPr>
          <w:rStyle w:val="FootnoteAnchor"/>
          <w:rtl w:val="true"/>
        </w:rPr>
        <w:footnoteReference w:id="1101"/>
      </w:r>
      <w:r>
        <w:rPr>
          <w:rFonts w:ascii="IRNazanin" w:hAnsi="IRNazanin" w:eastAsia="IRNazanin"/>
          <w:color w:val="111111"/>
          <w:sz w:val="28"/>
          <w:sz w:val="28"/>
          <w:szCs w:val="28"/>
          <w:rtl w:val="true"/>
          <w:lang w:bidi="fa-IR"/>
        </w:rPr>
        <w:t xml:space="preserve">الإمام، و لو أضاف الجمیع إلی ذلک مسلمی </w:t>
      </w:r>
    </w:p>
    <w:p>
      <w:pPr>
        <w:pStyle w:val="BookText"/>
        <w:rPr/>
      </w:pPr>
      <w:r>
        <w:rPr>
          <w:rFonts w:ascii="IRNazanin" w:hAnsi="IRNazanin" w:eastAsia="IRNazanin"/>
          <w:color w:val="111111"/>
          <w:sz w:val="28"/>
          <w:sz w:val="28"/>
          <w:szCs w:val="28"/>
          <w:rtl w:val="true"/>
          <w:lang w:bidi="fa-IR"/>
        </w:rPr>
        <w:t xml:space="preserve">الإنس و الجنّ جاز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المدارک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أن یقصد المصلّی بالتسلیم التسلیم علی الأنبیاء والأئمّة والحفظة، ویزید الإمام المأمومین، و المأموم الردّ علی الإمام و مَن علی جانبیه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الأخبار دلالة علی ذلک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أراد انّ فی الأخبار دلالة علی أن یقصد الإمام المأمومین، و المأموم الردّ علی الإمام و مَن علی جانبه، فهو مسلّم یظهر وجهه ممّا ذکرنا ؛ و إن أراد أنّ فی الأخبار دلالة علی الجمیع، فقد عرفت الحال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یکفی مرّة أو مرّتین ؟ ففیه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مخالفٌ للواقع أیضًا، إذ مقتضی هذا الکلام وجود القائل بعدم کفایة المرّة، و هو خلاف ما أطبق الأصحاب علیه، لوضوح إطباقهم علی أنّ من أتی بصیغة السلام علیکم مرّة </w:t>
      </w:r>
      <w:r>
        <w:rPr>
          <w:rStyle w:val="FootnoteAnchor"/>
          <w:rtl w:val="true"/>
        </w:rPr>
        <w:footnoteReference w:id="1104"/>
      </w:r>
      <w:r>
        <w:rPr>
          <w:rFonts w:ascii="IRNazanin" w:hAnsi="IRNazanin" w:eastAsia="IRNazanin"/>
          <w:color w:val="111111"/>
          <w:sz w:val="28"/>
          <w:sz w:val="28"/>
          <w:szCs w:val="28"/>
          <w:rtl w:val="true"/>
          <w:lang w:bidi="fa-IR"/>
        </w:rPr>
        <w:t xml:space="preserve">، فقد حصل الإمتثال و لو کان مأمومًا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فرض الإغماض عنه 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کفایة المرّة فی تأتّی السنّة کما هو الظاهر وإنّما المسامحة فی العبارة و عدمها،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اللازم منه وجود القائل بتعیّن المرّتین فی تأتیها و عدم حصولها بالمرّة فی حقّ المنفرد، و هو أیضًا مخالفٌ للواقع، إذ القول بتوقّف حصول وظیفة المنفرد علی الإتیان بالتسلیمتین ممّا لم یعهد فی کتب الأصحاب، و لا نقله ناقل ؛ فلاحظ ما حکیناه عن جمل العلم والعمل، والتهذیب، والنهایة، والمبسوط، والسرائر، والمعتبر، والشرائع، والتحریر، </w:t>
      </w:r>
    </w:p>
    <w:p>
      <w:pPr>
        <w:pStyle w:val="BookText"/>
        <w:rPr/>
      </w:pPr>
      <w:r>
        <w:rPr>
          <w:rFonts w:ascii="IRNazanin" w:hAnsi="IRNazanin" w:eastAsia="IRNazanin"/>
          <w:color w:val="111111"/>
          <w:sz w:val="28"/>
          <w:sz w:val="28"/>
          <w:szCs w:val="28"/>
          <w:rtl w:val="true"/>
          <w:lang w:bidi="fa-IR"/>
        </w:rPr>
        <w:t>ونهایة الأحکام، والتذکرة، والمنتهی، والقواعد، والتبصرة، والإرشاد، فإنّها صریحة فی أنّ وظیفة المنفرد هی التسلیمة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الحال فی عبارات باقی الأصحاب، قال فی الذکری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المصلّی حال التسلیم إمّا منفرد، أو إمام، أو مؤتم، فالمنفرد یسلّم واحدة بصیغة السلام علیکم و هو مستقبل القبلة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الدروس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تلفّظ بالسلام علیکم أومأ الإمام بها عن یمینه بصفحة وجهه، والمنفرد بمؤخّر عینه، والمأموم یسلّم مرّتین عن جانبیه و إن لم یکن علی یساره أحد و لا حائط إجتزء بیمینه، و فی روایة علیّ بن جعفر عن أخیه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التسلیم علی الجانبین مرّتین مطلقًا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یسلّم الإمام واحدة إلی القبلة، و یومئ بصفحة وجهه عن یمینه، وکذا المنفرد، لکنّه یومئ بمؤخّر عینه،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بالعکس، 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الإمام فی صفّ سلّم عن جانبیه، فروایة علیّ بن جعفر عن أخیه علیه‌السلام مشعرة به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والمأموم کالإمام إن لم یکن عن یساره أحد و لا حائط، وإلاّ سلّم تسلیمتین عن جانبیه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کفاک فی هذا الباب ما ذکره صاحب المدارک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إکتفاء المنفرد بالتسلیمة‌الواحدة إلی‌القبلة، فهو مذهب الأصحاب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ما ذکره شیخنا البهائی فی الحبل المتین،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الکلام فی کیفیّة الإتیان بالتسلیم و عدده للإمام والمأموم والمنفرد، فالمذکور فی کتب الفروع أنّ کلاًّ من الإمام و المنفرد یسلّم تسلیمة واحدة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الإجماع علیه فی الإنتصار والخلاف والغنیة، وقد سمعت عبارتها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یظهر من شیخنا الشهید فی الذکری میله إلی التعدّد،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علیّ بن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رأی إخوته موسی و إسحاق ومحمّدًا یسلّمون عن الجانبین السلام علیکم و رحمة اللّه </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 xml:space="preserve">، و یبعد أن تختصّ الرؤیة بهم مأمومین لا غیر، بل الظاهر الإطلاق، وخصوصًا وفیهم الإمام علیه‌السلام ، ففیه دلالة علی استحباب التسلیمتین للإمام والمنفرد أیضًا، غیر أنّ الأشهر الواحدة فیهما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لیس بشیء، لعدم صلاحیّة الحدیث لمعارضة النصوص المتقدّمة المعتضدة بعمل الطائفة والإجماعات المنقولة، فیحمل الحدیث علی أنّ رؤیته کذلک کانت فی حیوة وَالِدِهم علیه‌السلام حال إقتدائهم به، و یؤیّده جمعهم فی الذکر، فمدلوله حینئذ تعدّد التسلیم للمأموم، و هو مسلّم، و ارتکاب هذا الحمل بعد تسلیم </w:t>
      </w:r>
    </w:p>
    <w:p>
      <w:pPr>
        <w:pStyle w:val="BookText"/>
        <w:rPr/>
      </w:pPr>
      <w:r>
        <w:rPr>
          <w:rFonts w:ascii="IRNazanin" w:hAnsi="IRNazanin" w:eastAsia="IRNazanin"/>
          <w:color w:val="111111"/>
          <w:sz w:val="28"/>
          <w:sz w:val="28"/>
          <w:szCs w:val="28"/>
          <w:rtl w:val="true"/>
          <w:lang w:bidi="fa-IR"/>
        </w:rPr>
        <w:t xml:space="preserve">بُعده أولی من المصیر إلی الإطلاق لما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أبیت عنه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محمول علی ما یظهر منه فی البیان، و هو حمله فی صورة إقتداء إسحاق و محمّد بأخیهما موسی علیه‌السلام وکونه علیه‌السلام فی الصفّ، فلاحظ عبارة البیان المذکورة، والأولی حمله علی التقیّة لموافقته لمذهب العامّة، لمصیرهم إلی القول بتعدّد التسلیم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تقدیر الإغماض عن الجمیع، لایمکن أن یکون ذلک وجهًا لکلامه ـ دام ظلّه ـ لأنّه صریحٌ فی أنّ هذا الخلاف إنّما هو فی المنفرد دون الإمام، فلاحظ عبارته، و سنأخذه بذلک أیضًا کما ستقف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المذکور من شیخنا الشهید علی فرض دلالته علی أنّه مختاره، یکون ذلک مشترکًا بین الإمام والمنفرد، فحصر الخلاف فی المنفرد مع اشتراک المقتضی بینه وبین الإمام، دلیلٌ بیّنٌ علی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التنبیه علی وقوع الخلاف فی المنفرد دون الإمام یدلّ علی أنّ القول بالوحدة فی حقّ الإمام محلّ وفاق بین الأصحاب، فلاحظ عبارته، ولیس الأمر کذلک، لأنّ ابن الجنید قال بتعدّد التسلیم فی حقّ الإمام فیما إذا کان فی الصفّ، قال فی الذکری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الإمام فی صفّ سلّم عن جانبیه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البیان مثل ذلک و زاد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علیّ بن جعفر عن أخیه علیه‌السلام مشعرة به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فلو عکس الأمر، فحکم بوقوع الخلاف فی الإمام دون المنفرد،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العجائب أنّه لم یتنبّه علی محلّ الخلاف، مع تصریحنا علیه فی الرسالة بعد ما نقله عنّا فی هذا المقام کما ستقف علیه، فوقع فی هذه المفسدة </w:t>
      </w:r>
      <w:r>
        <w:rPr>
          <w:rStyle w:val="FootnoteAnchor"/>
          <w:rtl w:val="true"/>
        </w:rPr>
        <w:footnoteReference w:id="1114"/>
      </w:r>
      <w:r>
        <w:rPr>
          <w:rFonts w:ascii="IRNazanin" w:hAnsi="IRNazanin" w:eastAsia="IRNazanin"/>
          <w:color w:val="111111"/>
          <w:sz w:val="28"/>
          <w:sz w:val="28"/>
          <w:szCs w:val="28"/>
          <w:rtl w:val="true"/>
          <w:lang w:bidi="fa-IR"/>
        </w:rPr>
        <w:t xml:space="preserve">العظمی الّتی لا یرجی له الخلاص عنها أبد الآبدین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اعلموا یا معاشر الفضلاء ـ أعانکم اللّه تعالی للعروج إلی مراتب العُلی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ذکرنا فی الرسالة ما حاصله هو أنّ شیخ الطائفة لمّا اقتصر فی تسلیم نافلة الزوال بصیغة السلام علیکم، توهّم منه هذا الفاضل تعیّنها و عدم جواز الجمع بینها و بین غیرها فی النافلة، و عبارة شیخنا المفید الّتی لم یطّلع علیها هذا الفاضل کان تطرّق هذا التوهّم فیها أقوی، لوجود لفظ الوحدة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قلنا بعد أن أوردنا کلام شیخنا المفید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 الوحدة فی کلام شیخنا المفید لمّا کان موهمًا لعدم جواز الإثنین، أسقطه شیخ الطائفة فی البین لئلاّ یذهب الوهم إلیه، فکیف </w:t>
      </w:r>
      <w:r>
        <w:rPr>
          <w:rStyle w:val="FootnoteAnchor"/>
          <w:rtl w:val="true"/>
        </w:rPr>
        <w:footnoteReference w:id="1115"/>
      </w:r>
      <w:r>
        <w:rPr>
          <w:rFonts w:ascii="IRNazanin" w:hAnsi="IRNazanin" w:eastAsia="IRNazanin"/>
          <w:color w:val="111111"/>
          <w:sz w:val="28"/>
          <w:sz w:val="28"/>
          <w:szCs w:val="28"/>
          <w:rtl w:val="true"/>
          <w:lang w:bidi="fa-IR"/>
        </w:rPr>
        <w:t>یجعل کلامه دلیلاً علی عدم الجواز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کان المقام مقام سؤال، تقریره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ـ بناء علی ما ذکر ـ إذا لم یقصد شیخنا المفید من لفظ الوحدة فی کلامه عدم جواز الإثنتین، فما الداعی للإتیان بلفظها حینئذ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قید الوحدة فی کلامه، وکذا کلام تلمیذه سلاّر بن عبدالعزیز، للإحتراز عن الإتیان بتلک الصیغة ـ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ـ مرّتین، کما فی الفرائض بالنسبة إلی المأموم فقط علی المشهور بین الأصحاب، أو إلی الإمام أیضًا فیما إذا لم یقف قدّام الصفّ علی قول ابن الجنید ؛ والتقیید بقید الوحدة </w:t>
      </w:r>
    </w:p>
    <w:p>
      <w:pPr>
        <w:pStyle w:val="BookText"/>
        <w:rPr/>
      </w:pPr>
      <w:r>
        <w:rPr>
          <w:rFonts w:ascii="IRNazanin" w:hAnsi="IRNazanin" w:eastAsia="IRNazanin"/>
          <w:color w:val="111111"/>
          <w:sz w:val="28"/>
          <w:sz w:val="28"/>
          <w:szCs w:val="28"/>
          <w:rtl w:val="true"/>
          <w:lang w:bidi="fa-IR"/>
        </w:rPr>
        <w:t xml:space="preserve">للتنبیه علی هذا المرام معروفٌ فیما بینهم، إلی آخر 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أنشدکم باللّه العلیّ العظیم الّذی لا إله إلاّ هو، هل فی هذا المطلب الّذی نبّهنا علیه شایبة لجاج و 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وانظروا إلی ما صَدَرَ مِن هذا الفاضل المتصدّی لمسائل الحلال والحرام الّذی فهم منه اللجاج والعناد من الأمور الّتی نبّهنا علیها </w:t>
      </w:r>
      <w:r>
        <w:rPr>
          <w:rStyle w:val="FootnoteAnchor"/>
          <w:rtl w:val="true"/>
        </w:rPr>
        <w:footnoteReference w:id="1116"/>
      </w:r>
      <w:r>
        <w:rPr>
          <w:rFonts w:ascii="IRNazanin" w:hAnsi="IRNazanin" w:eastAsia="IRNazanin"/>
          <w:color w:val="111111"/>
          <w:sz w:val="28"/>
          <w:sz w:val="28"/>
          <w:szCs w:val="28"/>
          <w:rtl w:val="true"/>
          <w:lang w:bidi="fa-IR"/>
        </w:rPr>
        <w:t xml:space="preserve">ـ مضافًا إلی ما ستقف علیه ـ والّتی یلیق أن یتعجّب منها المجانین والصبیان، ویهزؤ بها العوام والنسوان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أعجب العجائب مقابلته معنا فی وجه کلام شیخنا المفید بما ذکرنا وجهًا له، و هو من أغرب الغرائب ، لا سیّما بالکلام السخیف الرکیک الّذی لا یلیق أن یصدر من أدانی الطلبة،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إسقاط الوحدة فی کلام الشیخ، فلیس لأجل عدم التوهّم، فإنّ بعض الظنّ إثم، بل لما کان فی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المذکور ؛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کان </w:t>
      </w:r>
      <w:r>
        <w:rPr>
          <w:rFonts w:eastAsia="IRNazanin" w:cs="IRNazanin"/>
          <w:color w:val="111111"/>
          <w:sz w:val="28"/>
          <w:szCs w:val="28"/>
          <w:rtl w:val="true"/>
          <w:lang w:bidi="fa-IR"/>
        </w:rPr>
        <w:t xml:space="preserve">» </w:t>
      </w:r>
      <w:r>
        <w:rPr>
          <w:rStyle w:val="FootnoteAnchor"/>
          <w:rtl w:val="true"/>
        </w:rPr>
        <w:footnoteReference w:id="1117"/>
      </w:r>
      <w:r>
        <w:rPr>
          <w:rFonts w:ascii="IRNazanin" w:hAnsi="IRNazanin" w:eastAsia="IRNazanin"/>
          <w:color w:val="111111"/>
          <w:sz w:val="28"/>
          <w:sz w:val="28"/>
          <w:szCs w:val="28"/>
          <w:rtl w:val="true"/>
          <w:lang w:bidi="fa-IR"/>
        </w:rPr>
        <w:t xml:space="preserve">إمّا جار و مجرور، أو من أدوات الشرط، و کلاهما فاسد،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لوضوح عدم الإرتباط والمناسبة بین إسقاط الوحدة والتفصیل الّذی ورد فی الفریضة، بل هو مناسب لذکرها، لا لإسقاطها، کما هو الظاهر من سیاق کلامه أیضًا ؛ مضافًا إلی عدم ملائمته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فأشار بالوحدة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کما لا یخفی علی المتأمّل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فأشار بالوحدة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ومعلوم أنّ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شیخنا المفید، فحاصل المعنی فی کلامه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إسقاط الوحدة من الشیخ، إلی آخره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یخفی فساده و قبحه علی مَن له أدنی شعور، إلاّ أن یحمل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کان فی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کلامًا غیر مرتبط بما قبله، لکنّه لا یلائم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للإضراب ؛ مضافًا إلی ما عرفت من أنّه یرجع إلی ما نبّهنا علیه، فکیف یأتی به فی مقابلتنا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ما فی قوله من الرکاکة اللفظیّة، لأنّ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إمّا تامّة، أو ناقصة، و علی التقدیرین یفتقر إلی مرفوع، و أین المرفوع فی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لایخفی ما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یکتفی بالمرّة علی کلّ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النافلة لیس فیها الإمامة والإیتمام،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Style w:val="FootnoteAnchor"/>
          <w:rtl w:val="true"/>
        </w:rPr>
        <w:footnoteReference w:id="1118"/>
      </w:r>
      <w:r>
        <w:rPr>
          <w:rFonts w:ascii="IRNazanin" w:hAnsi="IRNazanin" w:eastAsia="IRNazanin"/>
          <w:color w:val="111111"/>
          <w:sz w:val="28"/>
          <w:sz w:val="28"/>
          <w:szCs w:val="28"/>
          <w:rtl w:val="true"/>
          <w:lang w:bidi="fa-IR"/>
        </w:rPr>
        <w:t xml:space="preserve">أن یحمل علی بعض الفروض النادرة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لیس المراد بالوحدة والتکرار باعتبار السلام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یزیده قبحًا علی قبح، و مَن ادّعی أنّ الوحدة فی کلام شیخنا المفید للتنبیه علی عدم الإتیان بصیغة السلام علینا فی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مع أنّا لانجوّز ذلک فی حقّ مَن وصل إلی مشامه رائحة الفقه، فکیف فی حقّ شیخنا المفید الّذی هو من أعاظم الفقهاء و رؤسائهم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کیف ذلک و هو ممّا ذهب إلیه وهم هذا الفاضل المنصف، و نحن أنکرناه أشدّ الإنکار، حتّی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یدّعی الإجماع علی خلافه، و أنّه ممّا لا یمکن أن یتفوّه به مَن وصل إلی مشامه رائحة الفقه، و مع ذلک ینسبه هذا الفاضل المنصف إلینا 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من مثله لغریب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کذلک ؛ لکن مثل هذه الأمور المخالفة للواقع من مثله لقریب قریب، کما لا یخفی علی مَن أحاط خبرًا بما نبّهنا </w:t>
      </w:r>
      <w:bookmarkStart w:id="326" w:name="pg3709_22347"/>
    </w:p>
    <w:p>
      <w:pPr>
        <w:pStyle w:val="BookText"/>
        <w:rPr/>
      </w:pPr>
      <w:bookmarkEnd w:id="326"/>
      <w:r>
        <w:rPr>
          <w:rFonts w:ascii="IRNazanin" w:hAnsi="IRNazanin" w:eastAsia="IRNazanin"/>
          <w:color w:val="111111"/>
          <w:sz w:val="28"/>
          <w:sz w:val="28"/>
          <w:szCs w:val="28"/>
          <w:rtl w:val="true"/>
          <w:lang w:bidi="fa-IR"/>
        </w:rPr>
        <w:t xml:space="preserve">علی ما صدر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وغایة ما نبّهنا علیه فی هذا المقام ما حاصله هو انّه ربما </w:t>
      </w:r>
      <w:r>
        <w:rPr>
          <w:rStyle w:val="FootnoteAnchor"/>
          <w:rtl w:val="true"/>
        </w:rPr>
        <w:footnoteReference w:id="1119"/>
      </w:r>
      <w:r>
        <w:rPr>
          <w:rFonts w:ascii="IRNazanin" w:hAnsi="IRNazanin" w:eastAsia="IRNazanin"/>
          <w:color w:val="111111"/>
          <w:sz w:val="28"/>
          <w:sz w:val="28"/>
          <w:szCs w:val="28"/>
          <w:rtl w:val="true"/>
          <w:lang w:bidi="fa-IR"/>
        </w:rPr>
        <w:t>کان لمتوهّم أن یتوهّم من لفظ الوحدة فی کلام شیخنا المفید ـ نوّر اللّه تعالی مرقده ـ عدم جواز الجمع بین السلام علیکم و غیره، أسقطه شیخ الطائفة فی المصباح ؛ وأین ذلک من أنّ مراد شیخنا المفید منه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بعد ما نبّهنا علیه من أنّ المراد من لفظ الوحدة فی المقام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هذا الإنکار منه لا یلائم إعتقاده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لفظ التکرار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لیس المراد بالوحدة و التکرار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ممّا لا وجه لذکره، کما هو واضح لمن له أدنی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المتصدّی لمسائل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السلوک فی سبیل الإنصاف، أو الجِدّ فی إزالة الجهل، والإتّصاف بصفة الرشاد، أولی من الوقوع إلی هذه المهالک الّتی لا یرجی الخلاص عن مفاسدها إلاّ مع التوبة والعمل الصالح والإنابة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من اللّه سبحانه أن یوفّقه لذلک، فإنّی و جلال اللّه سبحانه أخاف علیه المؤاخذة العظمی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أللّهم وفّقنا للتوبة، واجعل توبتنا توبة لا نحتاج بعدها إلی توبة، توبةً موجبةً لمحو ما سلف، والسلامة فیما بقی </w:t>
      </w:r>
      <w:r>
        <w:rPr>
          <w:rFonts w:eastAsia="IRNazanin" w:cs="IRNazanin"/>
          <w:color w:val="111111"/>
          <w:sz w:val="28"/>
          <w:szCs w:val="28"/>
          <w:rtl w:val="true"/>
          <w:lang w:bidi="fa-IR"/>
        </w:rPr>
        <w:t>.</w:t>
      </w:r>
    </w:p>
    <w:p>
      <w:pPr>
        <w:pStyle w:val="Heading4"/>
        <w:numPr>
          <w:ilvl w:val="3"/>
          <w:numId w:val="1"/>
        </w:numPr>
        <w:rPr/>
      </w:pPr>
      <w:bookmarkStart w:id="327" w:name="__RefHeading___Toc594251_2281741623"/>
      <w:bookmarkStart w:id="328" w:name="_Toc116"/>
      <w:bookmarkEnd w:id="327"/>
      <w:r>
        <w:rPr>
          <w:rtl w:val="true"/>
        </w:rPr>
        <w:t xml:space="preserve">ومنها قوله </w:t>
      </w:r>
      <w:r>
        <w:rPr>
          <w:rtl w:val="true"/>
        </w:rPr>
        <w:t xml:space="preserve">: </w:t>
      </w:r>
      <w:r>
        <w:rPr>
          <w:rtl w:val="true"/>
        </w:rPr>
        <w:t>ثمّ فی قوله</w:t>
      </w:r>
      <w:r>
        <w:rPr>
          <w:rtl w:val="true"/>
        </w:rPr>
        <w:t xml:space="preserve">: </w:t>
      </w:r>
      <w:r>
        <w:rPr>
          <w:rtl w:val="true"/>
        </w:rPr>
        <w:t>إنّ الشیخ تابع شیخنا المفید، إلخ</w:t>
      </w:r>
      <w:bookmarkEnd w:id="328"/>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الشیخ تابع شیخنا المفید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أراد أنّه تابع من غیر إستناد إلی دلیل، فهو تقلید حرام علی مَن بلغ درجة الإجتهاد، سیّما من مثل الشیخ البالغ أقصی درجة الفقاهة وقصوی مرتبة الدرایة والریاسة، شأنه أرفع من أن یوصف بالإجتهاد، لأنّ الإجتهاد هو الظنّ بالحکم الشرعیّ المستند إلی الأدلّة الظنّیة، وقد کانت القرائن المفیدة للعلم حاصلة له رحمه‌الله ، کما یظهر لمن تتبّع مصنّفاته ومؤلّفاته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1120"/>
      </w:r>
      <w:r>
        <w:rPr>
          <w:rFonts w:ascii="IRNazanin" w:hAnsi="IRNazanin" w:eastAsia="IRNazanin"/>
          <w:color w:val="111111"/>
          <w:sz w:val="28"/>
          <w:sz w:val="28"/>
          <w:szCs w:val="28"/>
          <w:rtl w:val="true"/>
          <w:lang w:bidi="fa-IR"/>
        </w:rPr>
        <w:t xml:space="preserve">المتابعة الموافقة فی الرأی بحسب الدلیل، فذلک المتابعة یؤیّد ما کنّا فیه زیادة تأیید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هو أنّه لمّا أقیم البرهان علی جواز الإجتزاء فی تسلیم الصلوات بکلّ من صیغتی السلام علینا و علی عباد اللّه الصالحین، والسلام علیکم، فلا شبهة فی جواز الإجتزاء بأیّ منهما کان، لکن لمّا اختار شیخنا المفید ـ و هو من أعاظم المشایخ و أکابرهم ـ فی تسلیم النافلة صیغة السلام علیکم بالذکر، وافقه تلمیذه شیخ الطائفة فی ذلک، فلا یلزم منه تأیید لما توهّمه ـ دام ظلّه ـ و لا تقلید محرّم،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التقلید المحرّم هو الّذی علّقه ـ دام ظلّه ـ علی عنقه، کما لایخفی علی مَن أحاط بنبذة ممّا صدر منه ممّا نبّهنا علیه، فضلاً عن أکثرها أو جمیعها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کانت القرائن المفیدة للعلم حاصلة له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فیه،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ینافی ما ذکره فی ردّ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 للواقع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مراده أنّه الواقع </w:t>
      </w:r>
    </w:p>
    <w:p>
      <w:pPr>
        <w:pStyle w:val="BookText"/>
        <w:rPr/>
      </w:pPr>
      <w:r>
        <w:rPr>
          <w:rFonts w:ascii="IRNazanin" w:hAnsi="IRNazanin" w:eastAsia="IRNazanin"/>
          <w:color w:val="111111"/>
          <w:sz w:val="28"/>
          <w:sz w:val="28"/>
          <w:szCs w:val="28"/>
          <w:rtl w:val="true"/>
          <w:lang w:bidi="fa-IR"/>
        </w:rPr>
        <w:t xml:space="preserve">بحسب ما أدّی إلیه فهمه واجتهاده، لا الواقع الواقعیّ، لأنّه لا یمکنه و لا غیره، إلاّ مَن عصمه اللّه و أودعه الأسرار والأحکام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شاهدٌ آخر علی حقیقة ما نبّهنا علیه مرارًا من أنّه یکتب من غیر أن یکون شاعرًا بمدلول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ما ادّعی حصوله لشیخ الطائفة من القرائن المفیدة للعلم فی جمیع المسائل، هو الّذی ادّعی الشیخ نفسه علی خلافه الضرورة ؛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إثبات حجّیة خبر الواحد المرویّ عن طرق أصحابنا 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یکون الّذین أشرتم إلیهم عملوا بهذه الأخبار بمجرّدها، بل إنّما عملوا بها لقرائن اقترنت بها دلّتهم علی صحّتها لأجلها عملوا بها، و لو تجرّدت لما عملوا بها و إذا جاز ذلک لم یکن الإعتماد علی عملهم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القرائن الّتی تقترن بالخبر و تدلّ علی صحّته أشیاء مخصوصة ـ نذکرها فیما بعد ـ من الکتاب والسنّة والإجماع والتواتر</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نحن نعلم أنّه لیس فی جمیع المسائل الّتی استعملوا فیها أخبار الآحاد ما ذکر، و ذلک لأنّه لیس فی جمیعها یمکن الإستدلال بالقرآن، لعدم ذکر ذلک فی صریحه وفحواه، و </w:t>
      </w:r>
      <w:r>
        <w:rPr>
          <w:rStyle w:val="FootnoteAnchor"/>
          <w:rtl w:val="true"/>
        </w:rPr>
        <w:footnoteReference w:id="1121"/>
      </w:r>
      <w:r>
        <w:rPr>
          <w:rFonts w:ascii="IRNazanin" w:hAnsi="IRNazanin" w:eastAsia="IRNazanin"/>
          <w:color w:val="111111"/>
          <w:sz w:val="28"/>
          <w:sz w:val="28"/>
          <w:szCs w:val="28"/>
          <w:rtl w:val="true"/>
          <w:lang w:bidi="fa-IR"/>
        </w:rPr>
        <w:t xml:space="preserve">دلیله و معناه، ولا بالسنّة المتواترة لعدم ذکر ذلک فی أکثر الأحکام، بل لوجودها فی مسائل معدودة، ولا بالإجماع لوجود الإختلاف فی ذلک، فعلم أنّ ادّعاء القرائن فی </w:t>
      </w:r>
    </w:p>
    <w:p>
      <w:pPr>
        <w:pStyle w:val="BookText"/>
        <w:rPr/>
      </w:pPr>
      <w:r>
        <w:rPr>
          <w:rFonts w:ascii="IRNazanin" w:hAnsi="IRNazanin" w:eastAsia="IRNazanin"/>
          <w:color w:val="111111"/>
          <w:sz w:val="28"/>
          <w:sz w:val="28"/>
          <w:szCs w:val="28"/>
          <w:rtl w:val="true"/>
          <w:lang w:bidi="fa-IR"/>
        </w:rPr>
        <w:t xml:space="preserve">جمیع هذه المسائل دعوی 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ادّعی القرائن فی جمیع ما ذکرناه کان مقولاً علی ما یعلم ضرورة خلافه مدافعًا لما یعلم من نفسه ضدّه و نقیضه </w:t>
      </w:r>
      <w:r>
        <w:rPr>
          <w:rStyle w:val="FootnoteAnchor"/>
          <w:rtl w:val="true"/>
        </w:rPr>
        <w:footnoteReference w:id="1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فشیخ الطائفة صرّح بأنّ دعوی تحقّق القرینة القطعیّة فی جمیع المواقع ممّا قضت الضرورة ببطلانه، و مع ذلک مولانا المحروم عن جمیع ما له دخل فی المطالب یحکم بتحقّق القرائن القطعیّة عنده فی جمیع المواد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منظوره تحقّقها فی بعض المواد لا فی جمیعها، فمن أین حکمتم بأنّ مراده تحقّقها فی جمیع المواد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الدالّ علی رفعة شأنه و معرفته برتبته </w:t>
      </w:r>
      <w:r>
        <w:rPr>
          <w:rStyle w:val="FootnoteAnchor"/>
          <w:rtl w:val="true"/>
        </w:rPr>
        <w:footnoteReference w:id="1124"/>
      </w:r>
      <w:r>
        <w:rPr>
          <w:rFonts w:ascii="IRNazanin" w:hAnsi="IRNazanin" w:eastAsia="IRNazanin"/>
          <w:color w:val="111111"/>
          <w:sz w:val="28"/>
          <w:sz w:val="28"/>
          <w:szCs w:val="28"/>
          <w:rtl w:val="true"/>
          <w:lang w:bidi="fa-IR"/>
        </w:rPr>
        <w:t xml:space="preserve">الإجتهاد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شأنه أرفع من أن یوصف بالإجتهاد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أعجب من ذلک قوله الدالّ علی عدم مبالاته بالکذب، وکمال تتبّعه واطّلاعه بکتب الشیخ،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یظهر لمن تتبّع مصنّفاته و مؤلّفاته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لدلالته علی اطّلاعه بالمصنّفات الّتی لم یطّلع علیها مصنّفها، حیث جعل أکثر المسائل مستندًا إلی الأدلّة الظنّیة، وادّعی أنّ دعوی تحقّق القرائن القطعیّة فی الجمیع مخالفة للضرورة، واطّلع علیها هذا الرجل المنصف الخائف من مؤاخذة یوم القیامة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أدری انّ مَن لم یکن عنده کتاب التهذیب الّذی شاع فی الأمصار، مِن أین اطّلع علی تلک المصنّفات الّتی خفیت علی مصنّفها، مع أنّ مصنّفاته تنادی بأندی صوت بأنّ أکثر المسائل المذکورة فیها مأخوذة من الأدلّة الظنّیة، فلاحظ </w:t>
      </w:r>
    </w:p>
    <w:p>
      <w:pPr>
        <w:pStyle w:val="BookText"/>
        <w:rPr/>
      </w:pPr>
      <w:r>
        <w:rPr>
          <w:rFonts w:ascii="IRNazanin" w:hAnsi="IRNazanin" w:eastAsia="IRNazanin"/>
          <w:color w:val="111111"/>
          <w:sz w:val="28"/>
          <w:sz w:val="28"/>
          <w:szCs w:val="28"/>
          <w:rtl w:val="true"/>
          <w:lang w:bidi="fa-IR"/>
        </w:rPr>
        <w:t xml:space="preserve">الخلاف </w:t>
      </w:r>
      <w:r>
        <w:rPr>
          <w:rStyle w:val="FootnoteAnchor"/>
          <w:rtl w:val="true"/>
        </w:rPr>
        <w:footnoteReference w:id="1125"/>
      </w:r>
      <w:r>
        <w:rPr>
          <w:rFonts w:ascii="IRNazanin" w:hAnsi="IRNazanin" w:eastAsia="IRNazanin"/>
          <w:color w:val="111111"/>
          <w:sz w:val="28"/>
          <w:sz w:val="28"/>
          <w:szCs w:val="28"/>
          <w:rtl w:val="true"/>
          <w:lang w:bidi="fa-IR"/>
        </w:rPr>
        <w:t xml:space="preserve">والنهایة والمبسوط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تتبّع التهذیب والإستبصار بعین البصیرة والإعتبار، ینکشف لدیه حقیقة الحال ؛ قال فی الإستبصار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الأخبار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و غیر متواتر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لیس بمتواتر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منه یوجب العلم أیضًا، وهو کلّ خبر تقترن إلیه قرینة توجب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القسم الآخر، فهو کلّ خبر لا یکون متواترًا، و یتعرّی من واحد من هذه القرائن، فإنّ ذلک خبر واحد، و یجوز العمل به علی شروط، فإذا کان الخبر لا یعارضه خبر آخر، فإنّ ذلک یجب العمل به، لأنّه من الباب </w:t>
      </w:r>
    </w:p>
    <w:p>
      <w:pPr>
        <w:pStyle w:val="BookText"/>
        <w:rPr/>
      </w:pPr>
      <w:r>
        <w:rPr>
          <w:rFonts w:ascii="IRNazanin" w:hAnsi="IRNazanin" w:eastAsia="IRNazanin"/>
          <w:color w:val="111111"/>
          <w:sz w:val="28"/>
          <w:sz w:val="28"/>
          <w:szCs w:val="28"/>
          <w:rtl w:val="true"/>
          <w:lang w:bidi="fa-IR"/>
        </w:rPr>
        <w:t xml:space="preserve">الّذی علیه الإجماع فی النقل، إلاّ أن تعرف فتاویهم بخلافه، فیترک لأجلها العمل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هناک ما یعارضه، فینبغی أن ینظر فی المتعارضین، فیعمل علی أعدل الرواة فی الطریقین، وإن کانا سواء فی العدالة عمل علی أکثر الرواة عددًا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أطال الکلام فی کیفیّة العمل بأخبار الآحاد العاریة عن القرائن القطعیّة،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إذا فکرت فی هذه الجملة، وجدت الأخبار کلّها لاتخلو من واحد </w:t>
      </w:r>
      <w:r>
        <w:rPr>
          <w:rStyle w:val="FootnoteAnchor"/>
          <w:rtl w:val="true"/>
        </w:rPr>
        <w:footnoteReference w:id="1127"/>
      </w:r>
      <w:r>
        <w:rPr>
          <w:rFonts w:ascii="IRNazanin" w:hAnsi="IRNazanin" w:eastAsia="IRNazanin"/>
          <w:color w:val="111111"/>
          <w:sz w:val="28"/>
          <w:sz w:val="28"/>
          <w:szCs w:val="28"/>
          <w:rtl w:val="true"/>
          <w:lang w:bidi="fa-IR"/>
        </w:rPr>
        <w:t xml:space="preserve">من هذه الأقسام، و وجدت أیضًا ما عملنا علیه فی هذا الکتاب وفی غیره من کتبنا فی الفتاوی فی الحلال والحرام لایخلو من واحد من هذه الأقسام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إنتهی کلامه ـ رفع اللّه مقامه ـ و هو صریح فی انّه عمل فی کتبه بأخبار الآحاد الظنّیة، وهذا الرجل المنصف المحترز عمّا یوجب إنتقام الجبّار، ینکره مع المبالغة والإصرار</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جمیع ما ذکر تبیّن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شأنه أرفع من أن یوصف بالإجتهاد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قولٌ صدر مع الجهل عن جمیع ما یبتنی علیه صدق المقال، بل هو من أباطیل الأوهام الظلمانیّة و أکاذیبها، و تخیّلات الطبیعة السودائیّة و تصاویرها، فاعتبروا یا أولی الألباب، نعوذ باللّه سبحانه عن مؤاخذة یوم الحساب </w:t>
      </w:r>
      <w:r>
        <w:rPr>
          <w:rFonts w:eastAsia="IRNazanin" w:cs="IRNazanin"/>
          <w:color w:val="111111"/>
          <w:sz w:val="28"/>
          <w:szCs w:val="28"/>
          <w:rtl w:val="true"/>
          <w:lang w:bidi="fa-IR"/>
        </w:rPr>
        <w:t xml:space="preserve">. </w:t>
      </w:r>
      <w:bookmarkStart w:id="329" w:name="pg3709_22353"/>
    </w:p>
    <w:p>
      <w:pPr>
        <w:pStyle w:val="BookText"/>
        <w:rPr/>
      </w:pPr>
      <w:bookmarkEnd w:id="329"/>
      <w:r>
        <w:rPr>
          <w:rFonts w:ascii="IRNazanin" w:hAnsi="IRNazanin" w:eastAsia="IRNazanin"/>
          <w:color w:val="111111"/>
          <w:sz w:val="28"/>
          <w:sz w:val="28"/>
          <w:szCs w:val="28"/>
          <w:rtl w:val="true"/>
          <w:lang w:bidi="fa-IR"/>
        </w:rPr>
        <w:t xml:space="preserve">و 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ما ذکره فی تعریف الإجتهاد یدلّ علی کمال معرفته بمعناه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 أنّ الإجتهاد هو بذل الفقیه وسعه لتحصیل الظنّ بالحکم الشرعیّ، لا أنّه نفس الظنّ بالحکم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لیس غرضنا ممّا ذکرناه تحدید الإجتهاد بالحدّ المانع والجامع، فانّ له مقامًا آخر، و انّما المقصود هو التنبیه علی کون ما ذکره غیر مطابق للواقع لما عرفت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594253_2281741623"/>
      <w:bookmarkStart w:id="331" w:name="_Toc117"/>
      <w:bookmarkEnd w:id="330"/>
      <w:r>
        <w:rPr>
          <w:rtl w:val="true"/>
        </w:rPr>
        <w:t xml:space="preserve">ومنها قوله بعد أن عنون قولنا </w:t>
      </w:r>
      <w:r>
        <w:rPr>
          <w:rtl w:val="true"/>
        </w:rPr>
        <w:t xml:space="preserve">: </w:t>
      </w:r>
      <w:r>
        <w:rPr>
          <w:rtl w:val="true"/>
        </w:rPr>
        <w:t>ثمّ إنّ الفاضل سلاّر بن، إلخ</w:t>
      </w:r>
      <w:bookmarkEnd w:id="331"/>
    </w:p>
    <w:p>
      <w:pPr>
        <w:pStyle w:val="BookText"/>
        <w:rPr/>
      </w:pPr>
      <w:r>
        <w:rPr>
          <w:rFonts w:ascii="IRNazanin" w:hAnsi="IRNazanin" w:eastAsia="IRNazanin"/>
          <w:color w:val="111111"/>
          <w:sz w:val="28"/>
          <w:sz w:val="28"/>
          <w:szCs w:val="28"/>
          <w:rtl w:val="true"/>
          <w:lang w:bidi="fa-IR"/>
        </w:rPr>
        <w:t xml:space="preserve">قوله ـ دام ظلّه ـ بعد أن عنون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الفاضل سلاّر بن عبدالعزیز لم یراع الوجه الّذی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 یظهر أنّه یقول بوجوب التسلیم فی الجملة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صاحب المراسم یزید قوّة علی قوّة و نورًا علی نور، جزی اللّه سیّدنا عنّا خیر الجزاء، فإنّه قد أیّد ما نحن بصدده بموافقة المشایخ العظام و الأکابر الفخام أولی الأیدی والأبصار، وما کنت خبیرًا بفتاویهم لعدم اطّلاعی علی کتاب المراسم، فجعلنی بصیرًا بما فیه، و جعل إعتقادی قویًّا لإعتمادی بهؤلاء المشایخ، إذ هم لم یقولوا إلاّ عن حجّة و دلیل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أنّ القید المذکور لا یستدعی ما نسب إلیه، بل لأجل التکرار فی التسلیم بحسب أحوال المصلّین فی الفریضة، إمامًا ومأمومًا وفرادی، والتکرار لأجل ملاحظة المقام، و لا نعید الکلام، من شاء </w:t>
      </w:r>
    </w:p>
    <w:p>
      <w:pPr>
        <w:pStyle w:val="BookText"/>
        <w:rPr/>
      </w:pPr>
      <w:r>
        <w:rPr>
          <w:rFonts w:ascii="IRNazanin" w:hAnsi="IRNazanin" w:eastAsia="IRNazanin"/>
          <w:color w:val="111111"/>
          <w:sz w:val="28"/>
          <w:sz w:val="28"/>
          <w:szCs w:val="28"/>
          <w:rtl w:val="true"/>
          <w:lang w:bidi="fa-IR"/>
        </w:rPr>
        <w:t xml:space="preserve">فلیرجع إلی الرسالة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من التأیید وعدم ذکر السلام الأخیر، فکأنّه لأجل أنّ تینک الصیغتین لیستا من جملة التسلیم، بل من آداب التشهّد و مکمّلاته و مندوباته، و التسلیم إسم للسلام الشائع، و هما خارجان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قوّة علی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أنصف، لکن المزید فیه لایخفی علی‌المتأمّل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 اللّه سیّدنا عنّا خیر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محلّه، فإنّ مِن أعظم حقوق الإخوان منعهم عمّا یوجب سخط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بموافقة المشایخ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مَن هؤلاء المشایخ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أقلّ مراتب الجمع هو الثلاثة، و لایخفی ما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لعدم اطّلاعی علی کتاب المراسم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الإنطباق علی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عرفت أنّ القید المذکور لا یستدعی ما نسب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یزیده وهنًا علی وهن، کما عرفت ممّا فصّلنا، لا سیّما بمثل هذا الکلام الّذی لایخفی رکاکته علی المتأمّل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لأجل التکرار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مقتضاه تکرار التسلیم حتّی فی حقّ المنفرد، وقد عرفت فساده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ما ذکره من التأیید و عدم ذکر السلام الأخیر، فکأنّه لأجل أنّ تینک الصیغتین لیستا من جملة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من عجائب الأمور، لوضوح أنّ کون السلام علینا من آداب التشهّد ممّا یشهد علی فساده العیان ؛ و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أنّک قد عرفت من کثیر من الأصحاب التصریح بأنّ للتسلیم صیغتین </w:t>
      </w:r>
      <w:r>
        <w:rPr>
          <w:rFonts w:eastAsia="IRNazanin" w:cs="IRNazanin"/>
          <w:color w:val="111111"/>
          <w:sz w:val="28"/>
          <w:szCs w:val="28"/>
          <w:rtl w:val="true"/>
          <w:lang w:bidi="fa-IR"/>
        </w:rPr>
        <w:t xml:space="preserve">. </w:t>
      </w:r>
      <w:bookmarkStart w:id="332" w:name="pg3709_22355"/>
    </w:p>
    <w:p>
      <w:pPr>
        <w:pStyle w:val="BookText"/>
        <w:rPr/>
      </w:pPr>
      <w:bookmarkEnd w:id="332"/>
      <w:r>
        <w:rPr>
          <w:rFonts w:ascii="IRNazanin" w:hAnsi="IRNazanin" w:eastAsia="IRNazanin"/>
          <w:color w:val="111111"/>
          <w:sz w:val="28"/>
          <w:sz w:val="28"/>
          <w:szCs w:val="28"/>
          <w:rtl w:val="true"/>
          <w:lang w:bidi="fa-IR"/>
        </w:rPr>
        <w:t>و علی فرض تسلیم هذا الأمر المستهجن، کیف یمکن لعاقل أن یدّعی أنّ عدم ذکر السلام علیکم فی تسلیم الفرائض لکون السلام علینا من آداب 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کونه من آداب التشهّد یستدعی ذکر السلام علیکم، لا عدم ذکره، لاسیّما بالإضافة إلی سلاّر الّذی یقول بوجوب التسلیم، بل لا یبعد ذلک فی حقّ شیخنا المفید أیضًا، کما نبّهنا علیه فی الرسالة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تأمّل بعین البصیرة فی هذا الکلام ، یعلم أنّه لا یلیق أن یصدر من الأطفال والأعوام، فضلاً عمّن هیّأ نفسه لبیان الحلال و الحرام ؛ فلاحظ ما أیّدناه فی المقام وما ذکره هذا الفاضل الّذی جعل </w:t>
      </w:r>
      <w:r>
        <w:rPr>
          <w:rStyle w:val="FootnoteAnchor"/>
          <w:rtl w:val="true"/>
        </w:rPr>
        <w:footnoteReference w:id="1130"/>
      </w:r>
      <w:r>
        <w:rPr>
          <w:rFonts w:ascii="IRNazanin" w:hAnsi="IRNazanin" w:eastAsia="IRNazanin"/>
          <w:color w:val="111111"/>
          <w:sz w:val="28"/>
          <w:sz w:val="28"/>
          <w:szCs w:val="28"/>
          <w:rtl w:val="true"/>
          <w:lang w:bidi="fa-IR"/>
        </w:rPr>
        <w:t xml:space="preserve">شخصه فریدًا بین العلماء العلاّم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لایخفی 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الأغلاط،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خارجتان، لکون الضمیر فی قوله عائدًا إلی الصیغتین </w:t>
      </w:r>
      <w:r>
        <w:rPr>
          <w:rFonts w:eastAsia="IRNazanin" w:cs="IRNazanin"/>
          <w:color w:val="111111"/>
          <w:sz w:val="28"/>
          <w:szCs w:val="28"/>
          <w:rtl w:val="true"/>
          <w:lang w:bidi="fa-IR"/>
        </w:rPr>
        <w:t>.</w:t>
      </w:r>
    </w:p>
    <w:p>
      <w:pPr>
        <w:pStyle w:val="Heading4"/>
        <w:numPr>
          <w:ilvl w:val="3"/>
          <w:numId w:val="1"/>
        </w:numPr>
        <w:rPr/>
      </w:pPr>
      <w:bookmarkStart w:id="333" w:name="__RefHeading___Toc594255_2281741623"/>
      <w:bookmarkStart w:id="334" w:name="_Toc118"/>
      <w:bookmarkEnd w:id="333"/>
      <w:r>
        <w:rPr>
          <w:rtl w:val="true"/>
        </w:rPr>
        <w:t xml:space="preserve">ومنها قوله </w:t>
      </w:r>
      <w:r>
        <w:rPr>
          <w:rtl w:val="true"/>
        </w:rPr>
        <w:t xml:space="preserve">: </w:t>
      </w:r>
      <w:r>
        <w:rPr>
          <w:rtl w:val="true"/>
        </w:rPr>
        <w:t>قال السیّد دام ظلّه فی ذیل إثبات رجحان، إلخ</w:t>
      </w:r>
      <w:bookmarkEnd w:id="334"/>
    </w:p>
    <w:p>
      <w:pPr>
        <w:pStyle w:val="BookText"/>
        <w:rPr/>
      </w:pPr>
      <w:r>
        <w:rPr>
          <w:rFonts w:ascii="IRNazanin" w:hAnsi="IRNazanin" w:eastAsia="IRNazanin"/>
          <w:color w:val="111111"/>
          <w:sz w:val="28"/>
          <w:sz w:val="28"/>
          <w:szCs w:val="28"/>
          <w:rtl w:val="true"/>
          <w:lang w:bidi="fa-IR"/>
        </w:rPr>
        <w:t xml:space="preserve">قوله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ـ دام ظلّه ـ فی ذیل إثبات رجحان ذکر السلام علی النبیّ صلی‌الله‌علیه‌و‌آله فی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یمکن الإستدلال ـ إلی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فقد دلّ الحدیث علی جواز الجمع بینهما فی النافلة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السیّد ـ دام ظلّه ـ قد سهی سهوًا واضحًا، و فهم أنّ السائل فی مقام السؤال عمّا به یتحقّق الإنصراف، و یطلب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Style w:val="FootnoteAnchor"/>
          <w:rtl w:val="true"/>
        </w:rPr>
        <w:footnoteReference w:id="1131"/>
      </w:r>
      <w:r>
        <w:rPr>
          <w:rFonts w:ascii="IRNazanin" w:hAnsi="IRNazanin" w:eastAsia="IRNazanin"/>
          <w:color w:val="111111"/>
          <w:sz w:val="28"/>
          <w:sz w:val="28"/>
          <w:szCs w:val="28"/>
          <w:rtl w:val="true"/>
          <w:lang w:bidi="fa-IR"/>
        </w:rPr>
        <w:t xml:space="preserve">فی هذه الصیغة إنصراف لأکتفی به فی موضعه من التشهّد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هیهات هیهات لیس الأمر کذلک، بل إنّه قد أتی بهذه الصیغة سهوًا فی التشهّد الأوّل من الفریضة، و لم یدر أنّه قد انصرف بهذه الصیغة سهوًا لیترتّب علیه حکم السهو، أو لا یتحقّق بهذه، فأجاب علیه‌السلام بعدم تحقّق الإنصراف بتلک الصیغة، بل یحصل ذلک بالصیغة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الشاهد علی ذلک ذکر الحدیث فی ذیل أحکام السهو فی الصلوة، کما أنّ سابقه و لاحقه فی ذلک أیضًا، و لکن الجواد قد یکبو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الإیراد ذلک، إذ یظهر منه أنّه ما حصّل العلم بالمسائل المفتقر إلیها فی الصلوة، مع أنّ هذه الأمور هی الّتی یعلمها غالب العوام، بل کثیر من الصبیان والنسوان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هو أنّه حمل الحدیث علی أنّ المراد منه الإتیان بالصیغتین سهوًا، فاللازم منه الحکم ببطلان الصلوة فیما إذا أتی بصیغة السلام علینا فی الرکعتین الأولیین سهوًا، و هو وإن کان من غرائب الأمور، لکن عند عدم ملاحظتها مع المقابح الصادرة منه علی ما فصّلنا الحال فیما سلف، وأمّا مع الملاحظة فالإنصاف إنتفاء الغرابة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أوردنا علیه ذلک فی مجلس المباحثة، إضطرب فی الخلاص عن هذه المفسدة، فتمسّک بأنّ مرادی لزوم سجدتی السهو، ولعمر الحبیب أنّه علاج الفاسد بالأفسد، إذ الحدیث هکذا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الرکعتین الأولیین إذا جلست فیهما للتشهّد،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 رحمة اللّه و برکاته إنصراف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w:t>
      </w:r>
    </w:p>
    <w:p>
      <w:pPr>
        <w:pStyle w:val="BookText"/>
        <w:rPr/>
      </w:pPr>
      <w:r>
        <w:rPr>
          <w:rFonts w:ascii="IRNazanin" w:hAnsi="IRNazanin" w:eastAsia="IRNazanin"/>
          <w:color w:val="111111"/>
          <w:sz w:val="28"/>
          <w:sz w:val="28"/>
          <w:szCs w:val="28"/>
          <w:rtl w:val="true"/>
          <w:lang w:bidi="fa-IR"/>
        </w:rPr>
        <w:t xml:space="preserve">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فهو الإنصراف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عاقل یجوّز أن یکون المراد من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الإنصراف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علیه سجدتا السهو حال الإتیان به سهوًا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شیء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أعجب من کلّ عجیب، لوضوح أنّ حمل الألفاظ علی خلاف المعانی الظاهرة إنّما یمکن عند تحقّق المناسبة المصحّحة للتجوّز مع الإقتران بالقرینة، و أیّ مناسبة بین الإنصراف عن الصلوة و لزوم سجدتی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باب المجاز الغلط الّذی لا یمکن أن یتفوّه به مَن له أدنی حظّ من الإدراک، فکیف یجترئ العاقل فی إحتمال أمثال هذه الأمور الرکیکة فی الکلمات الصادرة عن منبع الفصاحة والبلاغة و معدن الشرافة والدرایة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هذا الرجل المنصف کیف بالغ فی بطلان الحمل الّذی ذکرناه، و مع ذلک إرتکب هذا الأمر الغریب الّذی یستقبحه مَن له مِن العقل نصیب، ویستهجن عند </w:t>
      </w:r>
      <w:r>
        <w:rPr>
          <w:rStyle w:val="FootnoteAnchor"/>
          <w:rtl w:val="true"/>
        </w:rPr>
        <w:footnoteReference w:id="1133"/>
      </w:r>
      <w:r>
        <w:rPr>
          <w:rFonts w:ascii="IRNazanin" w:hAnsi="IRNazanin" w:eastAsia="IRNazanin"/>
          <w:color w:val="111111"/>
          <w:sz w:val="28"/>
          <w:sz w:val="28"/>
          <w:szCs w:val="28"/>
          <w:rtl w:val="true"/>
          <w:lang w:bidi="fa-IR"/>
        </w:rPr>
        <w:t xml:space="preserve">مَن له أدنی حظّ من الإدراک والبصیرة، و لا یحتمله مَن اختلف إلی مجالس العلماء ولو بعنوان الندرة، فضلاً عمّن جعله من جملة العلماء الأجلّة ؛ نعوذ باللّه من سوء الفاتحة و مؤاخذة الخاتمة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له فی هذا الحمل الرکیک إلاّ ما أرشدناه إلیه من کون الحدیث مذکورًا فی الفقیه فی باب أحکام السهو ؛ و لیته عبّر بهذا الکلام لئلاّ یتوجّه علیه بعض ما یأتی من الملام، و لم یدر أنّ ذلک لا یصلح أن یکون قرینة فی حمل الحدیث علی </w:t>
      </w:r>
    </w:p>
    <w:p>
      <w:pPr>
        <w:pStyle w:val="BookText"/>
        <w:rPr/>
      </w:pPr>
      <w:r>
        <w:rPr>
          <w:rFonts w:ascii="IRNazanin" w:hAnsi="IRNazanin" w:eastAsia="IRNazanin"/>
          <w:color w:val="111111"/>
          <w:sz w:val="28"/>
          <w:sz w:val="28"/>
          <w:szCs w:val="28"/>
          <w:rtl w:val="true"/>
          <w:lang w:bidi="fa-IR"/>
        </w:rPr>
        <w:t xml:space="preserve">ما عنون به الباب، إذ غایة ما هناک علی فرض التسلیم فهم صاحب الکتاب، ومعلوم أنّه لیس بحجّة حتّی یصرف به کلام المعصوم علیه‌السلام عن ظاهره إلی خلافه، سیّما إلی مثل هذا الحمل الرکیک الّذی یشمأزّ منه الطبع السلیم، و ینفر </w:t>
      </w:r>
      <w:r>
        <w:rPr>
          <w:rStyle w:val="FootnoteAnchor"/>
          <w:rtl w:val="true"/>
        </w:rPr>
        <w:footnoteReference w:id="1134"/>
      </w:r>
      <w:r>
        <w:rPr>
          <w:rFonts w:ascii="IRNazanin" w:hAnsi="IRNazanin" w:eastAsia="IRNazanin"/>
          <w:color w:val="111111"/>
          <w:sz w:val="28"/>
          <w:sz w:val="28"/>
          <w:szCs w:val="28"/>
          <w:rtl w:val="true"/>
          <w:lang w:bidi="fa-IR"/>
        </w:rPr>
        <w:t xml:space="preserve">عنه مَن له ذهن 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فانظروا یا معاشر الفضلاء إلی هذا الرجل الفاضل الّذی فضّل نفسه علی جمیع فضلاء الدهر، حیث انّه قال فی السابق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أنّ قول الفقیه الواحد لا یکون حجّة، کذلک قول الفقیهین و ثلثة و أربعة ما لم یبلغ درجة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أتی فی هذا المقام بما یناقضه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والشاهد علی ذلک ذکر الحدیث فی ذیل أحکام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معلوم أنّ ذلک إنّما یصلح أن یکون شاهدًا إذا کان فهم صاحب الکتاب حجّة، و هو قد اعترف علی خلافه مع الإصرار والمبالغة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تتبّع الفقیه یظهر له أنّه لایلزم أن یکون جمیع الأحادیث المذکورة فی بابٍ مطابقةً لما عنون به الباب، کما أنّه حکم فی أوّل الفقیه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أقصد فیه قصد المصنّفین فی إیراد جمیع ما رووه، بل قصدتُ إلی إیراد ما أفتی به، و أحکم بصحّته، و أعتقد أنّه حجّة فیما بینی وبین ربّی تقدّس ذکره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ذلک یذکر فیها أحادیث متعدّدة، نحن لا نجوّز أن یکون مضمونها ممّا یفتی به، و یعتقد أنّه حجّة بینه و بین اللّه تعالی شأنه، لا سیّما فی مثل عبارة هذا </w:t>
      </w:r>
      <w:bookmarkStart w:id="335" w:name="pg3709_22359"/>
    </w:p>
    <w:p>
      <w:pPr>
        <w:pStyle w:val="BookText"/>
        <w:rPr/>
      </w:pPr>
      <w:bookmarkEnd w:id="335"/>
      <w:r>
        <w:rPr>
          <w:rFonts w:ascii="IRNazanin" w:hAnsi="IRNazanin" w:eastAsia="IRNazanin"/>
          <w:color w:val="111111"/>
          <w:sz w:val="28"/>
          <w:sz w:val="28"/>
          <w:szCs w:val="28"/>
          <w:rtl w:val="true"/>
          <w:lang w:bidi="fa-IR"/>
        </w:rPr>
        <w:t xml:space="preserve">الفاضل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الحدیث فی ذیل أحکام السهو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لوضوح أنّ ذکر حدیث فی ذیل شیء لایصلح أن یکون دلیلاً علی حمله علیه، کما لا یخفی، فلا یخفی ما فی العبارة من عدم الملائمة لما هو بصدد بیانه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لابدّ تنزیه کلام الحکیم عن مثل هذا الحمل القبیح الرکیک، فالحدیث محمول علی ما ذکرناه أوّلاً، أو ثانیًا، و هو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أبرزنا له شنایع الحمل الّذی ارتکبه 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معنی الحدیث هو الّذی نبّهنا علیه ثانیًا، ذکر أنّه لم یلاحظه ؛ و قلتُ له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المنصف الفاضل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نستحیی من أن نتعرّض لسایر ما أفاده فی بقیّة تلک الوریقات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تعتذر </w:t>
      </w:r>
      <w:r>
        <w:rPr>
          <w:rStyle w:val="FootnoteAnchor"/>
          <w:rtl w:val="true"/>
        </w:rPr>
        <w:footnoteReference w:id="1136"/>
      </w:r>
      <w:r>
        <w:rPr>
          <w:rFonts w:ascii="IRNazanin" w:hAnsi="IRNazanin" w:eastAsia="IRNazanin"/>
          <w:color w:val="111111"/>
          <w:sz w:val="28"/>
          <w:sz w:val="28"/>
          <w:szCs w:val="28"/>
          <w:rtl w:val="true"/>
          <w:lang w:bidi="fa-IR"/>
        </w:rPr>
        <w:t xml:space="preserve">بعدم الملاحظة لما بعده ؛ فاعتبروا یا أولی الألباب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الإتیان بضمیر المذکّر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لأکتفی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الأغلاط، والصواب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کما لایخفی، و هکذا الحال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موضعه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لایخفی ما فی ذکر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لعدم الحاجة إلیه، بل لامعنی له </w:t>
      </w:r>
      <w:r>
        <w:rPr>
          <w:rFonts w:eastAsia="IRNazanin" w:cs="IRNazanin"/>
          <w:color w:val="111111"/>
          <w:sz w:val="28"/>
          <w:szCs w:val="28"/>
          <w:rtl w:val="true"/>
          <w:lang w:bidi="fa-IR"/>
        </w:rPr>
        <w:t>.</w:t>
      </w:r>
    </w:p>
    <w:p>
      <w:pPr>
        <w:pStyle w:val="Heading4"/>
        <w:numPr>
          <w:ilvl w:val="3"/>
          <w:numId w:val="1"/>
        </w:numPr>
        <w:rPr/>
      </w:pPr>
      <w:bookmarkStart w:id="336" w:name="__RefHeading___Toc594257_2281741623"/>
      <w:bookmarkStart w:id="337" w:name="_Toc119"/>
      <w:bookmarkEnd w:id="336"/>
      <w:r>
        <w:rPr>
          <w:rtl w:val="true"/>
        </w:rPr>
        <w:t xml:space="preserve">ومنها قوله </w:t>
      </w:r>
      <w:r>
        <w:rPr>
          <w:rtl w:val="true"/>
        </w:rPr>
        <w:t xml:space="preserve">: </w:t>
      </w:r>
      <w:r>
        <w:rPr>
          <w:rtl w:val="true"/>
        </w:rPr>
        <w:t>ولنمسک عنان القلم فی هذا المضمار ونکتفی، إلخ</w:t>
      </w:r>
      <w:bookmarkEnd w:id="337"/>
    </w:p>
    <w:p>
      <w:pPr>
        <w:pStyle w:val="BookText"/>
        <w:rPr/>
      </w:pPr>
      <w:r>
        <w:rPr>
          <w:rFonts w:ascii="IRNazanin" w:hAnsi="IRNazanin" w:eastAsia="IRNazanin"/>
          <w:color w:val="111111"/>
          <w:sz w:val="28"/>
          <w:sz w:val="28"/>
          <w:szCs w:val="28"/>
          <w:rtl w:val="true"/>
          <w:lang w:bidi="fa-IR"/>
        </w:rPr>
        <w:t xml:space="preserve">ثمّ قال ـ دام ظلّه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لنمسک عنان القلم فی هذا المضمار، ونکتفی بهذا القدر من الکلام، و نستحیی من أن نتعرّض لسایر ما أفاده فی بقیّة تلک الوریقات من النقض و الإیراد والردّ والإبرام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نظرٌ، لأنّ الظاهر من سیاق کلامه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ولنمسک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فاللازم حینئذ حذف الیاء کما لایخفی، وهکذا الحال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نستحیی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الواو فیه حالیّة،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ولنمسک عنان القلم مکتفیًا بهذا القدر من الکلام، و مستحییًا، 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الواو حینئذ غلط، لِما هو المقرّر فی محلّه انّ الفعل المضارع المثبت إذا وقع فی مقام الحال، وجب تجریده عن الواو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تقدیر الإغماض وإمکان التوجیه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استحیائه فی التعرّض للباقی إمّا لکون المطالب المرقومة فیه قد بلغت فی الفساد حدًّا لو تکلّم فیه یظهر فساده علی کلّ أحد، و لذلک ترک التکلّم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لا لذلک، بل لمّا کانت المطالب المرقومة فیه صحیحة، لم یتطرّق إلیها شائبة شبهة، فلو تکلّم فی إبطالها أحد یفتضح حاله عند أولی الألباب، و ینحط قدره عند العلماء الأعلام، فلهذا یستحیی من التکلّم فیه، إذ التکلّم بالکلمات الواهیة یوجب إنفعال المتکلّم والخجلة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لایمکن أن یکون المراد هو الأوّل لوجوه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إعترافه مرارًا فی مجلس المباحثة فی حضور جمع من الثقات والأجلّة بعدم ملاحظته فیما بعد ذلک، فانّا لمّا أوردنا علیه عند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وکتاب التهذیب لیس عندی والإستبصار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انّ إیراد ما فی الإستبصار إن کان لکون ذلک الکلام لیس فیه، فلا وجه له، لأنّا نبّهنا علیه فی آخر الرسالة إیرادًا علی الفاضل </w:t>
      </w:r>
    </w:p>
    <w:p>
      <w:pPr>
        <w:pStyle w:val="BookText"/>
        <w:rPr/>
      </w:pPr>
      <w:r>
        <w:rPr>
          <w:rFonts w:ascii="IRNazanin" w:hAnsi="IRNazanin" w:eastAsia="IRNazanin"/>
          <w:color w:val="111111"/>
          <w:sz w:val="28"/>
          <w:sz w:val="28"/>
          <w:szCs w:val="28"/>
          <w:rtl w:val="true"/>
          <w:lang w:bidi="fa-IR"/>
        </w:rPr>
        <w:t>المحدّث القاسانی، فاعتذر ـ دام ظلّه ـ بعدم ملاحظته ؛ و هکذا عند التکلّم فی روایة أبی کهمش المتقدّمة کما نبّهنا علیه، فکیف یمکن لعاقل أن یحکم بفساد شیء مع عدم اطّلاعه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القطع لکلّ من اطّلع علی مقالاته السابقة انّه لو أمکن له التکلّم فی إبطال ما یذکر فیه، لتکلّم، سیّما إذا کان الفساد فیه أظهر، فدار الأمر بین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کلامه مبنیّ علی الکذب والخروج عن جادّة الإنصاف، أو محمول علی ما یأتی، و لا شبهة فی أولویّة الثانی و إن أبی صاحبه عنه، فاحمله علی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المذکور فی الباقی لیس إلاّ إدّعاء عدم التفرقة فی ذلک بین الفریضة والنافلة، والتنبیه علی استفادة هذا المرام منهم فی مقامات، واستفادته منها </w:t>
      </w:r>
      <w:r>
        <w:rPr>
          <w:rStyle w:val="FootnoteAnchor"/>
          <w:rtl w:val="true"/>
        </w:rPr>
        <w:footnoteReference w:id="1138"/>
      </w:r>
      <w:r>
        <w:rPr>
          <w:rFonts w:ascii="IRNazanin" w:hAnsi="IRNazanin" w:eastAsia="IRNazanin"/>
          <w:color w:val="111111"/>
          <w:sz w:val="28"/>
          <w:sz w:val="28"/>
          <w:szCs w:val="28"/>
          <w:rtl w:val="true"/>
          <w:lang w:bidi="fa-IR"/>
        </w:rPr>
        <w:t xml:space="preserve">ممّا لایقبله الإنکار، کما لا یخفی علی مَن تأمّلها وکان من أولی الأبصار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والإیراد علی الفاضل المحدّث القاسانیّ فیما عزاه إلی الإستبصار ؛ فتعیّن أن یکون المراد هو الثانی، و هو من فرط إنصافه ـ دام ظلّه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احتمالٌ آخر لیته یکون مرادًا له، و هو أن یکون الإستحیاء من اللّه تعالی، بناء علی انّه لمّا لم یکن الصادر منه فی أوّل الرسالة إلی هنا إلاّ الإصرار فی مخالفة الواقع والتکلّم بما یوجب غضب الّذی لیس لغضبه دافع، تنبّه بذلک فی المقام، وعلم انّه لو لم یکف نفسه عن الکلام، کان تکلّمه فیما بعد ممّا أوجب زیادة سخط الرّحمن، ترک التکلّم إستحیاءً منه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لیت أن یکون هذا مرادًا له، فیکون قد ندم ممّا صدر منه من مقالات واهیة، لتکون التوبة موجبة للخلاص عن مؤاخذة الشنایع المذکورة فی </w:t>
      </w:r>
      <w:r>
        <w:rPr>
          <w:rStyle w:val="FootnoteAnchor"/>
          <w:rtl w:val="true"/>
        </w:rPr>
        <w:footnoteReference w:id="1139"/>
      </w:r>
      <w:r>
        <w:rPr>
          <w:rFonts w:ascii="IRNazanin" w:hAnsi="IRNazanin" w:eastAsia="IRNazanin"/>
          <w:color w:val="111111"/>
          <w:sz w:val="28"/>
          <w:sz w:val="28"/>
          <w:szCs w:val="28"/>
          <w:rtl w:val="true"/>
          <w:lang w:bidi="fa-IR"/>
        </w:rPr>
        <w:t xml:space="preserve">الیوم الّذی لاینفع فیه ولد ولا خلّة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تمّت الرسالة فی ید أقلّ الخلیقة، بعون اللّه واهب العطیّة، فی سنة أربع وثلثین </w:t>
      </w:r>
      <w:r>
        <w:rPr>
          <w:rStyle w:val="FootnoteAnchor"/>
          <w:rtl w:val="true"/>
        </w:rPr>
        <w:footnoteReference w:id="1140"/>
      </w:r>
      <w:r>
        <w:rPr>
          <w:rFonts w:ascii="IRNazanin" w:hAnsi="IRNazanin" w:eastAsia="IRNazanin"/>
          <w:color w:val="111111"/>
          <w:sz w:val="28"/>
          <w:sz w:val="28"/>
          <w:szCs w:val="28"/>
          <w:rtl w:val="true"/>
          <w:lang w:bidi="fa-IR"/>
        </w:rPr>
        <w:t xml:space="preserve">ومأتین وألف من الهجرة النبویّة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338" w:name="pg3709_22363"/>
    </w:p>
    <w:p>
      <w:pPr>
        <w:pStyle w:val="Heading2"/>
        <w:numPr>
          <w:ilvl w:val="1"/>
          <w:numId w:val="1"/>
        </w:numPr>
        <w:rPr/>
      </w:pPr>
      <w:bookmarkStart w:id="339" w:name="__RefHeading___Toc594259_2281741623"/>
      <w:bookmarkStart w:id="340" w:name="_Toc120"/>
      <w:bookmarkEnd w:id="338"/>
      <w:bookmarkEnd w:id="339"/>
      <w:r>
        <w:rPr>
          <w:rtl w:val="true"/>
        </w:rPr>
        <w:t>الفهارس العامّة</w:t>
      </w:r>
      <w:bookmarkEnd w:id="340"/>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الآیات الکریمة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الأحادیث الشریفة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مصادر التحقیق</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 المحتویات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3709_22365"/>
      <w:bookmarkStart w:id="342" w:name="pg3709_22365"/>
      <w:bookmarkEnd w:id="342"/>
    </w:p>
    <w:p>
      <w:pPr>
        <w:pStyle w:val="Heading2"/>
        <w:numPr>
          <w:ilvl w:val="1"/>
          <w:numId w:val="1"/>
        </w:numPr>
        <w:rPr/>
      </w:pPr>
      <w:bookmarkStart w:id="343" w:name="pg3709_22365"/>
      <w:bookmarkStart w:id="344" w:name="__RefHeading___Toc594261_2281741623"/>
      <w:bookmarkStart w:id="345" w:name="_Toc121"/>
      <w:bookmarkEnd w:id="343"/>
      <w:bookmarkEnd w:id="344"/>
      <w:r>
        <w:rPr>
          <w:rtl w:val="true"/>
        </w:rPr>
        <w:t>فهرس الآیات الکریمة</w:t>
      </w:r>
      <w:bookmarkEnd w:id="345"/>
    </w:p>
    <w:p>
      <w:pPr>
        <w:pStyle w:val="BookText"/>
        <w:rPr/>
      </w:pPr>
      <w:r>
        <w:rPr>
          <w:rFonts w:ascii="IRNazanin" w:hAnsi="IRNazanin" w:eastAsia="IRNazanin"/>
          <w:color w:val="111111"/>
          <w:sz w:val="28"/>
          <w:sz w:val="28"/>
          <w:szCs w:val="28"/>
          <w:rtl w:val="true"/>
          <w:lang w:bidi="fa-IR"/>
        </w:rPr>
        <w:t>رقم الآیةالصفحة</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أتأمرون الناس بالبرّ و تنسون أنفسکم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تُؤْمِنْ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کَانَ ذُو عُسْرَةٍ فَنَظِرَةٌ إِلَی مَیْسَرَةٍ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یقولون بأفواههم ما لیس فی قلوبهم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حُیِّیتُم بِتَحِیَّةٍ فَحَیُّوا بِأَحْسَنَ مِنْها أَوْ رُدُّوها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لم یحکم بما أنزل اللّه فأولئک هم الفاسقون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أَلَسْتُ بِرَبِّکُمْ قَالُوا بَلَی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خَالِدِیْنَ فِیْهَا مادَامَتِ السَّموَاتُ وَ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وفوق کلّ ذی علم علیم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البَاطِلَ کَانَ زَهُوقًا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سورة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تَکَادُ السّموَاتُ یَتَفَطَّرْنَ مِنْهُ وَ تَنشَقُّ الأَرضُ وَتَخِرُّ الجِبَالُ هَدًّا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سورة 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أظلمُ مِمَّن افتَری عَلَی اللّه‌ِ کَذبًا أو کَذّبَ بِالحَقِّ لَمَّا جَاءَه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سلّموا تسلیمًا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سورة یس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یَعْلَمُ إنَّا إِلَیْکُمْ لَمُرْسَلُونَ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سورة 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الَّذِی یَقْبَلُ التَوْبَةَ عَنْ عِبَادِهِ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الْمَسَاجِدَ لِلّهِ فَلاَ تَدْعُوا مَعَ اللّهِ أَحَدًا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سورة القیامة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أَیَحْسَبُ الإِنْسَانُ أَنْ 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سورة الانفطار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غَرَّکَ بِرَبِّکَ الْکَرِیمِ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سورة الانشقاق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3709_22369"/>
      <w:bookmarkStart w:id="347" w:name="pg3709_22369"/>
      <w:bookmarkEnd w:id="347"/>
    </w:p>
    <w:p>
      <w:pPr>
        <w:pStyle w:val="Heading2"/>
        <w:numPr>
          <w:ilvl w:val="1"/>
          <w:numId w:val="1"/>
        </w:numPr>
        <w:rPr/>
      </w:pPr>
      <w:bookmarkStart w:id="348" w:name="pg3709_22369"/>
      <w:bookmarkStart w:id="349" w:name="__RefHeading___Toc594263_2281741623"/>
      <w:bookmarkStart w:id="350" w:name="_Toc122"/>
      <w:bookmarkEnd w:id="348"/>
      <w:bookmarkEnd w:id="349"/>
      <w:r>
        <w:rPr>
          <w:rtl w:val="true"/>
        </w:rPr>
        <w:t>فهرس الأحادیث الشریفة</w:t>
      </w:r>
      <w:bookmarkEnd w:id="350"/>
    </w:p>
    <w:p>
      <w:pPr>
        <w:pStyle w:val="Heading3"/>
        <w:numPr>
          <w:ilvl w:val="2"/>
          <w:numId w:val="1"/>
        </w:numPr>
        <w:rPr/>
      </w:pPr>
      <w:bookmarkStart w:id="351" w:name="__RefHeading___Toc594265_2281741623"/>
      <w:bookmarkStart w:id="352" w:name="_Toc123"/>
      <w:bookmarkEnd w:id="351"/>
      <w:r>
        <w:rPr>
          <w:rtl w:val="true"/>
        </w:rPr>
        <w:t xml:space="preserve">« </w:t>
      </w:r>
      <w:r>
        <w:rPr>
          <w:rtl w:val="true"/>
        </w:rPr>
        <w:t xml:space="preserve">حرف الألف </w:t>
      </w:r>
      <w:r>
        <w:rPr>
          <w:rtl w:val="true"/>
        </w:rPr>
        <w:t>»</w:t>
      </w:r>
      <w:bookmarkEnd w:id="352"/>
    </w:p>
    <w:p>
      <w:pPr>
        <w:pStyle w:val="BookText"/>
        <w:rPr/>
      </w:pPr>
      <w:r>
        <w:rPr>
          <w:rFonts w:ascii="IRNazanin" w:hAnsi="IRNazanin" w:eastAsia="IRNazanin"/>
          <w:color w:val="111111"/>
          <w:sz w:val="28"/>
          <w:sz w:val="28"/>
          <w:szCs w:val="28"/>
          <w:rtl w:val="true"/>
          <w:lang w:bidi="fa-IR"/>
        </w:rPr>
        <w:t>أخبرنی عن هذه العلل الّتی ذکرتها من الإستنباط والإستخراج</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إذا استویت جالسًا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إذا جلست فی الرابعة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الحمد للّه‌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إذا صلّیت و زعمت أنّک فی وقت و لم یدخل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إذا ظهرت البِدَع فی الدین، فلیُظهِرِ العالم 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إذا فرغ من الشهادتین فقد مضت صلوته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إذا قلت هذا فقد مضت صلوتک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إذا کان صلوة المغرب فی الخوف فرِّقهم فرقتین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إذا کنت إمامًا فإنّما التسلیم أن تسلّم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اذا کنت إمامًا فسلّم تسلیمة واحدة وأنت مستقبل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إذا کنت فی صفّ فسلّم تسلیمة عن یمینک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إذا کنت وحدک فسلّم تسلیمة واحدة عن یمینک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تدر أربعًا صلّیت أو خمسًا، أم نقصت أم زدت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نسی الرجل أن یسلّم، فإذا ولّی وجهه عن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إفتتاح الصلوة الوضوء، وتحریمها التکبیر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إفصل بین کلّ رکعتین من نوافلک بالتسلیم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الإمام یسلّم واحدة، ومن ورائه یسلّم إثنین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أمران یفسدان الناس صلوتهم،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اسمک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انّ رجلاً دخل المسجد ورسول اللّه صلی‌الله‌علیه‌و‌آله جالس فی ناحیة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إنّ الفقّاع خمر مجهول، والفقّاع خمر إستصغره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 علی عباد اللّه الصالحین، فقد انصرفت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جعل التسلیم تحلیلاً للصلاة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إن کنت تؤمّ قومًا أجزاک تسلیمة واحدة عن یمینک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إن کنت ذکرت أنّک لم تصلّ العصر حتّی دخل وقت 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إنّ اللعنة إذا خرجت من فیّ صاحبها تردّدت بینهما</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إنّما صلوتنا هذه تکبیر وقرائة ورکوع وسجود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أنّ النبیّ صلی‌الله‌علیه‌و‌آله کان یسلّم فی الصلوة عن یمینه و یساره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أنّ النبیّ صلی‌الله‌علیه‌و‌آله کان یسلّم فی الصلوة تسلیمة واحدة تلقاء وجهه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أنّه سأله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یسلّم علی الیمین ولایسلّم علی الشمال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إنّی أصلّی بقوم،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واحدة، و لا تلتفت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سمعت من سلمان والمقداد وأبی ذر شیئًا من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353" w:name="pg3709_22371"/>
    </w:p>
    <w:p>
      <w:pPr>
        <w:pStyle w:val="Heading3"/>
        <w:numPr>
          <w:ilvl w:val="2"/>
          <w:numId w:val="1"/>
        </w:numPr>
        <w:rPr/>
      </w:pPr>
      <w:bookmarkStart w:id="354" w:name="__RefHeading___Toc594267_2281741623"/>
      <w:bookmarkStart w:id="355" w:name="_Toc124"/>
      <w:bookmarkEnd w:id="353"/>
      <w:bookmarkEnd w:id="354"/>
      <w:r>
        <w:rPr>
          <w:rtl w:val="true"/>
        </w:rPr>
        <w:t xml:space="preserve">« </w:t>
      </w:r>
      <w:r>
        <w:rPr>
          <w:rtl w:val="true"/>
        </w:rPr>
        <w:t xml:space="preserve">حرف التاء </w:t>
      </w:r>
      <w:r>
        <w:rPr>
          <w:rtl w:val="true"/>
        </w:rPr>
        <w:t>»</w:t>
      </w:r>
      <w:bookmarkEnd w:id="355"/>
    </w:p>
    <w:p>
      <w:pPr>
        <w:pStyle w:val="BookText"/>
        <w:rPr/>
      </w:pPr>
      <w:r>
        <w:rPr>
          <w:rFonts w:ascii="IRNazanin" w:hAnsi="IRNazanin" w:eastAsia="IRNazanin"/>
          <w:color w:val="111111"/>
          <w:sz w:val="28"/>
          <w:sz w:val="28"/>
          <w:szCs w:val="28"/>
          <w:rtl w:val="true"/>
          <w:lang w:bidi="fa-IR"/>
        </w:rPr>
        <w:t>التخییر بین التسلیم و ترکه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Heading3"/>
        <w:numPr>
          <w:ilvl w:val="2"/>
          <w:numId w:val="1"/>
        </w:numPr>
        <w:rPr/>
      </w:pPr>
      <w:bookmarkStart w:id="356" w:name="__RefHeading___Toc594269_2281741623"/>
      <w:bookmarkStart w:id="357" w:name="_Toc125"/>
      <w:bookmarkEnd w:id="356"/>
      <w:r>
        <w:rPr>
          <w:rtl w:val="true"/>
        </w:rPr>
        <w:t xml:space="preserve">« </w:t>
      </w:r>
      <w:r>
        <w:rPr>
          <w:rtl w:val="true"/>
        </w:rPr>
        <w:t xml:space="preserve">حرف الثاء </w:t>
      </w:r>
      <w:r>
        <w:rPr>
          <w:rtl w:val="true"/>
        </w:rPr>
        <w:t>»</w:t>
      </w:r>
      <w:bookmarkEnd w:id="357"/>
    </w:p>
    <w:p>
      <w:pPr>
        <w:pStyle w:val="BookText"/>
        <w:rPr/>
      </w:pPr>
      <w:r>
        <w:rPr>
          <w:rFonts w:ascii="IRNazanin" w:hAnsi="IRNazanin" w:eastAsia="IRNazanin"/>
          <w:color w:val="111111"/>
          <w:sz w:val="28"/>
          <w:sz w:val="28"/>
          <w:szCs w:val="28"/>
          <w:rtl w:val="true"/>
          <w:lang w:bidi="fa-IR"/>
        </w:rPr>
        <w:t xml:space="preserve">ثمّ 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نفسک و علی أهل بیتک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ثمّ تؤذن القوم، فتقول وأنت مستقبل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Heading3"/>
        <w:numPr>
          <w:ilvl w:val="2"/>
          <w:numId w:val="1"/>
        </w:numPr>
        <w:rPr/>
      </w:pPr>
      <w:bookmarkStart w:id="358" w:name="__RefHeading___Toc594271_2281741623"/>
      <w:bookmarkStart w:id="359" w:name="_Toc126"/>
      <w:bookmarkEnd w:id="358"/>
      <w:r>
        <w:rPr>
          <w:rtl w:val="true"/>
        </w:rPr>
        <w:t xml:space="preserve">« </w:t>
      </w:r>
      <w:r>
        <w:rPr>
          <w:rtl w:val="true"/>
        </w:rPr>
        <w:t xml:space="preserve">حرف الراء </w:t>
      </w:r>
      <w:r>
        <w:rPr>
          <w:rtl w:val="true"/>
        </w:rPr>
        <w:t>»</w:t>
      </w:r>
      <w:bookmarkEnd w:id="359"/>
    </w:p>
    <w:p>
      <w:pPr>
        <w:pStyle w:val="BookText"/>
        <w:rPr/>
      </w:pPr>
      <w:r>
        <w:rPr>
          <w:rFonts w:ascii="IRNazanin" w:hAnsi="IRNazanin" w:eastAsia="IRNazanin"/>
          <w:color w:val="111111"/>
          <w:sz w:val="28"/>
          <w:sz w:val="28"/>
          <w:szCs w:val="28"/>
          <w:rtl w:val="true"/>
          <w:lang w:bidi="fa-IR"/>
        </w:rPr>
        <w:t>رأیت إخوتی موسی وإسحاق ومحمّدًا بنی جعفر علیه‌السلام یسلّمون فی الصلوة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رجل صلّی فی السفر أربعًا أیعید أم لا ؟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Heading3"/>
        <w:numPr>
          <w:ilvl w:val="2"/>
          <w:numId w:val="1"/>
        </w:numPr>
        <w:rPr/>
      </w:pPr>
      <w:bookmarkStart w:id="360" w:name="__RefHeading___Toc594273_2281741623"/>
      <w:bookmarkStart w:id="361" w:name="_Toc127"/>
      <w:bookmarkEnd w:id="360"/>
      <w:r>
        <w:rPr>
          <w:rtl w:val="true"/>
        </w:rPr>
        <w:t xml:space="preserve">« </w:t>
      </w:r>
      <w:r>
        <w:rPr>
          <w:rtl w:val="true"/>
        </w:rPr>
        <w:t xml:space="preserve">حرف السین </w:t>
      </w:r>
      <w:r>
        <w:rPr>
          <w:rtl w:val="true"/>
        </w:rPr>
        <w:t>»</w:t>
      </w:r>
      <w:bookmarkEnd w:id="361"/>
    </w:p>
    <w:p>
      <w:pPr>
        <w:pStyle w:val="BookText"/>
        <w:rPr/>
      </w:pPr>
      <w:r>
        <w:rPr>
          <w:rFonts w:ascii="IRNazanin" w:hAnsi="IRNazanin" w:eastAsia="IRNazanin"/>
          <w:color w:val="111111"/>
          <w:sz w:val="28"/>
          <w:sz w:val="28"/>
          <w:szCs w:val="28"/>
          <w:rtl w:val="true"/>
          <w:lang w:bidi="fa-IR"/>
        </w:rPr>
        <w:t>سألت أبا عبداللّه علیه‌السلام عن التسلیم فی رکعتی الوتر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سألت أبا عبداللّه علیه‌السلام عن التسلیم ما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اذن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سألت أبا عبداللّه علیه‌السلام عن رجل صلّی رکعتین، فلا یدری رکعتان هی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سألت أبا عبداللّه علیه‌السلام عن الرجل صلّی الرکعتین من المکتوبة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سألت أبا عبداللّه علیه‌السلام عن رجل نسی أن یجلس فی الرکعتین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سألت أبا عبداللّه علیه‌السلام عن الرجل یقوم فی الصفّ خلف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العبد الصالح عن الوتر،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362" w:name="pg3709_22372"/>
    </w:p>
    <w:p>
      <w:pPr>
        <w:pStyle w:val="BookText"/>
        <w:rPr/>
      </w:pPr>
      <w:bookmarkEnd w:id="362"/>
      <w:r>
        <w:rPr>
          <w:rFonts w:ascii="Amiri" w:hAnsi="Amiri" w:eastAsia="Amiri" w:cs="Amiri"/>
          <w:color w:val="111111"/>
          <w:sz w:val="28"/>
          <w:sz w:val="28"/>
          <w:szCs w:val="28"/>
          <w:rtl w:val="true"/>
          <w:lang w:bidi="ar-SA"/>
        </w:rPr>
        <w:t>سألته عن رجل صلّی خمسًا؟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سألته عن الرجل یصلّی، ثمّ یجلس، ثمّ یحدث قبل أن یسلّم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سألته عن الرجل یصلّی المکتوبة فتنقضی صلوته و یتشهّد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سألته عن الرجل یقرأ السورتین فی الرکعة</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سألته عن الرجل یکون خلف الإمام فیطول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سألته عن الرکعتین الأولیین إذا جلست فیهما للتشهّد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سألته عن الوتر أفصل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وصل؟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سأل المأمون علیّ بن موسی الرضا علیهماالسلام أن یکتب له محض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سأله علیه‌السلام عن السلام علیک أیّها النبیّ ورحمة اللّه وبرکاته إنصراف هو؟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السجود علی سبعة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والیدین، والرکبتین، والإبهامین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سمعت أبا عبداللّه علیه‌السلام یقول فی رجل صلّی الصبح</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سمعت أبا عبداللّه علیه‌السلام یقول لبعض أصحاب قیس الماصر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Heading3"/>
        <w:numPr>
          <w:ilvl w:val="2"/>
          <w:numId w:val="1"/>
        </w:numPr>
        <w:rPr/>
      </w:pPr>
      <w:bookmarkStart w:id="363" w:name="__RefHeading___Toc594275_2281741623"/>
      <w:bookmarkStart w:id="364" w:name="_Toc128"/>
      <w:bookmarkEnd w:id="363"/>
      <w:r>
        <w:rPr>
          <w:rtl w:val="true"/>
        </w:rPr>
        <w:t xml:space="preserve">« </w:t>
      </w:r>
      <w:r>
        <w:rPr>
          <w:rtl w:val="true"/>
        </w:rPr>
        <w:t xml:space="preserve">حرف الشین </w:t>
      </w:r>
      <w:r>
        <w:rPr>
          <w:rtl w:val="true"/>
        </w:rPr>
        <w:t>»</w:t>
      </w:r>
      <w:bookmarkEnd w:id="364"/>
    </w:p>
    <w:p>
      <w:pPr>
        <w:pStyle w:val="BookText"/>
        <w:rPr/>
      </w:pPr>
      <w:r>
        <w:rPr>
          <w:rFonts w:ascii="IRNazanin" w:hAnsi="IRNazanin" w:eastAsia="IRNazanin"/>
          <w:color w:val="111111"/>
          <w:sz w:val="28"/>
          <w:sz w:val="28"/>
          <w:szCs w:val="28"/>
          <w:rtl w:val="true"/>
          <w:lang w:bidi="fa-IR"/>
        </w:rPr>
        <w:t>شیئان یفسد الناس بهما صلوتهم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اسمک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Heading3"/>
        <w:numPr>
          <w:ilvl w:val="2"/>
          <w:numId w:val="1"/>
        </w:numPr>
        <w:rPr/>
      </w:pPr>
      <w:bookmarkStart w:id="365" w:name="__RefHeading___Toc594277_2281741623"/>
      <w:bookmarkStart w:id="366" w:name="_Toc129"/>
      <w:bookmarkEnd w:id="365"/>
      <w:r>
        <w:rPr>
          <w:rtl w:val="true"/>
        </w:rPr>
        <w:t xml:space="preserve">« </w:t>
      </w:r>
      <w:r>
        <w:rPr>
          <w:rtl w:val="true"/>
        </w:rPr>
        <w:t xml:space="preserve">حرف الصاد </w:t>
      </w:r>
      <w:r>
        <w:rPr>
          <w:rtl w:val="true"/>
        </w:rPr>
        <w:t>»</w:t>
      </w:r>
      <w:bookmarkEnd w:id="366"/>
    </w:p>
    <w:p>
      <w:pPr>
        <w:pStyle w:val="BookText"/>
        <w:rPr/>
      </w:pP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صلّیت بقوم صلوة، فقعدت للتشهّد، ثمّ قمت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صلّیت بقومی صلوة، فقمت ولم أسلّم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367" w:name="pg3709_22373"/>
    </w:p>
    <w:p>
      <w:pPr>
        <w:pStyle w:val="BookText"/>
        <w:rPr/>
      </w:pPr>
      <w:bookmarkEnd w:id="367"/>
      <w:r>
        <w:rPr>
          <w:rFonts w:ascii="IRNazanin" w:hAnsi="IRNazanin" w:eastAsia="IRNazanin"/>
          <w:color w:val="111111"/>
          <w:sz w:val="28"/>
          <w:sz w:val="28"/>
          <w:szCs w:val="28"/>
          <w:rtl w:val="true"/>
          <w:lang w:bidi="fa-IR"/>
        </w:rPr>
        <w:t>صیام کفّارة الیمین فی الظهار شهران متتابعان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Heading3"/>
        <w:numPr>
          <w:ilvl w:val="2"/>
          <w:numId w:val="1"/>
        </w:numPr>
        <w:rPr/>
      </w:pPr>
      <w:bookmarkStart w:id="368" w:name="__RefHeading___Toc594279_2281741623"/>
      <w:bookmarkStart w:id="369" w:name="_Toc130"/>
      <w:bookmarkEnd w:id="368"/>
      <w:r>
        <w:rPr>
          <w:rtl w:val="true"/>
        </w:rPr>
        <w:t xml:space="preserve">« </w:t>
      </w:r>
      <w:r>
        <w:rPr>
          <w:rtl w:val="true"/>
        </w:rPr>
        <w:t xml:space="preserve">حرف العین </w:t>
      </w:r>
      <w:r>
        <w:rPr>
          <w:rtl w:val="true"/>
        </w:rPr>
        <w:t>»</w:t>
      </w:r>
      <w:bookmarkEnd w:id="369"/>
    </w:p>
    <w:p>
      <w:pPr>
        <w:pStyle w:val="BookText"/>
        <w:rPr/>
      </w:pPr>
      <w:r>
        <w:rPr>
          <w:rFonts w:ascii="Amiri" w:hAnsi="Amiri" w:eastAsia="Amiri" w:cs="Amiri"/>
          <w:color w:val="111111"/>
          <w:sz w:val="28"/>
          <w:sz w:val="28"/>
          <w:szCs w:val="28"/>
          <w:rtl w:val="true"/>
          <w:lang w:bidi="ar-SA"/>
        </w:rPr>
        <w:t>عن رجل صلّی ثلث رکعات وظنّ أنّها 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Heading3"/>
        <w:numPr>
          <w:ilvl w:val="2"/>
          <w:numId w:val="1"/>
        </w:numPr>
        <w:rPr/>
      </w:pPr>
      <w:bookmarkStart w:id="370" w:name="__RefHeading___Toc594281_2281741623"/>
      <w:bookmarkStart w:id="371" w:name="_Toc131"/>
      <w:bookmarkEnd w:id="370"/>
      <w:r>
        <w:rPr>
          <w:rtl w:val="true"/>
        </w:rPr>
        <w:t xml:space="preserve">« </w:t>
      </w:r>
      <w:r>
        <w:rPr>
          <w:rtl w:val="true"/>
        </w:rPr>
        <w:t xml:space="preserve">حرف الفاء </w:t>
      </w:r>
      <w:r>
        <w:rPr>
          <w:rtl w:val="true"/>
        </w:rPr>
        <w:t>»</w:t>
      </w:r>
      <w:bookmarkEnd w:id="371"/>
    </w:p>
    <w:p>
      <w:pPr>
        <w:pStyle w:val="BookText"/>
        <w:rPr/>
      </w:pPr>
      <w:r>
        <w:rPr>
          <w:rFonts w:ascii="IRNazanin" w:hAnsi="IRNazanin" w:eastAsia="IRNazanin"/>
          <w:color w:val="111111"/>
          <w:sz w:val="28"/>
          <w:sz w:val="28"/>
          <w:szCs w:val="28"/>
          <w:rtl w:val="true"/>
          <w:lang w:bidi="fa-IR"/>
        </w:rPr>
        <w:t xml:space="preserve">فتسلیم الإمام علی مَن یقع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ملکَیه و المأمومین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فلِمَ یسلّم المأموم ثلاث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واحدة ردًّا علی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فی تسلیم الإمام و هو مستقبل القبلة،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فی الرجل الحرّ یلزمه صوم شهرین متتابعین فی ظهار</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فی رجل صام فی ظهار شعبان، ثمّ أدرکه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فی رجل صلّی فلم یدر إثنتین صلّی أم ثلثًا أم أربعًا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فی رجل کان علیه صوم شهرین متتابعین فی ظهار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فی الرجل یکون خلف الإمام، فیطیل الإمام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Heading3"/>
        <w:numPr>
          <w:ilvl w:val="2"/>
          <w:numId w:val="1"/>
        </w:numPr>
        <w:rPr/>
      </w:pPr>
      <w:bookmarkStart w:id="372" w:name="__RefHeading___Toc594283_2281741623"/>
      <w:bookmarkStart w:id="373" w:name="_Toc132"/>
      <w:bookmarkEnd w:id="372"/>
      <w:r>
        <w:rPr>
          <w:rtl w:val="true"/>
        </w:rPr>
        <w:t xml:space="preserve">« </w:t>
      </w:r>
      <w:r>
        <w:rPr>
          <w:rtl w:val="true"/>
        </w:rPr>
        <w:t xml:space="preserve">حرف الکاف </w:t>
      </w:r>
      <w:r>
        <w:rPr>
          <w:rtl w:val="true"/>
        </w:rPr>
        <w:t>»</w:t>
      </w:r>
      <w:bookmarkEnd w:id="373"/>
    </w:p>
    <w:p>
      <w:pPr>
        <w:pStyle w:val="BookText"/>
        <w:rPr/>
      </w:pPr>
      <w:r>
        <w:rPr>
          <w:rFonts w:ascii="IRNazanin" w:hAnsi="IRNazanin" w:eastAsia="IRNazanin"/>
          <w:color w:val="111111"/>
          <w:sz w:val="28"/>
          <w:sz w:val="28"/>
          <w:szCs w:val="28"/>
          <w:rtl w:val="true"/>
          <w:lang w:bidi="fa-IR"/>
        </w:rPr>
        <w:t xml:space="preserve">کان اللّه و لا شیء معه، فأوّل ما خلق نور حبیبه محمّد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کان علیّ بن الحسین علیهماالسلام یقول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إتّقوا الکذب</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کلّما ذکرت اللّه به والنبیّ، فهو من الصلوة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Heading3"/>
        <w:numPr>
          <w:ilvl w:val="2"/>
          <w:numId w:val="1"/>
        </w:numPr>
        <w:rPr/>
      </w:pPr>
      <w:bookmarkStart w:id="374" w:name="__RefHeading___Toc594285_2281741623"/>
      <w:bookmarkStart w:id="375" w:name="_Toc133"/>
      <w:bookmarkEnd w:id="374"/>
      <w:r>
        <w:rPr>
          <w:rtl w:val="true"/>
        </w:rPr>
        <w:t xml:space="preserve">« </w:t>
      </w:r>
      <w:r>
        <w:rPr>
          <w:rtl w:val="true"/>
        </w:rPr>
        <w:t xml:space="preserve">حرف اللام </w:t>
      </w:r>
      <w:r>
        <w:rPr>
          <w:rtl w:val="true"/>
        </w:rPr>
        <w:t>»</w:t>
      </w:r>
      <w:bookmarkEnd w:id="375"/>
    </w:p>
    <w:p>
      <w:pPr>
        <w:pStyle w:val="BookText"/>
        <w:rPr/>
      </w:pPr>
      <w:r>
        <w:rPr>
          <w:rFonts w:ascii="IRNazanin" w:hAnsi="IRNazanin" w:eastAsia="IRNazanin"/>
          <w:color w:val="111111"/>
          <w:sz w:val="28"/>
          <w:sz w:val="28"/>
          <w:szCs w:val="28"/>
          <w:rtl w:val="true"/>
          <w:lang w:bidi="fa-IR"/>
        </w:rPr>
        <w:t>لا تقرأ فی المکتوبة بأقلّ من سورة، و لا بأکثر منها</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لایجوز أن یقول فی التشهّد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376" w:name="pg3709_22374"/>
    </w:p>
    <w:p>
      <w:pPr>
        <w:pStyle w:val="BookText"/>
        <w:rPr/>
      </w:pPr>
      <w:bookmarkEnd w:id="376"/>
      <w:r>
        <w:rPr>
          <w:rFonts w:ascii="IRNazanin" w:hAnsi="IRNazanin" w:eastAsia="IRNazanin"/>
          <w:color w:val="111111"/>
          <w:sz w:val="28"/>
          <w:sz w:val="28"/>
          <w:szCs w:val="28"/>
          <w:rtl w:val="true"/>
          <w:lang w:bidi="fa-IR"/>
        </w:rPr>
        <w:t>لایقال فی التشهّد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لعن اللّه من تخلّف عن جیش أسامة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Heading3"/>
        <w:numPr>
          <w:ilvl w:val="2"/>
          <w:numId w:val="1"/>
        </w:numPr>
        <w:rPr/>
      </w:pPr>
      <w:bookmarkStart w:id="377" w:name="__RefHeading___Toc594287_2281741623"/>
      <w:bookmarkStart w:id="378" w:name="_Toc134"/>
      <w:bookmarkEnd w:id="377"/>
      <w:r>
        <w:rPr>
          <w:rtl w:val="true"/>
        </w:rPr>
        <w:t xml:space="preserve">« </w:t>
      </w:r>
      <w:r>
        <w:rPr>
          <w:rtl w:val="true"/>
        </w:rPr>
        <w:t xml:space="preserve">حرف المیم </w:t>
      </w:r>
      <w:r>
        <w:rPr>
          <w:rtl w:val="true"/>
        </w:rPr>
        <w:t>»</w:t>
      </w:r>
      <w:bookmarkEnd w:id="378"/>
    </w:p>
    <w:p>
      <w:pPr>
        <w:pStyle w:val="BookText"/>
        <w:rPr/>
      </w:pPr>
      <w:r>
        <w:rPr>
          <w:rFonts w:ascii="IRNazanin" w:hAnsi="IRNazanin" w:eastAsia="IRNazanin"/>
          <w:color w:val="111111"/>
          <w:sz w:val="28"/>
          <w:sz w:val="28"/>
          <w:szCs w:val="28"/>
          <w:rtl w:val="true"/>
          <w:lang w:bidi="fa-IR"/>
        </w:rPr>
        <w:t xml:space="preserve">ما نسیت من الأشیاءِ فلم أنس تسلیم رسول اللّه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مثل أهل بیتی کمثل سفینة نوح، من رکبها نجی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مفتاح الصلوة الطهور، وتحریمها التکبیر، وتحلیلها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مَن أدرک المشعر فقد أدرک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مَن أدرک رکعة فی الوقت فقد أدرک الصلوة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Heading3"/>
        <w:numPr>
          <w:ilvl w:val="2"/>
          <w:numId w:val="1"/>
        </w:numPr>
        <w:rPr/>
      </w:pPr>
      <w:bookmarkStart w:id="379" w:name="__RefHeading___Toc594289_2281741623"/>
      <w:bookmarkStart w:id="380" w:name="_Toc135"/>
      <w:bookmarkEnd w:id="379"/>
      <w:r>
        <w:rPr>
          <w:rtl w:val="true"/>
        </w:rPr>
        <w:t xml:space="preserve">« </w:t>
      </w:r>
      <w:r>
        <w:rPr>
          <w:rtl w:val="true"/>
        </w:rPr>
        <w:t xml:space="preserve">حرف النون </w:t>
      </w:r>
      <w:r>
        <w:rPr>
          <w:rtl w:val="true"/>
        </w:rPr>
        <w:t>»</w:t>
      </w:r>
      <w:bookmarkEnd w:id="380"/>
    </w:p>
    <w:p>
      <w:pPr>
        <w:pStyle w:val="BookText"/>
        <w:rPr/>
      </w:pPr>
      <w:r>
        <w:rPr>
          <w:rFonts w:ascii="IRNazanin" w:hAnsi="IRNazanin" w:eastAsia="IRNazanin"/>
          <w:color w:val="111111"/>
          <w:sz w:val="28"/>
          <w:sz w:val="28"/>
          <w:szCs w:val="28"/>
          <w:rtl w:val="true"/>
          <w:lang w:bidi="fa-IR"/>
        </w:rPr>
        <w:t>الناس کلّهم هلکی إلاّ العالمون، والعالمون کلّهم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Heading3"/>
        <w:numPr>
          <w:ilvl w:val="2"/>
          <w:numId w:val="1"/>
        </w:numPr>
        <w:rPr/>
      </w:pPr>
      <w:bookmarkStart w:id="381" w:name="__RefHeading___Toc594291_2281741623"/>
      <w:bookmarkStart w:id="382" w:name="_Toc136"/>
      <w:bookmarkEnd w:id="381"/>
      <w:r>
        <w:rPr>
          <w:rtl w:val="true"/>
        </w:rPr>
        <w:t xml:space="preserve">« </w:t>
      </w:r>
      <w:r>
        <w:rPr>
          <w:rtl w:val="true"/>
        </w:rPr>
        <w:t xml:space="preserve">حرف الواو </w:t>
      </w:r>
      <w:r>
        <w:rPr>
          <w:rtl w:val="true"/>
        </w:rPr>
        <w:t>»</w:t>
      </w:r>
      <w:bookmarkEnd w:id="382"/>
    </w:p>
    <w:p>
      <w:pPr>
        <w:pStyle w:val="BookText"/>
        <w:rPr/>
      </w:pPr>
      <w:r>
        <w:rPr>
          <w:rFonts w:ascii="IRNazanin" w:hAnsi="IRNazanin" w:eastAsia="IRNazanin"/>
          <w:color w:val="111111"/>
          <w:sz w:val="28"/>
          <w:sz w:val="28"/>
          <w:szCs w:val="28"/>
          <w:rtl w:val="true"/>
          <w:lang w:bidi="fa-IR"/>
        </w:rPr>
        <w:t>وسألته عن تسلیم الرجل خلف الإمام فی الصلوة کیف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والوتر ثلث رکعات مفصولة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و یقال فی افتتاح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عرشک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Heading3"/>
        <w:numPr>
          <w:ilvl w:val="2"/>
          <w:numId w:val="1"/>
        </w:numPr>
        <w:rPr/>
      </w:pPr>
      <w:bookmarkStart w:id="383" w:name="__RefHeading___Toc594293_2281741623"/>
      <w:bookmarkStart w:id="384" w:name="_Toc137"/>
      <w:bookmarkEnd w:id="383"/>
      <w:r>
        <w:rPr>
          <w:rtl w:val="true"/>
        </w:rPr>
        <w:t xml:space="preserve">« </w:t>
      </w:r>
      <w:r>
        <w:rPr>
          <w:rtl w:val="true"/>
        </w:rPr>
        <w:t xml:space="preserve">حرف الیاء </w:t>
      </w:r>
      <w:r>
        <w:rPr>
          <w:rtl w:val="true"/>
        </w:rPr>
        <w:t>»</w:t>
      </w:r>
      <w:bookmarkEnd w:id="384"/>
    </w:p>
    <w:p>
      <w:pPr>
        <w:pStyle w:val="BookText"/>
        <w:rPr/>
      </w:pPr>
      <w:r>
        <w:rPr>
          <w:rFonts w:ascii="IRNazanin" w:hAnsi="IRNazanin" w:eastAsia="IRNazanin"/>
          <w:color w:val="111111"/>
          <w:sz w:val="28"/>
          <w:sz w:val="28"/>
          <w:szCs w:val="28"/>
          <w:rtl w:val="true"/>
          <w:lang w:bidi="fa-IR"/>
        </w:rPr>
        <w:t xml:space="preserve">یا أبا النعمن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تکذب علینا کذبة فتسلب الحنفیّة</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تحسن أن تصلّی؟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أنا أحفظ</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385" w:name="pg3709_22375"/>
    </w:p>
    <w:p>
      <w:pPr>
        <w:pStyle w:val="Heading2"/>
        <w:numPr>
          <w:ilvl w:val="1"/>
          <w:numId w:val="1"/>
        </w:numPr>
        <w:rPr/>
      </w:pPr>
      <w:bookmarkStart w:id="386" w:name="__RefHeading___Toc594295_2281741623"/>
      <w:bookmarkStart w:id="387" w:name="_Toc138"/>
      <w:bookmarkEnd w:id="385"/>
      <w:bookmarkEnd w:id="386"/>
      <w:r>
        <w:rPr>
          <w:rtl w:val="true"/>
        </w:rPr>
        <w:t>فهرس مصادر التحقیق</w:t>
      </w:r>
      <w:bookmarkEnd w:id="387"/>
    </w:p>
    <w:p>
      <w:pPr>
        <w:pStyle w:val="Heading3"/>
        <w:numPr>
          <w:ilvl w:val="2"/>
          <w:numId w:val="1"/>
        </w:numPr>
        <w:rPr/>
      </w:pPr>
      <w:bookmarkStart w:id="388" w:name="__RefHeading___Toc594297_2281741623"/>
      <w:bookmarkStart w:id="389" w:name="_Toc139"/>
      <w:bookmarkEnd w:id="388"/>
      <w:r>
        <w:rPr>
          <w:rtl w:val="true"/>
        </w:rPr>
        <w:t>اشاره</w:t>
      </w:r>
      <w:bookmarkEnd w:id="3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القرآن الکریم</w:t>
      </w:r>
    </w:p>
    <w:p>
      <w:pPr>
        <w:pStyle w:val="Heading3"/>
        <w:numPr>
          <w:ilvl w:val="2"/>
          <w:numId w:val="1"/>
        </w:numPr>
        <w:rPr/>
      </w:pPr>
      <w:bookmarkStart w:id="390" w:name="__RefHeading___Toc594299_2281741623"/>
      <w:bookmarkStart w:id="391" w:name="_Toc140"/>
      <w:bookmarkEnd w:id="390"/>
      <w:r>
        <w:rPr>
          <w:rtl w:val="true"/>
        </w:rPr>
        <w:t xml:space="preserve">« </w:t>
      </w:r>
      <w:r>
        <w:rPr>
          <w:rtl w:val="true"/>
        </w:rPr>
        <w:t xml:space="preserve">آ </w:t>
      </w:r>
      <w:r>
        <w:rPr>
          <w:rtl w:val="true"/>
        </w:rPr>
        <w:t>»</w:t>
      </w:r>
      <w:bookmarkEnd w:id="39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آداب صلاة اللیل، للمولی علی أکبر بن محمّد باقر الإیجهی </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محمّدی،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392" w:name="__RefHeading___Toc594301_2281741623"/>
      <w:bookmarkStart w:id="393" w:name="_Toc141"/>
      <w:bookmarkEnd w:id="392"/>
      <w:r>
        <w:rPr>
          <w:rtl w:val="true"/>
        </w:rPr>
        <w:t xml:space="preserve">« </w:t>
      </w:r>
      <w:r>
        <w:rPr>
          <w:rtl w:val="true"/>
        </w:rPr>
        <w:t xml:space="preserve">أ </w:t>
      </w:r>
      <w:r>
        <w:rPr>
          <w:rtl w:val="true"/>
        </w:rPr>
        <w:t>»</w:t>
      </w:r>
      <w:bookmarkEnd w:id="39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مهدی الرجائی، مؤسّسة آل البیت علیهم‌السلام ،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إرشاد الأذهان إلی أحکام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الحسن بن یوسف بن المطهّر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فارس الحسّون، مؤسّسة النشر الإسلامی التابعة لجماعة المدرسین،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الإستبصار فیما اختلف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حسن الخرسان، دارالکتب الإسلامیّة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قسم الدراسات الإسلامیّة، دار 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394" w:name="pg3709_22376"/>
    </w:p>
    <w:p>
      <w:pPr>
        <w:pStyle w:val="BookText"/>
        <w:rPr/>
      </w:pPr>
      <w:bookmarkEnd w:id="39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البعثة،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علیّ بن الحسین الموسوی المعروف بالشریف المرتضی وعلم الهدی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مؤسّسة النشر الإسلامی، قم،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سعد عبدالکریم بن محمّد بن منصور التمیمی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إیضاح الفوائد فی شرح إشکالات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طالب محمّد بن الحسن بن یوسف المطهّر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الکرمانی والإشتهاردی والبروجردی، المطبعة العلمیة،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Heading3"/>
        <w:numPr>
          <w:ilvl w:val="2"/>
          <w:numId w:val="1"/>
        </w:numPr>
        <w:rPr/>
      </w:pPr>
      <w:bookmarkStart w:id="395" w:name="__RefHeading___Toc594303_2281741623"/>
      <w:bookmarkStart w:id="396" w:name="_Toc142"/>
      <w:bookmarkEnd w:id="395"/>
      <w:r>
        <w:rPr>
          <w:rtl w:val="true"/>
        </w:rPr>
        <w:t xml:space="preserve">« </w:t>
      </w:r>
      <w:r>
        <w:rPr>
          <w:rtl w:val="true"/>
        </w:rPr>
        <w:t xml:space="preserve">ب </w:t>
      </w:r>
      <w:r>
        <w:rPr>
          <w:rtl w:val="true"/>
        </w:rPr>
        <w:t>»</w:t>
      </w:r>
      <w:bookmarkEnd w:id="39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 الأنوار الجامعة لدرر أخبار الأئمّة الأطهار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باقر بن محمّد تقی المجلسی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شمس الدّین محمّد بن مکّی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الحجریة، مجمع الذخائر الإسلامیة ، قم ،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p>
    <w:p>
      <w:pPr>
        <w:pStyle w:val="Heading3"/>
        <w:numPr>
          <w:ilvl w:val="2"/>
          <w:numId w:val="1"/>
        </w:numPr>
        <w:rPr/>
      </w:pPr>
      <w:bookmarkStart w:id="397" w:name="__RefHeading___Toc594305_2281741623"/>
      <w:bookmarkStart w:id="398" w:name="_Toc143"/>
      <w:bookmarkEnd w:id="397"/>
      <w:r>
        <w:rPr>
          <w:rtl w:val="true"/>
        </w:rPr>
        <w:t xml:space="preserve">« </w:t>
      </w:r>
      <w:r>
        <w:rPr>
          <w:rtl w:val="true"/>
        </w:rPr>
        <w:t xml:space="preserve">ت </w:t>
      </w:r>
      <w:r>
        <w:rPr>
          <w:rtl w:val="true"/>
        </w:rPr>
        <w:t>»</w:t>
      </w:r>
      <w:bookmarkEnd w:id="39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تبصرة المتعلّمین فی أحکام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جمال الدّین 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أحمد الحسینی والشیخ هادی الیوسفی، نشر الفقیه،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تحریر الأحکام الشرعیّة علی مذهب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جمال الدّین 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إبراهیم البهادری،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تذکرة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جمال الدّین 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99" w:name="pg3709_22377"/>
    </w:p>
    <w:p>
      <w:pPr>
        <w:pStyle w:val="BookText"/>
        <w:rPr/>
      </w:pPr>
      <w:bookmarkEnd w:id="399"/>
      <w:r>
        <w:rPr>
          <w:rFonts w:ascii="IRNazanin" w:hAnsi="IRNazanin" w:eastAsia="IRNazanin"/>
          <w:color w:val="111111"/>
          <w:sz w:val="28"/>
          <w:sz w:val="28"/>
          <w:szCs w:val="28"/>
          <w:rtl w:val="true"/>
          <w:lang w:bidi="fa-IR"/>
        </w:rPr>
        <w:t xml:space="preserve">تحقیق و نشر مؤسّسة آل البیت علیهم‌السلام لإحیاء التراث، قم،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تعلیقات علی منهج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المجدّد محمّد باقر الوحید البهبهانی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الحجریة، إیران،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التنقیح الرائع لمختصر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الدّین مقداد بن عبداللّه السیوری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عبد اللطیف الحسینی الکوه کمری، نشر مکتبة آیة اللّه المرعشی رحمه‌الله ، الطبعة الأولی،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تنقیح المقال فی 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عبداللّه المامقانی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محیی الدّین المامقانی، نشر مؤسّسة آل البیت علیهم‌السلام لإحیاء التراث، قم، الطبعة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حسن الموسوی الخرسان، دارالکتب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Heading3"/>
        <w:numPr>
          <w:ilvl w:val="2"/>
          <w:numId w:val="1"/>
        </w:numPr>
        <w:rPr/>
      </w:pPr>
      <w:bookmarkStart w:id="400" w:name="__RefHeading___Toc594307_2281741623"/>
      <w:bookmarkStart w:id="401" w:name="_Toc144"/>
      <w:bookmarkEnd w:id="400"/>
      <w:r>
        <w:rPr>
          <w:rtl w:val="true"/>
        </w:rPr>
        <w:t xml:space="preserve">« </w:t>
      </w:r>
      <w:r>
        <w:rPr>
          <w:rtl w:val="true"/>
        </w:rPr>
        <w:t xml:space="preserve">ج </w:t>
      </w:r>
      <w:r>
        <w:rPr>
          <w:rtl w:val="true"/>
        </w:rPr>
        <w:t>»</w:t>
      </w:r>
      <w:bookmarkEnd w:id="401"/>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 الرواة و إزاحة الإشتباهات عن الطرق والأسناد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علی الأردبیلی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منشورات مکتبة آیة اللّه المرعشی، قم،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الجامع للشرائع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لنجیب الدّین یحیی بن أحمد بن سعید الحلّی الهذلی </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لجنة التحقیق بإشراف الشیخ السبحانی، المطبعة العلمیة، قم،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 المقاصد فی شرح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الثانی علیّ بن الحسین بن عبدالعالی الکرکی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وتحقیق مؤسّسة آل البیت علیهم‌السلام ، قم، </w:t>
      </w:r>
      <w:r>
        <w:rPr>
          <w:rFonts w:eastAsia="IRNazanin" w:cs="IRNazanin"/>
          <w:color w:val="111111"/>
          <w:sz w:val="28"/>
          <w:szCs w:val="28"/>
          <w:lang w:bidi="fa-IR"/>
        </w:rPr>
        <w:t>1408</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جمل العلم والعمل، لأبی القاسم علیّ بن الحسین الموسوی المعروف بالشریف المرتضی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الآداب، النجف الأشرف،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402" w:name="pg3709_22378"/>
    </w:p>
    <w:p>
      <w:pPr>
        <w:pStyle w:val="Heading3"/>
        <w:numPr>
          <w:ilvl w:val="2"/>
          <w:numId w:val="1"/>
        </w:numPr>
        <w:rPr/>
      </w:pPr>
      <w:bookmarkStart w:id="403" w:name="__RefHeading___Toc594309_2281741623"/>
      <w:bookmarkStart w:id="404" w:name="_Toc145"/>
      <w:bookmarkEnd w:id="402"/>
      <w:bookmarkEnd w:id="403"/>
      <w:r>
        <w:rPr>
          <w:rtl w:val="true"/>
        </w:rPr>
        <w:t xml:space="preserve">« </w:t>
      </w:r>
      <w:r>
        <w:rPr>
          <w:rtl w:val="true"/>
        </w:rPr>
        <w:t xml:space="preserve">ح </w:t>
      </w:r>
      <w:r>
        <w:rPr>
          <w:rtl w:val="true"/>
        </w:rPr>
        <w:t>»</w:t>
      </w:r>
      <w:bookmarkEnd w:id="404"/>
    </w:p>
    <w:p>
      <w:pPr>
        <w:pStyle w:val="BookText"/>
        <w:rPr/>
      </w:pPr>
      <w:r>
        <w:rPr>
          <w:rFonts w:ascii="IRNazanin" w:hAnsi="IRNazanin" w:eastAsia="IRNazanin"/>
          <w:color w:val="111111"/>
          <w:sz w:val="28"/>
          <w:sz w:val="28"/>
          <w:szCs w:val="28"/>
          <w:rtl w:val="true"/>
          <w:lang w:bidi="fa-IR"/>
        </w:rPr>
        <w:t xml:space="preserve">حاشیة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المراد فی شرح نکت الإرشاد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مجمع الفائدة والبرهان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باقر الوحید البهبهانی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نشر مؤسسة العلاّمة الوحید البهبهانی، قم،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الحبل المتین فی أحکام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بهاء الدّین محمّد بن الحسین الحارثی العاملی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الحجریة، مکتبة بصیرتی، قم،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الحدائق الناضرة فی أحکام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یوسف البحرانی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تقی الإیروانی، مؤسّسة النشر الإسلامی،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حیاة المحقّق الکرکی وآثاره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الحسّون، منشورات الإحتجاج، تهران،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405" w:name="__RefHeading___Toc594311_2281741623"/>
      <w:bookmarkStart w:id="406" w:name="_Toc146"/>
      <w:bookmarkEnd w:id="405"/>
      <w:r>
        <w:rPr>
          <w:rtl w:val="true"/>
        </w:rPr>
        <w:t xml:space="preserve">« </w:t>
      </w:r>
      <w:r>
        <w:rPr>
          <w:rtl w:val="true"/>
        </w:rPr>
        <w:t xml:space="preserve">خ </w:t>
      </w:r>
      <w:r>
        <w:rPr>
          <w:rtl w:val="true"/>
        </w:rPr>
        <w:t>»</w:t>
      </w:r>
      <w:bookmarkEnd w:id="406"/>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الخصال، للشیخ الصدوق أبی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أکبر الغفّاری، مؤسّسة النشر الإسلامی،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خلاصة الأقوال فی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جمال الدّین حسن بن یوسف بن المطهّر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جواد القیومی، مؤسّسة النشر الإسلامی، النجف الأشرف،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الخلاف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جمع من الأفاضل، مؤسّسة النشر الإسلامی،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07" w:name="__RefHeading___Toc594313_2281741623"/>
      <w:bookmarkStart w:id="408" w:name="_Toc147"/>
      <w:bookmarkEnd w:id="407"/>
      <w:r>
        <w:rPr>
          <w:rtl w:val="true"/>
        </w:rPr>
        <w:t xml:space="preserve">« </w:t>
      </w:r>
      <w:r>
        <w:rPr>
          <w:rtl w:val="true"/>
        </w:rPr>
        <w:t xml:space="preserve">د </w:t>
      </w:r>
      <w:r>
        <w:rPr>
          <w:rtl w:val="true"/>
        </w:rPr>
        <w:t>»</w:t>
      </w:r>
      <w:bookmarkEnd w:id="40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الدروس الشرعیّة فی الفقه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شمس الدّین محمّد بن مکّی </w:t>
      </w:r>
      <w:bookmarkStart w:id="409" w:name="pg3709_22379"/>
    </w:p>
    <w:p>
      <w:pPr>
        <w:pStyle w:val="BookText"/>
        <w:rPr/>
      </w:pPr>
      <w:bookmarkEnd w:id="409"/>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النشر الإسلامی،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10" w:name="__RefHeading___Toc594315_2281741623"/>
      <w:bookmarkStart w:id="411" w:name="_Toc148"/>
      <w:bookmarkEnd w:id="410"/>
      <w:r>
        <w:rPr>
          <w:rtl w:val="true"/>
        </w:rPr>
        <w:t xml:space="preserve">« </w:t>
      </w:r>
      <w:r>
        <w:rPr>
          <w:rtl w:val="true"/>
        </w:rPr>
        <w:t xml:space="preserve">ذ </w:t>
      </w:r>
      <w:r>
        <w:rPr>
          <w:rtl w:val="true"/>
        </w:rPr>
        <w:t>»</w:t>
      </w:r>
      <w:bookmarkEnd w:id="411"/>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ذخیرة المعاد فی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باقر بن محمّد مؤمن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الحجریة، نشر مؤسّسة آل البیت علیهم‌السلام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ذکری الشیعة فی أحکام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شمس الدّین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ونشر مؤسّسة آل البیت علیهم‌السلام ، قم،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Heading3"/>
        <w:numPr>
          <w:ilvl w:val="2"/>
          <w:numId w:val="1"/>
        </w:numPr>
        <w:rPr/>
      </w:pPr>
      <w:bookmarkStart w:id="412" w:name="__RefHeading___Toc594317_2281741623"/>
      <w:bookmarkStart w:id="413" w:name="_Toc149"/>
      <w:bookmarkEnd w:id="412"/>
      <w:r>
        <w:rPr>
          <w:rtl w:val="true"/>
        </w:rPr>
        <w:t xml:space="preserve">« </w:t>
      </w:r>
      <w:r>
        <w:rPr>
          <w:rtl w:val="true"/>
        </w:rPr>
        <w:t xml:space="preserve">ر </w:t>
      </w:r>
      <w:r>
        <w:rPr>
          <w:rtl w:val="true"/>
        </w:rPr>
        <w:t>»</w:t>
      </w:r>
      <w:bookmarkEnd w:id="413"/>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إبن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لتقی الدّین الحسن بن علی بن داود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w:t>
      </w:r>
      <w:r>
        <w:rPr>
          <w:rFonts w:eastAsia="IRNazanin" w:cs="IRNazanin"/>
          <w:color w:val="111111"/>
          <w:sz w:val="28"/>
          <w:szCs w:val="28"/>
          <w:lang w:bidi="fa-IR"/>
        </w:rPr>
        <w:t>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المطبعة الحیدریة، النجف الأشرف،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إبن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حسین بن عبیداللّه الغضائری المشهور بابن الغضائری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المطبوع ضمن مجمع الرجال للقهپائی، مؤسّسة إسماعیلیان، قم،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السیّد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الرجالیّة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للسیّد محمّد مهدی بحر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محمّد صادق بحرالعلوم، مکتبة الصدوق، طهران،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جواد القیّومی الاصفهانی، مؤسّسة النشر الإسلامی التابعة لجماعة المدرسین،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إختیار معرفة الرجال</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أسماء مصنّفی الشیعة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العبّاس أحمد بن علی بن أحمد بن العبّاس النجاشی الکوفی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موسی الشبیری الزنجانی، نشر مؤسّسة النشر الإسلامی،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414" w:name="pg3709_22380"/>
    </w:p>
    <w:p>
      <w:pPr>
        <w:pStyle w:val="BookText"/>
        <w:rPr/>
      </w:pPr>
      <w:bookmarkEnd w:id="414"/>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الرسائل الرجالیّة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باقر الشفتی المشهور بحجّة الإسلام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مهدی الرجائی، نشر مکتبة مسجد السیّد باصفهان،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رسائل 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علی بن الحسین الموسوی المعروف بعلم الهدی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مهدی الرجائی، نشر دار القرآن الکریم مدرسة آیة اللّه الگلپایگانی،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الرسائل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الدّین أبی العبّاس أحمد بن محمّد بن فهد الحلّی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مهدی الرجائی، نشر مکتبة آیة اللّه المرعشی،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الرعایة فی علم الدرایة، للشهید الثانی زین الدّین بن علیّ بن أحمد العاملی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عبدالحسین محمّد علی بقال، مکتبة آیة اللّه المرعشی،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روض الجنان فی شرح إرشاد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زین الدّین بن علیّ بن أحمد العاملی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الحجریة، مؤسسة آل البیت علیهم‌السلام ،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الروضة البهیّة فی شرح 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زین الدّین بن علیّ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جامعة النجف الدینیّة،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روضة المتّقین فی شرح کتاب 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تقی بن مقصود علی المجلسی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جمع من الأفاضل، نشر المؤسّسة الثقافیّة الإسلامیّة للکوشانبور،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ریاض المسائل فی تحقیق الأحکام بالدلائل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محمّد علی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نشر مؤسسة النشر الإسلامی،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15" w:name="__RefHeading___Toc594319_2281741623"/>
      <w:bookmarkStart w:id="416" w:name="_Toc150"/>
      <w:bookmarkEnd w:id="415"/>
      <w:r>
        <w:rPr>
          <w:rtl w:val="true"/>
        </w:rPr>
        <w:t xml:space="preserve">« </w:t>
      </w:r>
      <w:r>
        <w:rPr>
          <w:rtl w:val="true"/>
        </w:rPr>
        <w:t xml:space="preserve">س </w:t>
      </w:r>
      <w:r>
        <w:rPr>
          <w:rtl w:val="true"/>
        </w:rPr>
        <w:t>»</w:t>
      </w:r>
      <w:bookmarkEnd w:id="416"/>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السرائر الحاوی لتحریر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منصور بن أحمد بن إدریس العجلی الحلّی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نشر مؤسّسة النشر الإسلامی،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417" w:name="pg3709_22381"/>
    </w:p>
    <w:p>
      <w:pPr>
        <w:pStyle w:val="BookText"/>
        <w:rPr/>
      </w:pPr>
      <w:bookmarkEnd w:id="417"/>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إبن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محمّد بن یزید بن ماجة القزوینی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محمّد فؤاد عبدالباقی، دار الفکر،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عیسی محمّد بن عیسی بن سورة الترمذی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عبدالوهاب عبداللطیف، دار 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عمر بن أحمد الدارقطنی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مجدی بن منصور بن سیّد الشوری، دار الکتب العلمیّة،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لعبداللّه بن بهرام الدارمی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الإعتدال، دمشق،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أحمد بن الحسین بن علی البیهقی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الفکر،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شعیب النسائی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بشرح الحافظ جلال الدّین السیوطی وحاشیة السندی، دار الفکر، بیروت،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Heading3"/>
        <w:numPr>
          <w:ilvl w:val="2"/>
          <w:numId w:val="1"/>
        </w:numPr>
        <w:rPr/>
      </w:pPr>
      <w:bookmarkStart w:id="418" w:name="__RefHeading___Toc594321_2281741623"/>
      <w:bookmarkStart w:id="419" w:name="_Toc151"/>
      <w:bookmarkEnd w:id="418"/>
      <w:r>
        <w:rPr>
          <w:rtl w:val="true"/>
        </w:rPr>
        <w:t xml:space="preserve">« </w:t>
      </w:r>
      <w:r>
        <w:rPr>
          <w:rtl w:val="true"/>
        </w:rPr>
        <w:t xml:space="preserve">ش </w:t>
      </w:r>
      <w:r>
        <w:rPr>
          <w:rtl w:val="true"/>
        </w:rPr>
        <w:t>»</w:t>
      </w:r>
      <w:bookmarkEnd w:id="419"/>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شرائع الإسلام فی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الشیخ أبی القاسم جعفر بن حسن بن یحیی بن سعید الهذلی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وتعلیق السیّد صادق الشیرازی، نشر إنتشارات الإستقلال، طهران،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کافیة ابن الحاجب، لنجم الأئمّة رضی الدین محمّد بن الحسن الأسترآبادی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یوسف حسن عمر، مؤسّسة الصادق، تهران،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20" w:name="__RefHeading___Toc594323_2281741623"/>
      <w:bookmarkStart w:id="421" w:name="_Toc152"/>
      <w:bookmarkEnd w:id="420"/>
      <w:r>
        <w:rPr>
          <w:rtl w:val="true"/>
        </w:rPr>
        <w:t xml:space="preserve">« </w:t>
      </w:r>
      <w:r>
        <w:rPr>
          <w:rtl w:val="true"/>
        </w:rPr>
        <w:t xml:space="preserve">ص </w:t>
      </w:r>
      <w:r>
        <w:rPr>
          <w:rtl w:val="true"/>
        </w:rPr>
        <w:t>»</w:t>
      </w:r>
      <w:bookmarkEnd w:id="421"/>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اللغة وصحاح العربیّة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أحمد بن عبدالغفور عطار، دار العلم للملایین،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بن إسماعیل البخاری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422" w:name="pg3709_22384"/>
    </w:p>
    <w:p>
      <w:pPr>
        <w:pStyle w:val="BookText"/>
        <w:rPr/>
      </w:pPr>
      <w:bookmarkEnd w:id="422"/>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الحسین مسلم بن الحجاج القشیری النیسابوری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فؤاد عبدالباقی، دار الفکر، بیروت،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Heading3"/>
        <w:numPr>
          <w:ilvl w:val="2"/>
          <w:numId w:val="1"/>
        </w:numPr>
        <w:rPr/>
      </w:pPr>
      <w:bookmarkStart w:id="423" w:name="__RefHeading___Toc594325_2281741623"/>
      <w:bookmarkStart w:id="424" w:name="_Toc153"/>
      <w:bookmarkEnd w:id="423"/>
      <w:r>
        <w:rPr>
          <w:rtl w:val="true"/>
        </w:rPr>
        <w:t xml:space="preserve">« </w:t>
      </w:r>
      <w:r>
        <w:rPr>
          <w:rtl w:val="true"/>
        </w:rPr>
        <w:t xml:space="preserve">ط </w:t>
      </w:r>
      <w:r>
        <w:rPr>
          <w:rtl w:val="true"/>
        </w:rPr>
        <w:t>»</w:t>
      </w:r>
      <w:bookmarkEnd w:id="424"/>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طرائف المقال فی معرفة طبقات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أصغر بن محمّد شفیع الجابلقی البروجردی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مهدی الرجائی، مکتبة آیة اللّه المرعشی،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425" w:name="__RefHeading___Toc594327_2281741623"/>
      <w:bookmarkStart w:id="426" w:name="_Toc154"/>
      <w:bookmarkEnd w:id="425"/>
      <w:r>
        <w:rPr>
          <w:rtl w:val="true"/>
        </w:rPr>
        <w:t xml:space="preserve">« </w:t>
      </w:r>
      <w:r>
        <w:rPr>
          <w:rtl w:val="true"/>
        </w:rPr>
        <w:t xml:space="preserve">ع </w:t>
      </w:r>
      <w:r>
        <w:rPr>
          <w:rtl w:val="true"/>
        </w:rPr>
        <w:t>»</w:t>
      </w:r>
      <w:bookmarkEnd w:id="426"/>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عدّة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رضا الأنصاری،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أبی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المکتبة الحیدریّة، النجف الأشرف،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عیون أخبار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حسین الأعلمی، مؤسّسة الأعلمی للمطبوعات،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عوالی الّلألئ الحدیثیّة، لابن أبی جمهور الأحسائی </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الحاج آقا مجتبی العراقی، سیّد الشهداء،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427" w:name="__RefHeading___Toc594329_2281741623"/>
      <w:bookmarkStart w:id="428" w:name="_Toc155"/>
      <w:bookmarkEnd w:id="427"/>
      <w:r>
        <w:rPr>
          <w:rtl w:val="true"/>
        </w:rPr>
        <w:t xml:space="preserve">« </w:t>
      </w:r>
      <w:r>
        <w:rPr>
          <w:rtl w:val="true"/>
        </w:rPr>
        <w:t xml:space="preserve">غ </w:t>
      </w:r>
      <w:r>
        <w:rPr>
          <w:rtl w:val="true"/>
        </w:rPr>
        <w:t>»</w:t>
      </w:r>
      <w:bookmarkEnd w:id="428"/>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غایة المراد فی شرح نکت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شمس الدّین محمّد بن مکّی العاملی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المطبوعة مع حاشیتا الإرشاد للشهید الثانی، تحقیق مرکز الأبحاث والدراسات الإسلامیة، قم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غنیة النزوع إلی علمی الأصول والفروع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المکارم السیّد حمزة بن علیّ بن </w:t>
      </w:r>
      <w:bookmarkStart w:id="429" w:name="pg3709_22386"/>
    </w:p>
    <w:p>
      <w:pPr>
        <w:pStyle w:val="BookText"/>
        <w:rPr/>
      </w:pPr>
      <w:bookmarkEnd w:id="429"/>
      <w:r>
        <w:rPr>
          <w:rFonts w:ascii="IRNazanin" w:hAnsi="IRNazanin" w:eastAsia="IRNazanin"/>
          <w:color w:val="111111"/>
          <w:sz w:val="28"/>
          <w:sz w:val="28"/>
          <w:szCs w:val="28"/>
          <w:rtl w:val="true"/>
          <w:lang w:bidi="fa-IR"/>
        </w:rPr>
        <w:t xml:space="preserve">زهرة الحسینی، المعروف بابن زهرة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إبراهیم البهادری، مؤسّسة الإمام الصادق علیه‌السلام بإشراف الشیخ جعفر السبحانی،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30" w:name="__RefHeading___Toc594331_2281741623"/>
      <w:bookmarkStart w:id="431" w:name="_Toc156"/>
      <w:bookmarkEnd w:id="430"/>
      <w:r>
        <w:rPr>
          <w:rtl w:val="true"/>
        </w:rPr>
        <w:t xml:space="preserve">« </w:t>
      </w:r>
      <w:r>
        <w:rPr>
          <w:rtl w:val="true"/>
        </w:rPr>
        <w:t xml:space="preserve">ف </w:t>
      </w:r>
      <w:r>
        <w:rPr>
          <w:rtl w:val="true"/>
        </w:rPr>
        <w:t>»</w:t>
      </w:r>
      <w:bookmarkEnd w:id="431"/>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الفرق بین الفریضة والنافلة، للعلاّمة آقا منیر الدین البروجردی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اشراف السیّد مرتضی الرضوی، دار المعلّم للطباعة، القاهرة،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فقه إبن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مرکز المعجم الفقهی،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الفقه المنسوب إلی الإمام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بابویه القمی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مؤسّسة آل البیت علیهم‌السلام ، نشر المؤتمر العالمی للإمام الرضا علیه‌السلام ، مشهد،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أبی جعفر محمّد بن الحسن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جواد القیومی، مؤسسة نشر الفقاهة،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الفوائد الحائریّة، للعلاّمة محمّد باقر البهبهانی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الفکر الإسلامی،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الفوائد الرجالیّة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باقر الوحید البهبهانی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العلمین الطوسی وبحرالعلوم، نجف الأشرف،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Heading3"/>
        <w:numPr>
          <w:ilvl w:val="2"/>
          <w:numId w:val="1"/>
        </w:numPr>
        <w:rPr/>
      </w:pPr>
      <w:bookmarkStart w:id="432" w:name="__RefHeading___Toc594333_2281741623"/>
      <w:bookmarkStart w:id="433" w:name="_Toc157"/>
      <w:bookmarkEnd w:id="432"/>
      <w:r>
        <w:rPr>
          <w:rtl w:val="true"/>
        </w:rPr>
        <w:t xml:space="preserve">« </w:t>
      </w:r>
      <w:r>
        <w:rPr>
          <w:rtl w:val="true"/>
        </w:rPr>
        <w:t xml:space="preserve">ق </w:t>
      </w:r>
      <w:r>
        <w:rPr>
          <w:rtl w:val="true"/>
        </w:rPr>
        <w:t>»</w:t>
      </w:r>
      <w:bookmarkEnd w:id="433"/>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القاموس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طاهر مجد الدّین محمّد بن یعقوب الفیروزآبادی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نشر دار العلم، بیروت،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العبّاس عبداللّه بن جعفر الحمیری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ونشر مؤسّسة آل البیت علیهم‌السلام لإحیاء التراث،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قواعد الأحکام فی معرفة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الحسن بن یوسف بن المطهّر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النشر الإسلامی،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434" w:name="pg3709_22388"/>
    </w:p>
    <w:p>
      <w:pPr>
        <w:pStyle w:val="Heading3"/>
        <w:numPr>
          <w:ilvl w:val="2"/>
          <w:numId w:val="1"/>
        </w:numPr>
        <w:rPr/>
      </w:pPr>
      <w:bookmarkStart w:id="435" w:name="__RefHeading___Toc594335_2281741623"/>
      <w:bookmarkStart w:id="436" w:name="_Toc158"/>
      <w:bookmarkEnd w:id="434"/>
      <w:bookmarkEnd w:id="435"/>
      <w:r>
        <w:rPr>
          <w:rtl w:val="true"/>
        </w:rPr>
        <w:t xml:space="preserve">« </w:t>
      </w:r>
      <w:r>
        <w:rPr>
          <w:rtl w:val="true"/>
        </w:rPr>
        <w:t xml:space="preserve">ک </w:t>
      </w:r>
      <w:r>
        <w:rPr>
          <w:rtl w:val="true"/>
        </w:rPr>
        <w:t>»</w:t>
      </w:r>
      <w:bookmarkEnd w:id="436"/>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ثقة الإسلام محمّد بن یعقوب بن إسحاق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أکبر الغفاری، دار الکتب الإسلامیّة، طهران،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الکافی فی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الصلاح الحلبی تقی الدّین بن نجم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رضا الأستادی، مکتبة أمیر المؤمنین علیه‌السلام ، اصفهان،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محمّد بن إدریس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مطبعة بولاق الامیریة، دار الکتب العلمیة،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من لایحضره‌الفقیه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أبی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أکبر الغفاری، نشر جامعة المدرّسین،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اللّثام عن قواعد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بهاء الدّین محمّد بن الحسن الاصفهانی المعروف بـ الفاضل الهندی </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مؤسّسة النشر الإسلامی التابعة لجماعة المدرّسین بقم المشرّفة،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کفایة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باقر بن محمّد مؤمن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الحجریة، نشر مدرسة صدر المهدوی،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کنز العرفان فی فقه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الدّین المقداد بن عبداللّه السیوری، المعروف بالفاضل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محمّد القاضی، نشر المجمع العالمی للتقریب بین المذاهب الإسلامیة،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437" w:name="__RefHeading___Toc594337_2281741623"/>
      <w:bookmarkStart w:id="438" w:name="_Toc159"/>
      <w:bookmarkEnd w:id="437"/>
      <w:r>
        <w:rPr>
          <w:rtl w:val="true"/>
        </w:rPr>
        <w:t xml:space="preserve">« </w:t>
      </w:r>
      <w:r>
        <w:rPr>
          <w:rtl w:val="true"/>
        </w:rPr>
        <w:t xml:space="preserve">ل </w:t>
      </w:r>
      <w:r>
        <w:rPr>
          <w:rtl w:val="true"/>
        </w:rPr>
        <w:t>»</w:t>
      </w:r>
      <w:bookmarkEnd w:id="438"/>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الدّین محمّد بن مکرم بن منظور المصری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أدب الحوزة،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439" w:name="pg3709_22390"/>
    </w:p>
    <w:p>
      <w:pPr>
        <w:pStyle w:val="BookText"/>
        <w:rPr/>
      </w:pPr>
      <w:bookmarkEnd w:id="439"/>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اللمعة الدمشقیّة فی فقه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شمس الدّین محمّد بن مکّی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علی الکورانی، دار الفکر،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40" w:name="__RefHeading___Toc594339_2281741623"/>
      <w:bookmarkStart w:id="441" w:name="_Toc160"/>
      <w:bookmarkEnd w:id="440"/>
      <w:r>
        <w:rPr>
          <w:rtl w:val="true"/>
        </w:rPr>
        <w:t xml:space="preserve">« </w:t>
      </w:r>
      <w:r>
        <w:rPr>
          <w:rtl w:val="true"/>
        </w:rPr>
        <w:t xml:space="preserve">م </w:t>
      </w:r>
      <w:r>
        <w:rPr>
          <w:rtl w:val="true"/>
        </w:rPr>
        <w:t>»</w:t>
      </w:r>
      <w:bookmarkEnd w:id="441"/>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محمّد بن الحسن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محمّد تقی الکشفی، نشر المکتبة المرتضویة، طهران،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البحرین و مطلع النیّرین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فخر الدّین محمّد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أحمد الحسینی، مکتبة نشر الثقافة الإسلامیة،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علی أمین الإسلام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لجنة من العلماء والمحقّقین الأخصائیین، نشر مؤسّسة الأعلمی،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الفائدة والبرهان فی شرح إرشاد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الأردبیلی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إشتهاردی وعراقی ویزدی، جامعة المدرّسین،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المحاسن، لأحمد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الاسلامیة،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نجم الدّین جعفر بن حسن بن یحیی بن سعید الهذلی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بإشراف الشیخ القمی، نشر مؤسّسة البعثة، طهران،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دارالتقریب، 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مختلف الشیعة فی أحکام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لجنة التحقیق، مؤسّسة النشر الإسلامی،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مدارک الأحکام فی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علی الموسوی </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مؤسّسة آل البیت علیهم‌السلام ، قم،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المراسم النبویّة والأحکام العلویّة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لسلاّر بن عبدالعزیز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محسن الأمینی، نشرالمعاونیة الثقافیة للمجمع العالمی، قم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مسالک الأفهام إلی تنقیح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زین الدّین بن علیّ بن أحمد العاملی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مؤسسة المعارف الإسلامیة، قم،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المیرزا حسین المحدّث النوری الطبرسی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و نشر مؤسّسة آل البیت علیهم‌السلام ،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مستند الشیعة فی أحکام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 أحمد بن محمّد مهدی النراقی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مؤسّسة آل البیت علیهم‌السلام لإحیاء التراث،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محمّد بن حنبل أبی عبداللّه الشیبانی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دارصادر، بیروت، و بهامشه منتخب کنز العمال فی سنن الأقوال والأفعال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مصباح المتهجّد وسلاح المتعبّد، لشیخ الطائفة أبی جعفر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فقه الشیعة،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المصباح المنیر فی غریب الشرح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محمّد بن علی المقری الفیّومی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دار الهجرة،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مطالع الأنوار، للحاجّ السیّد محمّد باقر الشفتی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الأفست، مکتبة مسجد السیّد، نشاط، اصفهان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المعتبر فی شرح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نجم الدّین جعفر بن حسن بن یحیی بن سعید الهذلی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لجنة التحقیق بإشراف الشیخ ناصر مکارم، مؤسسة سیّد الشهداء علیه‌السلام ،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مفاتیح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محسن بن الشاه مرتضی المشهور بالفیض </w:t>
      </w:r>
      <w:bookmarkStart w:id="442" w:name="pg3709_22394"/>
    </w:p>
    <w:p>
      <w:pPr>
        <w:pStyle w:val="BookText"/>
        <w:rPr/>
      </w:pPr>
      <w:bookmarkEnd w:id="442"/>
      <w:r>
        <w:rPr>
          <w:rFonts w:ascii="IRNazanin" w:hAnsi="IRNazanin" w:eastAsia="IRNazanin"/>
          <w:color w:val="111111"/>
          <w:sz w:val="28"/>
          <w:sz w:val="28"/>
          <w:szCs w:val="28"/>
          <w:rtl w:val="true"/>
          <w:lang w:bidi="fa-IR"/>
        </w:rPr>
        <w:t xml:space="preserve">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مهدی الرجائی، مؤسسة مجمع الذخائر الإسلامیة،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المقاصد العلیّة فی شرح الرسالة الألفیّة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زین الدّین بن علیّ بن أحمد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المطبوعة مع حاشیتا الألفیّة، تحقیق مرکز الأبحاث والدراسات الإسلامیّة،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أبی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لجنة التحقیق التابعة لمؤسسة الإمام الهادی علیه‌السلام ،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محمّد بن محمّد بن النعمان البغدادی، المعروف بالشیخ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النشر الإسلامی، قم،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منتهی المطلب فی تحقیق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جمال الدّین 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نشر قسم الفقه فی مجمع البحوث الإسلامیة، مشهد،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منهج المقال فی تحقیق أحوال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الکبیر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میرزا محمّد بن علی الأسترآبادی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نشر مؤسّسة آل البیت علیهم‌السلام ،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المهذّب البارع فی شرح 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العبّاس أحمد بن محمّد بن فهد الحلّی الأسدی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مجتبی العراقی، نشر جامعة المدرّسین، قم،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إبن البرّاج أبی القاسم عبدالعزیز بن نحریر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بإشراف الشیخ جعفرالسبحانی، جامعة المدرّسین، قم،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Heading3"/>
        <w:numPr>
          <w:ilvl w:val="2"/>
          <w:numId w:val="1"/>
        </w:numPr>
        <w:rPr/>
      </w:pPr>
      <w:bookmarkStart w:id="443" w:name="__RefHeading___Toc594341_2281741623"/>
      <w:bookmarkStart w:id="444" w:name="_Toc161"/>
      <w:bookmarkEnd w:id="443"/>
      <w:r>
        <w:rPr>
          <w:rtl w:val="true"/>
        </w:rPr>
        <w:t xml:space="preserve">« </w:t>
      </w:r>
      <w:r>
        <w:rPr>
          <w:rtl w:val="true"/>
        </w:rPr>
        <w:t xml:space="preserve">ن </w:t>
      </w:r>
      <w:r>
        <w:rPr>
          <w:rtl w:val="true"/>
        </w:rPr>
        <w:t>»</w:t>
      </w:r>
      <w:bookmarkEnd w:id="444"/>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الناصریات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المرتضی أبی القاسم علیّ بن الحسین الموسوی المعروف بعلم الهدی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مرکز البحوث الدراسات العلمیة، نشر رابطة الثقافة والعلاقات الإسلامیة، تهران،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445" w:name="pg3709_22396"/>
    </w:p>
    <w:p>
      <w:pPr>
        <w:pStyle w:val="BookText"/>
        <w:rPr/>
      </w:pPr>
      <w:bookmarkEnd w:id="445"/>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مصطفی بن الحسین الحسینی التفرشی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مؤسّسة آل البیت علیهم‌السلام لإحیاء التراث،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نهایة الأحکام فی معرفة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مهدی الرجائی، مؤسسة إسماعیلیان،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النهایة فی مجرّد الفقه و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طبعة دار الأندلس، بیروت </w:t>
      </w:r>
      <w:r>
        <w:rPr>
          <w:rFonts w:eastAsia="IRNazanin" w:cs="IRNazanin"/>
          <w:color w:val="111111"/>
          <w:sz w:val="28"/>
          <w:szCs w:val="28"/>
          <w:rtl w:val="true"/>
          <w:lang w:bidi="fa-IR"/>
        </w:rPr>
        <w:t>.</w:t>
      </w:r>
    </w:p>
    <w:p>
      <w:pPr>
        <w:pStyle w:val="Heading3"/>
        <w:numPr>
          <w:ilvl w:val="2"/>
          <w:numId w:val="1"/>
        </w:numPr>
        <w:rPr/>
      </w:pPr>
      <w:bookmarkStart w:id="446" w:name="__RefHeading___Toc594343_2281741623"/>
      <w:bookmarkStart w:id="447" w:name="_Toc162"/>
      <w:bookmarkEnd w:id="446"/>
      <w:r>
        <w:rPr>
          <w:rtl w:val="true"/>
        </w:rPr>
        <w:t xml:space="preserve">« </w:t>
      </w:r>
      <w:r>
        <w:rPr>
          <w:rtl w:val="true"/>
        </w:rPr>
        <w:t xml:space="preserve">و </w:t>
      </w:r>
      <w:r>
        <w:rPr>
          <w:rtl w:val="true"/>
        </w:rPr>
        <w:t>»</w:t>
      </w:r>
      <w:bookmarkEnd w:id="447"/>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محسن بن الشاه مرتضی المشهور بالفیض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ضیاء الدین الحسینی الاصفهانی، اصفهان،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الوجیزة فی الرجال، للعلاّمة محمّد باقر المجلسی، تحقیق محمّد کاظم رحمان ستایش، وزارة الثقافة والارشاد الاسلامی، تهران،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الشیعة إلی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بن‌الحسن الحرّ العاملی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نشر مؤسّسة آل البیت علیهم‌السلام ، قم، </w:t>
      </w:r>
      <w:r>
        <w:rPr>
          <w:rFonts w:eastAsia="IRNazanin" w:cs="IRNazanin"/>
          <w:color w:val="111111"/>
          <w:sz w:val="28"/>
          <w:szCs w:val="28"/>
          <w:lang w:bidi="fa-IR"/>
        </w:rPr>
        <w:t>1414</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الوسیلة إلی نیل الفضیلة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لعماد الدّین أبی جعفر محمّد بن علی الطوسی، المعروف بابن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محمّد الحسّون، نشر مکتبة آیة اللّه المرعشی،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448" w:name="pg3709_22398"/>
    </w:p>
    <w:p>
      <w:pPr>
        <w:pStyle w:val="Heading2"/>
        <w:numPr>
          <w:ilvl w:val="1"/>
          <w:numId w:val="1"/>
        </w:numPr>
        <w:rPr/>
      </w:pPr>
      <w:bookmarkStart w:id="449" w:name="__RefHeading___Toc594345_2281741623"/>
      <w:bookmarkStart w:id="450" w:name="_Toc163"/>
      <w:bookmarkEnd w:id="448"/>
      <w:bookmarkEnd w:id="449"/>
      <w:r>
        <w:rPr>
          <w:rtl w:val="true"/>
        </w:rPr>
        <w:t>فهرس المحتویات</w:t>
      </w:r>
      <w:bookmarkEnd w:id="450"/>
    </w:p>
    <w:p>
      <w:pPr>
        <w:pStyle w:val="BookText"/>
        <w:rPr/>
      </w:pPr>
      <w:r>
        <w:rPr>
          <w:rFonts w:ascii="IRNazanin" w:hAnsi="IRNazanin" w:eastAsia="IRNazanin"/>
          <w:color w:val="111111"/>
          <w:sz w:val="28"/>
          <w:sz w:val="28"/>
          <w:szCs w:val="28"/>
          <w:rtl w:val="true"/>
          <w:lang w:bidi="fa-IR"/>
        </w:rPr>
        <w:t>مقدّمة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لمحةٌ من حیاةِ حجّة الإسلام الشفتی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اسمه و نسبه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ولادته و 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اطراء العلماء 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زهده و عبادته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إقامته الحدود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مشایخ روایته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تلامذته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تآلیفه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وفاته و مرقده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نبذة من ترجمة المولی علی أکبر الإیجهی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ترجمة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شریف الرویدشتی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الشیخة حمیدة بنت آقا شریفا الرویدشتی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الشیخة فاطمة بنت الشیخة حمیدة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أقوال العلماء فیه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أساتیده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تلامیذه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بین یدی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فهرست ما فی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عملنا فی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النسخ المعتمدة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منهجنا فی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نماذج من صور النسخ الخطّیة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الأولی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تَعیِینِ السَلامِ الأَخِیرِ فِی النَوَافِل</w:t>
      </w:r>
    </w:p>
    <w:p>
      <w:pPr>
        <w:pStyle w:val="BookText"/>
        <w:rPr/>
      </w:pPr>
      <w:r>
        <w:rPr>
          <w:rFonts w:ascii="IRNazanin" w:hAnsi="IRNazanin" w:eastAsia="IRNazanin"/>
          <w:color w:val="111111"/>
          <w:sz w:val="28"/>
          <w:sz w:val="28"/>
          <w:szCs w:val="28"/>
          <w:rtl w:val="true"/>
          <w:lang w:bidi="fa-IR"/>
        </w:rPr>
        <w:t xml:space="preserve">للمولی الإیجهی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التسلیم و ندبه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أدلّة القائلین بندب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فی ردّ 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کون التسلیم جزءًا أو خارجًا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یتفرّع علی القولین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المخرج أیّ الصیغتین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تعداد المذاهب فی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مواضع تعدّد التسلیم وکیفیّة أدائه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إستحباب قصد الردّ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انّ القیدین‌الاخرین فیالسلام هل هو واجب‌أو ندب</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وجوب نیّة الخروج وعدم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الفصل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التسلیم فی 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 عَلی رِسَالَةِ تَعیِینِ السَلامِ الأخِیرِ فِی النَوَافِل</w:t>
      </w:r>
    </w:p>
    <w:p>
      <w:pPr>
        <w:pStyle w:val="BookText"/>
        <w:rPr/>
      </w:pPr>
      <w:r>
        <w:rPr>
          <w:rFonts w:ascii="IRNazanin" w:hAnsi="IRNazanin" w:eastAsia="IRNazanin"/>
          <w:color w:val="111111"/>
          <w:sz w:val="28"/>
          <w:sz w:val="28"/>
          <w:szCs w:val="28"/>
          <w:rtl w:val="true"/>
          <w:lang w:bidi="fa-IR"/>
        </w:rPr>
        <w:t xml:space="preserve">لحجّة الإسلام الشفتی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الردّ علی ما ذکره من انّه یجب الإقتصار فی تسلیم النوافل بصیغة السلام علیکم ولایجوز العدول عنها إلی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الردّ علی ما ذکره من انّه لایجوز الجمع فی مقام تسلیم النوافل بین السلام علیکم وغیره من صیغتی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عَلی رَدِّ رِسَالَةِ تَعیِینِ السَلامِ الأخِیرِ فِی النَوَافِل</w:t>
      </w:r>
    </w:p>
    <w:p>
      <w:pPr>
        <w:pStyle w:val="BookText"/>
        <w:rPr/>
      </w:pPr>
      <w:r>
        <w:rPr>
          <w:rFonts w:ascii="IRNazanin" w:hAnsi="IRNazanin" w:eastAsia="IRNazanin"/>
          <w:color w:val="111111"/>
          <w:sz w:val="28"/>
          <w:sz w:val="28"/>
          <w:szCs w:val="28"/>
          <w:rtl w:val="true"/>
          <w:lang w:bidi="fa-IR"/>
        </w:rPr>
        <w:t xml:space="preserve">للمولی الإیجهی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الردّ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عن بعض الأفاضل، إلخ</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الردّ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هذا المطلب ممّا لاینبغی التأمّل، إلخ</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الردّ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الجواب عن الإیراد الثانی، إلخ</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الردّ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التمسّک به فیما نحن فیه غیر صحیح، إلخ</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الردّ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إطلاقات النصوص المشار إلیها، ما رواه، إلخ</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الردّ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لایجوز الجمع فی مقام، إلخ</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الردّ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ذلک، 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دلیل یدلّ، إلخ</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الردّ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الظاهر أنّ شیخ الطائفة فی هذا الإقتصار، إلخ</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الردّ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الفاضل سلاّر بن عبدالعزیز، إلخ</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الردّ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إثبات رجحان ذکر السلم علی، إلخ</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عَلی رَدِّ المولی عَلِی أَکبَر الإِیجِهِی رحمه‌الله</w:t>
      </w:r>
    </w:p>
    <w:p>
      <w:pPr>
        <w:pStyle w:val="BookText"/>
        <w:rPr/>
      </w:pPr>
      <w:r>
        <w:rPr>
          <w:rFonts w:ascii="IRNazanin" w:hAnsi="IRNazanin" w:eastAsia="IRNazanin"/>
          <w:color w:val="111111"/>
          <w:sz w:val="28"/>
          <w:sz w:val="28"/>
          <w:szCs w:val="28"/>
          <w:rtl w:val="true"/>
          <w:lang w:bidi="fa-IR"/>
        </w:rPr>
        <w:t xml:space="preserve">لحجّة الإسلام الشفتی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الردّ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بعد ما کتبت رسالة فی بیان التسلیم فی النافلة، إلخ</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الردّ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مخالف للواقع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مراده أنّه الواقع، إلخ</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الردّ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المتخلّف عمّن هو للشریعة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رکاکة، إلخ</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الردّ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العامل لهذا الظرف، و ما المقسم علیه، إلخ</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الردّ علی قوله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بقاء أرضه وسمائه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لایخلو عن رکاکة، إلخ</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المقام الأوّل</w:t>
      </w:r>
    </w:p>
    <w:p>
      <w:pPr>
        <w:pStyle w:val="BookText"/>
        <w:rPr/>
      </w:pPr>
      <w:r>
        <w:rPr>
          <w:rFonts w:ascii="IRNazanin" w:hAnsi="IRNazanin" w:eastAsia="IRNazanin"/>
          <w:color w:val="111111"/>
          <w:sz w:val="28"/>
          <w:sz w:val="28"/>
          <w:szCs w:val="28"/>
          <w:rtl w:val="true"/>
          <w:lang w:bidi="fa-IR"/>
        </w:rPr>
        <w:t>فی التنبیه علی ما صدر منه فیالرسالة الّذی لایلیق أن یصدر من أدنی الطلبة</w:t>
      </w:r>
    </w:p>
    <w:p>
      <w:pPr>
        <w:pStyle w:val="BookText"/>
        <w:rPr/>
      </w:pPr>
      <w:r>
        <w:rPr>
          <w:rFonts w:ascii="IRNazanin" w:hAnsi="IRNazanin" w:eastAsia="IRNazanin"/>
          <w:color w:val="111111"/>
          <w:sz w:val="28"/>
          <w:sz w:val="28"/>
          <w:szCs w:val="28"/>
          <w:rtl w:val="true"/>
          <w:lang w:bidi="fa-IR"/>
        </w:rPr>
        <w:t xml:space="preserve">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 هذا الخبر مرسل من طرقکم فلایعمل به، إلخ</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ادّعی الشیخ الصدوق قدس‌سره أنّ القول بوجوب التسلیم، إلخ</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هذا ذهب السیّد السند الأجلّ المرتضی، إلخ</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الصدوق أنّ وجوب التسلیم من دین الإمامیّة، إلخ</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غرض المصنّف قدس‌سره مِن التعرّض لشنائع ما ذکره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المقام الثانی</w:t>
      </w:r>
    </w:p>
    <w:p>
      <w:pPr>
        <w:pStyle w:val="BookText"/>
        <w:rPr/>
      </w:pPr>
      <w:r>
        <w:rPr>
          <w:rFonts w:ascii="IRNazanin" w:hAnsi="IRNazanin" w:eastAsia="IRNazanin"/>
          <w:color w:val="111111"/>
          <w:sz w:val="28"/>
          <w:sz w:val="28"/>
          <w:szCs w:val="28"/>
          <w:rtl w:val="true"/>
          <w:lang w:bidi="fa-IR"/>
        </w:rPr>
        <w:t>فیما أورده علی ما احتججنا به علی المرام و غیره</w:t>
      </w:r>
    </w:p>
    <w:p>
      <w:pPr>
        <w:pStyle w:val="BookText"/>
        <w:rPr/>
      </w:pPr>
      <w:r>
        <w:rPr>
          <w:rFonts w:ascii="IRNazanin" w:hAnsi="IRNazanin" w:eastAsia="IRNazanin"/>
          <w:color w:val="111111"/>
          <w:sz w:val="28"/>
          <w:sz w:val="28"/>
          <w:szCs w:val="28"/>
          <w:rtl w:val="true"/>
          <w:lang w:bidi="fa-IR"/>
        </w:rPr>
        <w:t xml:space="preserve">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الروایات الثلاث تدلّ علی أنّه إذا أتی، إلخ</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اعتراف السیّد بأنّ المتبادر من التسلیم المطلق، إلخ</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مانع فی الحدیث النبویّ لیمنع حمله، إلخ</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یدلّ علی أنّ المأخوذ فی تلک العبادة، إلخ</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دلالة فیه علی وضعه لتلک الصیغة بعد وضعه، إلخ</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یظهر من المستفیضة أنّ الآتی بتلک، إلخ</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تسلیمه أوّلاً، و حکایته وفاق الأصحاب، إلخ</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فساد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الإیراد المذکور إجتهاد، إلخ</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له بالنصّ و لیس بیده إلاّ تلک الروایات، إلخ</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مجرّد ذلک لا یدلّ علی، إلخ</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ومنها قوله بعد أن عنون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التمسّک به، إلخ</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ومنها قوله بعد أن عنون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إطلاقات النصوص، إلخ</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الروایة المذکورة فی زیادات التهذیب الّتی، إلخ</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الإستشهاد بروایة الحلبیّ، فهو أیضًا فی غایة الضعف، إلخ</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أنّا لم نجد أحدًا فرّق بین، إلخ</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ومنها قوله بعد أن عنون کلامنا و 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إلخ</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و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 إلینا من الشارع، إلخ</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لیس لنا من الأمر شیء إلاّ ما، إلخ</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القاعدة الّتی مهّدها و قرّرها یوفی بما، إلخ</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السیّد دام ظلّه أن یجعل هذه، إلخ</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أنّ هذه الصیغ مأخوذة فی التسلیم، إلخ</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أنّ ما کان ثابتًا فی الفریضة وجب أن، إلخ</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بیّنه بالإکتفاء بالتسلیم وکان معنی، إلخ</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أخَذَنا مولانا جعفر بن محمّد الصادق علیهماالسلام ، إلخ</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الأمر علی ما ندّعیه، فنقول، إلخ</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بما قرّرنا فساد تلک القاعدة الوجیهة، إلخ</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الجواب عن حدیث حمّاد بن عیسی، فهو، إلخ</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 قوله بعد ما تقدّم نقله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لایفیده فیما ادّعاه، إلخ</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ومنها قوله بعد أن عنون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ذلک، إلخ</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ومنها قوله بعد ما حکینا عنه فیما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إلخ</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الفقیه الواحد لایصلح أن یجعل، إلخ</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قول الفقیه الواحد لا یصلح للدلالة، إلخ</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 الفقیه الواحد ـ سیّما إذا کان شیخ، إلخ</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دعوی إجماع الشیعة، ففیه أنّ ظهور، إلخ</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ومنها قوله بعد أن عنون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الظاهر أنّ شیخ الطائفة، إلخ</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إسقاط الوحدة فی کلام الشیخ، فلیس، إلخ</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تابع شیخنا المفید، إلخ</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ومنها قوله بعد أن عنون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الفاضل سلاّر بن، إلخ</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دام ظلّه فی ذیل إثبات رجحان، إلخ</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ولنمسک عنان القلم فی هذا المضمار ونکتفی، إلخ</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الفهارس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الآیات الکریمة</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الأحادیث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الحمد للّه الّذی وفّقنا لإحیاء تصنیفات العلماء الأبرار</w:t>
      </w:r>
    </w:p>
    <w:p>
      <w:pPr>
        <w:pStyle w:val="BookText"/>
        <w:rPr/>
      </w:pPr>
      <w:r>
        <w:rPr>
          <w:rFonts w:ascii="IRNazanin" w:hAnsi="IRNazanin" w:eastAsia="IRNazanin"/>
          <w:color w:val="111111"/>
          <w:sz w:val="28"/>
          <w:sz w:val="28"/>
          <w:szCs w:val="28"/>
          <w:rtl w:val="true"/>
          <w:lang w:bidi="fa-IR"/>
        </w:rPr>
        <w:t>الملتقط من آثار الأئمّة الأطهار علیهم‌السلام</w:t>
      </w:r>
    </w:p>
    <w:p>
      <w:pPr>
        <w:pStyle w:val="BookText"/>
        <w:rPr/>
      </w:pPr>
      <w:r>
        <w:rPr>
          <w:rFonts w:ascii="IRNazanin" w:hAnsi="IRNazanin" w:eastAsia="IRNazanin"/>
          <w:color w:val="111111"/>
          <w:sz w:val="28"/>
          <w:sz w:val="28"/>
          <w:szCs w:val="28"/>
          <w:rtl w:val="true"/>
          <w:lang w:bidi="fa-IR"/>
        </w:rPr>
        <w:t xml:space="preserve">فهرس منشورات مکتبة مسجد السیّد حجّة الإسلام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مطالع الأنوار فی شرح شرائع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تحفة الأبرار فی أحکام الصلاة و مسائلها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المفاخر فی ترجمة حجّة الإسلام الشفتی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الإمامة فی إثبات الإمامة لأهل البیت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الرسائل الرجالیّة فی أحوال رواة الأحادیث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إقامة الحدود فی زمن 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العصیریّة فی أحکام الخمر والعصیر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الغیبة فی الإمام الثانی عشر القائم الحجّة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پرسش‌ها وپاسخ‌ها پیرامون عقائد شیخیّه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منتخب الصّحاح المستخرج من الصحیحین والصواعق و</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الحلیة اللاّمعة فی شرح البهجة المرضیّة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والثانی؛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الرضویّة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ریحانة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الکنی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لباب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مکارم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الراغبین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موسوعة الإمام شرف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تکملة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تذکرة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ومشاهیر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وفیات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بغیة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هدیة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تذکرة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أعلام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ذکره صاحب الترجمة فی دیباجة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بذلک صاحب الترجمة قدس‌سره فی بعض إجازاته، حیث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المولی الساطع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فزنا بالإستفادة من جنابه فی أوائل التحصیل فی علم الأصول، و قرأنا علیه من مصنّفاته ما هو مشهور بالفوائد العتیق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آقا محمّد باقر البهبهانی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نصّ علیه نفسه قدس‌سره فی حواشی بعض إجازاته،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حُرِمنا من شرافة مجاورة العتبات العالیات ـ علی مشرفها آلاف التحیّة والصلوات ـ وانتقلنا منها إلی دیار العجم فی سنة خمس ومائتین بعد الألف، وکان مولانا مولی الکلّ آقا محمّد باقر البهبهانی فی الحیات، ثمّ انتقل إلی الفردوس الأعلی فی سنة ستّ ومائتین بعد الألف قدّس اللّه تعالی روحه السعید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المترجم له قدس‌سره فی حاشیة بعض إجازاته ما هذا کلامه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المرحوم المغفور میر عبدالباقی إلی دار الآخرة ـ قدّس اللّه تعالی روحه ـ فی أوائل ورودی فی اصبهان فی سنة سبع و مائتین بعد الألف من الهجرة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سیّدنا المترجم رحمه‌الله فی حاشیة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اعلم انّه اتّفق لی فی سنة مائتین وخمس عشر بعد الألف الإرتحال من اصبهان إلی بلدة قم، ومکثت فیها أربعة أشهر أو أکثر، وکنت مشتغلاً بکتابة هذا المجلّد من الشرح، إلخ</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طرائف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بذلک نفسه قدس‌سره فی مناسکه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أشار بذلک المیرزا حبیب اللّه نیّر رحمه‌الله ضمن مرثیته للمترجم قدس‌سره بقوله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بهذا التاریخ معاصره الأدیب الفاضل المیرزا محمّد علی الطباطبائی الزوّاری، المتخلّص بوفا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تذکرته الموسومة بالمآثر الباقریّة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الّتی جمع فیها بعض من القصائد والمقطّعات الّتی أنشدها الشعراء فی مدح حجّة الإسلام قدس‌سره ووصف مسجده الأعظم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أحکام القناة للمترجم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أحکام القناة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کإجازة المحقّق القمّی رحمه‌الله ، فهی إجازة کبیرة مبسوطة، تاریخها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عید الفطر سنة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أوّلها بعد البسملة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الحمد للّه والصلوة علی رسول اللّه و علی آله أولیاء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مصوّرتها بتمامها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کتب خطّی کتابخانه‌های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ترجمة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الرضویّة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أحسن الودیعة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ماضی النجف وحاضرها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مکارم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لباب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الراغبین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موسوعة الإمام شرف الدین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تکملة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الشرق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ومشاهیر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اصفهان 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قاجار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علمای معاصرین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الراغبین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موسوعة الإمام شرف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الکرام البررة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بزرگان ودانشمندان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تذکرة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تکملة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تکملة نجوم السماء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الفکر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تکملة نجوم السماء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مکارم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آثار ملّی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وألّف المیرزا أبوالقاسم بن محمّد مهدی النراقی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ملخّص المقال فی دفع القیل والقال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فی الردّ علی هذه الرسالة إجابة لسؤال أخیه المولی أحمد المذکور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المخطوطة منه موجودة فی المکتبة المرعشیّة برقم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xml:space="preserve">، مذکورة فی فهرسها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مخطوط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مخطوط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حوزه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حوزه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المیرزا عبدالوهاب الشریف ابن محمّد علی القزوینی، من أکابر تلامذته والمجازین منه بإجازة کبیرة مبسوطة، ذکر فی کتابه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ألّف أوّلاً رسالة فارسیّة مختصرة، وأخری عربیّة فی مسائل التقلید، ثمّ بعد ما رأی رسالة حجّة الإسلام فی التقلید وإیجابه علی المقلّد العدول إلی المجتهد الحیّ بعد موت من کان یقلّده، کتب هذه الرسالة ناقلاً لعین عبارات حجّة الإسلام ثمّ الردّ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حوزه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حوزه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الزهرة البارقة لمعرفة أحوال المجاز والحقیقة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مضافًا إلی الوجوه الّتی أبرزناها فی مقام ترجیح أقرب المجازات علی غیره فیما علّقناه فی أصول المعالم فی مباحث المجمل والمبیّن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مخطوطات مکتبة کلیّة الإلهیّات فی 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التاریخ مطابق لما کتبه صاحب الروضات رحمه‌الله فی بیاضه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مقدّمة النهریّة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وکذا مطابق لما کتبه العلاّمة الشیخ محمّد جعفر بن محمّد إبراهیم الکرباسی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ظهر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الرشاد فی شرح إرشاد الأذهان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فهرس مخطوطات مکتبة مرکز إحیاء التراث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وضبطه کذلک العالم الفاضل الشاعر رضا قلیخان هما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فی تأریخ وفاته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تکملة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هدیة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إیضاح المکنون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معجم المؤلّفین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مؤلّفی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تذکرة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ابنیه وعمارات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بزم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مشاهیر تخت فولاد تکیه محقّق خواجویی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لبّ اللباب لجلال الدین 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التکملة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حاوی العلی والکمال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الفائز بدرجة الاستدلال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معجم أعلام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علماء الأسرة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معجم أعلام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فهرست کتب خطّی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وبزم معرفت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جلال الدین بن علی محمّد بن محمّد علی بن عبداللّه بن المولی علی أکبر الإیجهی الأصفهانی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صلاة اللیل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رسالته فی المعراج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محمّدی،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بزم معرفت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دلیل مخطوطات مؤسّسة کاشف الغطاء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رقم المخطوطة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مآثر سلطانیة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اسم الفادری هذا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أنّ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هنری مارتن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ولجمع من العلماء الأعلام ردود علی الفادری النصرانی الملقّب بپادری،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الحکیم المولی علی النوری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الموسوم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العلاّمة مولانا أحمد النراقی قدس‌سره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سمّاه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أنظر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صلاة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کتب خطّی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سیّدنا الروضاتی قدس‌سره فی تکملته علی الذریعة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هذا کلامه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ونسخة کتاب الإرث هذا بالفارسیّة موجودة عندنا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مشاهیر تخت فولاد ـ تکیه محقّق خواجویی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فی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زبدة المعارف، ط محمّدی، اصفهان،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فی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صلاة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صلاة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صلاة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آیة اللّه السیّد محمّد رضا الشفتی المتوفّی سنة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ابن محمّد باقر بن أسد اللّه بن محمّد باقر حجّة الإسلام الشفتیّ ـ أعلی اللّه تعالی مقامهم فی دار المقام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صهره الحاج السیّد محمّد باقر بن حیدر علی الحسینی المیر محمّد صادقی المتوفّی سنة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الإیجهی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السیّد الجلیل الجمیل العلاّمة النبیل الفهّامة المدقّق المحقّق البارع الکامل سمیّ خامس أجداده المعصومین مولینا السیّد محمّد باقر أدام اللّه ظلّه العالی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أراد به الحاجّ السیّد محمّد باقر الشفتی المعروف بحجّة الإسلام قدس‌سره المتوفّی سنة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أخی و خلیلی و شقیقی المولی العالم العامل الموفّق الفاضل الکامل سمیّ إبراهیم الخلیل، زاده اللّه فضلاً و توفیقًا، و أدام اللّه تعالی ظلّه العالی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أراد به الحاجّ محمّد ابراهیم الکرباسیّ المتوفّی سنة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علیه وعلیه الرحمة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 بالنون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وصلت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العلاّمة الحاجّ محمّد إبراهیم الکرباسی قدس‌سره المتوفّی سنة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السیّد الجلیل الجمیل العلاّمة النبیل الفهّامة المدقّق المحقّق البارع الکامل سمیّ خامس أجداده المعصومین مولینا السیّد محمّد باقر أدام اللّه ظلّه العالی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أراد به الحاجّ السیّد محمّد باقر الشفتی المعروف بحجّة الإسلام قدس‌سره المتوفّی سنة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أخی و خلیلی و شقیقی المولی العالم العامل الموفّق الفاضل الکامل سمیّ إبراهیم الخلیل، زاده اللّه فضلاً و توفیقًا، و أدام اللّه تعالی ظلّه العالی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أراد به الحاجّ محمّد ابراهیم الکرباسیّ المتوفّی سنة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علیه و علیه الرحمة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نقله عنه فی ذخیرة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لأبی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حکاه المحقّق عنه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السیّد جمال الدّین بن طاوس، حکاه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الرسالة الجعفریّة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حیاة المحقّق الکرکی و 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المحقّق البارع الشیخ محمّد ابن الشیخ حسن صاحب 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فی شرح الاستبصار،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أنّ التسلیم لیس بفرض،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والحقّ أنّ الخبر لو عُمل به کان له دلالة علی الوجوب فی الجملة، لکنّ المُعارض اقتضی ما ذکره الشیخ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وبمناسبة الکلام حول السلام ننقل ما قاله خلفه الصالح جدّنا من قِبل بعض أمّهات الأجداد، الفقیه الأوحد الشیخ علیّ ابن الشیخ محمّد السّبط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الزهرات الذویّة فی الروضة البهیّة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 علی قول جدّه الشهید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اللّه مقامهما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 أجود القولین عنده وأحوطهما عندنا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اختار ـ رحمه اللّه ـ کونه أحوط، لتَعارض الأدلّة و ذهاب جماعة من الأعیان إلی الوجوب غیر الاحتیاطیّ، ولمّا کان دلیل الاستحباب أرجح فی الجملة واجبًا علی سبیل الاحتیاط لذلک، ودلیل الاستحباب لا یخلو من قوّة، و توضیح القول فیه یخرج إلی التطویل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العبد محمّد علیّ بن محمّد هاشم الموسویّ الروضاتیّ ـ عفی عنه ـ من نسخة ثمینة أشرف الشیخ المصنّف بنفسه علی مقابلتها وتصحیحها سنة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والسّلام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ذهب فی المنتهی إلی الوجوب، أنظر 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الصحیح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رواته، لکون المرجع لفظ الحدیث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شهرته، لکون المرجع لفظ الحدیث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الرسالة الثانیة لحجّة الإسلام الشفتی قدس‌سره ، حیث نقل هناک هذه العبارة عن المصنّف، و قال بعد ذکر وجوه الإیراد فیها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بعد أکثر من سنة رأیت أنّه حکّ اسم السیّد المرتضی فی نسخته، و أبقی الباقی علی حاله، و لا یخطر فی البال إلاّ أن یقال انّ الحاکّ انّما عمد علاج الفاسد بالأفسد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فیهما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أحمد عن النبیّ صلی‌الله‌علیه‌و‌آله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عبداللّه، حدّثنی أبی، حدّثنا یحیی بن آدم، حدّثنا زهیر، حدّثنا الحسن بن الحر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القاسم بن مخیمرة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علقمة بیدی و حدّثنی انّ عبداللّه بن مسعود أخذ بیده و انّ رسول اللّه ـ صلّی اللّه علیه و سلّم ـ أخذ بید عبداللّه، فعلّمه التشهّد فی الصلاة،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التحیّات للّه والصلوات والطیّبات، السلام علیک أیّها النبیّ و رحمة اللّه و برکاته، السلام علینا وعلی عباد الصالحین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زهیر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حفظت عنه إن شاء اللّه أشهد أن لا إله إلاّ اللّه و أشهد أنّ محمّدًا عبده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قضیت هذا،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فعلت هذا، فقد قضیت صلاتک، إن شئت أن تقوم فقم، وإن شئت أن تقعد فاقعد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یفوته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التهذیب، و 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یفوت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التهذیب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عوالی الّلألئ الحدیثیّة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لیس فی المصدر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استقبلتهم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تفید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تمتاز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الشیخ البهائی قدس‌سره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والصواب کما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فیهما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العلاّمة السیّد علی أصغر الجابلقی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رباح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و قد یوجد بالمثنّاة، عنه ابن أبی عمیر فی الصحیح، و فیه اشعار بوثاقته، و عمل بخبره الأصحاب فی باب دخول الوقت فی أثناء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عبارته فیه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قول حدث فی زمانه فیما أظنّه أو قبله بیسیر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سنده فیه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عن النضر بن سوید، عن زرعة، عن أبی بصیر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أشهد أنّک نعم الربّ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الصدوق فی الفقیه هذا التشهّد الکامل بأدنی تفاوت فی بعض الفقرات، 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علینا وعلی عباد اللّه الصالحین، و یجزیک فی التشهّد الشهادتان، وهذا أفضل، لأنّها العبادة، ثمّ تسلّم وأنت مستقبل القبلة وتمیل بعینک إلی یمینک إن کنت إمامًا، و إن صلّیت وحدک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علیکم مرّة واحدة و أنت مستقبل القبلة،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مولینا الفاضل ملاّ مراد فی حاشیته علی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تسلّم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ذلک علی أنّ جمیع صیغ السلام المذکورة قبل عن تمّه التشهّد، و لیس شیء منها مُخرجًا عن الصلوة، منه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تسلم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لیس فی المصدر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لیس فی المصدر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متأخّری أصحابنا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بتحلیل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تأتمّ به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الکلام الّذی حکاه عن أبی الصلاح، هو کلام المحقّق فی المعتبر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التسلیمین، و هو الصواب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لأبی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نقله عنهما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کذا نقله عنهما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الثانی من أبواب التسلیم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الثانی من أبواب التسلیم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صلوته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فی التهذیب عن أحمد بن محمّد، عن ابن أبی نصر، عن ثعلبة بن میمون، عن میسر، 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شیئان یفسدان الناس بهما صلاتهم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اسمک و تعالی جدّک ولا إله غیرک، و إنّما هو شیء قالته الجنّ بجهالة، فحکی اللّه عزّوجلّ عنهم ؛ و قول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علینا وعلی عباد اللّه الصالحین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مُفسدة و قاطعة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نقله عنه فی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یفسد بترکه الصلوة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الملک الموکّل یکتب الحسنات علی الیمین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الیسار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تکون علیه و علی ملکیه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لأبی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المحقّق الحلّی رحمه‌الله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رأوفا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القوسین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المصدر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ینقل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لکنّه ممّا لا وقع له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الصلوة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القوسین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والثلاثون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المصدر و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یخالف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والإعتبار ؛ والصحیح ما أثبتناه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عبدوس النیسابوریّ من مشایخ الصدوق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بعض نسخ المصدر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المصدر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یأخذ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صلی‌الله‌علیه‌و‌آله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کلمات الأصحاب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من التسلیم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تیقّن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فطانة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 الجمع، والصحیح ما أثبتناه فی المتن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ما یثبت بقول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الثابتة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 خلافه 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یحکم بالإشتراک الثانیة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مرّة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بطلبه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نحکم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ممکن الإمتثال، وهو غلط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اللفظة ؛ والصواب ما أثبتناه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فطلبها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بینت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الأخری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ههنا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ثبوتها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غلط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القیام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والصواب ما أثبتناه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ان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فسنّ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عینیه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أربعا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المراسم العلویّة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المقنعة، و فی 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فیقول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هنا آخر الموجود 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العلویّة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تفسد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الإمام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التهذیب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کهمس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الطوسی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جامع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کهمس بفتح الکاف وسکون الهاء و ضمّ المیم وبالسین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کهمس بن عبداللّه، قال شیخنا أبوالعبّاس النجاشی رحمه اللّه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 بن عبداللّه أبو کهمس کوفیّ، عربیّ، له کتاب، ذکره سعد بن عبداللّه فی 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السیّد علیّ أصغر الجابلقی رحمه‌الله فی طرائف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کهمش أو أبو کهمس، له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هیثم بن عبداللّه أو ابن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الأولتین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فیهما، و هو الصحیح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المصدرین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ینفی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القصیرة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وصلت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المنقول عنه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تخلّفت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أخرج هذا الحدیث مسندًا أبوبکر أحمد بن عبدالعزیز الجوهری فی کتاب السقیفة و فدک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إسحاق بن صال، عن أحمد بن سیار، عن سعید بن کثیر الأنصاریّ، عن رجاله، عن عبداللّه بن عبدالرحمن انّ رسول اللّه صلی‌الله‌علیه‌و‌آله فی مرض موته أمر أسامة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أفاق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عن أسامة والبعث، فأخبر انّهم یتجهّزون، فجعل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أنفذوا بعث أسامة، لعن اللّه من تخلّف عنه،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 ابن أبی الحدید فی شرحه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قطعة من حدیث تمامه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 کلّهم هلکی إلاّ العالمون، والعالمون کلّهم هلکی إلاّ العاملون، والعاملون کلّهم هلکی إلاّ المخلصون، والمخلصون علی خطر 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جاء نصّ هذه العبارة فی مجموعة الشیخ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عن النبیّ صلی‌الله‌علیه‌و‌آله مرسلاً، وکذلک جاء فی مصباح الشریعة المنسوب إلی الصادق علیه‌السلام فی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یقرب من هذا النصّ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مرادی أنّ القصد القائم بالقلب الصادر عن الفاعل القاصد کیف یصحّ تعلّق الرجاء به من اللّه والرجاء انّما یصحّ ممّا یکون المرجوّ من فعل اللّه والقصد لیس من فعل اللّه، بل من العبد، فقوله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أرجو من اللّه أن یکون قصدی کذا، لا معنی له إلاّ علی مذهب الجبریّة من الأشاعرة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والمناسب أن یجعل ذلک تحت التّوفیق المرجوّ من اللّه أن یوفّقه النیّة وجعله خالصًا لوجهه، واللّه یعلم، منه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یسآ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المنقول عنه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فکذلک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ستقف علی عبارته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فکذلک الحال فی الثانی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بالمطلقات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هامش الأصل بخطّ المصنّف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کأنّه سقط من قلم الناسخ شیء، لأنّ المنع لا یصحّ أن یجعل مقول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کلام صحیح، لانّ عبارة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بالمنع من الروایة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و هو الصواب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الأصحاب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قال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الصلوة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هو بالتسلیم ؛ 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مندرجة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والأشربة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أدرک رکعة من الصلوة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نعثر علیه بهذا اللفظ فی الجوامع الحدیثیّة، نعم ورد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التیمّم أحد الطهورین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أعثر علیه فی الجوامع الحدیثیّة للعامّة والخاصّة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المنقول عنه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الخصال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الحائریّة، للعلاّمة آقا محمّد باقر الوحید البهبهانی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الفائدة الخامسة ؛ والفوائدة الجدیدة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فی آخر الفوائد الحائریّة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الفائدة السابعة والعشرون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الإفتتاح والتحریم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والصواب کما 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أعثر علیه بهذا اللفظ، بل الموجود فی الکافی روایة أبی بصیر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کنت فی صفّ فسلّم تسلیمة عن یمینک، و تسلیمة عن یسارک، لأنّ عن یسارک من یسلّم علیک، و إذا کنت إمامًا فسلّم تسلیمة وأنت مستقبل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أعثر علیه بهذا اللفظ فی النصوص المرویّة عن الأئمّة علیهم‌السلام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أعثر علیه بهذا اللفظ فی النصوص المرویّة عن الأئمّة علیهم‌السلام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إثنتین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لیس فی المصدر المنقول عنه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 ذلک فی الصلوة، فهو أعمّ من المفروضة والمسنونة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تدلّ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کلتاهما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تشعر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والثانی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یقال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المنقول عنه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المنقول عنه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توقّف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یعین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أخری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فی الأصل، و 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بأجزائه، و هو الصواب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عثرنا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مکمّلة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المنقول عنه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أخری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والمفروض انّها بیّنت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المنقول عنه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فنحکم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مفتقرین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المنقول عنه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الأصل، و 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و هو الصواب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أحفظ کتاب حریز فی الصلوة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واستقبل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الأصل،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القبلة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الکفّین والرکبتین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لیس فی المصدر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کتاب الصلوة، باب الأذان للمسافر إذا کانوا جماعة؛ 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أجزائه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قرّر فی محلّه أنّ إختلاف اللوازم یدلّ علی إختلاف الملزومات، وبهذا یظهر ضعف القول بالإتّحاد، فتأمّل، منه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یظهر من بعض الروایات کون الصیغتین من جملة مکمِّلات التشهّد کما حرّرنا فی الرسالة، منه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 زعم السیّد أنّه لیس بقیاس لاعتقاده إتّحاد المهیّة، و لکن لیس کذلک، و قد بیّن فی محلّه، منه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بینها و بین غیرها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المنقول عنه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خصوصًا انّه لم یقتصر فی تشهد صلاة الظهر بالواحدة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فریضة الظهر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التخییر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الاستبصار، و فی التهذیب بدله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نقف علی قائله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المناقشة وقعت منّی سهوًا، فانّ الراوی محمّد بن أبی حمزة، وأخطأت فی ما کتبت هو علیّ بن أبی حمزة، و محمّد بن أبی حمزة مشترک بین التیملی الثقة علی ما فی الخلاصة، ومحمّد بن أبی حمزة الثمالی من أصحاب الصادق علیه‌السلام فی الفهرست مهمل، فی رجال الکشی ممدوح، وقال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کتاب، هکذا فی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نبّهنی علی ذلک السیّد السند صاحب الرسالة، جزی اللّه عنّی خیر الجزاء، منه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الأصل،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إقتباس من قوله تعالی فی سورة الحجرات،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بعض الظنّ إثم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بعد ما کتبتُ هذه و تعجّبت من هذا الحمل فصرتُ أجول النظر فی ما بعد فبلغت إلی آخر ما قال رأیت أنّه ـ دام ظلّه ـ قد تفطّن بذلک و نفی الاستبعاد، و یا لیته لم یکتب هذا واکتفی بذکره ما ذکره أخیرًا، منه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المنقول عنه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یصلّی الظهر أربعًا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المراسم العلویّة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 وهو الصواب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والمراسم العلویّة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المنقول عنه بدل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الجملة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کما لا یخفی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خارجتان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المنقول عنه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أمّتی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العلاّمة الحاجّ محمّد إبراهیم الکرباسی قدس‌سره المتوفّی سنة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عجز بیت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لمن یدعی فی العلم فلسفة ؛ والبیت لأبی نؤاس، دیوانه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والمعنی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متعلّق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قطعًا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هنا إحتمال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تخلّف، و هو غلط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تخلّف، و هو الصواب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أخرج هذا الحدیث مسندًا أبوبکر أحمد بن عبدالعزیز الجوهری فی کتاب السقیفة و فدک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إسحاق بن صال، عن أحمد بن سیار، عن سعید بن کثیر الأنصاریّ، عن رجاله، عن عبداللّه بن عبدالرّحمن أنّ رسول اللّه صلی‌الله‌علیه‌و‌آله فی مرض موته أمر أسامة، 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أفاق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عن أسامة والبعث، فأخبر انّهم یتجهّزون، فجعل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أنفذوا بعث أسامة، لعن اللّه من تخلّف عنه،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 ابن أبی الحدید فی شرحه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قطعة من حدیث تمامه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 کلّهم هلکی إلاّ العالمون، والعالمون کلّهم هلکی إلاّ العاملون، والعاملون کلّهم هلکی إلاّ المخلصون، والمخلصون علی خطر 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جاء نصّ هذه العبارة فی مجموعة الشیخ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عن النبیّ صلی‌الله‌علیه‌و‌آله مرسلاً، و کذلک جاء فی مصباح الشریعة المنسوب إلی الصادق علیه‌السلام فی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یقرب من هذا النصّ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البیت من قطعة أنشدها المتنبیّ،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المتنبیّ بشرح البرقوقی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یسآ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الأصل المنقول عنه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متساویین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الأصل المنقول عنه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هذا الوجه الشیخ أبو علی الطبرسی فی تفسیره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أبی بکر الوراق</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للتنبه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علیه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عصام الکلینی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السنانیّ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انّه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لانّه </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طیفور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وحدّثنا أبو زید عمر بن شبة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العاج الکلبی لامرأته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المؤلّف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رووا هذا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منه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لو سلّم فهؤلاء الرؤساء العظام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إلی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لا علم هؤلاء الثلثة ـ قدّس اللّه روحهم ـ بصحّته لما أرسلوه و لما حکموا بانّه من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المکرّم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لیس فی المصدر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تجب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إبنا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غایة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یثبت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یجزئ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المحاسن والکافی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الخروج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تعجب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یلائم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أدرک رکعة من الصلوة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الأصل المنقول عنه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نعثر علیه بهذا اللفظ فی الجوامع الحدیثیّة، نعم ورد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التیمّم أحد الطهورین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نجده فی الجوامع الحدیثیّة للعامّة والخاصّة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یتبادر ذلک عند الإطلاق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علیّ بن محمّد بن ابراهیم بن أبان الرازی الکلینی، المعروف بعلان ـ بالعین المهملة المفتوحة واللام المشدّدة والنون ـ و هو خال محمّد بن یعقوب الکلینی أستاذه ؛ ثقة، عین، له کتاب أخبار القائم ـ عجّل اللّه فرجه ـ و کان استأذن الصاحب فی الحجّ فخرج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توقف عنه هذه السنة، فخالف فقتل بطریق 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الوجیزة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الاقوال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السمیّ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الوجیزة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الاقوال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لیس فی المصدر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الاقوال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المحقّق الأردبیلی قدس‌سره فی 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والثناء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المؤلّف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دلّ التسلیم، منه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فی العیون فی باب ما کتبه مولانا الرضا علیه‌السلام للمأمون، من محض الإسلام، عن عبد الواحد بن عبدوس النیسابوریّ، عن علیّ بن محمّد بن قتیبة، عن الفضل بن شاذان، عن مولانا الرضا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لایجوز أن یقول فی التشهّد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علینا و علی عباد اللّه الصالحین، لأنّ تحلیل الصلوة التسلیم، فإذا قلت هذا فقد سلّمت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بلغ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المتن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فإذا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إمّا اشتباه فی النقل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 علیهم‌السلام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عن أجدادی المعصومین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المتن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أعاد الصیام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الثلاثة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یقطعها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یقضی من بعد، و فی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یقضی بعد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ما ذکر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8347</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فی التهذیب عن أحمد بن محمّد، عن ابن أبی نصر، عن ثعلبة بن میمون، عن میسر، 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شیئان یفسدان الناس بهما صلاتهم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اسمک و تعالی جدّک و لا إله غیرک، وإنّما هو شیء قالته الجنّ بجهالة، فحکی اللّه عزّوجلّ عنهم ؛ و قول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علینا و علی عباد اللّه الصالحین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النسختین، والظاهر انّ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 النافلة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المتن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قبایح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الأصل المنقول عنه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موقفهما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ما أثبتناه فی المتن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للسلام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الأصل المنقول عنه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 الشهید الثانی قدس‌سره هذا القول فی الدرایة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البعض، ولم یسمّهم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والأعجب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لتفطّن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العیوب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فیما بعد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المتن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والإستدلال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یصلح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نسخ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التحلّل </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تبصرة المتعلّمین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یکن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بتتبّع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اتّفق علماؤنا علی ایجاب سجدتی السهو فیمن سها عن السجدة أو التشهّد وذکره بعد الرکوع، ومن تکلّم ناسیًا، ومن سلّم فی غیر موضعه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العلاّمة فی المختلف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أبو جعفر بن بابویه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تجب سجدتا السهو إلاّ علی من قعد فی حال قیامه أو قام فی حال قعوده، أو ترک التشهّد، أو لم یدر زاد أو 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فی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تکلّمت فی صلاتک ناسیًا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أقیموا صفوفکم فأتمّ صلاتک واسجد سجدتی السهو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فی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السهو الّذی یجب فیه سجدتا السهو هو انّک إذا أردت أن تقعد قمت، وإذا أردت أن تقوم قعدت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انّه لا تجب علیک سجدتا السهو إلاّ ان سهوت فی الرکعتین الأخیرتین، لانّک إذا شککت فی الأولتین أعدت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انّ سجدتی السهو تجب علی من ترک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وأوجب أبوه سجدتی السهو فی نسیان التشهّد، وفی الشکّ بین الثلاث والأربع إذا ذهب وهمه إلی الرابعة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فانّه یظهر من کلامهما عدم وجوب السجدتین للسلام مطلقًا، حیث انّهما اقتصرا عند بیان ما یوجب سجدتی السهو علی ذکر من عداه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المؤلّف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جواز القول به متعمّدًا فی الصلوة، منه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8347</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النصوص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التسلیمة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المتن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الأصل المنقول عنه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الأصل المنقول عنه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وکأنّ المصنّف قدس‌سره غفل عن ذکر وجه الفساد علی التقدیر الثانی، أو لعلّه سقط من قلم الناسخ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عمومًا أو الصحیفة الّتی مُحِیت ثمّ کتبت،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أطراس و طُرُوس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الحنیفیّة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فیفتقر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علینا کذبة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الکذابة بکسر الکاف و تخفیف الذال،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کذب یکذب،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کثرت علی کذبة الکذابین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نرجو 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والإد بالکسر والإدة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 والأمر الفظیع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جئتم شیئًا إدّا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المتن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البیت من قصیدة لغیلان بن عقبة العدوی المشهور بذی الرمة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دیوانه هکذا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و هو غلط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لابهامه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المتن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بتلک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المتن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بخطّه فی الأصل المنقول عنه،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تشعر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والقول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یَدْعَبُ مثل مَزَحَ یَمْزَحُ وزنًا و معنًی، فهو داعب، و فی لغة من باب تعب فهو دَعِبٌ، والدُعَابة بالضم اسم لما یستملح من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دَاعبَهُ مُدَاعبةً و تَداعَبَ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المشار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المتن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تغییره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المتن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والأخیار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المتن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یشبه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صحّة البیّنة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المتن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تحصیل المنافع، لابن داود الحلّی رحمه‌الله صاحب کتاب الرجال المشهور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لایوجد لدینا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اللمعة الدمشقیّة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خلاف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المقاصد العلیّة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لیس فی المصدر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لیس فی المصدر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والعبارة فیه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لم یقل به أحد فیما علمته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علی عباد اللّه الصالحین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ربما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المتن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مبانی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بمبانی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الصلوة، باب الأذان للمسافر إذا کانوا جماعة ؛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فقد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الأرضین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المتن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المتن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یجد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فیهما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أطال اللّه تعالی بقائه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المتن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المتن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یقتضی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المتن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می‌دهی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ثابتان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المتن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مستند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الألفیة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الموجز الحاوی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المنضمّتین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المتن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مباشرة ؛ وهو غلط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 النافلة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الأصل المنقول عنه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حنیفیّ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البیت من قصیدة لغیلان بن عقبة العدوی المشهور بذی الرمة، المتوفّی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فی دیوانه هکذا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الصیغتان 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بالسلام علینا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التبادر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غلط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والحدیث 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والحدیث 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حاشیة علی کتاب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لملاّ مراد التفرشی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لا یوجد لدینا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والحمل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بالاتیان ؛ وهو غلط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الأصل المنقول عنه، لکن کتب فی هامشه بعلامة البدل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الوتر، کما فی المصدر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الإستبصار، و فی التهذیب بدله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المنقول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الأخیر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الأصل المنقول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لاشتماله علی ابن أبی حمزة البطائنیّ الکذّاب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جاء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المناقشة وقعت منّی سهوًا، فانّ الراوی محمّد بن أبی حمزة، وأخطأت فی ما کتبت هو علیّ بن أبی حمزة ؛ ومحمّد بن أبی حمزة مشترک بین التیملی الثقة علی ما فی الخلاصة، و محمّد بن أبی حمزة الثمالی من أصحاب الصادق علیه‌السلام فی الفهرست مهمل، فی رجال الکشی ممدوح، وقال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هکذا فی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ونبّهنی علی ذلک السیّد السند صاحب الرسالة، جزی اللّه عنّی خیر الجزاء، منه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الدُربَةُ،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عادة، وجرأة علی الأمر والحرب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أنّ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أبی حمزة مشترک بین الثمالی والتیملی، والثانی منهما لم ینصّ علی توثیقه فی کتب الرجال علی ما قیل إلاّ رجال ابن داود،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ثقة فاضل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جمع لعمود </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کلاهما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المتن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کما ستقف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هذا الخطاب فی الحدیث القدسیّ المرویّ عن أمیر المؤمنین علیه‌السلام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اللّه و لا شیء معه، فأوّل ما خلق نور حبیبه محمّد صلی‌الله‌علیه‌و‌آله قبل خلق الماء والعرش والکرسی والسموات والأرض واللوح والقلم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تبارک و تعالی ینظر إلیه و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عبدی أنت المراد والمرید، و أنت خیرتی من خلقی، وعزّتی و جلالی لولاک لما خلقت الأفلاک، من أحبّک أحببته، و من أبغضک أبغضته،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المجلسی قدس‌سره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کتاب الأنوار لأبی الحسن البکری أستاذ الشهید الثانی</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 قوله تعالی فی سورة‌آل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تلبسون الحقّ بالباطل وتکتمون الحقّ وأنتم‌تعلمون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انخرط فی المکان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مسرعًا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عمومًا أو الصحیفة الّتی مُحِیت ثمّ کتبت،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أطراس و طُرُوس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و قوله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إقتباس من قوله تعالی فی سورة الحجرات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بعض الظنّ إثم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الأصل المنقول عنه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القوم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تسلیمة عن یمینه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المتن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المتن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تسلم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إنسان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تبصرة المتعلّمین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ملکیه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ملکیه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والإمام یسلّم بتسلیمة واحدة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لیس فی المصدر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اللمعة الدمشقیّة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المسئلة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المتن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فکیف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فی المتن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لما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لم یرد فی النسختین، وأثبتناه لاستقامة المعنی به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النسختین، والصواب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الأصل المنقول عنه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النسختین، والصواب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الموارد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النسختین،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برتبة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المؤلّف قدس‌سره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فی الخلاف فی مسألة وجوب السورة مع الحمد فی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روایات أصحابنا و مذهبهم انّ قراءة سورة أخری مع الحمد واجبة فی الفرائض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وقال 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ذلک مستحبّ، و لیس بواجب، و به قال الشافعیّ، و أکثر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دلیلنا علی المذهب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طریقة الإحتیاط، لانّه إذا قرأ سورة مع الحمد کانت صلوته صحیحة بلا خلاف، و إذا اقتصر علی بعضها فلیس علی صحّتها دلیل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منصور بن حازم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تقرأ فی المکتوبة بأقلّ من سورة، و لا بأکثر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مذهب أصحابنا أن لا یزید مع الحمد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واحدة فی الفریضة، و یجوز فی النافلة ما شاء من السور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أصحابنا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مستحبّ ولیس بواجب، ولم یوافق علی ذلک أحد من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دلیلنا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طریقة الإحتیاط، فانّه إذا اقتصر علی سورة واحدة کانت صلوته ماضیة بلا خلاف، وإذا زاد علی ذلک فیه 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محمّد بن مسلم عن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الرجل یقرأ السورتین فی الرکعة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لکلّ سورة رکعة ؛ و خبر منصور بن حازم یدلّ علی ذلک أیضًا، و قد بیّنا الوجه فی إختلاف الحدیث فی هذا المعنی فی الکتابین المقدّم ذکرهما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لما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الأصل المنقول عنه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8347</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عندی ؛ والصحیح ما أثبتناه فی المتن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یتنفر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نعتذر ؛ والصحیح ما أثبتناه فی المتن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منهما ؛ والصحیح ما أثبتناه فی المتن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هنا ما 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ظاهرًا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عشرین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3.png"/><Relationship Id="rId65" Type="http://schemas.openxmlformats.org/officeDocument/2006/relationships/image" Target="media/image3.png"/><Relationship Id="rId66" Type="http://schemas.openxmlformats.org/officeDocument/2006/relationships/footer" Target="footer59.xml"/><Relationship Id="rId67" Type="http://schemas.openxmlformats.org/officeDocument/2006/relationships/image" Target="media/image4.png"/><Relationship Id="rId68" Type="http://schemas.openxmlformats.org/officeDocument/2006/relationships/image" Target="media/image4.png"/><Relationship Id="rId69" Type="http://schemas.openxmlformats.org/officeDocument/2006/relationships/footer" Target="footer60.xml"/><Relationship Id="rId70" Type="http://schemas.openxmlformats.org/officeDocument/2006/relationships/image" Target="media/image5.png"/><Relationship Id="rId71" Type="http://schemas.openxmlformats.org/officeDocument/2006/relationships/image" Target="media/image5.png"/><Relationship Id="rId72" Type="http://schemas.openxmlformats.org/officeDocument/2006/relationships/footer" Target="footer61.xml"/><Relationship Id="rId73" Type="http://schemas.openxmlformats.org/officeDocument/2006/relationships/image" Target="media/image6.png"/><Relationship Id="rId74" Type="http://schemas.openxmlformats.org/officeDocument/2006/relationships/image" Target="media/image6.png"/><Relationship Id="rId75" Type="http://schemas.openxmlformats.org/officeDocument/2006/relationships/footer" Target="footer62.xml"/><Relationship Id="rId76" Type="http://schemas.openxmlformats.org/officeDocument/2006/relationships/image" Target="media/image7.png"/><Relationship Id="rId77" Type="http://schemas.openxmlformats.org/officeDocument/2006/relationships/image" Target="media/image7.png"/><Relationship Id="rId78" Type="http://schemas.openxmlformats.org/officeDocument/2006/relationships/footer" Target="footer63.xml"/><Relationship Id="rId79" Type="http://schemas.openxmlformats.org/officeDocument/2006/relationships/image" Target="media/image8.png"/><Relationship Id="rId80" Type="http://schemas.openxmlformats.org/officeDocument/2006/relationships/image" Target="media/image8.png"/><Relationship Id="rId81" Type="http://schemas.openxmlformats.org/officeDocument/2006/relationships/footer" Target="footer64.xml"/><Relationship Id="rId82" Type="http://schemas.openxmlformats.org/officeDocument/2006/relationships/image" Target="media/image9.png"/><Relationship Id="rId83" Type="http://schemas.openxmlformats.org/officeDocument/2006/relationships/image" Target="media/image9.png"/><Relationship Id="rId84" Type="http://schemas.openxmlformats.org/officeDocument/2006/relationships/footer" Target="footer65.xml"/><Relationship Id="rId85" Type="http://schemas.openxmlformats.org/officeDocument/2006/relationships/image" Target="media/image10.png"/><Relationship Id="rId86" Type="http://schemas.openxmlformats.org/officeDocument/2006/relationships/image" Target="media/image10.png"/><Relationship Id="rId87" Type="http://schemas.openxmlformats.org/officeDocument/2006/relationships/footer" Target="footer66.xml"/><Relationship Id="rId88" Type="http://schemas.openxmlformats.org/officeDocument/2006/relationships/image" Target="media/image11.png"/><Relationship Id="rId89" Type="http://schemas.openxmlformats.org/officeDocument/2006/relationships/image" Target="media/image11.png"/><Relationship Id="rId90" Type="http://schemas.openxmlformats.org/officeDocument/2006/relationships/footer" Target="footer67.xml"/><Relationship Id="rId91" Type="http://schemas.openxmlformats.org/officeDocument/2006/relationships/image" Target="media/image12.png"/><Relationship Id="rId92" Type="http://schemas.openxmlformats.org/officeDocument/2006/relationships/image" Target="media/image12.png"/><Relationship Id="rId93" Type="http://schemas.openxmlformats.org/officeDocument/2006/relationships/footer" Target="footer68.xml"/><Relationship Id="rId94" Type="http://schemas.openxmlformats.org/officeDocument/2006/relationships/image" Target="media/image13.png"/><Relationship Id="rId95" Type="http://schemas.openxmlformats.org/officeDocument/2006/relationships/image" Target="media/image13.png"/><Relationship Id="rId96" Type="http://schemas.openxmlformats.org/officeDocument/2006/relationships/footer" Target="footer69.xml"/><Relationship Id="rId97" Type="http://schemas.openxmlformats.org/officeDocument/2006/relationships/image" Target="media/image14.png"/><Relationship Id="rId98" Type="http://schemas.openxmlformats.org/officeDocument/2006/relationships/image" Target="media/image14.png"/><Relationship Id="rId99" Type="http://schemas.openxmlformats.org/officeDocument/2006/relationships/footer" Target="footer70.xml"/><Relationship Id="rId100" Type="http://schemas.openxmlformats.org/officeDocument/2006/relationships/footer" Target="footer71.xml"/><Relationship Id="rId101" Type="http://schemas.openxmlformats.org/officeDocument/2006/relationships/footer" Target="footer72.xml"/><Relationship Id="rId102" Type="http://schemas.openxmlformats.org/officeDocument/2006/relationships/footer" Target="footer73.xml"/><Relationship Id="rId103" Type="http://schemas.openxmlformats.org/officeDocument/2006/relationships/footer" Target="footer74.xml"/><Relationship Id="rId104" Type="http://schemas.openxmlformats.org/officeDocument/2006/relationships/footer" Target="footer75.xml"/><Relationship Id="rId105" Type="http://schemas.openxmlformats.org/officeDocument/2006/relationships/footer" Target="footer76.xml"/><Relationship Id="rId106" Type="http://schemas.openxmlformats.org/officeDocument/2006/relationships/footer" Target="footer77.xml"/><Relationship Id="rId107" Type="http://schemas.openxmlformats.org/officeDocument/2006/relationships/footer" Target="footer78.xml"/><Relationship Id="rId108" Type="http://schemas.openxmlformats.org/officeDocument/2006/relationships/footer" Target="footer79.xml"/><Relationship Id="rId109" Type="http://schemas.openxmlformats.org/officeDocument/2006/relationships/footer" Target="footer80.xml"/><Relationship Id="rId110" Type="http://schemas.openxmlformats.org/officeDocument/2006/relationships/footer" Target="footer81.xml"/><Relationship Id="rId111" Type="http://schemas.openxmlformats.org/officeDocument/2006/relationships/footer" Target="footer82.xml"/><Relationship Id="rId112" Type="http://schemas.openxmlformats.org/officeDocument/2006/relationships/footer" Target="footer83.xml"/><Relationship Id="rId113" Type="http://schemas.openxmlformats.org/officeDocument/2006/relationships/footer" Target="footer84.xml"/><Relationship Id="rId114" Type="http://schemas.openxmlformats.org/officeDocument/2006/relationships/footer" Target="footer85.xml"/><Relationship Id="rId115" Type="http://schemas.openxmlformats.org/officeDocument/2006/relationships/footer" Target="footer86.xml"/><Relationship Id="rId116" Type="http://schemas.openxmlformats.org/officeDocument/2006/relationships/footer" Target="footer87.xml"/><Relationship Id="rId117" Type="http://schemas.openxmlformats.org/officeDocument/2006/relationships/footer" Target="footer88.xml"/><Relationship Id="rId118" Type="http://schemas.openxmlformats.org/officeDocument/2006/relationships/footer" Target="footer89.xml"/><Relationship Id="rId119" Type="http://schemas.openxmlformats.org/officeDocument/2006/relationships/footer" Target="footer90.xml"/><Relationship Id="rId120" Type="http://schemas.openxmlformats.org/officeDocument/2006/relationships/footer" Target="footer91.xml"/><Relationship Id="rId121" Type="http://schemas.openxmlformats.org/officeDocument/2006/relationships/footer" Target="footer92.xml"/><Relationship Id="rId122" Type="http://schemas.openxmlformats.org/officeDocument/2006/relationships/footer" Target="footer93.xml"/><Relationship Id="rId123" Type="http://schemas.openxmlformats.org/officeDocument/2006/relationships/footer" Target="footer94.xml"/><Relationship Id="rId124" Type="http://schemas.openxmlformats.org/officeDocument/2006/relationships/footer" Target="footer95.xml"/><Relationship Id="rId125" Type="http://schemas.openxmlformats.org/officeDocument/2006/relationships/footer" Target="footer96.xml"/><Relationship Id="rId126" Type="http://schemas.openxmlformats.org/officeDocument/2006/relationships/footer" Target="footer97.xml"/><Relationship Id="rId127" Type="http://schemas.openxmlformats.org/officeDocument/2006/relationships/footer" Target="footer98.xml"/><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footer" Target="footer105.xml"/><Relationship Id="rId135" Type="http://schemas.openxmlformats.org/officeDocument/2006/relationships/footer" Target="footer106.xml"/><Relationship Id="rId136" Type="http://schemas.openxmlformats.org/officeDocument/2006/relationships/footer" Target="footer107.xml"/><Relationship Id="rId137" Type="http://schemas.openxmlformats.org/officeDocument/2006/relationships/footer" Target="footer108.xml"/><Relationship Id="rId138" Type="http://schemas.openxmlformats.org/officeDocument/2006/relationships/footer" Target="footer109.xml"/><Relationship Id="rId139" Type="http://schemas.openxmlformats.org/officeDocument/2006/relationships/footer" Target="footer110.xml"/><Relationship Id="rId140" Type="http://schemas.openxmlformats.org/officeDocument/2006/relationships/footer" Target="footer111.xml"/><Relationship Id="rId141" Type="http://schemas.openxmlformats.org/officeDocument/2006/relationships/footer" Target="footer112.xml"/><Relationship Id="rId142" Type="http://schemas.openxmlformats.org/officeDocument/2006/relationships/footer" Target="footer113.xml"/><Relationship Id="rId143" Type="http://schemas.openxmlformats.org/officeDocument/2006/relationships/footer" Target="footer114.xml"/><Relationship Id="rId144" Type="http://schemas.openxmlformats.org/officeDocument/2006/relationships/footer" Target="footer115.xml"/><Relationship Id="rId145" Type="http://schemas.openxmlformats.org/officeDocument/2006/relationships/footer" Target="footer116.xml"/><Relationship Id="rId146" Type="http://schemas.openxmlformats.org/officeDocument/2006/relationships/footer" Target="footer117.xml"/><Relationship Id="rId147" Type="http://schemas.openxmlformats.org/officeDocument/2006/relationships/footer" Target="footer118.xml"/><Relationship Id="rId148" Type="http://schemas.openxmlformats.org/officeDocument/2006/relationships/footer" Target="footer119.xml"/><Relationship Id="rId149" Type="http://schemas.openxmlformats.org/officeDocument/2006/relationships/footer" Target="footer120.xml"/><Relationship Id="rId150" Type="http://schemas.openxmlformats.org/officeDocument/2006/relationships/footer" Target="footer121.xml"/><Relationship Id="rId151" Type="http://schemas.openxmlformats.org/officeDocument/2006/relationships/footer" Target="footer122.xml"/><Relationship Id="rId152" Type="http://schemas.openxmlformats.org/officeDocument/2006/relationships/footer" Target="footer123.xml"/><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footer" Target="footer126.xml"/><Relationship Id="rId156" Type="http://schemas.openxmlformats.org/officeDocument/2006/relationships/footer" Target="footer127.xml"/><Relationship Id="rId157" Type="http://schemas.openxmlformats.org/officeDocument/2006/relationships/footer" Target="footer128.xml"/><Relationship Id="rId158" Type="http://schemas.openxmlformats.org/officeDocument/2006/relationships/footer" Target="footer129.xml"/><Relationship Id="rId159" Type="http://schemas.openxmlformats.org/officeDocument/2006/relationships/footer" Target="footer130.xml"/><Relationship Id="rId160" Type="http://schemas.openxmlformats.org/officeDocument/2006/relationships/footer" Target="footer131.xml"/><Relationship Id="rId161" Type="http://schemas.openxmlformats.org/officeDocument/2006/relationships/footer" Target="footer132.xml"/><Relationship Id="rId162" Type="http://schemas.openxmlformats.org/officeDocument/2006/relationships/footer" Target="footer133.xml"/><Relationship Id="rId163" Type="http://schemas.openxmlformats.org/officeDocument/2006/relationships/footer" Target="footer134.xml"/><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footer" Target="footer148.xml"/><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footer" Target="footer153.xml"/><Relationship Id="rId183" Type="http://schemas.openxmlformats.org/officeDocument/2006/relationships/footer" Target="footer154.xml"/><Relationship Id="rId184" Type="http://schemas.openxmlformats.org/officeDocument/2006/relationships/footer" Target="footer155.xml"/><Relationship Id="rId185" Type="http://schemas.openxmlformats.org/officeDocument/2006/relationships/footer" Target="footer156.xml"/><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footer" Target="footer163.xml"/><Relationship Id="rId193" Type="http://schemas.openxmlformats.org/officeDocument/2006/relationships/footer" Target="footer164.xml"/><Relationship Id="rId194" Type="http://schemas.openxmlformats.org/officeDocument/2006/relationships/footer" Target="footer165.xml"/><Relationship Id="rId195" Type="http://schemas.openxmlformats.org/officeDocument/2006/relationships/footer" Target="footer166.xml"/><Relationship Id="rId196" Type="http://schemas.openxmlformats.org/officeDocument/2006/relationships/footer" Target="footer167.xml"/><Relationship Id="rId197" Type="http://schemas.openxmlformats.org/officeDocument/2006/relationships/footer" Target="footer168.xml"/><Relationship Id="rId198" Type="http://schemas.openxmlformats.org/officeDocument/2006/relationships/footer" Target="footer169.xml"/><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footer" Target="footer173.xml"/><Relationship Id="rId203" Type="http://schemas.openxmlformats.org/officeDocument/2006/relationships/footer" Target="footer174.xml"/><Relationship Id="rId204" Type="http://schemas.openxmlformats.org/officeDocument/2006/relationships/footer" Target="footer175.xml"/><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footer" Target="footer197.xml"/><Relationship Id="rId227" Type="http://schemas.openxmlformats.org/officeDocument/2006/relationships/footer" Target="footer198.xml"/><Relationship Id="rId228" Type="http://schemas.openxmlformats.org/officeDocument/2006/relationships/footer" Target="footer199.xml"/><Relationship Id="rId229" Type="http://schemas.openxmlformats.org/officeDocument/2006/relationships/footer" Target="footer200.xml"/><Relationship Id="rId230" Type="http://schemas.openxmlformats.org/officeDocument/2006/relationships/footer" Target="footer201.xml"/><Relationship Id="rId231" Type="http://schemas.openxmlformats.org/officeDocument/2006/relationships/footer" Target="footer202.xml"/><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footer" Target="footer205.xml"/><Relationship Id="rId235" Type="http://schemas.openxmlformats.org/officeDocument/2006/relationships/footer" Target="footer206.xml"/><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footer" Target="footer214.xml"/><Relationship Id="rId244" Type="http://schemas.openxmlformats.org/officeDocument/2006/relationships/footer" Target="footer215.xml"/><Relationship Id="rId245" Type="http://schemas.openxmlformats.org/officeDocument/2006/relationships/footer" Target="footer216.xml"/><Relationship Id="rId246" Type="http://schemas.openxmlformats.org/officeDocument/2006/relationships/footer" Target="footer217.xml"/><Relationship Id="rId247" Type="http://schemas.openxmlformats.org/officeDocument/2006/relationships/footer" Target="footer218.xml"/><Relationship Id="rId248" Type="http://schemas.openxmlformats.org/officeDocument/2006/relationships/footer" Target="footer219.xml"/><Relationship Id="rId249" Type="http://schemas.openxmlformats.org/officeDocument/2006/relationships/footer" Target="footer220.xml"/><Relationship Id="rId250" Type="http://schemas.openxmlformats.org/officeDocument/2006/relationships/footer" Target="footer221.xml"/><Relationship Id="rId251" Type="http://schemas.openxmlformats.org/officeDocument/2006/relationships/footer" Target="footer222.xml"/><Relationship Id="rId252" Type="http://schemas.openxmlformats.org/officeDocument/2006/relationships/footer" Target="footer223.xml"/><Relationship Id="rId253" Type="http://schemas.openxmlformats.org/officeDocument/2006/relationships/footer" Target="footer224.xml"/><Relationship Id="rId254" Type="http://schemas.openxmlformats.org/officeDocument/2006/relationships/footer" Target="footer225.xml"/><Relationship Id="rId255" Type="http://schemas.openxmlformats.org/officeDocument/2006/relationships/footer" Target="footer226.xml"/><Relationship Id="rId256" Type="http://schemas.openxmlformats.org/officeDocument/2006/relationships/footer" Target="footer227.xml"/><Relationship Id="rId257" Type="http://schemas.openxmlformats.org/officeDocument/2006/relationships/footer" Target="footer228.xml"/><Relationship Id="rId258" Type="http://schemas.openxmlformats.org/officeDocument/2006/relationships/footer" Target="footer229.xml"/><Relationship Id="rId259" Type="http://schemas.openxmlformats.org/officeDocument/2006/relationships/footer" Target="footer230.xml"/><Relationship Id="rId260" Type="http://schemas.openxmlformats.org/officeDocument/2006/relationships/footer" Target="footer231.xml"/><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footer" Target="footer234.xml"/><Relationship Id="rId264" Type="http://schemas.openxmlformats.org/officeDocument/2006/relationships/footer" Target="footer235.xml"/><Relationship Id="rId265" Type="http://schemas.openxmlformats.org/officeDocument/2006/relationships/footer" Target="footer236.xml"/><Relationship Id="rId266" Type="http://schemas.openxmlformats.org/officeDocument/2006/relationships/footer" Target="footer237.xml"/><Relationship Id="rId267" Type="http://schemas.openxmlformats.org/officeDocument/2006/relationships/footer" Target="footer238.xml"/><Relationship Id="rId268" Type="http://schemas.openxmlformats.org/officeDocument/2006/relationships/footer" Target="footer239.xml"/><Relationship Id="rId269" Type="http://schemas.openxmlformats.org/officeDocument/2006/relationships/footer" Target="footer240.xml"/><Relationship Id="rId270" Type="http://schemas.openxmlformats.org/officeDocument/2006/relationships/footer" Target="footer241.xml"/><Relationship Id="rId271" Type="http://schemas.openxmlformats.org/officeDocument/2006/relationships/footer" Target="footer242.xml"/><Relationship Id="rId272" Type="http://schemas.openxmlformats.org/officeDocument/2006/relationships/footer" Target="footer243.xml"/><Relationship Id="rId273" Type="http://schemas.openxmlformats.org/officeDocument/2006/relationships/footer" Target="footer244.xml"/><Relationship Id="rId274" Type="http://schemas.openxmlformats.org/officeDocument/2006/relationships/footer" Target="footer245.xml"/><Relationship Id="rId275" Type="http://schemas.openxmlformats.org/officeDocument/2006/relationships/footer" Target="footer246.xml"/><Relationship Id="rId276" Type="http://schemas.openxmlformats.org/officeDocument/2006/relationships/footer" Target="footer247.xml"/><Relationship Id="rId277" Type="http://schemas.openxmlformats.org/officeDocument/2006/relationships/footer" Target="footer248.xml"/><Relationship Id="rId278" Type="http://schemas.openxmlformats.org/officeDocument/2006/relationships/footer" Target="footer249.xml"/><Relationship Id="rId279" Type="http://schemas.openxmlformats.org/officeDocument/2006/relationships/footer" Target="footer250.xml"/><Relationship Id="rId280" Type="http://schemas.openxmlformats.org/officeDocument/2006/relationships/footer" Target="footer251.xml"/><Relationship Id="rId281" Type="http://schemas.openxmlformats.org/officeDocument/2006/relationships/footer" Target="footer252.xml"/><Relationship Id="rId282" Type="http://schemas.openxmlformats.org/officeDocument/2006/relationships/footer" Target="footer253.xml"/><Relationship Id="rId283" Type="http://schemas.openxmlformats.org/officeDocument/2006/relationships/footer" Target="footer254.xml"/><Relationship Id="rId284" Type="http://schemas.openxmlformats.org/officeDocument/2006/relationships/footer" Target="footer255.xml"/><Relationship Id="rId285" Type="http://schemas.openxmlformats.org/officeDocument/2006/relationships/footer" Target="footer256.xml"/><Relationship Id="rId286" Type="http://schemas.openxmlformats.org/officeDocument/2006/relationships/footer" Target="footer257.xml"/><Relationship Id="rId287" Type="http://schemas.openxmlformats.org/officeDocument/2006/relationships/footer" Target="footer258.xml"/><Relationship Id="rId288" Type="http://schemas.openxmlformats.org/officeDocument/2006/relationships/footer" Target="footer259.xml"/><Relationship Id="rId289" Type="http://schemas.openxmlformats.org/officeDocument/2006/relationships/footer" Target="footer260.xml"/><Relationship Id="rId290" Type="http://schemas.openxmlformats.org/officeDocument/2006/relationships/footer" Target="footer261.xml"/><Relationship Id="rId291" Type="http://schemas.openxmlformats.org/officeDocument/2006/relationships/footer" Target="footer262.xml"/><Relationship Id="rId292" Type="http://schemas.openxmlformats.org/officeDocument/2006/relationships/footer" Target="footer263.xml"/><Relationship Id="rId293" Type="http://schemas.openxmlformats.org/officeDocument/2006/relationships/footer" Target="footer264.xml"/><Relationship Id="rId294" Type="http://schemas.openxmlformats.org/officeDocument/2006/relationships/footer" Target="footer265.xml"/><Relationship Id="rId295" Type="http://schemas.openxmlformats.org/officeDocument/2006/relationships/footer" Target="footer266.xml"/><Relationship Id="rId296" Type="http://schemas.openxmlformats.org/officeDocument/2006/relationships/footer" Target="footer267.xml"/><Relationship Id="rId297" Type="http://schemas.openxmlformats.org/officeDocument/2006/relationships/footer" Target="footer268.xml"/><Relationship Id="rId298" Type="http://schemas.openxmlformats.org/officeDocument/2006/relationships/footer" Target="footer269.xml"/><Relationship Id="rId299" Type="http://schemas.openxmlformats.org/officeDocument/2006/relationships/footer" Target="footer270.xml"/><Relationship Id="rId300" Type="http://schemas.openxmlformats.org/officeDocument/2006/relationships/footer" Target="footer271.xml"/><Relationship Id="rId301" Type="http://schemas.openxmlformats.org/officeDocument/2006/relationships/footer" Target="footer272.xml"/><Relationship Id="rId302" Type="http://schemas.openxmlformats.org/officeDocument/2006/relationships/footer" Target="footer273.xml"/><Relationship Id="rId303" Type="http://schemas.openxmlformats.org/officeDocument/2006/relationships/footer" Target="footer274.xml"/><Relationship Id="rId304" Type="http://schemas.openxmlformats.org/officeDocument/2006/relationships/footer" Target="footer275.xml"/><Relationship Id="rId305" Type="http://schemas.openxmlformats.org/officeDocument/2006/relationships/footer" Target="footer276.xml"/><Relationship Id="rId306" Type="http://schemas.openxmlformats.org/officeDocument/2006/relationships/footer" Target="footer277.xml"/><Relationship Id="rId307" Type="http://schemas.openxmlformats.org/officeDocument/2006/relationships/footer" Target="footer278.xml"/><Relationship Id="rId308" Type="http://schemas.openxmlformats.org/officeDocument/2006/relationships/footer" Target="footer279.xml"/><Relationship Id="rId309" Type="http://schemas.openxmlformats.org/officeDocument/2006/relationships/footer" Target="footer280.xml"/><Relationship Id="rId310" Type="http://schemas.openxmlformats.org/officeDocument/2006/relationships/footer" Target="footer281.xml"/><Relationship Id="rId311" Type="http://schemas.openxmlformats.org/officeDocument/2006/relationships/footer" Target="footer282.xml"/><Relationship Id="rId312" Type="http://schemas.openxmlformats.org/officeDocument/2006/relationships/footer" Target="footer283.xml"/><Relationship Id="rId313" Type="http://schemas.openxmlformats.org/officeDocument/2006/relationships/footer" Target="footer284.xml"/><Relationship Id="rId314" Type="http://schemas.openxmlformats.org/officeDocument/2006/relationships/footer" Target="footer285.xml"/><Relationship Id="rId315" Type="http://schemas.openxmlformats.org/officeDocument/2006/relationships/footer" Target="footer286.xml"/><Relationship Id="rId316" Type="http://schemas.openxmlformats.org/officeDocument/2006/relationships/footer" Target="footer287.xml"/><Relationship Id="rId317" Type="http://schemas.openxmlformats.org/officeDocument/2006/relationships/footer" Target="footer288.xml"/><Relationship Id="rId318" Type="http://schemas.openxmlformats.org/officeDocument/2006/relationships/footer" Target="footer289.xml"/><Relationship Id="rId319" Type="http://schemas.openxmlformats.org/officeDocument/2006/relationships/footer" Target="footer290.xml"/><Relationship Id="rId320" Type="http://schemas.openxmlformats.org/officeDocument/2006/relationships/footer" Target="footer291.xml"/><Relationship Id="rId321" Type="http://schemas.openxmlformats.org/officeDocument/2006/relationships/footer" Target="footer292.xml"/><Relationship Id="rId322" Type="http://schemas.openxmlformats.org/officeDocument/2006/relationships/footer" Target="footer293.xml"/><Relationship Id="rId323" Type="http://schemas.openxmlformats.org/officeDocument/2006/relationships/footer" Target="footer294.xml"/><Relationship Id="rId324" Type="http://schemas.openxmlformats.org/officeDocument/2006/relationships/footer" Target="footer295.xml"/><Relationship Id="rId325" Type="http://schemas.openxmlformats.org/officeDocument/2006/relationships/footer" Target="footer296.xml"/><Relationship Id="rId326" Type="http://schemas.openxmlformats.org/officeDocument/2006/relationships/footer" Target="footer297.xml"/><Relationship Id="rId327" Type="http://schemas.openxmlformats.org/officeDocument/2006/relationships/footer" Target="footer298.xml"/><Relationship Id="rId328" Type="http://schemas.openxmlformats.org/officeDocument/2006/relationships/footer" Target="footer299.xml"/><Relationship Id="rId329" Type="http://schemas.openxmlformats.org/officeDocument/2006/relationships/footer" Target="footer300.xml"/><Relationship Id="rId330" Type="http://schemas.openxmlformats.org/officeDocument/2006/relationships/footer" Target="footer301.xml"/><Relationship Id="rId331" Type="http://schemas.openxmlformats.org/officeDocument/2006/relationships/footer" Target="footer302.xml"/><Relationship Id="rId332" Type="http://schemas.openxmlformats.org/officeDocument/2006/relationships/footer" Target="footer303.xml"/><Relationship Id="rId333" Type="http://schemas.openxmlformats.org/officeDocument/2006/relationships/footer" Target="footer304.xml"/><Relationship Id="rId334" Type="http://schemas.openxmlformats.org/officeDocument/2006/relationships/footer" Target="footer305.xml"/><Relationship Id="rId335" Type="http://schemas.openxmlformats.org/officeDocument/2006/relationships/footer" Target="footer306.xml"/><Relationship Id="rId336" Type="http://schemas.openxmlformats.org/officeDocument/2006/relationships/footer" Target="footer307.xml"/><Relationship Id="rId337" Type="http://schemas.openxmlformats.org/officeDocument/2006/relationships/footer" Target="footer308.xml"/><Relationship Id="rId338" Type="http://schemas.openxmlformats.org/officeDocument/2006/relationships/footer" Target="footer309.xml"/><Relationship Id="rId339" Type="http://schemas.openxmlformats.org/officeDocument/2006/relationships/footer" Target="footer310.xml"/><Relationship Id="rId340" Type="http://schemas.openxmlformats.org/officeDocument/2006/relationships/footer" Target="footer311.xml"/><Relationship Id="rId341" Type="http://schemas.openxmlformats.org/officeDocument/2006/relationships/footer" Target="footer312.xml"/><Relationship Id="rId342" Type="http://schemas.openxmlformats.org/officeDocument/2006/relationships/footer" Target="footer313.xml"/><Relationship Id="rId343" Type="http://schemas.openxmlformats.org/officeDocument/2006/relationships/footer" Target="footer314.xml"/><Relationship Id="rId344" Type="http://schemas.openxmlformats.org/officeDocument/2006/relationships/footer" Target="footer315.xml"/><Relationship Id="rId345" Type="http://schemas.openxmlformats.org/officeDocument/2006/relationships/footer" Target="footer316.xml"/><Relationship Id="rId346" Type="http://schemas.openxmlformats.org/officeDocument/2006/relationships/footer" Target="footer317.xml"/><Relationship Id="rId347" Type="http://schemas.openxmlformats.org/officeDocument/2006/relationships/footer" Target="footer318.xml"/><Relationship Id="rId348" Type="http://schemas.openxmlformats.org/officeDocument/2006/relationships/footer" Target="footer319.xml"/><Relationship Id="rId349" Type="http://schemas.openxmlformats.org/officeDocument/2006/relationships/footer" Target="footer320.xml"/><Relationship Id="rId350" Type="http://schemas.openxmlformats.org/officeDocument/2006/relationships/footer" Target="footer321.xml"/><Relationship Id="rId351" Type="http://schemas.openxmlformats.org/officeDocument/2006/relationships/footer" Target="footer322.xml"/><Relationship Id="rId352" Type="http://schemas.openxmlformats.org/officeDocument/2006/relationships/footer" Target="footer323.xml"/><Relationship Id="rId353" Type="http://schemas.openxmlformats.org/officeDocument/2006/relationships/footer" Target="footer324.xml"/><Relationship Id="rId354" Type="http://schemas.openxmlformats.org/officeDocument/2006/relationships/footer" Target="footer325.xml"/><Relationship Id="rId355" Type="http://schemas.openxmlformats.org/officeDocument/2006/relationships/footer" Target="footer326.xml"/><Relationship Id="rId356" Type="http://schemas.openxmlformats.org/officeDocument/2006/relationships/footer" Target="footer327.xml"/><Relationship Id="rId357" Type="http://schemas.openxmlformats.org/officeDocument/2006/relationships/footer" Target="footer328.xml"/><Relationship Id="rId358" Type="http://schemas.openxmlformats.org/officeDocument/2006/relationships/footer" Target="footer329.xml"/><Relationship Id="rId359" Type="http://schemas.openxmlformats.org/officeDocument/2006/relationships/footer" Target="footer330.xml"/><Relationship Id="rId360" Type="http://schemas.openxmlformats.org/officeDocument/2006/relationships/footer" Target="footer331.xml"/><Relationship Id="rId361" Type="http://schemas.openxmlformats.org/officeDocument/2006/relationships/footer" Target="footer332.xml"/><Relationship Id="rId362" Type="http://schemas.openxmlformats.org/officeDocument/2006/relationships/footer" Target="footer333.xml"/><Relationship Id="rId363" Type="http://schemas.openxmlformats.org/officeDocument/2006/relationships/footer" Target="footer334.xml"/><Relationship Id="rId364" Type="http://schemas.openxmlformats.org/officeDocument/2006/relationships/footer" Target="footer335.xml"/><Relationship Id="rId365" Type="http://schemas.openxmlformats.org/officeDocument/2006/relationships/footer" Target="footer336.xml"/><Relationship Id="rId366" Type="http://schemas.openxmlformats.org/officeDocument/2006/relationships/footer" Target="footer337.xml"/><Relationship Id="rId367" Type="http://schemas.openxmlformats.org/officeDocument/2006/relationships/footer" Target="footer338.xml"/><Relationship Id="rId368" Type="http://schemas.openxmlformats.org/officeDocument/2006/relationships/footer" Target="footer339.xml"/><Relationship Id="rId369" Type="http://schemas.openxmlformats.org/officeDocument/2006/relationships/footer" Target="footer340.xml"/><Relationship Id="rId370" Type="http://schemas.openxmlformats.org/officeDocument/2006/relationships/footer" Target="footer341.xml"/><Relationship Id="rId371" Type="http://schemas.openxmlformats.org/officeDocument/2006/relationships/footer" Target="footer342.xml"/><Relationship Id="rId372" Type="http://schemas.openxmlformats.org/officeDocument/2006/relationships/footer" Target="footer343.xml"/><Relationship Id="rId373" Type="http://schemas.openxmlformats.org/officeDocument/2006/relationships/footer" Target="footer344.xml"/><Relationship Id="rId374" Type="http://schemas.openxmlformats.org/officeDocument/2006/relationships/footer" Target="footer345.xml"/><Relationship Id="rId375" Type="http://schemas.openxmlformats.org/officeDocument/2006/relationships/footer" Target="footer346.xml"/><Relationship Id="rId376" Type="http://schemas.openxmlformats.org/officeDocument/2006/relationships/footer" Target="footer347.xml"/><Relationship Id="rId377" Type="http://schemas.openxmlformats.org/officeDocument/2006/relationships/footer" Target="footer348.xml"/><Relationship Id="rId378" Type="http://schemas.openxmlformats.org/officeDocument/2006/relationships/footer" Target="footer349.xml"/><Relationship Id="rId379" Type="http://schemas.openxmlformats.org/officeDocument/2006/relationships/footer" Target="footer350.xml"/><Relationship Id="rId380" Type="http://schemas.openxmlformats.org/officeDocument/2006/relationships/footer" Target="footer351.xml"/><Relationship Id="rId381" Type="http://schemas.openxmlformats.org/officeDocument/2006/relationships/footer" Target="footer352.xml"/><Relationship Id="rId382" Type="http://schemas.openxmlformats.org/officeDocument/2006/relationships/footer" Target="footer353.xml"/><Relationship Id="rId383" Type="http://schemas.openxmlformats.org/officeDocument/2006/relationships/footer" Target="footer354.xml"/><Relationship Id="rId384" Type="http://schemas.openxmlformats.org/officeDocument/2006/relationships/footer" Target="footer355.xml"/><Relationship Id="rId385" Type="http://schemas.openxmlformats.org/officeDocument/2006/relationships/footer" Target="footer356.xml"/><Relationship Id="rId386" Type="http://schemas.openxmlformats.org/officeDocument/2006/relationships/footer" Target="footer357.xml"/><Relationship Id="rId387" Type="http://schemas.openxmlformats.org/officeDocument/2006/relationships/footer" Target="footer358.xml"/><Relationship Id="rId388" Type="http://schemas.openxmlformats.org/officeDocument/2006/relationships/footer" Target="footer359.xml"/><Relationship Id="rId389" Type="http://schemas.openxmlformats.org/officeDocument/2006/relationships/footer" Target="footer360.xml"/><Relationship Id="rId390" Type="http://schemas.openxmlformats.org/officeDocument/2006/relationships/footer" Target="footer361.xml"/><Relationship Id="rId391" Type="http://schemas.openxmlformats.org/officeDocument/2006/relationships/footer" Target="footer362.xml"/><Relationship Id="rId392" Type="http://schemas.openxmlformats.org/officeDocument/2006/relationships/footer" Target="footer363.xml"/><Relationship Id="rId393" Type="http://schemas.openxmlformats.org/officeDocument/2006/relationships/footer" Target="footer364.xml"/><Relationship Id="rId394" Type="http://schemas.openxmlformats.org/officeDocument/2006/relationships/footer" Target="footer365.xml"/><Relationship Id="rId395" Type="http://schemas.openxmlformats.org/officeDocument/2006/relationships/footer" Target="footer366.xml"/><Relationship Id="rId396" Type="http://schemas.openxmlformats.org/officeDocument/2006/relationships/footer" Target="footer367.xml"/><Relationship Id="rId397" Type="http://schemas.openxmlformats.org/officeDocument/2006/relationships/footer" Target="footer368.xml"/><Relationship Id="rId398" Type="http://schemas.openxmlformats.org/officeDocument/2006/relationships/footer" Target="footer369.xml"/><Relationship Id="rId399" Type="http://schemas.openxmlformats.org/officeDocument/2006/relationships/footer" Target="footer370.xml"/><Relationship Id="rId400" Type="http://schemas.openxmlformats.org/officeDocument/2006/relationships/footer" Target="footer371.xml"/><Relationship Id="rId401" Type="http://schemas.openxmlformats.org/officeDocument/2006/relationships/footer" Target="footer372.xml"/><Relationship Id="rId402" Type="http://schemas.openxmlformats.org/officeDocument/2006/relationships/footer" Target="footer373.xml"/><Relationship Id="rId403" Type="http://schemas.openxmlformats.org/officeDocument/2006/relationships/footer" Target="footer374.xml"/><Relationship Id="rId404" Type="http://schemas.openxmlformats.org/officeDocument/2006/relationships/footer" Target="footer375.xml"/><Relationship Id="rId405" Type="http://schemas.openxmlformats.org/officeDocument/2006/relationships/footer" Target="footer376.xml"/><Relationship Id="rId406" Type="http://schemas.openxmlformats.org/officeDocument/2006/relationships/footer" Target="footer377.xml"/><Relationship Id="rId407" Type="http://schemas.openxmlformats.org/officeDocument/2006/relationships/footer" Target="footer378.xml"/><Relationship Id="rId408" Type="http://schemas.openxmlformats.org/officeDocument/2006/relationships/footer" Target="footer379.xml"/><Relationship Id="rId409" Type="http://schemas.openxmlformats.org/officeDocument/2006/relationships/footer" Target="footer380.xml"/><Relationship Id="rId410" Type="http://schemas.openxmlformats.org/officeDocument/2006/relationships/footer" Target="footer381.xml"/><Relationship Id="rId411" Type="http://schemas.openxmlformats.org/officeDocument/2006/relationships/footer" Target="footer382.xml"/><Relationship Id="rId412" Type="http://schemas.openxmlformats.org/officeDocument/2006/relationships/footer" Target="footer383.xml"/><Relationship Id="rId413" Type="http://schemas.openxmlformats.org/officeDocument/2006/relationships/footer" Target="footer384.xml"/><Relationship Id="rId414" Type="http://schemas.openxmlformats.org/officeDocument/2006/relationships/footer" Target="footer385.xml"/><Relationship Id="rId415" Type="http://schemas.openxmlformats.org/officeDocument/2006/relationships/footer" Target="footer386.xml"/><Relationship Id="rId416" Type="http://schemas.openxmlformats.org/officeDocument/2006/relationships/footer" Target="footer387.xml"/><Relationship Id="rId417" Type="http://schemas.openxmlformats.org/officeDocument/2006/relationships/footer" Target="footer388.xml"/><Relationship Id="rId418" Type="http://schemas.openxmlformats.org/officeDocument/2006/relationships/footer" Target="footer389.xml"/><Relationship Id="rId419" Type="http://schemas.openxmlformats.org/officeDocument/2006/relationships/footer" Target="footer390.xml"/><Relationship Id="rId420" Type="http://schemas.openxmlformats.org/officeDocument/2006/relationships/footer" Target="footer391.xml"/><Relationship Id="rId421" Type="http://schemas.openxmlformats.org/officeDocument/2006/relationships/footer" Target="footer392.xml"/><Relationship Id="rId422" Type="http://schemas.openxmlformats.org/officeDocument/2006/relationships/footer" Target="footer393.xml"/><Relationship Id="rId423" Type="http://schemas.openxmlformats.org/officeDocument/2006/relationships/footer" Target="footer394.xml"/><Relationship Id="rId424" Type="http://schemas.openxmlformats.org/officeDocument/2006/relationships/footer" Target="footer395.xml"/><Relationship Id="rId425" Type="http://schemas.openxmlformats.org/officeDocument/2006/relationships/footer" Target="footer396.xml"/><Relationship Id="rId426" Type="http://schemas.openxmlformats.org/officeDocument/2006/relationships/footer" Target="footer397.xml"/><Relationship Id="rId427" Type="http://schemas.openxmlformats.org/officeDocument/2006/relationships/footer" Target="footer398.xml"/><Relationship Id="rId428" Type="http://schemas.openxmlformats.org/officeDocument/2006/relationships/footer" Target="footer399.xml"/><Relationship Id="rId429" Type="http://schemas.openxmlformats.org/officeDocument/2006/relationships/footer" Target="footer400.xml"/><Relationship Id="rId430" Type="http://schemas.openxmlformats.org/officeDocument/2006/relationships/footer" Target="footer401.xml"/><Relationship Id="rId431" Type="http://schemas.openxmlformats.org/officeDocument/2006/relationships/footer" Target="footer402.xml"/><Relationship Id="rId432" Type="http://schemas.openxmlformats.org/officeDocument/2006/relationships/footer" Target="footer403.xml"/><Relationship Id="rId433" Type="http://schemas.openxmlformats.org/officeDocument/2006/relationships/footer" Target="footer404.xml"/><Relationship Id="rId434" Type="http://schemas.openxmlformats.org/officeDocument/2006/relationships/footer" Target="footer405.xml"/><Relationship Id="rId435" Type="http://schemas.openxmlformats.org/officeDocument/2006/relationships/footer" Target="footer406.xml"/><Relationship Id="rId436" Type="http://schemas.openxmlformats.org/officeDocument/2006/relationships/footer" Target="footer407.xml"/><Relationship Id="rId437" Type="http://schemas.openxmlformats.org/officeDocument/2006/relationships/footer" Target="footer408.xml"/><Relationship Id="rId438" Type="http://schemas.openxmlformats.org/officeDocument/2006/relationships/footer" Target="footer409.xml"/><Relationship Id="rId439" Type="http://schemas.openxmlformats.org/officeDocument/2006/relationships/footer" Target="footer410.xml"/><Relationship Id="rId440" Type="http://schemas.openxmlformats.org/officeDocument/2006/relationships/footer" Target="footer411.xml"/><Relationship Id="rId441" Type="http://schemas.openxmlformats.org/officeDocument/2006/relationships/footer" Target="footer412.xml"/><Relationship Id="rId442" Type="http://schemas.openxmlformats.org/officeDocument/2006/relationships/footer" Target="footer413.xml"/><Relationship Id="rId443" Type="http://schemas.openxmlformats.org/officeDocument/2006/relationships/footer" Target="footer414.xml"/><Relationship Id="rId444" Type="http://schemas.openxmlformats.org/officeDocument/2006/relationships/footer" Target="footer415.xml"/><Relationship Id="rId445" Type="http://schemas.openxmlformats.org/officeDocument/2006/relationships/footer" Target="footer416.xml"/><Relationship Id="rId446" Type="http://schemas.openxmlformats.org/officeDocument/2006/relationships/footer" Target="footer417.xml"/><Relationship Id="rId447" Type="http://schemas.openxmlformats.org/officeDocument/2006/relationships/footer" Target="footer418.xml"/><Relationship Id="rId448" Type="http://schemas.openxmlformats.org/officeDocument/2006/relationships/footer" Target="footer419.xml"/><Relationship Id="rId449" Type="http://schemas.openxmlformats.org/officeDocument/2006/relationships/footer" Target="footer420.xml"/><Relationship Id="rId450" Type="http://schemas.openxmlformats.org/officeDocument/2006/relationships/footer" Target="footer421.xml"/><Relationship Id="rId451" Type="http://schemas.openxmlformats.org/officeDocument/2006/relationships/footer" Target="footer422.xml"/><Relationship Id="rId452" Type="http://schemas.openxmlformats.org/officeDocument/2006/relationships/footer" Target="footer423.xml"/><Relationship Id="rId453" Type="http://schemas.openxmlformats.org/officeDocument/2006/relationships/footer" Target="footer424.xml"/><Relationship Id="rId454" Type="http://schemas.openxmlformats.org/officeDocument/2006/relationships/footer" Target="footer425.xml"/><Relationship Id="rId455" Type="http://schemas.openxmlformats.org/officeDocument/2006/relationships/footer" Target="footer426.xml"/><Relationship Id="rId456" Type="http://schemas.openxmlformats.org/officeDocument/2006/relationships/footer" Target="footer427.xml"/><Relationship Id="rId457" Type="http://schemas.openxmlformats.org/officeDocument/2006/relationships/footer" Target="footer428.xml"/><Relationship Id="rId458" Type="http://schemas.openxmlformats.org/officeDocument/2006/relationships/footer" Target="footer429.xml"/><Relationship Id="rId459" Type="http://schemas.openxmlformats.org/officeDocument/2006/relationships/footer" Target="footer430.xml"/><Relationship Id="rId460" Type="http://schemas.openxmlformats.org/officeDocument/2006/relationships/footer" Target="footer431.xml"/><Relationship Id="rId461" Type="http://schemas.openxmlformats.org/officeDocument/2006/relationships/footer" Target="footer432.xml"/><Relationship Id="rId462" Type="http://schemas.openxmlformats.org/officeDocument/2006/relationships/footer" Target="footer433.xml"/><Relationship Id="rId463" Type="http://schemas.openxmlformats.org/officeDocument/2006/relationships/footer" Target="footer434.xml"/><Relationship Id="rId464" Type="http://schemas.openxmlformats.org/officeDocument/2006/relationships/footer" Target="footer435.xml"/><Relationship Id="rId465" Type="http://schemas.openxmlformats.org/officeDocument/2006/relationships/footer" Target="footer436.xml"/><Relationship Id="rId466" Type="http://schemas.openxmlformats.org/officeDocument/2006/relationships/footer" Target="footer437.xml"/><Relationship Id="rId467" Type="http://schemas.openxmlformats.org/officeDocument/2006/relationships/footer" Target="footer438.xml"/><Relationship Id="rId468" Type="http://schemas.openxmlformats.org/officeDocument/2006/relationships/footer" Target="footer439.xml"/><Relationship Id="rId469" Type="http://schemas.openxmlformats.org/officeDocument/2006/relationships/footer" Target="footer440.xml"/><Relationship Id="rId470" Type="http://schemas.openxmlformats.org/officeDocument/2006/relationships/footer" Target="footer441.xml"/><Relationship Id="rId471" Type="http://schemas.openxmlformats.org/officeDocument/2006/relationships/footer" Target="footer442.xml"/><Relationship Id="rId472" Type="http://schemas.openxmlformats.org/officeDocument/2006/relationships/footer" Target="footer443.xml"/><Relationship Id="rId473" Type="http://schemas.openxmlformats.org/officeDocument/2006/relationships/footer" Target="footer444.xml"/><Relationship Id="rId474" Type="http://schemas.openxmlformats.org/officeDocument/2006/relationships/footer" Target="footer445.xml"/><Relationship Id="rId475" Type="http://schemas.openxmlformats.org/officeDocument/2006/relationships/footer" Target="footer446.xml"/><Relationship Id="rId476" Type="http://schemas.openxmlformats.org/officeDocument/2006/relationships/footer" Target="footer447.xml"/><Relationship Id="rId477" Type="http://schemas.openxmlformats.org/officeDocument/2006/relationships/footer" Target="footer448.xml"/><Relationship Id="rId478" Type="http://schemas.openxmlformats.org/officeDocument/2006/relationships/footer" Target="footer449.xml"/><Relationship Id="rId479" Type="http://schemas.openxmlformats.org/officeDocument/2006/relationships/footer" Target="footer450.xml"/><Relationship Id="rId480" Type="http://schemas.openxmlformats.org/officeDocument/2006/relationships/footer" Target="footer451.xml"/><Relationship Id="rId481" Type="http://schemas.openxmlformats.org/officeDocument/2006/relationships/footer" Target="footer452.xml"/><Relationship Id="rId482" Type="http://schemas.openxmlformats.org/officeDocument/2006/relationships/image" Target="media/image2.jpeg"/><Relationship Id="rId483" Type="http://schemas.openxmlformats.org/officeDocument/2006/relationships/image" Target="media/image2.jpeg"/><Relationship Id="rId484" Type="http://schemas.openxmlformats.org/officeDocument/2006/relationships/footer" Target="footer453.xml"/><Relationship Id="rId485" Type="http://schemas.openxmlformats.org/officeDocument/2006/relationships/footnotes" Target="footnotes.xml"/><Relationship Id="rId486" Type="http://schemas.openxmlformats.org/officeDocument/2006/relationships/numbering" Target="numbering.xml"/><Relationship Id="rId487" Type="http://schemas.openxmlformats.org/officeDocument/2006/relationships/fontTable" Target="fontTable.xml"/><Relationship Id="rId488" Type="http://schemas.openxmlformats.org/officeDocument/2006/relationships/settings" Target="settings.xml"/><Relationship Id="rId4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459</Pages>
  <Words>78011</Words>
  <Characters>310193</Characters>
  <CharactersWithSpaces>386372</CharactersWithSpaces>
  <Paragraphs>2210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2026-08-18T03:30:24Z</dcterms:created>
  <dc:creator>ghaemiyeh.com</dc:creator>
  <dc:description/>
  <dc:language>en-US</dc:language>
  <cp:lastModifiedBy/>
  <dcterms:modified xsi:type="dcterms:W3CDTF">2026-08-18T07:00:39Z</dcterms:modified>
  <cp:revision>1</cp:revision>
  <dc:subject/>
  <dc:title>اربع رسائل فقهیه</dc:title>
</cp:coreProperties>
</file>

<file path=docProps/custom.xml><?xml version="1.0" encoding="utf-8"?>
<Properties xmlns="http://schemas.openxmlformats.org/officeDocument/2006/custom-properties" xmlns:vt="http://schemas.openxmlformats.org/officeDocument/2006/docPropsVTypes"/>
</file>