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4719_1395250215">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794721_1395250215">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794723_1395250215">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794725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794727_1395250215">
            <w:r>
              <w:rPr>
                <w:webHidden/>
                <w:rStyle w:val="IndexLink"/>
                <w:rtl w:val="true"/>
              </w:rPr>
              <w:t>بررسی انتقادی بایسته‌های معرفتیِ ادلۀ اثبات وجود خدا از دیدگاه سوئینبرن</w:t>
            </w:r>
            <w:r>
              <w:rPr>
                <w:rStyle w:val="IndexLink"/>
                <w:rtl w:val="true"/>
              </w:rPr>
              <w:tab/>
            </w:r>
            <w:r>
              <w:rPr>
                <w:rStyle w:val="IndexLink"/>
              </w:rPr>
              <w:t>13</w:t>
            </w:r>
          </w:hyperlink>
        </w:p>
        <w:p>
          <w:pPr>
            <w:pStyle w:val="Contents3"/>
            <w:tabs>
              <w:tab w:val="clear" w:pos="8459"/>
              <w:tab w:val="right" w:pos="9026" w:leader="dot"/>
            </w:tabs>
            <w:rPr/>
          </w:pPr>
          <w:hyperlink w:anchor="__RefHeading___Toc794729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94731_1395250215">
            <w:r>
              <w:rPr>
                <w:webHidden/>
                <w:rStyle w:val="IndexLink"/>
                <w:rtl w:val="true"/>
              </w:rPr>
              <w:t>چکیده</w:t>
            </w:r>
            <w:r>
              <w:rPr>
                <w:rStyle w:val="IndexLink"/>
                <w:rtl w:val="true"/>
              </w:rPr>
              <w:tab/>
            </w:r>
            <w:r>
              <w:rPr>
                <w:rStyle w:val="IndexLink"/>
              </w:rPr>
              <w:t>13</w:t>
            </w:r>
          </w:hyperlink>
        </w:p>
        <w:p>
          <w:pPr>
            <w:pStyle w:val="Contents3"/>
            <w:tabs>
              <w:tab w:val="clear" w:pos="8459"/>
              <w:tab w:val="right" w:pos="9026" w:leader="dot"/>
            </w:tabs>
            <w:rPr/>
          </w:pPr>
          <w:hyperlink w:anchor="__RefHeading___Toc794733_1395250215">
            <w:r>
              <w:rPr>
                <w:webHidden/>
                <w:rStyle w:val="IndexLink"/>
                <w:rtl w:val="true"/>
              </w:rPr>
              <w:t>واژگان کلیدی</w:t>
            </w:r>
            <w:r>
              <w:rPr>
                <w:rStyle w:val="IndexLink"/>
                <w:rtl w:val="true"/>
              </w:rPr>
              <w:tab/>
            </w:r>
            <w:r>
              <w:rPr>
                <w:rStyle w:val="IndexLink"/>
              </w:rPr>
              <w:t>13</w:t>
            </w:r>
          </w:hyperlink>
        </w:p>
        <w:p>
          <w:pPr>
            <w:pStyle w:val="Contents3"/>
            <w:tabs>
              <w:tab w:val="clear" w:pos="8459"/>
              <w:tab w:val="right" w:pos="9026" w:leader="dot"/>
            </w:tabs>
            <w:rPr/>
          </w:pPr>
          <w:hyperlink w:anchor="__RefHeading___Toc794735_1395250215">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794737_1395250215">
            <w:r>
              <w:rPr>
                <w:webHidden/>
                <w:rStyle w:val="IndexLink"/>
                <w:rtl w:val="true"/>
              </w:rPr>
              <w:t>ادلۀ اثبات وجود خدا از دیدگاه سوئینبرن</w:t>
            </w:r>
            <w:r>
              <w:rPr>
                <w:rStyle w:val="IndexLink"/>
                <w:rtl w:val="true"/>
              </w:rPr>
              <w:tab/>
            </w:r>
            <w:r>
              <w:rPr>
                <w:rStyle w:val="IndexLink"/>
              </w:rPr>
              <w:t>14</w:t>
            </w:r>
          </w:hyperlink>
        </w:p>
        <w:p>
          <w:pPr>
            <w:pStyle w:val="Contents3"/>
            <w:tabs>
              <w:tab w:val="clear" w:pos="8459"/>
              <w:tab w:val="right" w:pos="9026" w:leader="dot"/>
            </w:tabs>
            <w:rPr/>
          </w:pPr>
          <w:hyperlink w:anchor="__RefHeading___Toc794739_1395250215">
            <w:r>
              <w:rPr>
                <w:webHidden/>
                <w:rStyle w:val="IndexLink"/>
                <w:rtl w:val="true"/>
              </w:rPr>
              <w:t>بایسته‌های معرفتی ادلۀ اثبات وجود خدا</w:t>
            </w:r>
            <w:r>
              <w:rPr>
                <w:rStyle w:val="IndexLink"/>
                <w:rtl w:val="true"/>
              </w:rPr>
              <w:tab/>
            </w:r>
            <w:r>
              <w:rPr>
                <w:rStyle w:val="IndexLink"/>
              </w:rPr>
              <w:t>16</w:t>
            </w:r>
          </w:hyperlink>
        </w:p>
        <w:p>
          <w:pPr>
            <w:pStyle w:val="Contents4"/>
            <w:tabs>
              <w:tab w:val="clear" w:pos="8176"/>
              <w:tab w:val="right" w:pos="9026" w:leader="dot"/>
            </w:tabs>
            <w:rPr/>
          </w:pPr>
          <w:hyperlink w:anchor="__RefHeading___Toc794741_1395250215">
            <w:r>
              <w:rPr>
                <w:webHidden/>
                <w:rStyle w:val="IndexLink"/>
              </w:rPr>
              <w:t>1</w:t>
            </w:r>
            <w:r>
              <w:rPr>
                <w:rStyle w:val="IndexLink"/>
                <w:rtl w:val="true"/>
              </w:rPr>
              <w:t xml:space="preserve">. </w:t>
            </w:r>
            <w:r>
              <w:rPr>
                <w:rStyle w:val="IndexLink"/>
                <w:rtl w:val="true"/>
              </w:rPr>
              <w:t>پسینی بودن ادله</w:t>
            </w:r>
            <w:r>
              <w:rPr>
                <w:rStyle w:val="IndexLink"/>
                <w:rtl w:val="true"/>
              </w:rPr>
              <w:tab/>
            </w:r>
            <w:r>
              <w:rPr>
                <w:rStyle w:val="IndexLink"/>
              </w:rPr>
              <w:t>16</w:t>
            </w:r>
          </w:hyperlink>
        </w:p>
        <w:p>
          <w:pPr>
            <w:pStyle w:val="Contents4"/>
            <w:tabs>
              <w:tab w:val="clear" w:pos="8176"/>
              <w:tab w:val="right" w:pos="9026" w:leader="dot"/>
            </w:tabs>
            <w:rPr/>
          </w:pPr>
          <w:hyperlink w:anchor="__RefHeading___Toc794743_1395250215">
            <w:r>
              <w:rPr>
                <w:webHidden/>
                <w:rStyle w:val="IndexLink"/>
              </w:rPr>
              <w:t>2</w:t>
            </w:r>
            <w:r>
              <w:rPr>
                <w:rStyle w:val="IndexLink"/>
                <w:rtl w:val="true"/>
              </w:rPr>
              <w:t xml:space="preserve">. </w:t>
            </w:r>
            <w:r>
              <w:rPr>
                <w:rStyle w:val="IndexLink"/>
                <w:rtl w:val="true"/>
              </w:rPr>
              <w:t>اقناعی بودن ادله</w:t>
            </w:r>
            <w:r>
              <w:rPr>
                <w:rStyle w:val="IndexLink"/>
                <w:rtl w:val="true"/>
              </w:rPr>
              <w:tab/>
            </w:r>
            <w:r>
              <w:rPr>
                <w:rStyle w:val="IndexLink"/>
              </w:rPr>
              <w:t>16</w:t>
            </w:r>
          </w:hyperlink>
        </w:p>
        <w:p>
          <w:pPr>
            <w:pStyle w:val="Contents4"/>
            <w:tabs>
              <w:tab w:val="clear" w:pos="8176"/>
              <w:tab w:val="right" w:pos="9026" w:leader="dot"/>
            </w:tabs>
            <w:rPr/>
          </w:pPr>
          <w:hyperlink w:anchor="__RefHeading___Toc794745_1395250215">
            <w:r>
              <w:rPr>
                <w:webHidden/>
                <w:rStyle w:val="IndexLink"/>
              </w:rPr>
              <w:t>3</w:t>
            </w:r>
            <w:r>
              <w:rPr>
                <w:rStyle w:val="IndexLink"/>
                <w:rtl w:val="true"/>
              </w:rPr>
              <w:t xml:space="preserve">. </w:t>
            </w:r>
            <w:r>
              <w:rPr>
                <w:rStyle w:val="IndexLink"/>
                <w:rtl w:val="true"/>
              </w:rPr>
              <w:t xml:space="preserve">استقرایی بودنِ ادله </w:t>
            </w:r>
            <w:r>
              <w:rPr>
                <w:rStyle w:val="IndexLink"/>
                <w:rtl w:val="true"/>
              </w:rPr>
              <w:t>(</w:t>
            </w:r>
            <w:r>
              <w:rPr>
                <w:rStyle w:val="IndexLink"/>
                <w:rtl w:val="true"/>
              </w:rPr>
              <w:t>شاهد یا برهان</w:t>
            </w:r>
            <w:r>
              <w:rPr>
                <w:rStyle w:val="IndexLink"/>
                <w:rtl w:val="true"/>
              </w:rPr>
              <w:t>)</w:t>
              <w:tab/>
            </w:r>
            <w:r>
              <w:rPr>
                <w:rStyle w:val="IndexLink"/>
              </w:rPr>
              <w:t>17</w:t>
            </w:r>
          </w:hyperlink>
        </w:p>
        <w:p>
          <w:pPr>
            <w:pStyle w:val="Contents5"/>
            <w:tabs>
              <w:tab w:val="clear" w:pos="7892"/>
              <w:tab w:val="right" w:pos="9026" w:leader="dot"/>
            </w:tabs>
            <w:rPr/>
          </w:pPr>
          <w:hyperlink w:anchor="__RefHeading___Toc794747_1395250215">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794749_1395250215">
            <w:r>
              <w:rPr>
                <w:webHidden/>
                <w:rStyle w:val="IndexLink"/>
                <w:rtl w:val="true"/>
              </w:rPr>
              <w:t>الف</w:t>
            </w:r>
            <w:r>
              <w:rPr>
                <w:rStyle w:val="IndexLink"/>
                <w:rtl w:val="true"/>
              </w:rPr>
              <w:t xml:space="preserve">) </w:t>
            </w:r>
            <w:r>
              <w:rPr>
                <w:rStyle w:val="IndexLink"/>
                <w:rtl w:val="true"/>
              </w:rPr>
              <w:t>انواع استقرا</w:t>
            </w:r>
            <w:r>
              <w:rPr>
                <w:rStyle w:val="IndexLink"/>
                <w:rtl w:val="true"/>
              </w:rPr>
              <w:tab/>
            </w:r>
            <w:r>
              <w:rPr>
                <w:rStyle w:val="IndexLink"/>
              </w:rPr>
              <w:t>18</w:t>
            </w:r>
          </w:hyperlink>
        </w:p>
        <w:p>
          <w:pPr>
            <w:pStyle w:val="Contents5"/>
            <w:tabs>
              <w:tab w:val="clear" w:pos="7892"/>
              <w:tab w:val="right" w:pos="9026" w:leader="dot"/>
            </w:tabs>
            <w:rPr/>
          </w:pPr>
          <w:hyperlink w:anchor="__RefHeading___Toc794751_1395250215">
            <w:r>
              <w:rPr>
                <w:webHidden/>
                <w:rStyle w:val="IndexLink"/>
                <w:rtl w:val="true"/>
              </w:rPr>
              <w:t>ب</w:t>
            </w:r>
            <w:r>
              <w:rPr>
                <w:rStyle w:val="IndexLink"/>
                <w:rtl w:val="true"/>
              </w:rPr>
              <w:t xml:space="preserve">) </w:t>
            </w:r>
            <w:r>
              <w:rPr>
                <w:rStyle w:val="IndexLink"/>
                <w:rtl w:val="true"/>
              </w:rPr>
              <w:t>ماهیت ادلۀ استقرایی اثبات وجود خدا</w:t>
            </w:r>
            <w:r>
              <w:rPr>
                <w:rStyle w:val="IndexLink"/>
                <w:rtl w:val="true"/>
              </w:rPr>
              <w:tab/>
            </w:r>
            <w:r>
              <w:rPr>
                <w:rStyle w:val="IndexLink"/>
              </w:rPr>
              <w:t>19</w:t>
            </w:r>
          </w:hyperlink>
        </w:p>
        <w:p>
          <w:pPr>
            <w:pStyle w:val="Contents4"/>
            <w:tabs>
              <w:tab w:val="clear" w:pos="8176"/>
              <w:tab w:val="right" w:pos="9026" w:leader="dot"/>
            </w:tabs>
            <w:rPr/>
          </w:pPr>
          <w:hyperlink w:anchor="__RefHeading___Toc794753_1395250215">
            <w:r>
              <w:rPr>
                <w:webHidden/>
                <w:rStyle w:val="IndexLink"/>
              </w:rPr>
              <w:t>4</w:t>
            </w:r>
            <w:r>
              <w:rPr>
                <w:rStyle w:val="IndexLink"/>
                <w:rtl w:val="true"/>
              </w:rPr>
              <w:t xml:space="preserve">. </w:t>
            </w:r>
            <w:r>
              <w:rPr>
                <w:rStyle w:val="IndexLink"/>
                <w:rtl w:val="true"/>
              </w:rPr>
              <w:t>ضرورت نگاه انباشتی به ادله</w:t>
            </w:r>
            <w:r>
              <w:rPr>
                <w:rStyle w:val="IndexLink"/>
                <w:rtl w:val="true"/>
              </w:rPr>
              <w:tab/>
            </w:r>
            <w:r>
              <w:rPr>
                <w:rStyle w:val="IndexLink"/>
              </w:rPr>
              <w:t>20</w:t>
            </w:r>
          </w:hyperlink>
        </w:p>
        <w:p>
          <w:pPr>
            <w:pStyle w:val="Contents4"/>
            <w:tabs>
              <w:tab w:val="clear" w:pos="8176"/>
              <w:tab w:val="right" w:pos="9026" w:leader="dot"/>
            </w:tabs>
            <w:rPr/>
          </w:pPr>
          <w:hyperlink w:anchor="__RefHeading___Toc794755_1395250215">
            <w:r>
              <w:rPr>
                <w:webHidden/>
                <w:rStyle w:val="IndexLink"/>
              </w:rPr>
              <w:t>5</w:t>
            </w:r>
            <w:r>
              <w:rPr>
                <w:rStyle w:val="IndexLink"/>
                <w:rtl w:val="true"/>
              </w:rPr>
              <w:t xml:space="preserve">. </w:t>
            </w:r>
            <w:r>
              <w:rPr>
                <w:rStyle w:val="IndexLink"/>
                <w:rtl w:val="true"/>
              </w:rPr>
              <w:t>محتمل بودن نتیجه ادله اثبات</w:t>
            </w:r>
            <w:r>
              <w:rPr>
                <w:rStyle w:val="IndexLink"/>
                <w:rtl w:val="true"/>
              </w:rPr>
              <w:tab/>
            </w:r>
            <w:r>
              <w:rPr>
                <w:rStyle w:val="IndexLink"/>
              </w:rPr>
              <w:t>21</w:t>
            </w:r>
          </w:hyperlink>
        </w:p>
        <w:p>
          <w:pPr>
            <w:pStyle w:val="Contents4"/>
            <w:tabs>
              <w:tab w:val="clear" w:pos="8176"/>
              <w:tab w:val="right" w:pos="9026" w:leader="dot"/>
            </w:tabs>
            <w:rPr/>
          </w:pPr>
          <w:hyperlink w:anchor="__RefHeading___Toc794757_1395250215">
            <w:r>
              <w:rPr>
                <w:webHidden/>
                <w:rStyle w:val="IndexLink"/>
                <w:rtl w:val="true"/>
              </w:rPr>
              <w:t>نقد و برسی</w:t>
            </w:r>
            <w:r>
              <w:rPr>
                <w:rStyle w:val="IndexLink"/>
                <w:rtl w:val="true"/>
              </w:rPr>
              <w:tab/>
            </w:r>
            <w:r>
              <w:rPr>
                <w:rStyle w:val="IndexLink"/>
              </w:rPr>
              <w:t>21</w:t>
            </w:r>
          </w:hyperlink>
        </w:p>
        <w:p>
          <w:pPr>
            <w:pStyle w:val="Contents5"/>
            <w:tabs>
              <w:tab w:val="clear" w:pos="7892"/>
              <w:tab w:val="right" w:pos="9026" w:leader="dot"/>
            </w:tabs>
            <w:rPr/>
          </w:pPr>
          <w:hyperlink w:anchor="__RefHeading___Toc794759_139525021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94761_1395250215">
            <w:r>
              <w:rPr>
                <w:webHidden/>
                <w:rStyle w:val="IndexLink"/>
              </w:rPr>
              <w:t>1</w:t>
            </w:r>
            <w:r>
              <w:rPr>
                <w:rStyle w:val="IndexLink"/>
                <w:rtl w:val="true"/>
              </w:rPr>
              <w:t xml:space="preserve">. </w:t>
            </w:r>
            <w:r>
              <w:rPr>
                <w:rStyle w:val="IndexLink"/>
                <w:rtl w:val="true"/>
              </w:rPr>
              <w:t>موجه نبودن بی‌اعتنایی به ادلۀ پیشینی</w:t>
            </w:r>
            <w:r>
              <w:rPr>
                <w:rStyle w:val="IndexLink"/>
                <w:rtl w:val="true"/>
              </w:rPr>
              <w:tab/>
            </w:r>
            <w:r>
              <w:rPr>
                <w:rStyle w:val="IndexLink"/>
              </w:rPr>
              <w:t>21</w:t>
            </w:r>
          </w:hyperlink>
        </w:p>
        <w:p>
          <w:pPr>
            <w:pStyle w:val="Contents5"/>
            <w:tabs>
              <w:tab w:val="clear" w:pos="7892"/>
              <w:tab w:val="right" w:pos="9026" w:leader="dot"/>
            </w:tabs>
            <w:rPr/>
          </w:pPr>
          <w:hyperlink w:anchor="__RefHeading___Toc794763_1395250215">
            <w:r>
              <w:rPr>
                <w:webHidden/>
                <w:rStyle w:val="IndexLink"/>
              </w:rPr>
              <w:t>2</w:t>
            </w:r>
            <w:r>
              <w:rPr>
                <w:rStyle w:val="IndexLink"/>
                <w:rtl w:val="true"/>
              </w:rPr>
              <w:t xml:space="preserve">. </w:t>
            </w:r>
            <w:r>
              <w:rPr>
                <w:rStyle w:val="IndexLink"/>
                <w:rtl w:val="true"/>
              </w:rPr>
              <w:t>موجه نبودن روش استقرایی عام به براهین اثبات</w:t>
            </w:r>
            <w:r>
              <w:rPr>
                <w:rStyle w:val="IndexLink"/>
                <w:rtl w:val="true"/>
              </w:rPr>
              <w:tab/>
            </w:r>
            <w:r>
              <w:rPr>
                <w:rStyle w:val="IndexLink"/>
              </w:rPr>
              <w:t>22</w:t>
            </w:r>
          </w:hyperlink>
        </w:p>
        <w:p>
          <w:pPr>
            <w:pStyle w:val="Contents5"/>
            <w:tabs>
              <w:tab w:val="clear" w:pos="7892"/>
              <w:tab w:val="right" w:pos="9026" w:leader="dot"/>
            </w:tabs>
            <w:rPr/>
          </w:pPr>
          <w:hyperlink w:anchor="__RefHeading___Toc794765_1395250215">
            <w:r>
              <w:rPr>
                <w:webHidden/>
                <w:rStyle w:val="IndexLink"/>
              </w:rPr>
              <w:t>3</w:t>
            </w:r>
            <w:r>
              <w:rPr>
                <w:rStyle w:val="IndexLink"/>
                <w:rtl w:val="true"/>
              </w:rPr>
              <w:t xml:space="preserve">. </w:t>
            </w:r>
            <w:r>
              <w:rPr>
                <w:rStyle w:val="IndexLink"/>
                <w:rtl w:val="true"/>
              </w:rPr>
              <w:t>پیش‌زمینه‌های قابل تأمل</w:t>
            </w:r>
            <w:r>
              <w:rPr>
                <w:rStyle w:val="IndexLink"/>
                <w:rtl w:val="true"/>
              </w:rPr>
              <w:tab/>
            </w:r>
            <w:r>
              <w:rPr>
                <w:rStyle w:val="IndexLink"/>
              </w:rPr>
              <w:t>24</w:t>
            </w:r>
          </w:hyperlink>
        </w:p>
        <w:p>
          <w:pPr>
            <w:pStyle w:val="Contents5"/>
            <w:tabs>
              <w:tab w:val="clear" w:pos="7892"/>
              <w:tab w:val="right" w:pos="9026" w:leader="dot"/>
            </w:tabs>
            <w:rPr/>
          </w:pPr>
          <w:hyperlink w:anchor="__RefHeading___Toc794767_1395250215">
            <w:r>
              <w:rPr>
                <w:webHidden/>
                <w:rStyle w:val="IndexLink"/>
              </w:rPr>
              <w:t>4</w:t>
            </w:r>
            <w:r>
              <w:rPr>
                <w:rStyle w:val="IndexLink"/>
                <w:rtl w:val="true"/>
              </w:rPr>
              <w:t xml:space="preserve">. </w:t>
            </w:r>
            <w:r>
              <w:rPr>
                <w:rStyle w:val="IndexLink"/>
                <w:rtl w:val="true"/>
              </w:rPr>
              <w:t>کارآمدی ادله به صورت مستقل</w:t>
            </w:r>
            <w:r>
              <w:rPr>
                <w:rStyle w:val="IndexLink"/>
                <w:rtl w:val="true"/>
              </w:rPr>
              <w:tab/>
            </w:r>
            <w:r>
              <w:rPr>
                <w:rStyle w:val="IndexLink"/>
              </w:rPr>
              <w:t>25</w:t>
            </w:r>
          </w:hyperlink>
        </w:p>
        <w:p>
          <w:pPr>
            <w:pStyle w:val="Contents5"/>
            <w:tabs>
              <w:tab w:val="clear" w:pos="7892"/>
              <w:tab w:val="right" w:pos="9026" w:leader="dot"/>
            </w:tabs>
            <w:rPr/>
          </w:pPr>
          <w:hyperlink w:anchor="__RefHeading___Toc794769_1395250215">
            <w:r>
              <w:rPr>
                <w:webHidden/>
                <w:rStyle w:val="IndexLink"/>
              </w:rPr>
              <w:t>5</w:t>
            </w:r>
            <w:r>
              <w:rPr>
                <w:rStyle w:val="IndexLink"/>
                <w:rtl w:val="true"/>
              </w:rPr>
              <w:t xml:space="preserve">. </w:t>
            </w:r>
            <w:r>
              <w:rPr>
                <w:rStyle w:val="IndexLink"/>
                <w:rtl w:val="true"/>
              </w:rPr>
              <w:t>یقینی بودن نتیجۀ ادله</w:t>
            </w:r>
            <w:r>
              <w:rPr>
                <w:rStyle w:val="IndexLink"/>
                <w:rtl w:val="true"/>
              </w:rPr>
              <w:tab/>
            </w:r>
            <w:r>
              <w:rPr>
                <w:rStyle w:val="IndexLink"/>
              </w:rPr>
              <w:t>26</w:t>
            </w:r>
          </w:hyperlink>
        </w:p>
        <w:p>
          <w:pPr>
            <w:pStyle w:val="Contents3"/>
            <w:tabs>
              <w:tab w:val="clear" w:pos="8459"/>
              <w:tab w:val="right" w:pos="9026" w:leader="dot"/>
            </w:tabs>
            <w:rPr/>
          </w:pPr>
          <w:hyperlink w:anchor="__RefHeading___Toc794771_1395250215">
            <w:r>
              <w:rPr>
                <w:webHidden/>
                <w:rStyle w:val="IndexLink"/>
                <w:rtl w:val="true"/>
              </w:rPr>
              <w:t>نتیجه گیری</w:t>
            </w:r>
            <w:r>
              <w:rPr>
                <w:rStyle w:val="IndexLink"/>
                <w:rtl w:val="true"/>
              </w:rPr>
              <w:tab/>
            </w:r>
            <w:r>
              <w:rPr>
                <w:rStyle w:val="IndexLink"/>
              </w:rPr>
              <w:t>27</w:t>
            </w:r>
          </w:hyperlink>
        </w:p>
        <w:p>
          <w:pPr>
            <w:pStyle w:val="Contents3"/>
            <w:tabs>
              <w:tab w:val="clear" w:pos="8459"/>
              <w:tab w:val="right" w:pos="9026" w:leader="dot"/>
            </w:tabs>
            <w:rPr/>
          </w:pPr>
          <w:hyperlink w:anchor="__RefHeading___Toc794773_1395250215">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794775_1395250215">
            <w:r>
              <w:rPr>
                <w:webHidden/>
                <w:rStyle w:val="IndexLink"/>
                <w:rtl w:val="true"/>
              </w:rPr>
              <w:t>متکلمان امامی عصرِ امام صادق</w:t>
            </w:r>
            <w:r>
              <w:rPr>
                <w:rStyle w:val="IndexLink"/>
              </w:rPr>
              <w:t>‌</w:t>
            </w:r>
            <w:r>
              <w:rPr>
                <w:rStyle w:val="IndexLink"/>
                <w:rtl w:val="true"/>
              </w:rPr>
              <w:t xml:space="preserve"> و مسئلۀ صفات خداوند</w:t>
            </w:r>
            <w:r>
              <w:rPr>
                <w:rStyle w:val="IndexLink"/>
                <w:rtl w:val="true"/>
              </w:rPr>
              <w:tab/>
            </w:r>
            <w:r>
              <w:rPr>
                <w:rStyle w:val="IndexLink"/>
              </w:rPr>
              <w:t>29</w:t>
            </w:r>
          </w:hyperlink>
        </w:p>
        <w:p>
          <w:pPr>
            <w:pStyle w:val="Contents3"/>
            <w:tabs>
              <w:tab w:val="clear" w:pos="8459"/>
              <w:tab w:val="right" w:pos="9026" w:leader="dot"/>
            </w:tabs>
            <w:rPr/>
          </w:pPr>
          <w:hyperlink w:anchor="__RefHeading___Toc794777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94779_1395250215">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794781_1395250215">
            <w:r>
              <w:rPr>
                <w:webHidden/>
                <w:rStyle w:val="IndexLink"/>
                <w:rtl w:val="true"/>
              </w:rPr>
              <w:t>واژگان کلیدی</w:t>
            </w:r>
            <w:r>
              <w:rPr>
                <w:rStyle w:val="IndexLink"/>
                <w:rtl w:val="true"/>
              </w:rPr>
              <w:tab/>
            </w:r>
            <w:r>
              <w:rPr>
                <w:rStyle w:val="IndexLink"/>
              </w:rPr>
              <w:t>29</w:t>
            </w:r>
          </w:hyperlink>
        </w:p>
        <w:p>
          <w:pPr>
            <w:pStyle w:val="Contents3"/>
            <w:tabs>
              <w:tab w:val="clear" w:pos="8459"/>
              <w:tab w:val="right" w:pos="9026" w:leader="dot"/>
            </w:tabs>
            <w:rPr/>
          </w:pPr>
          <w:hyperlink w:anchor="__RefHeading___Toc794783_1395250215">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794785_1395250215">
            <w:r>
              <w:rPr>
                <w:webHidden/>
                <w:rStyle w:val="IndexLink"/>
                <w:rtl w:val="true"/>
              </w:rPr>
              <w:t>زراره و آل‌اعین</w:t>
            </w:r>
            <w:r>
              <w:rPr>
                <w:rStyle w:val="IndexLink"/>
                <w:rtl w:val="true"/>
              </w:rPr>
              <w:tab/>
            </w:r>
            <w:r>
              <w:rPr>
                <w:rStyle w:val="IndexLink"/>
              </w:rPr>
              <w:t>31</w:t>
            </w:r>
          </w:hyperlink>
        </w:p>
        <w:p>
          <w:pPr>
            <w:pStyle w:val="Contents3"/>
            <w:tabs>
              <w:tab w:val="clear" w:pos="8459"/>
              <w:tab w:val="right" w:pos="9026" w:leader="dot"/>
            </w:tabs>
            <w:rPr/>
          </w:pPr>
          <w:hyperlink w:anchor="__RefHeading___Toc794787_1395250215">
            <w:r>
              <w:rPr>
                <w:webHidden/>
                <w:rStyle w:val="IndexLink"/>
                <w:rtl w:val="true"/>
              </w:rPr>
              <w:t>مومن الطاق</w:t>
            </w:r>
            <w:r>
              <w:rPr>
                <w:rStyle w:val="IndexLink"/>
                <w:rtl w:val="true"/>
              </w:rPr>
              <w:tab/>
            </w:r>
            <w:r>
              <w:rPr>
                <w:rStyle w:val="IndexLink"/>
              </w:rPr>
              <w:t>34</w:t>
            </w:r>
          </w:hyperlink>
        </w:p>
        <w:p>
          <w:pPr>
            <w:pStyle w:val="Contents3"/>
            <w:tabs>
              <w:tab w:val="clear" w:pos="8459"/>
              <w:tab w:val="right" w:pos="9026" w:leader="dot"/>
            </w:tabs>
            <w:rPr/>
          </w:pPr>
          <w:hyperlink w:anchor="__RefHeading___Toc794789_1395250215">
            <w:r>
              <w:rPr>
                <w:webHidden/>
                <w:rStyle w:val="IndexLink"/>
                <w:rtl w:val="true"/>
              </w:rPr>
              <w:t>هشام بن سالم جوالیقی</w:t>
            </w:r>
            <w:r>
              <w:rPr>
                <w:rStyle w:val="IndexLink"/>
                <w:rtl w:val="true"/>
              </w:rPr>
              <w:tab/>
            </w:r>
            <w:r>
              <w:rPr>
                <w:rStyle w:val="IndexLink"/>
              </w:rPr>
              <w:t>36</w:t>
            </w:r>
          </w:hyperlink>
        </w:p>
        <w:p>
          <w:pPr>
            <w:pStyle w:val="Contents3"/>
            <w:tabs>
              <w:tab w:val="clear" w:pos="8459"/>
              <w:tab w:val="right" w:pos="9026" w:leader="dot"/>
            </w:tabs>
            <w:rPr/>
          </w:pPr>
          <w:hyperlink w:anchor="__RefHeading___Toc794791_1395250215">
            <w:r>
              <w:rPr>
                <w:webHidden/>
                <w:rStyle w:val="IndexLink"/>
                <w:rtl w:val="true"/>
              </w:rPr>
              <w:t>هشام بن حکم</w:t>
            </w:r>
            <w:r>
              <w:rPr>
                <w:rStyle w:val="IndexLink"/>
                <w:rtl w:val="true"/>
              </w:rPr>
              <w:tab/>
            </w:r>
            <w:r>
              <w:rPr>
                <w:rStyle w:val="IndexLink"/>
              </w:rPr>
              <w:t>40</w:t>
            </w:r>
          </w:hyperlink>
        </w:p>
        <w:p>
          <w:pPr>
            <w:pStyle w:val="Contents3"/>
            <w:tabs>
              <w:tab w:val="clear" w:pos="8459"/>
              <w:tab w:val="right" w:pos="9026" w:leader="dot"/>
            </w:tabs>
            <w:rPr/>
          </w:pPr>
          <w:hyperlink w:anchor="__RefHeading___Toc794793_1395250215">
            <w:r>
              <w:rPr>
                <w:webHidden/>
                <w:rStyle w:val="IndexLink"/>
                <w:rtl w:val="true"/>
              </w:rPr>
              <w:t>روایات ائمه</w:t>
            </w:r>
            <w:r>
              <w:rPr>
                <w:rStyle w:val="IndexLink"/>
                <w:rtl w:val="true"/>
              </w:rPr>
              <w:tab/>
            </w:r>
            <w:r>
              <w:rPr>
                <w:rStyle w:val="IndexLink"/>
              </w:rPr>
              <w:t>45</w:t>
            </w:r>
          </w:hyperlink>
        </w:p>
        <w:p>
          <w:pPr>
            <w:pStyle w:val="Contents3"/>
            <w:tabs>
              <w:tab w:val="clear" w:pos="8459"/>
              <w:tab w:val="right" w:pos="9026" w:leader="dot"/>
            </w:tabs>
            <w:rPr/>
          </w:pPr>
          <w:hyperlink w:anchor="__RefHeading___Toc794795_1395250215">
            <w:r>
              <w:rPr>
                <w:webHidden/>
                <w:rStyle w:val="IndexLink"/>
                <w:rtl w:val="true"/>
              </w:rPr>
              <w:t>نتیجه گیری</w:t>
            </w:r>
            <w:r>
              <w:rPr>
                <w:rStyle w:val="IndexLink"/>
                <w:rtl w:val="true"/>
              </w:rPr>
              <w:tab/>
            </w:r>
            <w:r>
              <w:rPr>
                <w:rStyle w:val="IndexLink"/>
              </w:rPr>
              <w:t>46</w:t>
            </w:r>
          </w:hyperlink>
        </w:p>
        <w:p>
          <w:pPr>
            <w:pStyle w:val="Contents3"/>
            <w:tabs>
              <w:tab w:val="clear" w:pos="8459"/>
              <w:tab w:val="right" w:pos="9026" w:leader="dot"/>
            </w:tabs>
            <w:rPr/>
          </w:pPr>
          <w:hyperlink w:anchor="__RefHeading___Toc794797_1395250215">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794799_1395250215">
            <w:r>
              <w:rPr>
                <w:webHidden/>
                <w:rStyle w:val="IndexLink"/>
                <w:rtl w:val="true"/>
              </w:rPr>
              <w:t>روش‌شناسی کلامی شیخ حر عاملی در مقام دفاع در حوزه‌های ردّ شبهات و مکاتب معارض</w:t>
            </w:r>
            <w:r>
              <w:rPr>
                <w:rStyle w:val="IndexLink"/>
                <w:rtl w:val="true"/>
              </w:rPr>
              <w:tab/>
            </w:r>
            <w:r>
              <w:rPr>
                <w:rStyle w:val="IndexLink"/>
              </w:rPr>
              <w:t>51</w:t>
            </w:r>
          </w:hyperlink>
        </w:p>
        <w:p>
          <w:pPr>
            <w:pStyle w:val="Contents3"/>
            <w:tabs>
              <w:tab w:val="clear" w:pos="8459"/>
              <w:tab w:val="right" w:pos="9026" w:leader="dot"/>
            </w:tabs>
            <w:rPr/>
          </w:pPr>
          <w:hyperlink w:anchor="__RefHeading___Toc794801_1395250215">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94803_1395250215">
            <w:r>
              <w:rPr>
                <w:webHidden/>
                <w:rStyle w:val="IndexLink"/>
                <w:rtl w:val="true"/>
              </w:rPr>
              <w:t>چکیده</w:t>
            </w:r>
            <w:r>
              <w:rPr>
                <w:rStyle w:val="IndexLink"/>
                <w:rtl w:val="true"/>
              </w:rPr>
              <w:tab/>
            </w:r>
            <w:r>
              <w:rPr>
                <w:rStyle w:val="IndexLink"/>
              </w:rPr>
              <w:t>51</w:t>
            </w:r>
          </w:hyperlink>
        </w:p>
        <w:p>
          <w:pPr>
            <w:pStyle w:val="Contents3"/>
            <w:tabs>
              <w:tab w:val="clear" w:pos="8459"/>
              <w:tab w:val="right" w:pos="9026" w:leader="dot"/>
            </w:tabs>
            <w:rPr/>
          </w:pPr>
          <w:hyperlink w:anchor="__RefHeading___Toc794805_1395250215">
            <w:r>
              <w:rPr>
                <w:webHidden/>
                <w:rStyle w:val="IndexLink"/>
                <w:rtl w:val="true"/>
              </w:rPr>
              <w:t>واژگان کلیدی</w:t>
            </w:r>
            <w:r>
              <w:rPr>
                <w:rStyle w:val="IndexLink"/>
                <w:rtl w:val="true"/>
              </w:rPr>
              <w:tab/>
            </w:r>
            <w:r>
              <w:rPr>
                <w:rStyle w:val="IndexLink"/>
              </w:rPr>
              <w:t>51</w:t>
            </w:r>
          </w:hyperlink>
        </w:p>
        <w:p>
          <w:pPr>
            <w:pStyle w:val="Contents3"/>
            <w:tabs>
              <w:tab w:val="clear" w:pos="8459"/>
              <w:tab w:val="right" w:pos="9026" w:leader="dot"/>
            </w:tabs>
            <w:rPr/>
          </w:pPr>
          <w:hyperlink w:anchor="__RefHeading___Toc794807_1395250215">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794809_1395250215">
            <w:r>
              <w:rPr>
                <w:webHidden/>
                <w:rStyle w:val="IndexLink"/>
              </w:rPr>
              <w:t>1</w:t>
            </w:r>
            <w:r>
              <w:rPr>
                <w:rStyle w:val="IndexLink"/>
                <w:rtl w:val="true"/>
              </w:rPr>
              <w:t xml:space="preserve">. </w:t>
            </w:r>
            <w:r>
              <w:rPr>
                <w:rStyle w:val="IndexLink"/>
                <w:rtl w:val="true"/>
              </w:rPr>
              <w:t>روش‌شناسی پاسخ به شبهات اعتقادی</w:t>
            </w:r>
            <w:r>
              <w:rPr>
                <w:rStyle w:val="IndexLink"/>
                <w:rtl w:val="true"/>
              </w:rPr>
              <w:tab/>
            </w:r>
            <w:r>
              <w:rPr>
                <w:rStyle w:val="IndexLink"/>
              </w:rPr>
              <w:t>53</w:t>
            </w:r>
          </w:hyperlink>
        </w:p>
        <w:p>
          <w:pPr>
            <w:pStyle w:val="Contents4"/>
            <w:tabs>
              <w:tab w:val="clear" w:pos="8176"/>
              <w:tab w:val="right" w:pos="9026" w:leader="dot"/>
            </w:tabs>
            <w:rPr/>
          </w:pPr>
          <w:hyperlink w:anchor="__RefHeading___Toc794811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94813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 xml:space="preserve">مفهوم </w:t>
            </w:r>
            <w:r>
              <w:rPr>
                <w:rStyle w:val="IndexLink"/>
                <w:rtl w:val="true"/>
              </w:rPr>
              <w:t>«</w:t>
            </w:r>
            <w:r>
              <w:rPr>
                <w:rStyle w:val="IndexLink"/>
                <w:rtl w:val="true"/>
              </w:rPr>
              <w:t>شک</w:t>
            </w:r>
            <w:r>
              <w:rPr>
                <w:rStyle w:val="IndexLink"/>
                <w:rtl w:val="true"/>
              </w:rPr>
              <w:t xml:space="preserve">» </w:t>
            </w:r>
            <w:r>
              <w:rPr>
                <w:rStyle w:val="IndexLink"/>
                <w:rtl w:val="true"/>
              </w:rPr>
              <w:t>و تفاوت آن با شبهه</w:t>
            </w:r>
            <w:r>
              <w:rPr>
                <w:rStyle w:val="IndexLink"/>
                <w:rtl w:val="true"/>
              </w:rPr>
              <w:tab/>
            </w:r>
            <w:r>
              <w:rPr>
                <w:rStyle w:val="IndexLink"/>
              </w:rPr>
              <w:t>54</w:t>
            </w:r>
          </w:hyperlink>
        </w:p>
        <w:p>
          <w:pPr>
            <w:pStyle w:val="Contents4"/>
            <w:tabs>
              <w:tab w:val="clear" w:pos="8176"/>
              <w:tab w:val="right" w:pos="9026" w:leader="dot"/>
            </w:tabs>
            <w:rPr/>
          </w:pPr>
          <w:hyperlink w:anchor="__RefHeading___Toc794815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 xml:space="preserve">مفهوم </w:t>
            </w:r>
            <w:r>
              <w:rPr>
                <w:rStyle w:val="IndexLink"/>
                <w:rtl w:val="true"/>
              </w:rPr>
              <w:t>«</w:t>
            </w:r>
            <w:r>
              <w:rPr>
                <w:rStyle w:val="IndexLink"/>
                <w:rtl w:val="true"/>
              </w:rPr>
              <w:t>سؤال</w:t>
            </w:r>
            <w:r>
              <w:rPr>
                <w:rStyle w:val="IndexLink"/>
                <w:rtl w:val="true"/>
              </w:rPr>
              <w:t xml:space="preserve">» </w:t>
            </w:r>
            <w:r>
              <w:rPr>
                <w:rStyle w:val="IndexLink"/>
                <w:rtl w:val="true"/>
              </w:rPr>
              <w:t>و تفاوت آن با شبهه</w:t>
            </w:r>
            <w:r>
              <w:rPr>
                <w:rStyle w:val="IndexLink"/>
                <w:rtl w:val="true"/>
              </w:rPr>
              <w:tab/>
            </w:r>
            <w:r>
              <w:rPr>
                <w:rStyle w:val="IndexLink"/>
              </w:rPr>
              <w:t>54</w:t>
            </w:r>
          </w:hyperlink>
        </w:p>
        <w:p>
          <w:pPr>
            <w:pStyle w:val="Contents4"/>
            <w:tabs>
              <w:tab w:val="clear" w:pos="8176"/>
              <w:tab w:val="right" w:pos="9026" w:leader="dot"/>
            </w:tabs>
            <w:rPr/>
          </w:pPr>
          <w:hyperlink w:anchor="__RefHeading___Toc794817_1395250215">
            <w:r>
              <w:rPr>
                <w:webHidden/>
                <w:rStyle w:val="IndexLink"/>
              </w:rPr>
              <w:t>1</w:t>
            </w:r>
            <w:r>
              <w:rPr>
                <w:rStyle w:val="IndexLink"/>
                <w:rtl w:val="true"/>
              </w:rPr>
              <w:t>‌</w:t>
            </w:r>
            <w:r>
              <w:rPr>
                <w:rStyle w:val="IndexLink"/>
                <w:rtl w:val="true"/>
              </w:rPr>
              <w:t>ـ</w:t>
            </w:r>
            <w:r>
              <w:rPr>
                <w:rStyle w:val="IndexLink"/>
              </w:rPr>
              <w:t>‌</w:t>
            </w:r>
            <w:r>
              <w:rPr>
                <w:rStyle w:val="IndexLink"/>
              </w:rPr>
              <w:t>3</w:t>
            </w:r>
            <w:r>
              <w:rPr>
                <w:rStyle w:val="IndexLink"/>
                <w:rtl w:val="true"/>
              </w:rPr>
              <w:t xml:space="preserve">. </w:t>
            </w:r>
            <w:r>
              <w:rPr>
                <w:rStyle w:val="IndexLink"/>
                <w:rtl w:val="true"/>
              </w:rPr>
              <w:t>هدف و فواید پاسخ به شبهات</w:t>
            </w:r>
            <w:r>
              <w:rPr>
                <w:rStyle w:val="IndexLink"/>
                <w:rtl w:val="true"/>
              </w:rPr>
              <w:tab/>
            </w:r>
            <w:r>
              <w:rPr>
                <w:rStyle w:val="IndexLink"/>
              </w:rPr>
              <w:t>54</w:t>
            </w:r>
          </w:hyperlink>
        </w:p>
        <w:p>
          <w:pPr>
            <w:pStyle w:val="Contents4"/>
            <w:tabs>
              <w:tab w:val="clear" w:pos="8176"/>
              <w:tab w:val="right" w:pos="9026" w:leader="dot"/>
            </w:tabs>
            <w:rPr/>
          </w:pPr>
          <w:hyperlink w:anchor="__RefHeading___Toc794819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 xml:space="preserve">. </w:t>
            </w:r>
            <w:r>
              <w:rPr>
                <w:rStyle w:val="IndexLink"/>
                <w:rtl w:val="true"/>
              </w:rPr>
              <w:t>روش‌شناسی پاسخ به شبهات</w:t>
            </w:r>
            <w:r>
              <w:rPr>
                <w:rStyle w:val="IndexLink"/>
                <w:rtl w:val="true"/>
              </w:rPr>
              <w:tab/>
            </w:r>
            <w:r>
              <w:rPr>
                <w:rStyle w:val="IndexLink"/>
              </w:rPr>
              <w:t>54</w:t>
            </w:r>
          </w:hyperlink>
        </w:p>
        <w:p>
          <w:pPr>
            <w:pStyle w:val="Contents5"/>
            <w:tabs>
              <w:tab w:val="clear" w:pos="7892"/>
              <w:tab w:val="right" w:pos="9026" w:leader="dot"/>
            </w:tabs>
            <w:rPr/>
          </w:pPr>
          <w:hyperlink w:anchor="__RefHeading___Toc794821_139525021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94823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1</w:t>
            </w:r>
            <w:r>
              <w:rPr>
                <w:rStyle w:val="IndexLink"/>
                <w:rtl w:val="true"/>
              </w:rPr>
              <w:t xml:space="preserve">. </w:t>
            </w:r>
            <w:r>
              <w:rPr>
                <w:rStyle w:val="IndexLink"/>
                <w:rtl w:val="true"/>
              </w:rPr>
              <w:t>پاسخ به شبهه با روش ردّ صورت استدلال</w:t>
            </w:r>
            <w:r>
              <w:rPr>
                <w:rStyle w:val="IndexLink"/>
                <w:rtl w:val="true"/>
              </w:rPr>
              <w:tab/>
            </w:r>
            <w:r>
              <w:rPr>
                <w:rStyle w:val="IndexLink"/>
              </w:rPr>
              <w:t>55</w:t>
            </w:r>
          </w:hyperlink>
        </w:p>
        <w:p>
          <w:pPr>
            <w:pStyle w:val="Contents5"/>
            <w:tabs>
              <w:tab w:val="clear" w:pos="7892"/>
              <w:tab w:val="right" w:pos="9026" w:leader="dot"/>
            </w:tabs>
            <w:rPr/>
          </w:pPr>
          <w:hyperlink w:anchor="__RefHeading___Toc794825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 xml:space="preserve">. </w:t>
            </w:r>
            <w:r>
              <w:rPr>
                <w:rStyle w:val="IndexLink"/>
                <w:rtl w:val="true"/>
              </w:rPr>
              <w:t>پاسخ به شبهه با روش ردّ ماده استدلال</w:t>
            </w:r>
            <w:r>
              <w:rPr>
                <w:rStyle w:val="IndexLink"/>
                <w:rtl w:val="true"/>
              </w:rPr>
              <w:tab/>
            </w:r>
            <w:r>
              <w:rPr>
                <w:rStyle w:val="IndexLink"/>
              </w:rPr>
              <w:t>55</w:t>
            </w:r>
          </w:hyperlink>
        </w:p>
        <w:p>
          <w:pPr>
            <w:pStyle w:val="Contents6"/>
            <w:tabs>
              <w:tab w:val="clear" w:pos="7609"/>
              <w:tab w:val="right" w:pos="9026" w:leader="dot"/>
            </w:tabs>
            <w:rPr/>
          </w:pPr>
          <w:hyperlink w:anchor="__RefHeading___Toc794827_1395250215">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94829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1</w:t>
            </w:r>
            <w:r>
              <w:rPr>
                <w:rStyle w:val="IndexLink"/>
                <w:rtl w:val="true"/>
              </w:rPr>
              <w:t xml:space="preserve">. </w:t>
            </w:r>
            <w:r>
              <w:rPr>
                <w:rStyle w:val="IndexLink"/>
                <w:rtl w:val="true"/>
              </w:rPr>
              <w:t>پاسخ به شبهه با روش بیان تضاد در دیدگاه شبهه گر</w:t>
            </w:r>
            <w:r>
              <w:rPr>
                <w:rStyle w:val="IndexLink"/>
                <w:rtl w:val="true"/>
              </w:rPr>
              <w:tab/>
            </w:r>
            <w:r>
              <w:rPr>
                <w:rStyle w:val="IndexLink"/>
              </w:rPr>
              <w:t>55</w:t>
            </w:r>
          </w:hyperlink>
        </w:p>
        <w:p>
          <w:pPr>
            <w:pStyle w:val="Contents6"/>
            <w:tabs>
              <w:tab w:val="clear" w:pos="7609"/>
              <w:tab w:val="right" w:pos="9026" w:leader="dot"/>
            </w:tabs>
            <w:rPr/>
          </w:pPr>
          <w:hyperlink w:anchor="__RefHeading___Toc794831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 xml:space="preserve">. </w:t>
            </w:r>
            <w:r>
              <w:rPr>
                <w:rStyle w:val="IndexLink"/>
                <w:rtl w:val="true"/>
              </w:rPr>
              <w:t>پاسخ به شبهه با روش ردّ لوازم شبهه</w:t>
            </w:r>
            <w:r>
              <w:rPr>
                <w:rStyle w:val="IndexLink"/>
                <w:rtl w:val="true"/>
              </w:rPr>
              <w:tab/>
            </w:r>
            <w:r>
              <w:rPr>
                <w:rStyle w:val="IndexLink"/>
              </w:rPr>
              <w:t>56</w:t>
            </w:r>
          </w:hyperlink>
        </w:p>
        <w:p>
          <w:pPr>
            <w:pStyle w:val="Contents6"/>
            <w:tabs>
              <w:tab w:val="clear" w:pos="7609"/>
              <w:tab w:val="right" w:pos="9026" w:leader="dot"/>
            </w:tabs>
            <w:rPr/>
          </w:pPr>
          <w:hyperlink w:anchor="__RefHeading___Toc794833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3</w:t>
            </w:r>
            <w:r>
              <w:rPr>
                <w:rStyle w:val="IndexLink"/>
                <w:rtl w:val="true"/>
              </w:rPr>
              <w:t xml:space="preserve">. </w:t>
            </w:r>
            <w:r>
              <w:rPr>
                <w:rStyle w:val="IndexLink"/>
                <w:rtl w:val="true"/>
              </w:rPr>
              <w:t>پاسخ به شبهه با روش ردّ مبنای شبهه‌گر</w:t>
            </w:r>
            <w:r>
              <w:rPr>
                <w:rStyle w:val="IndexLink"/>
                <w:rtl w:val="true"/>
              </w:rPr>
              <w:tab/>
            </w:r>
            <w:r>
              <w:rPr>
                <w:rStyle w:val="IndexLink"/>
              </w:rPr>
              <w:t>56</w:t>
            </w:r>
          </w:hyperlink>
        </w:p>
        <w:p>
          <w:pPr>
            <w:pStyle w:val="Contents6"/>
            <w:tabs>
              <w:tab w:val="clear" w:pos="7609"/>
              <w:tab w:val="right" w:pos="9026" w:leader="dot"/>
            </w:tabs>
            <w:rPr/>
          </w:pPr>
          <w:hyperlink w:anchor="__RefHeading___Toc794835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4</w:t>
            </w:r>
            <w:r>
              <w:rPr>
                <w:rStyle w:val="IndexLink"/>
                <w:rtl w:val="true"/>
              </w:rPr>
              <w:t xml:space="preserve">. </w:t>
            </w:r>
            <w:r>
              <w:rPr>
                <w:rStyle w:val="IndexLink"/>
                <w:rtl w:val="true"/>
              </w:rPr>
              <w:t>پاسخ به شبهه با روش پاسخ نقضی</w:t>
            </w:r>
            <w:r>
              <w:rPr>
                <w:rStyle w:val="IndexLink"/>
                <w:rtl w:val="true"/>
              </w:rPr>
              <w:tab/>
            </w:r>
            <w:r>
              <w:rPr>
                <w:rStyle w:val="IndexLink"/>
              </w:rPr>
              <w:t>56</w:t>
            </w:r>
          </w:hyperlink>
        </w:p>
        <w:p>
          <w:pPr>
            <w:pStyle w:val="Contents6"/>
            <w:tabs>
              <w:tab w:val="clear" w:pos="7609"/>
              <w:tab w:val="right" w:pos="9026" w:leader="dot"/>
            </w:tabs>
            <w:rPr/>
          </w:pPr>
          <w:hyperlink w:anchor="__RefHeading___Toc794837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5</w:t>
            </w:r>
            <w:r>
              <w:rPr>
                <w:rStyle w:val="IndexLink"/>
                <w:rtl w:val="true"/>
              </w:rPr>
              <w:t xml:space="preserve">. </w:t>
            </w:r>
            <w:r>
              <w:rPr>
                <w:rStyle w:val="IndexLink"/>
                <w:rtl w:val="true"/>
              </w:rPr>
              <w:t>پاسخ به شبهه با روش پاسخ حلی</w:t>
            </w:r>
            <w:r>
              <w:rPr>
                <w:rStyle w:val="IndexLink"/>
                <w:rtl w:val="true"/>
              </w:rPr>
              <w:tab/>
            </w:r>
            <w:r>
              <w:rPr>
                <w:rStyle w:val="IndexLink"/>
              </w:rPr>
              <w:t>57</w:t>
            </w:r>
          </w:hyperlink>
        </w:p>
        <w:p>
          <w:pPr>
            <w:pStyle w:val="Contents6"/>
            <w:tabs>
              <w:tab w:val="clear" w:pos="7609"/>
              <w:tab w:val="right" w:pos="9026" w:leader="dot"/>
            </w:tabs>
            <w:rPr/>
          </w:pPr>
          <w:hyperlink w:anchor="__RefHeading___Toc794839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6</w:t>
            </w:r>
            <w:r>
              <w:rPr>
                <w:rStyle w:val="IndexLink"/>
                <w:rtl w:val="true"/>
              </w:rPr>
              <w:t xml:space="preserve">. </w:t>
            </w:r>
            <w:r>
              <w:rPr>
                <w:rStyle w:val="IndexLink"/>
                <w:rtl w:val="true"/>
              </w:rPr>
              <w:t>پاسخ به شبهه با روش ذکر مثال و تشبیه</w:t>
            </w:r>
            <w:r>
              <w:rPr>
                <w:rStyle w:val="IndexLink"/>
                <w:rtl w:val="true"/>
              </w:rPr>
              <w:tab/>
            </w:r>
            <w:r>
              <w:rPr>
                <w:rStyle w:val="IndexLink"/>
              </w:rPr>
              <w:t>58</w:t>
            </w:r>
          </w:hyperlink>
        </w:p>
        <w:p>
          <w:pPr>
            <w:pStyle w:val="Contents6"/>
            <w:tabs>
              <w:tab w:val="clear" w:pos="7609"/>
              <w:tab w:val="right" w:pos="9026" w:leader="dot"/>
            </w:tabs>
            <w:rPr/>
          </w:pPr>
          <w:hyperlink w:anchor="__RefHeading___Toc794841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7</w:t>
            </w:r>
            <w:r>
              <w:rPr>
                <w:rStyle w:val="IndexLink"/>
                <w:rtl w:val="true"/>
              </w:rPr>
              <w:t xml:space="preserve">. </w:t>
            </w:r>
            <w:r>
              <w:rPr>
                <w:rStyle w:val="IndexLink"/>
                <w:rtl w:val="true"/>
              </w:rPr>
              <w:t>پاسخ به شبهه با روش تبیین مفردات</w:t>
            </w:r>
            <w:r>
              <w:rPr>
                <w:rStyle w:val="IndexLink"/>
                <w:rtl w:val="true"/>
              </w:rPr>
              <w:tab/>
            </w:r>
            <w:r>
              <w:rPr>
                <w:rStyle w:val="IndexLink"/>
              </w:rPr>
              <w:t>59</w:t>
            </w:r>
          </w:hyperlink>
        </w:p>
        <w:p>
          <w:pPr>
            <w:pStyle w:val="Contents6"/>
            <w:tabs>
              <w:tab w:val="clear" w:pos="7609"/>
              <w:tab w:val="right" w:pos="9026" w:leader="dot"/>
            </w:tabs>
            <w:rPr/>
          </w:pPr>
          <w:hyperlink w:anchor="__RefHeading___Toc794843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8</w:t>
            </w:r>
            <w:r>
              <w:rPr>
                <w:rStyle w:val="IndexLink"/>
                <w:rtl w:val="true"/>
              </w:rPr>
              <w:t xml:space="preserve">. </w:t>
            </w:r>
            <w:r>
              <w:rPr>
                <w:rStyle w:val="IndexLink"/>
                <w:rtl w:val="true"/>
              </w:rPr>
              <w:t>پاسخ به شبهه با روش تنبیه به استثنای موجود</w:t>
            </w:r>
            <w:r>
              <w:rPr>
                <w:rStyle w:val="IndexLink"/>
                <w:rtl w:val="true"/>
              </w:rPr>
              <w:tab/>
            </w:r>
            <w:r>
              <w:rPr>
                <w:rStyle w:val="IndexLink"/>
              </w:rPr>
              <w:t>59</w:t>
            </w:r>
          </w:hyperlink>
        </w:p>
        <w:p>
          <w:pPr>
            <w:pStyle w:val="Contents6"/>
            <w:tabs>
              <w:tab w:val="clear" w:pos="7609"/>
              <w:tab w:val="right" w:pos="9026" w:leader="dot"/>
            </w:tabs>
            <w:rPr/>
          </w:pPr>
          <w:hyperlink w:anchor="__RefHeading___Toc794845_1395250215">
            <w:r>
              <w:rPr>
                <w:webHidden/>
                <w:rStyle w:val="IndexLink"/>
              </w:rPr>
              <w:t>1</w:t>
            </w:r>
            <w:r>
              <w:rPr>
                <w:rStyle w:val="IndexLink"/>
                <w:rtl w:val="true"/>
              </w:rPr>
              <w:t>‌</w:t>
            </w:r>
            <w:r>
              <w:rPr>
                <w:rStyle w:val="IndexLink"/>
                <w:rtl w:val="true"/>
              </w:rPr>
              <w:t>ـ</w:t>
            </w:r>
            <w:r>
              <w:rPr>
                <w:rStyle w:val="IndexLink"/>
              </w:rPr>
              <w:t>‌</w:t>
            </w:r>
            <w:r>
              <w:rPr>
                <w:rStyle w:val="IndexLink"/>
              </w:rPr>
              <w:t>4</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9</w:t>
            </w:r>
            <w:r>
              <w:rPr>
                <w:rStyle w:val="IndexLink"/>
                <w:rtl w:val="true"/>
              </w:rPr>
              <w:t xml:space="preserve">. </w:t>
            </w:r>
            <w:r>
              <w:rPr>
                <w:rStyle w:val="IndexLink"/>
                <w:rtl w:val="true"/>
              </w:rPr>
              <w:t>پاسخ به شبهه با روش تنبیه به مقتضای حال و شرایط</w:t>
            </w:r>
            <w:r>
              <w:rPr>
                <w:rStyle w:val="IndexLink"/>
                <w:rtl w:val="true"/>
              </w:rPr>
              <w:tab/>
            </w:r>
            <w:r>
              <w:rPr>
                <w:rStyle w:val="IndexLink"/>
              </w:rPr>
              <w:t>60</w:t>
            </w:r>
          </w:hyperlink>
        </w:p>
        <w:p>
          <w:pPr>
            <w:pStyle w:val="Contents3"/>
            <w:tabs>
              <w:tab w:val="clear" w:pos="8459"/>
              <w:tab w:val="right" w:pos="9026" w:leader="dot"/>
            </w:tabs>
            <w:rPr/>
          </w:pPr>
          <w:hyperlink w:anchor="__RefHeading___Toc794847_1395250215">
            <w:r>
              <w:rPr>
                <w:webHidden/>
                <w:rStyle w:val="IndexLink"/>
              </w:rPr>
              <w:t>2</w:t>
            </w:r>
            <w:r>
              <w:rPr>
                <w:rStyle w:val="IndexLink"/>
                <w:rtl w:val="true"/>
              </w:rPr>
              <w:t xml:space="preserve">. </w:t>
            </w:r>
            <w:r>
              <w:rPr>
                <w:rStyle w:val="IndexLink"/>
                <w:rtl w:val="true"/>
              </w:rPr>
              <w:t>روش‌شناسی ردّ مکاتب معارض</w:t>
            </w:r>
            <w:r>
              <w:rPr>
                <w:rStyle w:val="IndexLink"/>
                <w:rtl w:val="true"/>
              </w:rPr>
              <w:tab/>
            </w:r>
            <w:r>
              <w:rPr>
                <w:rStyle w:val="IndexLink"/>
              </w:rPr>
              <w:t>60</w:t>
            </w:r>
          </w:hyperlink>
        </w:p>
        <w:p>
          <w:pPr>
            <w:pStyle w:val="Contents4"/>
            <w:tabs>
              <w:tab w:val="clear" w:pos="8176"/>
              <w:tab w:val="right" w:pos="9026" w:leader="dot"/>
            </w:tabs>
            <w:rPr/>
          </w:pPr>
          <w:hyperlink w:anchor="__RefHeading___Toc794849_139525021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94851_1395250215">
            <w:r>
              <w:rPr>
                <w:webHidden/>
                <w:rStyle w:val="IndexLink"/>
              </w:rPr>
              <w:t>2</w:t>
            </w:r>
            <w:r>
              <w:rPr>
                <w:rStyle w:val="IndexLink"/>
                <w:rtl w:val="true"/>
              </w:rPr>
              <w:t>‌</w:t>
            </w:r>
            <w:r>
              <w:rPr>
                <w:rStyle w:val="IndexLink"/>
                <w:rtl w:val="true"/>
              </w:rPr>
              <w:t>ـ</w:t>
            </w:r>
            <w:r>
              <w:rPr>
                <w:rStyle w:val="IndexLink"/>
              </w:rPr>
              <w:t>‌</w:t>
            </w:r>
            <w:r>
              <w:rPr>
                <w:rStyle w:val="IndexLink"/>
              </w:rPr>
              <w:t>1</w:t>
            </w:r>
            <w:r>
              <w:rPr>
                <w:rStyle w:val="IndexLink"/>
                <w:rtl w:val="true"/>
              </w:rPr>
              <w:t xml:space="preserve">. </w:t>
            </w:r>
            <w:r>
              <w:rPr>
                <w:rStyle w:val="IndexLink"/>
                <w:rtl w:val="true"/>
              </w:rPr>
              <w:t>هدف و فواید ردّ</w:t>
            </w:r>
            <w:r>
              <w:rPr>
                <w:rStyle w:val="IndexLink"/>
                <w:rtl w:val="true"/>
              </w:rPr>
              <w:tab/>
            </w:r>
            <w:r>
              <w:rPr>
                <w:rStyle w:val="IndexLink"/>
              </w:rPr>
              <w:t>61</w:t>
            </w:r>
          </w:hyperlink>
        </w:p>
        <w:p>
          <w:pPr>
            <w:pStyle w:val="Contents4"/>
            <w:tabs>
              <w:tab w:val="clear" w:pos="8176"/>
              <w:tab w:val="right" w:pos="9026" w:leader="dot"/>
            </w:tabs>
            <w:rPr/>
          </w:pPr>
          <w:hyperlink w:anchor="__RefHeading___Toc794853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 xml:space="preserve">. </w:t>
            </w:r>
            <w:r>
              <w:rPr>
                <w:rStyle w:val="IndexLink"/>
                <w:rtl w:val="true"/>
              </w:rPr>
              <w:t>روش‌شناسی ردّ مکاتب معارض</w:t>
            </w:r>
            <w:r>
              <w:rPr>
                <w:rStyle w:val="IndexLink"/>
                <w:rtl w:val="true"/>
              </w:rPr>
              <w:tab/>
            </w:r>
            <w:r>
              <w:rPr>
                <w:rStyle w:val="IndexLink"/>
              </w:rPr>
              <w:t>61</w:t>
            </w:r>
          </w:hyperlink>
        </w:p>
        <w:p>
          <w:pPr>
            <w:pStyle w:val="Contents5"/>
            <w:tabs>
              <w:tab w:val="clear" w:pos="7892"/>
              <w:tab w:val="right" w:pos="9026" w:leader="dot"/>
            </w:tabs>
            <w:rPr/>
          </w:pPr>
          <w:hyperlink w:anchor="__RefHeading___Toc794855_139525021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794857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1</w:t>
            </w:r>
            <w:r>
              <w:rPr>
                <w:rStyle w:val="IndexLink"/>
                <w:rtl w:val="true"/>
              </w:rPr>
              <w:t xml:space="preserve">. </w:t>
            </w:r>
            <w:r>
              <w:rPr>
                <w:rStyle w:val="IndexLink"/>
                <w:rtl w:val="true"/>
              </w:rPr>
              <w:t>روش بیان لوازم فاسد دیدگاه</w:t>
            </w:r>
            <w:r>
              <w:rPr>
                <w:rStyle w:val="IndexLink"/>
                <w:rtl w:val="true"/>
              </w:rPr>
              <w:tab/>
            </w:r>
            <w:r>
              <w:rPr>
                <w:rStyle w:val="IndexLink"/>
              </w:rPr>
              <w:t>61</w:t>
            </w:r>
          </w:hyperlink>
        </w:p>
        <w:p>
          <w:pPr>
            <w:pStyle w:val="Contents5"/>
            <w:tabs>
              <w:tab w:val="clear" w:pos="7892"/>
              <w:tab w:val="right" w:pos="9026" w:leader="dot"/>
            </w:tabs>
            <w:rPr/>
          </w:pPr>
          <w:hyperlink w:anchor="__RefHeading___Toc794859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 xml:space="preserve">. </w:t>
            </w:r>
            <w:r>
              <w:rPr>
                <w:rStyle w:val="IndexLink"/>
                <w:rtl w:val="true"/>
              </w:rPr>
              <w:t>روش ردّ مبنایی و زیرساختاری</w:t>
            </w:r>
            <w:r>
              <w:rPr>
                <w:rStyle w:val="IndexLink"/>
                <w:rtl w:val="true"/>
              </w:rPr>
              <w:tab/>
            </w:r>
            <w:r>
              <w:rPr>
                <w:rStyle w:val="IndexLink"/>
              </w:rPr>
              <w:t>63</w:t>
            </w:r>
          </w:hyperlink>
        </w:p>
        <w:p>
          <w:pPr>
            <w:pStyle w:val="Contents5"/>
            <w:tabs>
              <w:tab w:val="clear" w:pos="7892"/>
              <w:tab w:val="right" w:pos="9026" w:leader="dot"/>
            </w:tabs>
            <w:rPr/>
          </w:pPr>
          <w:hyperlink w:anchor="__RefHeading___Toc794861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3</w:t>
            </w:r>
            <w:r>
              <w:rPr>
                <w:rStyle w:val="IndexLink"/>
                <w:rtl w:val="true"/>
              </w:rPr>
              <w:t xml:space="preserve">. </w:t>
            </w:r>
            <w:r>
              <w:rPr>
                <w:rStyle w:val="IndexLink"/>
                <w:rtl w:val="true"/>
              </w:rPr>
              <w:t>روش استفاده از مبانی طرف مقابل</w:t>
            </w:r>
            <w:r>
              <w:rPr>
                <w:rStyle w:val="IndexLink"/>
                <w:rtl w:val="true"/>
              </w:rPr>
              <w:tab/>
            </w:r>
            <w:r>
              <w:rPr>
                <w:rStyle w:val="IndexLink"/>
              </w:rPr>
              <w:t>63</w:t>
            </w:r>
          </w:hyperlink>
        </w:p>
        <w:p>
          <w:pPr>
            <w:pStyle w:val="Contents5"/>
            <w:tabs>
              <w:tab w:val="clear" w:pos="7892"/>
              <w:tab w:val="right" w:pos="9026" w:leader="dot"/>
            </w:tabs>
            <w:rPr/>
          </w:pPr>
          <w:hyperlink w:anchor="__RefHeading___Toc794863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4</w:t>
            </w:r>
            <w:r>
              <w:rPr>
                <w:rStyle w:val="IndexLink"/>
                <w:rtl w:val="true"/>
              </w:rPr>
              <w:t xml:space="preserve">. </w:t>
            </w:r>
            <w:r>
              <w:rPr>
                <w:rStyle w:val="IndexLink"/>
                <w:rtl w:val="true"/>
              </w:rPr>
              <w:t>روش هم‌گامی ظاهری با طرف مقابل</w:t>
            </w:r>
            <w:r>
              <w:rPr>
                <w:rStyle w:val="IndexLink"/>
                <w:rtl w:val="true"/>
              </w:rPr>
              <w:tab/>
            </w:r>
            <w:r>
              <w:rPr>
                <w:rStyle w:val="IndexLink"/>
              </w:rPr>
              <w:t>65</w:t>
            </w:r>
          </w:hyperlink>
        </w:p>
        <w:p>
          <w:pPr>
            <w:pStyle w:val="Contents5"/>
            <w:tabs>
              <w:tab w:val="clear" w:pos="7892"/>
              <w:tab w:val="right" w:pos="9026" w:leader="dot"/>
            </w:tabs>
            <w:rPr/>
          </w:pPr>
          <w:hyperlink w:anchor="__RefHeading___Toc794865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5</w:t>
            </w:r>
            <w:r>
              <w:rPr>
                <w:rStyle w:val="IndexLink"/>
                <w:rtl w:val="true"/>
              </w:rPr>
              <w:t xml:space="preserve">. </w:t>
            </w:r>
            <w:r>
              <w:rPr>
                <w:rStyle w:val="IndexLink"/>
                <w:rtl w:val="true"/>
              </w:rPr>
              <w:t>روش اثبات بطلان آموزه</w:t>
            </w:r>
            <w:r>
              <w:rPr>
                <w:rStyle w:val="IndexLink"/>
                <w:rtl w:val="true"/>
              </w:rPr>
              <w:tab/>
            </w:r>
            <w:r>
              <w:rPr>
                <w:rStyle w:val="IndexLink"/>
              </w:rPr>
              <w:t>65</w:t>
            </w:r>
          </w:hyperlink>
        </w:p>
        <w:p>
          <w:pPr>
            <w:pStyle w:val="Contents5"/>
            <w:tabs>
              <w:tab w:val="clear" w:pos="7892"/>
              <w:tab w:val="right" w:pos="9026" w:leader="dot"/>
            </w:tabs>
            <w:rPr/>
          </w:pPr>
          <w:hyperlink w:anchor="__RefHeading___Toc794867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6</w:t>
            </w:r>
            <w:r>
              <w:rPr>
                <w:rStyle w:val="IndexLink"/>
                <w:rtl w:val="true"/>
              </w:rPr>
              <w:t xml:space="preserve">. </w:t>
            </w:r>
            <w:r>
              <w:rPr>
                <w:rStyle w:val="IndexLink"/>
                <w:rtl w:val="true"/>
              </w:rPr>
              <w:t>روش ارجاع به بدیهیات</w:t>
            </w:r>
            <w:r>
              <w:rPr>
                <w:rStyle w:val="IndexLink"/>
                <w:rtl w:val="true"/>
              </w:rPr>
              <w:tab/>
            </w:r>
            <w:r>
              <w:rPr>
                <w:rStyle w:val="IndexLink"/>
              </w:rPr>
              <w:t>66</w:t>
            </w:r>
          </w:hyperlink>
        </w:p>
        <w:p>
          <w:pPr>
            <w:pStyle w:val="Contents5"/>
            <w:tabs>
              <w:tab w:val="clear" w:pos="7892"/>
              <w:tab w:val="right" w:pos="9026" w:leader="dot"/>
            </w:tabs>
            <w:rPr/>
          </w:pPr>
          <w:hyperlink w:anchor="__RefHeading___Toc794869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7</w:t>
            </w:r>
            <w:r>
              <w:rPr>
                <w:rStyle w:val="IndexLink"/>
                <w:rtl w:val="true"/>
              </w:rPr>
              <w:t xml:space="preserve">. </w:t>
            </w:r>
            <w:r>
              <w:rPr>
                <w:rStyle w:val="IndexLink"/>
                <w:rtl w:val="true"/>
              </w:rPr>
              <w:t>روش بیان حکایت و مثال</w:t>
            </w:r>
            <w:r>
              <w:rPr>
                <w:rStyle w:val="IndexLink"/>
                <w:rtl w:val="true"/>
              </w:rPr>
              <w:tab/>
            </w:r>
            <w:r>
              <w:rPr>
                <w:rStyle w:val="IndexLink"/>
              </w:rPr>
              <w:t>67</w:t>
            </w:r>
          </w:hyperlink>
        </w:p>
        <w:p>
          <w:pPr>
            <w:pStyle w:val="Contents5"/>
            <w:tabs>
              <w:tab w:val="clear" w:pos="7892"/>
              <w:tab w:val="right" w:pos="9026" w:leader="dot"/>
            </w:tabs>
            <w:rPr/>
          </w:pPr>
          <w:hyperlink w:anchor="__RefHeading___Toc794871_1395250215">
            <w:r>
              <w:rPr>
                <w:webHidden/>
                <w:rStyle w:val="IndexLink"/>
              </w:rPr>
              <w:t>2</w:t>
            </w:r>
            <w:r>
              <w:rPr>
                <w:rStyle w:val="IndexLink"/>
                <w:rtl w:val="true"/>
              </w:rPr>
              <w:t>‌</w:t>
            </w:r>
            <w:r>
              <w:rPr>
                <w:rStyle w:val="IndexLink"/>
                <w:rtl w:val="true"/>
              </w:rPr>
              <w:t>ـ</w:t>
            </w:r>
            <w:r>
              <w:rPr>
                <w:rStyle w:val="IndexLink"/>
              </w:rPr>
              <w:t>‌</w:t>
            </w:r>
            <w:r>
              <w:rPr>
                <w:rStyle w:val="IndexLink"/>
              </w:rPr>
              <w:t>2</w:t>
            </w:r>
            <w:r>
              <w:rPr>
                <w:rStyle w:val="IndexLink"/>
                <w:rtl w:val="true"/>
              </w:rPr>
              <w:t>‌</w:t>
            </w:r>
            <w:r>
              <w:rPr>
                <w:rStyle w:val="IndexLink"/>
                <w:rtl w:val="true"/>
              </w:rPr>
              <w:t>ـ</w:t>
            </w:r>
            <w:r>
              <w:rPr>
                <w:rStyle w:val="IndexLink"/>
              </w:rPr>
              <w:t>‌</w:t>
            </w:r>
            <w:r>
              <w:rPr>
                <w:rStyle w:val="IndexLink"/>
              </w:rPr>
              <w:t>8</w:t>
            </w:r>
            <w:r>
              <w:rPr>
                <w:rStyle w:val="IndexLink"/>
                <w:rtl w:val="true"/>
              </w:rPr>
              <w:t xml:space="preserve">. </w:t>
            </w:r>
            <w:r>
              <w:rPr>
                <w:rStyle w:val="IndexLink"/>
                <w:rtl w:val="true"/>
              </w:rPr>
              <w:t>روش طرح سؤال و مطالبۀ دلیل از طرف مقابل</w:t>
            </w:r>
            <w:r>
              <w:rPr>
                <w:rStyle w:val="IndexLink"/>
                <w:rtl w:val="true"/>
              </w:rPr>
              <w:tab/>
            </w:r>
            <w:r>
              <w:rPr>
                <w:rStyle w:val="IndexLink"/>
              </w:rPr>
              <w:t>67</w:t>
            </w:r>
          </w:hyperlink>
        </w:p>
        <w:p>
          <w:pPr>
            <w:pStyle w:val="Contents3"/>
            <w:tabs>
              <w:tab w:val="clear" w:pos="8459"/>
              <w:tab w:val="right" w:pos="9026" w:leader="dot"/>
            </w:tabs>
            <w:rPr/>
          </w:pPr>
          <w:hyperlink w:anchor="__RefHeading___Toc794873_1395250215">
            <w:r>
              <w:rPr>
                <w:webHidden/>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794875_1395250215">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794877_1395250215">
            <w:r>
              <w:rPr>
                <w:webHidden/>
                <w:rStyle w:val="IndexLink"/>
                <w:rtl w:val="true"/>
              </w:rPr>
              <w:t>محلّ نزول اولین وحی و آثار کلامی آن</w:t>
            </w:r>
            <w:r>
              <w:rPr>
                <w:rStyle w:val="IndexLink"/>
                <w:rtl w:val="true"/>
              </w:rPr>
              <w:tab/>
            </w:r>
            <w:r>
              <w:rPr>
                <w:rStyle w:val="IndexLink"/>
              </w:rPr>
              <w:t>71</w:t>
            </w:r>
          </w:hyperlink>
        </w:p>
        <w:p>
          <w:pPr>
            <w:pStyle w:val="Contents3"/>
            <w:tabs>
              <w:tab w:val="clear" w:pos="8459"/>
              <w:tab w:val="right" w:pos="9026" w:leader="dot"/>
            </w:tabs>
            <w:rPr/>
          </w:pPr>
          <w:hyperlink w:anchor="__RefHeading___Toc794879_1395250215">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94881_1395250215">
            <w:r>
              <w:rPr>
                <w:webHidden/>
                <w:rStyle w:val="IndexLink"/>
                <w:rtl w:val="true"/>
              </w:rPr>
              <w:t>چکیده</w:t>
            </w:r>
            <w:r>
              <w:rPr>
                <w:rStyle w:val="IndexLink"/>
                <w:rtl w:val="true"/>
              </w:rPr>
              <w:tab/>
            </w:r>
            <w:r>
              <w:rPr>
                <w:rStyle w:val="IndexLink"/>
              </w:rPr>
              <w:t>71</w:t>
            </w:r>
          </w:hyperlink>
        </w:p>
        <w:p>
          <w:pPr>
            <w:pStyle w:val="Contents3"/>
            <w:tabs>
              <w:tab w:val="clear" w:pos="8459"/>
              <w:tab w:val="right" w:pos="9026" w:leader="dot"/>
            </w:tabs>
            <w:rPr/>
          </w:pPr>
          <w:hyperlink w:anchor="__RefHeading___Toc794883_1395250215">
            <w:r>
              <w:rPr>
                <w:webHidden/>
                <w:rStyle w:val="IndexLink"/>
                <w:rtl w:val="true"/>
              </w:rPr>
              <w:t>واژگان کلیدی</w:t>
            </w:r>
            <w:r>
              <w:rPr>
                <w:rStyle w:val="IndexLink"/>
                <w:rtl w:val="true"/>
              </w:rPr>
              <w:tab/>
            </w:r>
            <w:r>
              <w:rPr>
                <w:rStyle w:val="IndexLink"/>
              </w:rPr>
              <w:t>71</w:t>
            </w:r>
          </w:hyperlink>
        </w:p>
        <w:p>
          <w:pPr>
            <w:pStyle w:val="Contents3"/>
            <w:tabs>
              <w:tab w:val="clear" w:pos="8459"/>
              <w:tab w:val="right" w:pos="9026" w:leader="dot"/>
            </w:tabs>
            <w:rPr/>
          </w:pPr>
          <w:hyperlink w:anchor="__RefHeading___Toc794885_1395250215">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794887_1395250215">
            <w:r>
              <w:rPr>
                <w:webHidden/>
                <w:rStyle w:val="IndexLink"/>
                <w:rtl w:val="true"/>
              </w:rPr>
              <w:t>دیدگاه ها دربارۀ بدء الوحی</w:t>
            </w:r>
            <w:r>
              <w:rPr>
                <w:rStyle w:val="IndexLink"/>
                <w:rtl w:val="true"/>
              </w:rPr>
              <w:tab/>
            </w:r>
            <w:r>
              <w:rPr>
                <w:rStyle w:val="IndexLink"/>
              </w:rPr>
              <w:t>72</w:t>
            </w:r>
          </w:hyperlink>
        </w:p>
        <w:p>
          <w:pPr>
            <w:pStyle w:val="Contents4"/>
            <w:tabs>
              <w:tab w:val="clear" w:pos="8176"/>
              <w:tab w:val="right" w:pos="9026" w:leader="dot"/>
            </w:tabs>
            <w:rPr/>
          </w:pPr>
          <w:hyperlink w:anchor="__RefHeading___Toc794889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94891_1395250215">
            <w:r>
              <w:rPr>
                <w:webHidden/>
                <w:rStyle w:val="IndexLink"/>
              </w:rPr>
              <w:t>1</w:t>
            </w:r>
            <w:r>
              <w:rPr>
                <w:rStyle w:val="IndexLink"/>
                <w:rtl w:val="true"/>
              </w:rPr>
              <w:t xml:space="preserve">. </w:t>
            </w:r>
            <w:r>
              <w:rPr>
                <w:rStyle w:val="IndexLink"/>
                <w:rtl w:val="true"/>
              </w:rPr>
              <w:t>دیدگاه اهل سنت</w:t>
            </w:r>
            <w:r>
              <w:rPr>
                <w:rStyle w:val="IndexLink"/>
                <w:rtl w:val="true"/>
              </w:rPr>
              <w:tab/>
            </w:r>
            <w:r>
              <w:rPr>
                <w:rStyle w:val="IndexLink"/>
              </w:rPr>
              <w:t>72</w:t>
            </w:r>
          </w:hyperlink>
        </w:p>
        <w:p>
          <w:pPr>
            <w:pStyle w:val="Contents5"/>
            <w:tabs>
              <w:tab w:val="clear" w:pos="7892"/>
              <w:tab w:val="right" w:pos="9026" w:leader="dot"/>
            </w:tabs>
            <w:rPr/>
          </w:pPr>
          <w:hyperlink w:anchor="__RefHeading___Toc794893_139525021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94895_1395250215">
            <w:r>
              <w:rPr>
                <w:webHidden/>
                <w:rStyle w:val="IndexLink"/>
                <w:rtl w:val="true"/>
              </w:rPr>
              <w:t>روایتِ ابن شهاب زهری از عروۀ بن زبیر از عایشه</w:t>
            </w:r>
            <w:r>
              <w:rPr>
                <w:rStyle w:val="IndexLink"/>
                <w:rtl w:val="true"/>
              </w:rPr>
              <w:tab/>
            </w:r>
            <w:r>
              <w:rPr>
                <w:rStyle w:val="IndexLink"/>
              </w:rPr>
              <w:t>73</w:t>
            </w:r>
          </w:hyperlink>
        </w:p>
        <w:p>
          <w:pPr>
            <w:pStyle w:val="Contents6"/>
            <w:tabs>
              <w:tab w:val="clear" w:pos="7609"/>
              <w:tab w:val="right" w:pos="9026" w:leader="dot"/>
            </w:tabs>
            <w:rPr/>
          </w:pPr>
          <w:hyperlink w:anchor="__RefHeading___Toc794897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794899_1395250215">
            <w:r>
              <w:rPr>
                <w:webHidden/>
                <w:rStyle w:val="IndexLink"/>
                <w:rtl w:val="true"/>
              </w:rPr>
              <w:t>برسی سندی</w:t>
            </w:r>
            <w:r>
              <w:rPr>
                <w:rStyle w:val="IndexLink"/>
                <w:rtl w:val="true"/>
              </w:rPr>
              <w:tab/>
            </w:r>
            <w:r>
              <w:rPr>
                <w:rStyle w:val="IndexLink"/>
              </w:rPr>
              <w:t>74</w:t>
            </w:r>
          </w:hyperlink>
        </w:p>
        <w:p>
          <w:pPr>
            <w:pStyle w:val="Contents6"/>
            <w:tabs>
              <w:tab w:val="clear" w:pos="7609"/>
              <w:tab w:val="right" w:pos="9026" w:leader="dot"/>
            </w:tabs>
            <w:rPr/>
          </w:pPr>
          <w:hyperlink w:anchor="__RefHeading___Toc794901_1395250215">
            <w:r>
              <w:rPr>
                <w:webHidden/>
                <w:rStyle w:val="IndexLink"/>
                <w:rtl w:val="true"/>
              </w:rPr>
              <w:t>برسی متنی</w:t>
            </w:r>
            <w:r>
              <w:rPr>
                <w:rStyle w:val="IndexLink"/>
                <w:rtl w:val="true"/>
              </w:rPr>
              <w:tab/>
            </w:r>
            <w:r>
              <w:rPr>
                <w:rStyle w:val="IndexLink"/>
              </w:rPr>
              <w:t>74</w:t>
            </w:r>
          </w:hyperlink>
        </w:p>
        <w:p>
          <w:pPr>
            <w:pStyle w:val="Contents5"/>
            <w:tabs>
              <w:tab w:val="clear" w:pos="7892"/>
              <w:tab w:val="right" w:pos="9026" w:leader="dot"/>
            </w:tabs>
            <w:rPr/>
          </w:pPr>
          <w:hyperlink w:anchor="__RefHeading___Toc794903_1395250215">
            <w:r>
              <w:rPr>
                <w:webHidden/>
                <w:rStyle w:val="IndexLink"/>
                <w:rtl w:val="true"/>
              </w:rPr>
              <w:t>روایت ابن شهاب زهری از ابوسلمه از جابر</w:t>
            </w:r>
            <w:r>
              <w:rPr>
                <w:rStyle w:val="IndexLink"/>
                <w:rtl w:val="true"/>
              </w:rPr>
              <w:tab/>
            </w:r>
            <w:r>
              <w:rPr>
                <w:rStyle w:val="IndexLink"/>
              </w:rPr>
              <w:t>76</w:t>
            </w:r>
          </w:hyperlink>
        </w:p>
        <w:p>
          <w:pPr>
            <w:pStyle w:val="Contents5"/>
            <w:tabs>
              <w:tab w:val="clear" w:pos="7892"/>
              <w:tab w:val="right" w:pos="9026" w:leader="dot"/>
            </w:tabs>
            <w:rPr/>
          </w:pPr>
          <w:hyperlink w:anchor="__RefHeading___Toc794905_1395250215">
            <w:r>
              <w:rPr>
                <w:webHidden/>
                <w:rStyle w:val="IndexLink"/>
                <w:rtl w:val="true"/>
              </w:rPr>
              <w:t>روایت عبید بن عمیر بن قتادۀ لیثی</w:t>
            </w:r>
            <w:r>
              <w:rPr>
                <w:rStyle w:val="IndexLink"/>
                <w:rtl w:val="true"/>
              </w:rPr>
              <w:tab/>
            </w:r>
            <w:r>
              <w:rPr>
                <w:rStyle w:val="IndexLink"/>
              </w:rPr>
              <w:t>76</w:t>
            </w:r>
          </w:hyperlink>
        </w:p>
        <w:p>
          <w:pPr>
            <w:pStyle w:val="Contents6"/>
            <w:tabs>
              <w:tab w:val="clear" w:pos="7609"/>
              <w:tab w:val="right" w:pos="9026" w:leader="dot"/>
            </w:tabs>
            <w:rPr/>
          </w:pPr>
          <w:hyperlink w:anchor="__RefHeading___Toc794907_1395250215">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794909_1395250215">
            <w:r>
              <w:rPr>
                <w:webHidden/>
                <w:rStyle w:val="IndexLink"/>
                <w:rtl w:val="true"/>
              </w:rPr>
              <w:t>برسی سندی</w:t>
            </w:r>
            <w:r>
              <w:rPr>
                <w:rStyle w:val="IndexLink"/>
                <w:rtl w:val="true"/>
              </w:rPr>
              <w:tab/>
            </w:r>
            <w:r>
              <w:rPr>
                <w:rStyle w:val="IndexLink"/>
              </w:rPr>
              <w:t>77</w:t>
            </w:r>
          </w:hyperlink>
        </w:p>
        <w:p>
          <w:pPr>
            <w:pStyle w:val="Contents6"/>
            <w:tabs>
              <w:tab w:val="clear" w:pos="7609"/>
              <w:tab w:val="right" w:pos="9026" w:leader="dot"/>
            </w:tabs>
            <w:rPr/>
          </w:pPr>
          <w:hyperlink w:anchor="__RefHeading___Toc794911_1395250215">
            <w:r>
              <w:rPr>
                <w:webHidden/>
                <w:rStyle w:val="IndexLink"/>
                <w:rtl w:val="true"/>
              </w:rPr>
              <w:t>برسی محتوایی</w:t>
            </w:r>
            <w:r>
              <w:rPr>
                <w:rStyle w:val="IndexLink"/>
                <w:rtl w:val="true"/>
              </w:rPr>
              <w:tab/>
            </w:r>
            <w:r>
              <w:rPr>
                <w:rStyle w:val="IndexLink"/>
              </w:rPr>
              <w:t>77</w:t>
            </w:r>
          </w:hyperlink>
        </w:p>
        <w:p>
          <w:pPr>
            <w:pStyle w:val="Contents5"/>
            <w:tabs>
              <w:tab w:val="clear" w:pos="7892"/>
              <w:tab w:val="right" w:pos="9026" w:leader="dot"/>
            </w:tabs>
            <w:rPr/>
          </w:pPr>
          <w:hyperlink w:anchor="__RefHeading___Toc794913_1395250215">
            <w:r>
              <w:rPr>
                <w:webHidden/>
                <w:rStyle w:val="IndexLink"/>
                <w:rtl w:val="true"/>
              </w:rPr>
              <w:t>پرسش ابوذر درباره اولین نزول وحی</w:t>
            </w:r>
            <w:r>
              <w:rPr>
                <w:rStyle w:val="IndexLink"/>
                <w:rtl w:val="true"/>
              </w:rPr>
              <w:tab/>
            </w:r>
            <w:r>
              <w:rPr>
                <w:rStyle w:val="IndexLink"/>
              </w:rPr>
              <w:t>77</w:t>
            </w:r>
          </w:hyperlink>
        </w:p>
        <w:p>
          <w:pPr>
            <w:pStyle w:val="Contents6"/>
            <w:tabs>
              <w:tab w:val="clear" w:pos="7609"/>
              <w:tab w:val="right" w:pos="9026" w:leader="dot"/>
            </w:tabs>
            <w:rPr/>
          </w:pPr>
          <w:hyperlink w:anchor="__RefHeading___Toc794915_1395250215">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794917_1395250215">
            <w:r>
              <w:rPr>
                <w:webHidden/>
                <w:rStyle w:val="IndexLink"/>
                <w:rtl w:val="true"/>
              </w:rPr>
              <w:t>برسی محتوایی</w:t>
            </w:r>
            <w:r>
              <w:rPr>
                <w:rStyle w:val="IndexLink"/>
                <w:rtl w:val="true"/>
              </w:rPr>
              <w:tab/>
            </w:r>
            <w:r>
              <w:rPr>
                <w:rStyle w:val="IndexLink"/>
              </w:rPr>
              <w:t>78</w:t>
            </w:r>
          </w:hyperlink>
        </w:p>
        <w:p>
          <w:pPr>
            <w:pStyle w:val="Contents5"/>
            <w:tabs>
              <w:tab w:val="clear" w:pos="7892"/>
              <w:tab w:val="right" w:pos="9026" w:leader="dot"/>
            </w:tabs>
            <w:rPr/>
          </w:pPr>
          <w:hyperlink w:anchor="__RefHeading___Toc794919_1395250215">
            <w:r>
              <w:rPr>
                <w:webHidden/>
                <w:rStyle w:val="IndexLink"/>
                <w:rtl w:val="true"/>
              </w:rPr>
              <w:t>روایات دیگر</w:t>
            </w:r>
            <w:r>
              <w:rPr>
                <w:rStyle w:val="IndexLink"/>
                <w:rtl w:val="true"/>
              </w:rPr>
              <w:tab/>
            </w:r>
            <w:r>
              <w:rPr>
                <w:rStyle w:val="IndexLink"/>
              </w:rPr>
              <w:t>78</w:t>
            </w:r>
          </w:hyperlink>
        </w:p>
        <w:p>
          <w:pPr>
            <w:pStyle w:val="Contents6"/>
            <w:tabs>
              <w:tab w:val="clear" w:pos="7609"/>
              <w:tab w:val="right" w:pos="9026" w:leader="dot"/>
            </w:tabs>
            <w:rPr/>
          </w:pPr>
          <w:hyperlink w:anchor="__RefHeading___Toc794921_1395250215">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94923_1395250215">
            <w:r>
              <w:rPr>
                <w:webHidden/>
                <w:rStyle w:val="IndexLink"/>
                <w:rtl w:val="true"/>
              </w:rPr>
              <w:t>تلاش برای توجیه این روایات</w:t>
            </w:r>
            <w:r>
              <w:rPr>
                <w:rStyle w:val="IndexLink"/>
                <w:rtl w:val="true"/>
              </w:rPr>
              <w:tab/>
            </w:r>
            <w:r>
              <w:rPr>
                <w:rStyle w:val="IndexLink"/>
              </w:rPr>
              <w:t>78</w:t>
            </w:r>
          </w:hyperlink>
        </w:p>
        <w:p>
          <w:pPr>
            <w:pStyle w:val="Contents4"/>
            <w:tabs>
              <w:tab w:val="clear" w:pos="8176"/>
              <w:tab w:val="right" w:pos="9026" w:leader="dot"/>
            </w:tabs>
            <w:rPr/>
          </w:pPr>
          <w:hyperlink w:anchor="__RefHeading___Toc794925_1395250215">
            <w:r>
              <w:rPr>
                <w:webHidden/>
                <w:rStyle w:val="IndexLink"/>
              </w:rPr>
              <w:t>2</w:t>
            </w:r>
            <w:r>
              <w:rPr>
                <w:rStyle w:val="IndexLink"/>
                <w:rtl w:val="true"/>
              </w:rPr>
              <w:t xml:space="preserve">. </w:t>
            </w:r>
            <w:r>
              <w:rPr>
                <w:rStyle w:val="IndexLink"/>
                <w:rtl w:val="true"/>
              </w:rPr>
              <w:t>دیدگاه مستشرقان درباره روایات بداء الوحی</w:t>
            </w:r>
            <w:r>
              <w:rPr>
                <w:rStyle w:val="IndexLink"/>
                <w:rtl w:val="true"/>
              </w:rPr>
              <w:tab/>
            </w:r>
            <w:r>
              <w:rPr>
                <w:rStyle w:val="IndexLink"/>
              </w:rPr>
              <w:t>80</w:t>
            </w:r>
          </w:hyperlink>
        </w:p>
        <w:p>
          <w:pPr>
            <w:pStyle w:val="Contents4"/>
            <w:tabs>
              <w:tab w:val="clear" w:pos="8176"/>
              <w:tab w:val="right" w:pos="9026" w:leader="dot"/>
            </w:tabs>
            <w:rPr/>
          </w:pPr>
          <w:hyperlink w:anchor="__RefHeading___Toc794927_1395250215">
            <w:r>
              <w:rPr>
                <w:webHidden/>
                <w:rStyle w:val="IndexLink"/>
              </w:rPr>
              <w:t>3</w:t>
            </w:r>
            <w:r>
              <w:rPr>
                <w:rStyle w:val="IndexLink"/>
                <w:rtl w:val="true"/>
              </w:rPr>
              <w:t xml:space="preserve">. </w:t>
            </w:r>
            <w:r>
              <w:rPr>
                <w:rStyle w:val="IndexLink"/>
                <w:rtl w:val="true"/>
              </w:rPr>
              <w:t>دیدگاه امامیه</w:t>
            </w:r>
            <w:r>
              <w:rPr>
                <w:rStyle w:val="IndexLink"/>
                <w:rtl w:val="true"/>
              </w:rPr>
              <w:tab/>
            </w:r>
            <w:r>
              <w:rPr>
                <w:rStyle w:val="IndexLink"/>
              </w:rPr>
              <w:t>83</w:t>
            </w:r>
          </w:hyperlink>
        </w:p>
        <w:p>
          <w:pPr>
            <w:pStyle w:val="Contents5"/>
            <w:tabs>
              <w:tab w:val="clear" w:pos="7892"/>
              <w:tab w:val="right" w:pos="9026" w:leader="dot"/>
            </w:tabs>
            <w:rPr/>
          </w:pPr>
          <w:hyperlink w:anchor="__RefHeading___Toc794929_139525021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94931_1395250215">
            <w:r>
              <w:rPr>
                <w:webHidden/>
                <w:rStyle w:val="IndexLink"/>
                <w:rtl w:val="true"/>
              </w:rPr>
              <w:t>روایت حذیفه بن یمان</w:t>
            </w:r>
            <w:r>
              <w:rPr>
                <w:rStyle w:val="IndexLink"/>
                <w:rtl w:val="true"/>
              </w:rPr>
              <w:tab/>
            </w:r>
            <w:r>
              <w:rPr>
                <w:rStyle w:val="IndexLink"/>
              </w:rPr>
              <w:t>83</w:t>
            </w:r>
          </w:hyperlink>
        </w:p>
        <w:p>
          <w:pPr>
            <w:pStyle w:val="Contents5"/>
            <w:tabs>
              <w:tab w:val="clear" w:pos="7892"/>
              <w:tab w:val="right" w:pos="9026" w:leader="dot"/>
            </w:tabs>
            <w:rPr/>
          </w:pPr>
          <w:hyperlink w:anchor="__RefHeading___Toc794933_1395250215">
            <w:r>
              <w:rPr>
                <w:webHidden/>
                <w:rStyle w:val="IndexLink"/>
                <w:rtl w:val="true"/>
              </w:rPr>
              <w:t>روایت امام صادق</w:t>
            </w:r>
            <w:r>
              <w:rPr>
                <w:rStyle w:val="IndexLink"/>
                <w:rtl w:val="true"/>
              </w:rPr>
              <w:tab/>
            </w:r>
            <w:r>
              <w:rPr>
                <w:rStyle w:val="IndexLink"/>
              </w:rPr>
              <w:t>85</w:t>
            </w:r>
          </w:hyperlink>
        </w:p>
        <w:p>
          <w:pPr>
            <w:pStyle w:val="Contents5"/>
            <w:tabs>
              <w:tab w:val="clear" w:pos="7892"/>
              <w:tab w:val="right" w:pos="9026" w:leader="dot"/>
            </w:tabs>
            <w:rPr/>
          </w:pPr>
          <w:hyperlink w:anchor="__RefHeading___Toc794935_1395250215">
            <w:r>
              <w:rPr>
                <w:webHidden/>
                <w:rStyle w:val="IndexLink"/>
                <w:rtl w:val="true"/>
              </w:rPr>
              <w:t xml:space="preserve">روایت مسعودی در کتاب </w:t>
            </w:r>
            <w:r>
              <w:rPr>
                <w:rStyle w:val="IndexLink"/>
                <w:rtl w:val="true"/>
              </w:rPr>
              <w:t xml:space="preserve">« </w:t>
            </w:r>
            <w:r>
              <w:rPr>
                <w:rStyle w:val="IndexLink"/>
                <w:rtl w:val="true"/>
              </w:rPr>
              <w:t>اثبات الوصیله</w:t>
            </w:r>
            <w:r>
              <w:rPr>
                <w:rStyle w:val="IndexLink"/>
                <w:rtl w:val="true"/>
              </w:rPr>
              <w:t>»</w:t>
              <w:tab/>
            </w:r>
            <w:r>
              <w:rPr>
                <w:rStyle w:val="IndexLink"/>
              </w:rPr>
              <w:t>85</w:t>
            </w:r>
          </w:hyperlink>
        </w:p>
        <w:p>
          <w:pPr>
            <w:pStyle w:val="Contents5"/>
            <w:tabs>
              <w:tab w:val="clear" w:pos="7892"/>
              <w:tab w:val="right" w:pos="9026" w:leader="dot"/>
            </w:tabs>
            <w:rPr/>
          </w:pPr>
          <w:hyperlink w:anchor="__RefHeading___Toc794937_1395250215">
            <w:r>
              <w:rPr>
                <w:webHidden/>
                <w:rStyle w:val="IndexLink"/>
                <w:rtl w:val="true"/>
              </w:rPr>
              <w:t>مناشده امیر المومنین</w:t>
            </w:r>
            <w:r>
              <w:rPr>
                <w:rStyle w:val="IndexLink"/>
                <w:rtl w:val="true"/>
              </w:rPr>
              <w:tab/>
            </w:r>
            <w:r>
              <w:rPr>
                <w:rStyle w:val="IndexLink"/>
              </w:rPr>
              <w:t>86</w:t>
            </w:r>
          </w:hyperlink>
        </w:p>
        <w:p>
          <w:pPr>
            <w:pStyle w:val="Contents5"/>
            <w:tabs>
              <w:tab w:val="clear" w:pos="7892"/>
              <w:tab w:val="right" w:pos="9026" w:leader="dot"/>
            </w:tabs>
            <w:rPr/>
          </w:pPr>
          <w:hyperlink w:anchor="__RefHeading___Toc794939_1395250215">
            <w:r>
              <w:rPr>
                <w:webHidden/>
                <w:rStyle w:val="IndexLink"/>
                <w:rtl w:val="true"/>
              </w:rPr>
              <w:t>برسی روایات امامیه</w:t>
            </w:r>
            <w:r>
              <w:rPr>
                <w:rStyle w:val="IndexLink"/>
                <w:rtl w:val="true"/>
              </w:rPr>
              <w:tab/>
            </w:r>
            <w:r>
              <w:rPr>
                <w:rStyle w:val="IndexLink"/>
              </w:rPr>
              <w:t>87</w:t>
            </w:r>
          </w:hyperlink>
        </w:p>
        <w:p>
          <w:pPr>
            <w:pStyle w:val="Contents3"/>
            <w:tabs>
              <w:tab w:val="clear" w:pos="8459"/>
              <w:tab w:val="right" w:pos="9026" w:leader="dot"/>
            </w:tabs>
            <w:rPr/>
          </w:pPr>
          <w:hyperlink w:anchor="__RefHeading___Toc794941_1395250215">
            <w:r>
              <w:rPr>
                <w:webHidden/>
                <w:rStyle w:val="IndexLink"/>
                <w:rtl w:val="true"/>
              </w:rPr>
              <w:t>جمع بندی</w:t>
            </w:r>
            <w:r>
              <w:rPr>
                <w:rStyle w:val="IndexLink"/>
                <w:rtl w:val="true"/>
              </w:rPr>
              <w:tab/>
            </w:r>
            <w:r>
              <w:rPr>
                <w:rStyle w:val="IndexLink"/>
              </w:rPr>
              <w:t>88</w:t>
            </w:r>
          </w:hyperlink>
        </w:p>
        <w:p>
          <w:pPr>
            <w:pStyle w:val="Contents3"/>
            <w:tabs>
              <w:tab w:val="clear" w:pos="8459"/>
              <w:tab w:val="right" w:pos="9026" w:leader="dot"/>
            </w:tabs>
            <w:rPr/>
          </w:pPr>
          <w:hyperlink w:anchor="__RefHeading___Toc794943_1395250215">
            <w:r>
              <w:rPr>
                <w:webHidden/>
                <w:rStyle w:val="IndexLink"/>
                <w:rtl w:val="true"/>
              </w:rPr>
              <w:t>منابع</w:t>
            </w:r>
            <w:r>
              <w:rPr>
                <w:rStyle w:val="IndexLink"/>
                <w:rtl w:val="true"/>
              </w:rPr>
              <w:tab/>
            </w:r>
            <w:r>
              <w:rPr>
                <w:rStyle w:val="IndexLink"/>
              </w:rPr>
              <w:t>89</w:t>
            </w:r>
          </w:hyperlink>
        </w:p>
        <w:p>
          <w:pPr>
            <w:pStyle w:val="Contents2"/>
            <w:tabs>
              <w:tab w:val="clear" w:pos="8743"/>
              <w:tab w:val="right" w:pos="9026" w:leader="dot"/>
            </w:tabs>
            <w:rPr/>
          </w:pPr>
          <w:hyperlink w:anchor="__RefHeading___Toc794945_1395250215">
            <w:r>
              <w:rPr>
                <w:webHidden/>
                <w:rStyle w:val="IndexLink"/>
                <w:rtl w:val="true"/>
              </w:rPr>
              <w:t>حقیقتِ انسان و مرگ از دیدگاه سید مرتضی</w:t>
            </w:r>
            <w:r>
              <w:rPr>
                <w:rStyle w:val="IndexLink"/>
                <w:rtl w:val="true"/>
              </w:rPr>
              <w:tab/>
            </w:r>
            <w:r>
              <w:rPr>
                <w:rStyle w:val="IndexLink"/>
              </w:rPr>
              <w:t>93</w:t>
            </w:r>
          </w:hyperlink>
        </w:p>
        <w:p>
          <w:pPr>
            <w:pStyle w:val="Contents3"/>
            <w:tabs>
              <w:tab w:val="clear" w:pos="8459"/>
              <w:tab w:val="right" w:pos="9026" w:leader="dot"/>
            </w:tabs>
            <w:rPr/>
          </w:pPr>
          <w:hyperlink w:anchor="__RefHeading___Toc794947_1395250215">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94949_1395250215">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794951_1395250215">
            <w:r>
              <w:rPr>
                <w:webHidden/>
                <w:rStyle w:val="IndexLink"/>
                <w:rtl w:val="true"/>
              </w:rPr>
              <w:t>واژگان کلیدی</w:t>
            </w:r>
            <w:r>
              <w:rPr>
                <w:rStyle w:val="IndexLink"/>
                <w:rtl w:val="true"/>
              </w:rPr>
              <w:tab/>
            </w:r>
            <w:r>
              <w:rPr>
                <w:rStyle w:val="IndexLink"/>
              </w:rPr>
              <w:t>93</w:t>
            </w:r>
          </w:hyperlink>
        </w:p>
        <w:p>
          <w:pPr>
            <w:pStyle w:val="Contents3"/>
            <w:tabs>
              <w:tab w:val="clear" w:pos="8459"/>
              <w:tab w:val="right" w:pos="9026" w:leader="dot"/>
            </w:tabs>
            <w:rPr/>
          </w:pPr>
          <w:hyperlink w:anchor="__RefHeading___Toc794953_1395250215">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794955_1395250215">
            <w:r>
              <w:rPr>
                <w:webHidden/>
                <w:rStyle w:val="IndexLink"/>
                <w:rtl w:val="true"/>
              </w:rPr>
              <w:t>ماهیت انسان از دیدگاه سید مرتضی</w:t>
            </w:r>
            <w:r>
              <w:rPr>
                <w:rStyle w:val="IndexLink"/>
                <w:rtl w:val="true"/>
              </w:rPr>
              <w:tab/>
            </w:r>
            <w:r>
              <w:rPr>
                <w:rStyle w:val="IndexLink"/>
              </w:rPr>
              <w:t>95</w:t>
            </w:r>
          </w:hyperlink>
        </w:p>
        <w:p>
          <w:pPr>
            <w:pStyle w:val="Contents3"/>
            <w:tabs>
              <w:tab w:val="clear" w:pos="8459"/>
              <w:tab w:val="right" w:pos="9026" w:leader="dot"/>
            </w:tabs>
            <w:rPr/>
          </w:pPr>
          <w:hyperlink w:anchor="__RefHeading___Toc794957_1395250215">
            <w:r>
              <w:rPr>
                <w:webHidden/>
                <w:rStyle w:val="IndexLink"/>
                <w:rtl w:val="true"/>
              </w:rPr>
              <w:t>پیش فرضها و مقدمات دیدگاه سید مرتضی</w:t>
            </w:r>
            <w:r>
              <w:rPr>
                <w:rStyle w:val="IndexLink"/>
                <w:rtl w:val="true"/>
              </w:rPr>
              <w:tab/>
            </w:r>
            <w:r>
              <w:rPr>
                <w:rStyle w:val="IndexLink"/>
              </w:rPr>
              <w:t>96</w:t>
            </w:r>
          </w:hyperlink>
        </w:p>
        <w:p>
          <w:pPr>
            <w:pStyle w:val="Contents3"/>
            <w:tabs>
              <w:tab w:val="clear" w:pos="8459"/>
              <w:tab w:val="right" w:pos="9026" w:leader="dot"/>
            </w:tabs>
            <w:rPr/>
          </w:pPr>
          <w:hyperlink w:anchor="__RefHeading___Toc794959_1395250215">
            <w:r>
              <w:rPr>
                <w:webHidden/>
                <w:rStyle w:val="IndexLink"/>
                <w:rtl w:val="true"/>
              </w:rPr>
              <w:t>آرای متکلمان درباره چیستی مرگ</w:t>
            </w:r>
            <w:r>
              <w:rPr>
                <w:rStyle w:val="IndexLink"/>
                <w:rtl w:val="true"/>
              </w:rPr>
              <w:tab/>
            </w:r>
            <w:r>
              <w:rPr>
                <w:rStyle w:val="IndexLink"/>
              </w:rPr>
              <w:t>102</w:t>
            </w:r>
          </w:hyperlink>
        </w:p>
        <w:p>
          <w:pPr>
            <w:pStyle w:val="Contents3"/>
            <w:tabs>
              <w:tab w:val="clear" w:pos="8459"/>
              <w:tab w:val="right" w:pos="9026" w:leader="dot"/>
            </w:tabs>
            <w:rPr/>
          </w:pPr>
          <w:hyperlink w:anchor="__RefHeading___Toc794961_1395250215">
            <w:r>
              <w:rPr>
                <w:webHidden/>
                <w:rStyle w:val="IndexLink"/>
                <w:rtl w:val="true"/>
              </w:rPr>
              <w:t>نقد نظریه سید مرتضی درباره فنا</w:t>
            </w:r>
            <w:r>
              <w:rPr>
                <w:rStyle w:val="IndexLink"/>
                <w:rtl w:val="true"/>
              </w:rPr>
              <w:tab/>
            </w:r>
            <w:r>
              <w:rPr>
                <w:rStyle w:val="IndexLink"/>
              </w:rPr>
              <w:t>105</w:t>
            </w:r>
          </w:hyperlink>
        </w:p>
        <w:p>
          <w:pPr>
            <w:pStyle w:val="Contents3"/>
            <w:tabs>
              <w:tab w:val="clear" w:pos="8459"/>
              <w:tab w:val="right" w:pos="9026" w:leader="dot"/>
            </w:tabs>
            <w:rPr/>
          </w:pPr>
          <w:hyperlink w:anchor="__RefHeading___Toc794963_1395250215">
            <w:r>
              <w:rPr>
                <w:webHidden/>
                <w:rStyle w:val="IndexLink"/>
                <w:rtl w:val="true"/>
              </w:rPr>
              <w:t>ماهیت مرگ از دیدگاه سید مرتضی</w:t>
            </w:r>
            <w:r>
              <w:rPr>
                <w:rStyle w:val="IndexLink"/>
                <w:rtl w:val="true"/>
              </w:rPr>
              <w:tab/>
            </w:r>
            <w:r>
              <w:rPr>
                <w:rStyle w:val="IndexLink"/>
              </w:rPr>
              <w:t>107</w:t>
            </w:r>
          </w:hyperlink>
        </w:p>
        <w:p>
          <w:pPr>
            <w:pStyle w:val="Contents3"/>
            <w:tabs>
              <w:tab w:val="clear" w:pos="8459"/>
              <w:tab w:val="right" w:pos="9026" w:leader="dot"/>
            </w:tabs>
            <w:rPr/>
          </w:pPr>
          <w:hyperlink w:anchor="__RefHeading___Toc794965_1395250215">
            <w:r>
              <w:rPr>
                <w:webHidden/>
                <w:rStyle w:val="IndexLink"/>
                <w:rtl w:val="true"/>
              </w:rPr>
              <w:t>نتیجه</w:t>
            </w:r>
            <w:r>
              <w:rPr>
                <w:rStyle w:val="IndexLink"/>
                <w:rtl w:val="true"/>
              </w:rPr>
              <w:tab/>
            </w:r>
            <w:r>
              <w:rPr>
                <w:rStyle w:val="IndexLink"/>
              </w:rPr>
              <w:t>108</w:t>
            </w:r>
          </w:hyperlink>
        </w:p>
        <w:p>
          <w:pPr>
            <w:pStyle w:val="Contents3"/>
            <w:tabs>
              <w:tab w:val="clear" w:pos="8459"/>
              <w:tab w:val="right" w:pos="9026" w:leader="dot"/>
            </w:tabs>
            <w:rPr/>
          </w:pPr>
          <w:hyperlink w:anchor="__RefHeading___Toc794967_1395250215">
            <w:r>
              <w:rPr>
                <w:webHidden/>
                <w:rStyle w:val="IndexLink"/>
                <w:rtl w:val="true"/>
              </w:rPr>
              <w:t>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794969_1395250215">
            <w:r>
              <w:rPr>
                <w:webHidden/>
                <w:rStyle w:val="IndexLink"/>
                <w:rtl w:val="true"/>
              </w:rPr>
              <w:t>گسترۀ مسئولیت انسان از دیدگاه قاضی عبدالجبار همدانی</w:t>
            </w:r>
            <w:r>
              <w:rPr>
                <w:rStyle w:val="IndexLink"/>
                <w:rtl w:val="true"/>
              </w:rPr>
              <w:tab/>
            </w:r>
            <w:r>
              <w:rPr>
                <w:rStyle w:val="IndexLink"/>
              </w:rPr>
              <w:t>111</w:t>
            </w:r>
          </w:hyperlink>
        </w:p>
        <w:p>
          <w:pPr>
            <w:pStyle w:val="Contents3"/>
            <w:tabs>
              <w:tab w:val="clear" w:pos="8459"/>
              <w:tab w:val="right" w:pos="9026" w:leader="dot"/>
            </w:tabs>
            <w:rPr/>
          </w:pPr>
          <w:hyperlink w:anchor="__RefHeading___Toc794971_1395250215">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794973_1395250215">
            <w:r>
              <w:rPr>
                <w:webHidden/>
                <w:rStyle w:val="IndexLink"/>
                <w:rtl w:val="true"/>
              </w:rPr>
              <w:t>چکیده</w:t>
            </w:r>
            <w:r>
              <w:rPr>
                <w:rStyle w:val="IndexLink"/>
                <w:rtl w:val="true"/>
              </w:rPr>
              <w:tab/>
            </w:r>
            <w:r>
              <w:rPr>
                <w:rStyle w:val="IndexLink"/>
              </w:rPr>
              <w:t>111</w:t>
            </w:r>
          </w:hyperlink>
        </w:p>
        <w:p>
          <w:pPr>
            <w:pStyle w:val="Contents3"/>
            <w:tabs>
              <w:tab w:val="clear" w:pos="8459"/>
              <w:tab w:val="right" w:pos="9026" w:leader="dot"/>
            </w:tabs>
            <w:rPr/>
          </w:pPr>
          <w:hyperlink w:anchor="__RefHeading___Toc794975_1395250215">
            <w:r>
              <w:rPr>
                <w:webHidden/>
                <w:rStyle w:val="IndexLink"/>
                <w:rtl w:val="true"/>
              </w:rPr>
              <w:t>واژگان کلیدی</w:t>
            </w:r>
            <w:r>
              <w:rPr>
                <w:rStyle w:val="IndexLink"/>
                <w:rtl w:val="true"/>
              </w:rPr>
              <w:tab/>
            </w:r>
            <w:r>
              <w:rPr>
                <w:rStyle w:val="IndexLink"/>
              </w:rPr>
              <w:t>111</w:t>
            </w:r>
          </w:hyperlink>
        </w:p>
        <w:p>
          <w:pPr>
            <w:pStyle w:val="Contents3"/>
            <w:tabs>
              <w:tab w:val="clear" w:pos="8459"/>
              <w:tab w:val="right" w:pos="9026" w:leader="dot"/>
            </w:tabs>
            <w:rPr/>
          </w:pPr>
          <w:hyperlink w:anchor="__RefHeading___Toc794977_1395250215">
            <w:r>
              <w:rPr>
                <w:webHidden/>
                <w:rStyle w:val="IndexLink"/>
                <w:rtl w:val="true"/>
              </w:rPr>
              <w:t>مقدمه</w:t>
            </w:r>
            <w:r>
              <w:rPr>
                <w:rStyle w:val="IndexLink"/>
                <w:rtl w:val="true"/>
              </w:rPr>
              <w:tab/>
            </w:r>
            <w:r>
              <w:rPr>
                <w:rStyle w:val="IndexLink"/>
              </w:rPr>
              <w:t>112</w:t>
            </w:r>
          </w:hyperlink>
        </w:p>
        <w:p>
          <w:pPr>
            <w:pStyle w:val="Contents3"/>
            <w:tabs>
              <w:tab w:val="clear" w:pos="8459"/>
              <w:tab w:val="right" w:pos="9026" w:leader="dot"/>
            </w:tabs>
            <w:rPr/>
          </w:pPr>
          <w:hyperlink w:anchor="__RefHeading___Toc794979_1395250215">
            <w:r>
              <w:rPr>
                <w:webHidden/>
                <w:rStyle w:val="IndexLink"/>
                <w:rtl w:val="true"/>
              </w:rPr>
              <w:t>مسئولیت و شرایط تحقق آن</w:t>
            </w:r>
            <w:r>
              <w:rPr>
                <w:rStyle w:val="IndexLink"/>
                <w:rtl w:val="true"/>
              </w:rPr>
              <w:tab/>
            </w:r>
            <w:r>
              <w:rPr>
                <w:rStyle w:val="IndexLink"/>
              </w:rPr>
              <w:t>112</w:t>
            </w:r>
          </w:hyperlink>
        </w:p>
        <w:p>
          <w:pPr>
            <w:pStyle w:val="Contents4"/>
            <w:tabs>
              <w:tab w:val="clear" w:pos="8176"/>
              <w:tab w:val="right" w:pos="9026" w:leader="dot"/>
            </w:tabs>
            <w:rPr/>
          </w:pPr>
          <w:hyperlink w:anchor="__RefHeading___Toc794981_139525021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94983_1395250215">
            <w:r>
              <w:rPr>
                <w:webHidden/>
                <w:rStyle w:val="IndexLink"/>
                <w:rtl w:val="true"/>
              </w:rPr>
              <w:t>الف</w:t>
            </w:r>
            <w:r>
              <w:rPr>
                <w:rStyle w:val="IndexLink"/>
                <w:rtl w:val="true"/>
              </w:rPr>
              <w:t xml:space="preserve">) </w:t>
            </w:r>
            <w:r>
              <w:rPr>
                <w:rStyle w:val="IndexLink"/>
                <w:rtl w:val="true"/>
              </w:rPr>
              <w:t>تعریف مسئولیت</w:t>
            </w:r>
            <w:r>
              <w:rPr>
                <w:rStyle w:val="IndexLink"/>
                <w:rtl w:val="true"/>
              </w:rPr>
              <w:tab/>
            </w:r>
            <w:r>
              <w:rPr>
                <w:rStyle w:val="IndexLink"/>
              </w:rPr>
              <w:t>113</w:t>
            </w:r>
          </w:hyperlink>
        </w:p>
        <w:p>
          <w:pPr>
            <w:pStyle w:val="Contents4"/>
            <w:tabs>
              <w:tab w:val="clear" w:pos="8176"/>
              <w:tab w:val="right" w:pos="9026" w:leader="dot"/>
            </w:tabs>
            <w:rPr/>
          </w:pPr>
          <w:hyperlink w:anchor="__RefHeading___Toc794985_1395250215">
            <w:r>
              <w:rPr>
                <w:webHidden/>
                <w:rStyle w:val="IndexLink"/>
                <w:rtl w:val="true"/>
              </w:rPr>
              <w:t>ب</w:t>
            </w:r>
            <w:r>
              <w:rPr>
                <w:rStyle w:val="IndexLink"/>
                <w:rtl w:val="true"/>
              </w:rPr>
              <w:t xml:space="preserve">) </w:t>
            </w:r>
            <w:r>
              <w:rPr>
                <w:rStyle w:val="IndexLink"/>
                <w:rtl w:val="true"/>
              </w:rPr>
              <w:t>شرایط مسئولیت</w:t>
            </w:r>
            <w:r>
              <w:rPr>
                <w:rStyle w:val="IndexLink"/>
                <w:rtl w:val="true"/>
              </w:rPr>
              <w:tab/>
            </w:r>
            <w:r>
              <w:rPr>
                <w:rStyle w:val="IndexLink"/>
              </w:rPr>
              <w:t>113</w:t>
            </w:r>
          </w:hyperlink>
        </w:p>
        <w:p>
          <w:pPr>
            <w:pStyle w:val="Contents5"/>
            <w:tabs>
              <w:tab w:val="clear" w:pos="7892"/>
              <w:tab w:val="right" w:pos="9026" w:leader="dot"/>
            </w:tabs>
            <w:rPr/>
          </w:pPr>
          <w:hyperlink w:anchor="__RefHeading___Toc794987_139525021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94989_1395250215">
            <w:r>
              <w:rPr>
                <w:webHidden/>
                <w:rStyle w:val="IndexLink"/>
              </w:rPr>
              <w:t>1</w:t>
            </w:r>
            <w:r>
              <w:rPr>
                <w:rStyle w:val="IndexLink"/>
                <w:rtl w:val="true"/>
              </w:rPr>
              <w:t xml:space="preserve">. </w:t>
            </w:r>
            <w:r>
              <w:rPr>
                <w:rStyle w:val="IndexLink"/>
                <w:rtl w:val="true"/>
              </w:rPr>
              <w:t>اختیار یا آزادی اراده</w:t>
            </w:r>
            <w:r>
              <w:rPr>
                <w:rStyle w:val="IndexLink"/>
                <w:rtl w:val="true"/>
              </w:rPr>
              <w:t>:</w:t>
              <w:tab/>
            </w:r>
            <w:r>
              <w:rPr>
                <w:rStyle w:val="IndexLink"/>
              </w:rPr>
              <w:t>114</w:t>
            </w:r>
          </w:hyperlink>
        </w:p>
        <w:p>
          <w:pPr>
            <w:pStyle w:val="Contents5"/>
            <w:tabs>
              <w:tab w:val="clear" w:pos="7892"/>
              <w:tab w:val="right" w:pos="9026" w:leader="dot"/>
            </w:tabs>
            <w:rPr/>
          </w:pPr>
          <w:hyperlink w:anchor="__RefHeading___Toc794991_1395250215">
            <w:r>
              <w:rPr>
                <w:webHidden/>
                <w:rStyle w:val="IndexLink"/>
              </w:rPr>
              <w:t>2</w:t>
            </w:r>
            <w:r>
              <w:rPr>
                <w:rStyle w:val="IndexLink"/>
                <w:rtl w:val="true"/>
              </w:rPr>
              <w:t xml:space="preserve">. </w:t>
            </w:r>
            <w:r>
              <w:rPr>
                <w:rStyle w:val="IndexLink"/>
                <w:rtl w:val="true"/>
              </w:rPr>
              <w:t>اراده</w:t>
            </w:r>
            <w:r>
              <w:rPr>
                <w:rStyle w:val="IndexLink"/>
                <w:rtl w:val="true"/>
              </w:rPr>
              <w:t>:</w:t>
              <w:tab/>
            </w:r>
            <w:r>
              <w:rPr>
                <w:rStyle w:val="IndexLink"/>
              </w:rPr>
              <w:t>115</w:t>
            </w:r>
          </w:hyperlink>
        </w:p>
        <w:p>
          <w:pPr>
            <w:pStyle w:val="Contents5"/>
            <w:tabs>
              <w:tab w:val="clear" w:pos="7892"/>
              <w:tab w:val="right" w:pos="9026" w:leader="dot"/>
            </w:tabs>
            <w:rPr/>
          </w:pPr>
          <w:hyperlink w:anchor="__RefHeading___Toc794993_1395250215">
            <w:r>
              <w:rPr>
                <w:webHidden/>
                <w:rStyle w:val="IndexLink"/>
              </w:rPr>
              <w:t>3</w:t>
            </w:r>
            <w:r>
              <w:rPr>
                <w:rStyle w:val="IndexLink"/>
                <w:rtl w:val="true"/>
              </w:rPr>
              <w:t xml:space="preserve">. </w:t>
            </w:r>
            <w:r>
              <w:rPr>
                <w:rStyle w:val="IndexLink"/>
                <w:rtl w:val="true"/>
              </w:rPr>
              <w:t>قدرت</w:t>
            </w:r>
            <w:r>
              <w:rPr>
                <w:rStyle w:val="IndexLink"/>
                <w:rtl w:val="true"/>
              </w:rPr>
              <w:t>:</w:t>
              <w:tab/>
            </w:r>
            <w:r>
              <w:rPr>
                <w:rStyle w:val="IndexLink"/>
              </w:rPr>
              <w:t>116</w:t>
            </w:r>
          </w:hyperlink>
        </w:p>
        <w:p>
          <w:pPr>
            <w:pStyle w:val="Contents5"/>
            <w:tabs>
              <w:tab w:val="clear" w:pos="7892"/>
              <w:tab w:val="right" w:pos="9026" w:leader="dot"/>
            </w:tabs>
            <w:rPr/>
          </w:pPr>
          <w:hyperlink w:anchor="__RefHeading___Toc794995_1395250215">
            <w:r>
              <w:rPr>
                <w:webHidden/>
                <w:rStyle w:val="IndexLink"/>
              </w:rPr>
              <w:t>4</w:t>
            </w:r>
            <w:r>
              <w:rPr>
                <w:rStyle w:val="IndexLink"/>
                <w:rtl w:val="true"/>
              </w:rPr>
              <w:t xml:space="preserve">. </w:t>
            </w:r>
            <w:r>
              <w:rPr>
                <w:rStyle w:val="IndexLink"/>
                <w:rtl w:val="true"/>
              </w:rPr>
              <w:t>عقل و علم</w:t>
            </w:r>
            <w:r>
              <w:rPr>
                <w:rStyle w:val="IndexLink"/>
                <w:rtl w:val="true"/>
              </w:rPr>
              <w:t>:</w:t>
              <w:tab/>
            </w:r>
            <w:r>
              <w:rPr>
                <w:rStyle w:val="IndexLink"/>
              </w:rPr>
              <w:t>117</w:t>
            </w:r>
          </w:hyperlink>
        </w:p>
        <w:p>
          <w:pPr>
            <w:pStyle w:val="Contents3"/>
            <w:tabs>
              <w:tab w:val="clear" w:pos="8459"/>
              <w:tab w:val="right" w:pos="9026" w:leader="dot"/>
            </w:tabs>
            <w:rPr/>
          </w:pPr>
          <w:hyperlink w:anchor="__RefHeading___Toc794997_1395250215">
            <w:r>
              <w:rPr>
                <w:webHidden/>
                <w:rStyle w:val="IndexLink"/>
                <w:rtl w:val="true"/>
              </w:rPr>
              <w:t>انواع فعل</w:t>
            </w:r>
            <w:r>
              <w:rPr>
                <w:rStyle w:val="IndexLink"/>
                <w:rtl w:val="true"/>
              </w:rPr>
              <w:tab/>
            </w:r>
            <w:r>
              <w:rPr>
                <w:rStyle w:val="IndexLink"/>
              </w:rPr>
              <w:t>118</w:t>
            </w:r>
          </w:hyperlink>
        </w:p>
        <w:p>
          <w:pPr>
            <w:pStyle w:val="Contents4"/>
            <w:tabs>
              <w:tab w:val="clear" w:pos="8176"/>
              <w:tab w:val="right" w:pos="9026" w:leader="dot"/>
            </w:tabs>
            <w:rPr/>
          </w:pPr>
          <w:hyperlink w:anchor="__RefHeading___Toc794999_139525021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95001_1395250215">
            <w:r>
              <w:rPr>
                <w:webHidden/>
                <w:rStyle w:val="IndexLink"/>
                <w:rtl w:val="true"/>
              </w:rPr>
              <w:t>الف</w:t>
            </w:r>
            <w:r>
              <w:rPr>
                <w:rStyle w:val="IndexLink"/>
                <w:rtl w:val="true"/>
              </w:rPr>
              <w:t xml:space="preserve">) </w:t>
            </w:r>
            <w:r>
              <w:rPr>
                <w:rStyle w:val="IndexLink"/>
                <w:rtl w:val="true"/>
              </w:rPr>
              <w:t>تقسیم فعل با توجه به نحوه انجام فعل</w:t>
            </w:r>
            <w:r>
              <w:rPr>
                <w:rStyle w:val="IndexLink"/>
                <w:rtl w:val="true"/>
              </w:rPr>
              <w:tab/>
            </w:r>
            <w:r>
              <w:rPr>
                <w:rStyle w:val="IndexLink"/>
              </w:rPr>
              <w:t>118</w:t>
            </w:r>
          </w:hyperlink>
        </w:p>
        <w:p>
          <w:pPr>
            <w:pStyle w:val="Contents5"/>
            <w:tabs>
              <w:tab w:val="clear" w:pos="7892"/>
              <w:tab w:val="right" w:pos="9026" w:leader="dot"/>
            </w:tabs>
            <w:rPr/>
          </w:pPr>
          <w:hyperlink w:anchor="__RefHeading___Toc795003_139525021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95005_1395250215">
            <w:r>
              <w:rPr>
                <w:webHidden/>
                <w:rStyle w:val="IndexLink"/>
              </w:rPr>
              <w:t>1</w:t>
            </w:r>
            <w:r>
              <w:rPr>
                <w:rStyle w:val="IndexLink"/>
                <w:rtl w:val="true"/>
              </w:rPr>
              <w:t xml:space="preserve">. </w:t>
            </w:r>
            <w:r>
              <w:rPr>
                <w:rStyle w:val="IndexLink"/>
                <w:rtl w:val="true"/>
              </w:rPr>
              <w:t>فعل مخترع</w:t>
            </w:r>
            <w:r>
              <w:rPr>
                <w:rStyle w:val="IndexLink"/>
                <w:rtl w:val="true"/>
              </w:rPr>
              <w:tab/>
            </w:r>
            <w:r>
              <w:rPr>
                <w:rStyle w:val="IndexLink"/>
              </w:rPr>
              <w:t>118</w:t>
            </w:r>
          </w:hyperlink>
        </w:p>
        <w:p>
          <w:pPr>
            <w:pStyle w:val="Contents5"/>
            <w:tabs>
              <w:tab w:val="clear" w:pos="7892"/>
              <w:tab w:val="right" w:pos="9026" w:leader="dot"/>
            </w:tabs>
            <w:rPr/>
          </w:pPr>
          <w:hyperlink w:anchor="__RefHeading___Toc795007_1395250215">
            <w:r>
              <w:rPr>
                <w:webHidden/>
                <w:rStyle w:val="IndexLink"/>
              </w:rPr>
              <w:t>2</w:t>
            </w:r>
            <w:r>
              <w:rPr>
                <w:rStyle w:val="IndexLink"/>
                <w:rtl w:val="true"/>
              </w:rPr>
              <w:t xml:space="preserve">. </w:t>
            </w:r>
            <w:r>
              <w:rPr>
                <w:rStyle w:val="IndexLink"/>
                <w:rtl w:val="true"/>
              </w:rPr>
              <w:t>فعل مباشر</w:t>
            </w:r>
            <w:r>
              <w:rPr>
                <w:rStyle w:val="IndexLink"/>
                <w:rtl w:val="true"/>
              </w:rPr>
              <w:tab/>
            </w:r>
            <w:r>
              <w:rPr>
                <w:rStyle w:val="IndexLink"/>
              </w:rPr>
              <w:t>119</w:t>
            </w:r>
          </w:hyperlink>
        </w:p>
        <w:p>
          <w:pPr>
            <w:pStyle w:val="Contents5"/>
            <w:tabs>
              <w:tab w:val="clear" w:pos="7892"/>
              <w:tab w:val="right" w:pos="9026" w:leader="dot"/>
            </w:tabs>
            <w:rPr/>
          </w:pPr>
          <w:hyperlink w:anchor="__RefHeading___Toc795009_1395250215">
            <w:r>
              <w:rPr>
                <w:webHidden/>
                <w:rStyle w:val="IndexLink"/>
              </w:rPr>
              <w:t>3</w:t>
            </w:r>
            <w:r>
              <w:rPr>
                <w:rStyle w:val="IndexLink"/>
                <w:rtl w:val="true"/>
              </w:rPr>
              <w:t xml:space="preserve">. </w:t>
            </w:r>
            <w:r>
              <w:rPr>
                <w:rStyle w:val="IndexLink"/>
                <w:rtl w:val="true"/>
              </w:rPr>
              <w:t>فعل متولد</w:t>
            </w:r>
            <w:r>
              <w:rPr>
                <w:rStyle w:val="IndexLink"/>
                <w:rtl w:val="true"/>
              </w:rPr>
              <w:tab/>
            </w:r>
            <w:r>
              <w:rPr>
                <w:rStyle w:val="IndexLink"/>
              </w:rPr>
              <w:t>119</w:t>
            </w:r>
          </w:hyperlink>
        </w:p>
        <w:p>
          <w:pPr>
            <w:pStyle w:val="Contents4"/>
            <w:tabs>
              <w:tab w:val="clear" w:pos="8176"/>
              <w:tab w:val="right" w:pos="9026" w:leader="dot"/>
            </w:tabs>
            <w:rPr/>
          </w:pPr>
          <w:hyperlink w:anchor="__RefHeading___Toc795011_1395250215">
            <w:r>
              <w:rPr>
                <w:webHidden/>
                <w:rStyle w:val="IndexLink"/>
                <w:rtl w:val="true"/>
              </w:rPr>
              <w:t>ب</w:t>
            </w:r>
            <w:r>
              <w:rPr>
                <w:rStyle w:val="IndexLink"/>
                <w:rtl w:val="true"/>
              </w:rPr>
              <w:t xml:space="preserve">) </w:t>
            </w:r>
            <w:r>
              <w:rPr>
                <w:rStyle w:val="IndexLink"/>
                <w:rtl w:val="true"/>
              </w:rPr>
              <w:t>تقسیم فعل با بوجه به احکام آنها</w:t>
            </w:r>
            <w:r>
              <w:rPr>
                <w:rStyle w:val="IndexLink"/>
                <w:rtl w:val="true"/>
              </w:rPr>
              <w:tab/>
            </w:r>
            <w:r>
              <w:rPr>
                <w:rStyle w:val="IndexLink"/>
              </w:rPr>
              <w:t>120</w:t>
            </w:r>
          </w:hyperlink>
        </w:p>
        <w:p>
          <w:pPr>
            <w:pStyle w:val="Contents3"/>
            <w:tabs>
              <w:tab w:val="clear" w:pos="8459"/>
              <w:tab w:val="right" w:pos="9026" w:leader="dot"/>
            </w:tabs>
            <w:rPr/>
          </w:pPr>
          <w:hyperlink w:anchor="__RefHeading___Toc795013_1395250215">
            <w:r>
              <w:rPr>
                <w:webHidden/>
                <w:rStyle w:val="IndexLink"/>
                <w:rtl w:val="true"/>
              </w:rPr>
              <w:t>آرای گوناگوندرباره میزان فاعلیت انسان نسبت به افعال مختلف</w:t>
            </w:r>
            <w:r>
              <w:rPr>
                <w:rStyle w:val="IndexLink"/>
                <w:rtl w:val="true"/>
              </w:rPr>
              <w:tab/>
            </w:r>
            <w:r>
              <w:rPr>
                <w:rStyle w:val="IndexLink"/>
              </w:rPr>
              <w:t>121</w:t>
            </w:r>
          </w:hyperlink>
        </w:p>
        <w:p>
          <w:pPr>
            <w:pStyle w:val="Contents4"/>
            <w:tabs>
              <w:tab w:val="clear" w:pos="8176"/>
              <w:tab w:val="right" w:pos="9026" w:leader="dot"/>
            </w:tabs>
            <w:rPr/>
          </w:pPr>
          <w:hyperlink w:anchor="__RefHeading___Toc795015_139525021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95017_1395250215">
            <w:r>
              <w:rPr>
                <w:webHidden/>
                <w:rStyle w:val="IndexLink"/>
                <w:rtl w:val="true"/>
              </w:rPr>
              <w:t>الف</w:t>
            </w:r>
            <w:r>
              <w:rPr>
                <w:rStyle w:val="IndexLink"/>
                <w:rtl w:val="true"/>
              </w:rPr>
              <w:t xml:space="preserve">) </w:t>
            </w:r>
            <w:r>
              <w:rPr>
                <w:rStyle w:val="IndexLink"/>
                <w:rtl w:val="true"/>
              </w:rPr>
              <w:t>کسانی که فاعلیتی برای انسان قائل نیستند</w:t>
            </w:r>
            <w:r>
              <w:rPr>
                <w:rStyle w:val="IndexLink"/>
                <w:rtl w:val="true"/>
              </w:rPr>
              <w:tab/>
            </w:r>
            <w:r>
              <w:rPr>
                <w:rStyle w:val="IndexLink"/>
              </w:rPr>
              <w:t>121</w:t>
            </w:r>
          </w:hyperlink>
        </w:p>
        <w:p>
          <w:pPr>
            <w:pStyle w:val="Contents4"/>
            <w:tabs>
              <w:tab w:val="clear" w:pos="8176"/>
              <w:tab w:val="right" w:pos="9026" w:leader="dot"/>
            </w:tabs>
            <w:rPr/>
          </w:pPr>
          <w:hyperlink w:anchor="__RefHeading___Toc795019_1395250215">
            <w:r>
              <w:rPr>
                <w:webHidden/>
                <w:rStyle w:val="IndexLink"/>
                <w:rtl w:val="true"/>
              </w:rPr>
              <w:t>ب</w:t>
            </w:r>
            <w:r>
              <w:rPr>
                <w:rStyle w:val="IndexLink"/>
                <w:rtl w:val="true"/>
              </w:rPr>
              <w:t xml:space="preserve">) </w:t>
            </w:r>
            <w:r>
              <w:rPr>
                <w:rStyle w:val="IndexLink"/>
                <w:rtl w:val="true"/>
              </w:rPr>
              <w:t>کسانی که قائل به فاعلیت انسان هستند</w:t>
            </w:r>
            <w:r>
              <w:rPr>
                <w:rStyle w:val="IndexLink"/>
                <w:rtl w:val="true"/>
              </w:rPr>
              <w:tab/>
            </w:r>
            <w:r>
              <w:rPr>
                <w:rStyle w:val="IndexLink"/>
              </w:rPr>
              <w:t>124</w:t>
            </w:r>
          </w:hyperlink>
        </w:p>
        <w:p>
          <w:pPr>
            <w:pStyle w:val="Contents3"/>
            <w:tabs>
              <w:tab w:val="clear" w:pos="8459"/>
              <w:tab w:val="right" w:pos="9026" w:leader="dot"/>
            </w:tabs>
            <w:rPr/>
          </w:pPr>
          <w:hyperlink w:anchor="__RefHeading___Toc795021_1395250215">
            <w:r>
              <w:rPr>
                <w:webHidden/>
                <w:rStyle w:val="IndexLink"/>
                <w:rtl w:val="true"/>
              </w:rPr>
              <w:t>مصادیق هر قسم از افعال</w:t>
            </w:r>
            <w:r>
              <w:rPr>
                <w:rStyle w:val="IndexLink"/>
                <w:rtl w:val="true"/>
              </w:rPr>
              <w:tab/>
            </w:r>
            <w:r>
              <w:rPr>
                <w:rStyle w:val="IndexLink"/>
              </w:rPr>
              <w:t>127</w:t>
            </w:r>
          </w:hyperlink>
        </w:p>
        <w:p>
          <w:pPr>
            <w:pStyle w:val="Contents4"/>
            <w:tabs>
              <w:tab w:val="clear" w:pos="8176"/>
              <w:tab w:val="right" w:pos="9026" w:leader="dot"/>
            </w:tabs>
            <w:rPr/>
          </w:pPr>
          <w:hyperlink w:anchor="__RefHeading___Toc795023_139525021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95025_1395250215">
            <w:r>
              <w:rPr>
                <w:webHidden/>
                <w:rStyle w:val="IndexLink"/>
                <w:rtl w:val="true"/>
              </w:rPr>
              <w:t>افعال صادر شده از انسان از نظر قاضی عبد الجبار</w:t>
            </w:r>
            <w:r>
              <w:rPr>
                <w:rStyle w:val="IndexLink"/>
                <w:rtl w:val="true"/>
              </w:rPr>
              <w:tab/>
            </w:r>
            <w:r>
              <w:rPr>
                <w:rStyle w:val="IndexLink"/>
              </w:rPr>
              <w:t>128</w:t>
            </w:r>
          </w:hyperlink>
        </w:p>
        <w:p>
          <w:pPr>
            <w:pStyle w:val="Contents5"/>
            <w:tabs>
              <w:tab w:val="clear" w:pos="7892"/>
              <w:tab w:val="right" w:pos="9026" w:leader="dot"/>
            </w:tabs>
            <w:rPr/>
          </w:pPr>
          <w:hyperlink w:anchor="__RefHeading___Toc795027_1395250215">
            <w:r>
              <w:rPr>
                <w:webHidden/>
                <w:rStyle w:val="IndexLink"/>
                <w:rtl w:val="true"/>
              </w:rPr>
              <w:t>الف</w:t>
            </w:r>
            <w:r>
              <w:rPr>
                <w:rStyle w:val="IndexLink"/>
                <w:rtl w:val="true"/>
              </w:rPr>
              <w:t xml:space="preserve">) </w:t>
            </w:r>
            <w:r>
              <w:rPr>
                <w:rStyle w:val="IndexLink"/>
                <w:rtl w:val="true"/>
              </w:rPr>
              <w:t>افعالی که فقط به صورت مباشر از انسان صادر می شوند</w:t>
            </w:r>
            <w:r>
              <w:rPr>
                <w:rStyle w:val="IndexLink"/>
                <w:rtl w:val="true"/>
              </w:rPr>
              <w:t>:</w:t>
              <w:tab/>
            </w:r>
            <w:r>
              <w:rPr>
                <w:rStyle w:val="IndexLink"/>
              </w:rPr>
              <w:t>128</w:t>
            </w:r>
          </w:hyperlink>
        </w:p>
        <w:p>
          <w:pPr>
            <w:pStyle w:val="Contents5"/>
            <w:tabs>
              <w:tab w:val="clear" w:pos="7892"/>
              <w:tab w:val="right" w:pos="9026" w:leader="dot"/>
            </w:tabs>
            <w:rPr/>
          </w:pPr>
          <w:hyperlink w:anchor="__RefHeading___Toc795029_1395250215">
            <w:r>
              <w:rPr>
                <w:webHidden/>
                <w:rStyle w:val="IndexLink"/>
                <w:rtl w:val="true"/>
              </w:rPr>
              <w:t>ب</w:t>
            </w:r>
            <w:r>
              <w:rPr>
                <w:rStyle w:val="IndexLink"/>
                <w:rtl w:val="true"/>
              </w:rPr>
              <w:t xml:space="preserve">) </w:t>
            </w:r>
            <w:r>
              <w:rPr>
                <w:rStyle w:val="IndexLink"/>
                <w:rtl w:val="true"/>
              </w:rPr>
              <w:t>افعالی که فقط به صورت متولد از انسان صادر می شوند</w:t>
            </w:r>
            <w:r>
              <w:rPr>
                <w:rStyle w:val="IndexLink"/>
                <w:rtl w:val="true"/>
              </w:rPr>
              <w:t>:</w:t>
              <w:tab/>
            </w:r>
            <w:r>
              <w:rPr>
                <w:rStyle w:val="IndexLink"/>
              </w:rPr>
              <w:t>128</w:t>
            </w:r>
          </w:hyperlink>
        </w:p>
        <w:p>
          <w:pPr>
            <w:pStyle w:val="Contents6"/>
            <w:tabs>
              <w:tab w:val="clear" w:pos="7609"/>
              <w:tab w:val="right" w:pos="9026" w:leader="dot"/>
            </w:tabs>
            <w:rPr/>
          </w:pPr>
          <w:hyperlink w:anchor="__RefHeading___Toc795031_1395250215">
            <w:r>
              <w:rPr>
                <w:webHidden/>
                <w:rStyle w:val="IndexLink"/>
                <w:rtl w:val="true"/>
              </w:rPr>
              <w:t>دردها</w:t>
            </w:r>
            <w:r>
              <w:rPr>
                <w:rStyle w:val="IndexLink"/>
                <w:rtl w:val="true"/>
              </w:rPr>
              <w:t>:</w:t>
              <w:tab/>
            </w:r>
            <w:r>
              <w:rPr>
                <w:rStyle w:val="IndexLink"/>
              </w:rPr>
              <w:t>128</w:t>
            </w:r>
          </w:hyperlink>
        </w:p>
        <w:p>
          <w:pPr>
            <w:pStyle w:val="Contents6"/>
            <w:tabs>
              <w:tab w:val="clear" w:pos="7609"/>
              <w:tab w:val="right" w:pos="9026" w:leader="dot"/>
            </w:tabs>
            <w:rPr/>
          </w:pPr>
          <w:hyperlink w:anchor="__RefHeading___Toc795033_1395250215">
            <w:r>
              <w:rPr>
                <w:webHidden/>
                <w:rStyle w:val="IndexLink"/>
                <w:rtl w:val="true"/>
              </w:rPr>
              <w:t>اصوات</w:t>
            </w:r>
            <w:r>
              <w:rPr>
                <w:rStyle w:val="IndexLink"/>
                <w:rtl w:val="true"/>
              </w:rPr>
              <w:t>:</w:t>
              <w:tab/>
            </w:r>
            <w:r>
              <w:rPr>
                <w:rStyle w:val="IndexLink"/>
              </w:rPr>
              <w:t>128</w:t>
            </w:r>
          </w:hyperlink>
        </w:p>
        <w:p>
          <w:pPr>
            <w:pStyle w:val="Contents6"/>
            <w:tabs>
              <w:tab w:val="clear" w:pos="7609"/>
              <w:tab w:val="right" w:pos="9026" w:leader="dot"/>
            </w:tabs>
            <w:rPr/>
          </w:pPr>
          <w:hyperlink w:anchor="__RefHeading___Toc795035_1395250215">
            <w:r>
              <w:rPr>
                <w:webHidden/>
                <w:rStyle w:val="IndexLink"/>
                <w:rtl w:val="true"/>
              </w:rPr>
              <w:t>اکوان</w:t>
            </w:r>
            <w:r>
              <w:rPr>
                <w:rStyle w:val="IndexLink"/>
                <w:rtl w:val="true"/>
              </w:rPr>
              <w:t>:</w:t>
              <w:tab/>
            </w:r>
            <w:r>
              <w:rPr>
                <w:rStyle w:val="IndexLink"/>
              </w:rPr>
              <w:t>128</w:t>
            </w:r>
          </w:hyperlink>
        </w:p>
        <w:p>
          <w:pPr>
            <w:pStyle w:val="Contents6"/>
            <w:tabs>
              <w:tab w:val="clear" w:pos="7609"/>
              <w:tab w:val="right" w:pos="9026" w:leader="dot"/>
            </w:tabs>
            <w:rPr/>
          </w:pPr>
          <w:hyperlink w:anchor="__RefHeading___Toc795037_1395250215">
            <w:r>
              <w:rPr>
                <w:webHidden/>
                <w:rStyle w:val="IndexLink"/>
                <w:rtl w:val="true"/>
              </w:rPr>
              <w:t>تالیف</w:t>
            </w:r>
            <w:r>
              <w:rPr>
                <w:rStyle w:val="IndexLink"/>
                <w:rtl w:val="true"/>
              </w:rPr>
              <w:t>:</w:t>
              <w:tab/>
            </w:r>
            <w:r>
              <w:rPr>
                <w:rStyle w:val="IndexLink"/>
              </w:rPr>
              <w:t>129</w:t>
            </w:r>
          </w:hyperlink>
        </w:p>
        <w:p>
          <w:pPr>
            <w:pStyle w:val="Contents6"/>
            <w:tabs>
              <w:tab w:val="clear" w:pos="7609"/>
              <w:tab w:val="right" w:pos="9026" w:leader="dot"/>
            </w:tabs>
            <w:rPr/>
          </w:pPr>
          <w:hyperlink w:anchor="__RefHeading___Toc795039_1395250215">
            <w:r>
              <w:rPr>
                <w:webHidden/>
                <w:rStyle w:val="IndexLink"/>
                <w:rtl w:val="true"/>
              </w:rPr>
              <w:t xml:space="preserve">رنگ،طعم، بو </w:t>
            </w:r>
            <w:r>
              <w:rPr>
                <w:rStyle w:val="IndexLink"/>
                <w:rtl w:val="true"/>
              </w:rPr>
              <w:t>:</w:t>
              <w:tab/>
            </w:r>
            <w:r>
              <w:rPr>
                <w:rStyle w:val="IndexLink"/>
              </w:rPr>
              <w:t>129</w:t>
            </w:r>
          </w:hyperlink>
        </w:p>
        <w:p>
          <w:pPr>
            <w:pStyle w:val="Contents5"/>
            <w:tabs>
              <w:tab w:val="clear" w:pos="7892"/>
              <w:tab w:val="right" w:pos="9026" w:leader="dot"/>
            </w:tabs>
            <w:rPr/>
          </w:pPr>
          <w:hyperlink w:anchor="__RefHeading___Toc795041_1395250215">
            <w:r>
              <w:rPr>
                <w:webHidden/>
                <w:rStyle w:val="IndexLink"/>
                <w:rtl w:val="true"/>
              </w:rPr>
              <w:t>ج</w:t>
            </w:r>
            <w:r>
              <w:rPr>
                <w:rStyle w:val="IndexLink"/>
                <w:rtl w:val="true"/>
              </w:rPr>
              <w:t xml:space="preserve">) </w:t>
            </w:r>
            <w:r>
              <w:rPr>
                <w:rStyle w:val="IndexLink"/>
                <w:rtl w:val="true"/>
              </w:rPr>
              <w:t>افعالی که هم به صورت مباشر و هم به صورت متولد امکان وقوع دارند</w:t>
            </w:r>
            <w:r>
              <w:rPr>
                <w:rStyle w:val="IndexLink"/>
                <w:rtl w:val="true"/>
              </w:rPr>
              <w:t>:</w:t>
              <w:tab/>
            </w:r>
            <w:r>
              <w:rPr>
                <w:rStyle w:val="IndexLink"/>
              </w:rPr>
              <w:t>129</w:t>
            </w:r>
          </w:hyperlink>
        </w:p>
        <w:p>
          <w:pPr>
            <w:pStyle w:val="Contents6"/>
            <w:tabs>
              <w:tab w:val="clear" w:pos="7609"/>
              <w:tab w:val="right" w:pos="9026" w:leader="dot"/>
            </w:tabs>
            <w:rPr/>
          </w:pPr>
          <w:hyperlink w:anchor="__RefHeading___Toc795043_1395250215">
            <w:r>
              <w:rPr>
                <w:webHidden/>
                <w:rStyle w:val="IndexLink"/>
                <w:rtl w:val="true"/>
              </w:rPr>
              <w:t>اعتماد</w:t>
            </w:r>
            <w:r>
              <w:rPr>
                <w:rStyle w:val="IndexLink"/>
                <w:rtl w:val="true"/>
              </w:rPr>
              <w:t>:</w:t>
              <w:tab/>
            </w:r>
            <w:r>
              <w:rPr>
                <w:rStyle w:val="IndexLink"/>
              </w:rPr>
              <w:t>129</w:t>
            </w:r>
          </w:hyperlink>
        </w:p>
        <w:p>
          <w:pPr>
            <w:pStyle w:val="Contents6"/>
            <w:tabs>
              <w:tab w:val="clear" w:pos="7609"/>
              <w:tab w:val="right" w:pos="9026" w:leader="dot"/>
            </w:tabs>
            <w:rPr/>
          </w:pPr>
          <w:hyperlink w:anchor="__RefHeading___Toc795045_1395250215">
            <w:r>
              <w:rPr>
                <w:webHidden/>
                <w:rStyle w:val="IndexLink"/>
                <w:rtl w:val="true"/>
              </w:rPr>
              <w:t>علم</w:t>
            </w:r>
            <w:r>
              <w:rPr>
                <w:rStyle w:val="IndexLink"/>
                <w:rtl w:val="true"/>
              </w:rPr>
              <w:t>:</w:t>
              <w:tab/>
            </w:r>
            <w:r>
              <w:rPr>
                <w:rStyle w:val="IndexLink"/>
              </w:rPr>
              <w:t>129</w:t>
            </w:r>
          </w:hyperlink>
        </w:p>
        <w:p>
          <w:pPr>
            <w:pStyle w:val="Contents3"/>
            <w:tabs>
              <w:tab w:val="clear" w:pos="8459"/>
              <w:tab w:val="right" w:pos="9026" w:leader="dot"/>
            </w:tabs>
            <w:rPr/>
          </w:pPr>
          <w:hyperlink w:anchor="__RefHeading___Toc795047_1395250215">
            <w:r>
              <w:rPr>
                <w:webHidden/>
                <w:rStyle w:val="IndexLink"/>
                <w:rtl w:val="true"/>
              </w:rPr>
              <w:t>نتیجه</w:t>
            </w:r>
            <w:r>
              <w:rPr>
                <w:rStyle w:val="IndexLink"/>
                <w:rtl w:val="true"/>
              </w:rPr>
              <w:tab/>
            </w:r>
            <w:r>
              <w:rPr>
                <w:rStyle w:val="IndexLink"/>
              </w:rPr>
              <w:t>130</w:t>
            </w:r>
          </w:hyperlink>
        </w:p>
        <w:p>
          <w:pPr>
            <w:pStyle w:val="Contents3"/>
            <w:tabs>
              <w:tab w:val="clear" w:pos="8459"/>
              <w:tab w:val="right" w:pos="9026" w:leader="dot"/>
            </w:tabs>
            <w:rPr/>
          </w:pPr>
          <w:hyperlink w:anchor="__RefHeading___Toc795049_1395250215">
            <w:r>
              <w:rPr>
                <w:webHidden/>
                <w:rStyle w:val="IndexLink"/>
                <w:rtl w:val="true"/>
              </w:rPr>
              <w:t>منابع</w:t>
            </w:r>
            <w:r>
              <w:rPr>
                <w:rStyle w:val="IndexLink"/>
                <w:rtl w:val="true"/>
              </w:rPr>
              <w:tab/>
            </w:r>
            <w:r>
              <w:rPr>
                <w:rStyle w:val="IndexLink"/>
              </w:rPr>
              <w:t>131</w:t>
            </w:r>
          </w:hyperlink>
        </w:p>
        <w:p>
          <w:pPr>
            <w:pStyle w:val="Contents2"/>
            <w:tabs>
              <w:tab w:val="clear" w:pos="8743"/>
              <w:tab w:val="right" w:pos="9026" w:leader="dot"/>
            </w:tabs>
            <w:rPr/>
          </w:pPr>
          <w:hyperlink w:anchor="__RefHeading___Toc795051_1395250215">
            <w:r>
              <w:rPr>
                <w:webHidden/>
                <w:rStyle w:val="IndexLink"/>
                <w:rtl w:val="true"/>
              </w:rPr>
              <w:t>نقد ادلۀ قرآنی برقعی دربارۀ برزخ از دیدگاه علمای شیعه</w:t>
            </w:r>
            <w:r>
              <w:rPr>
                <w:rStyle w:val="IndexLink"/>
                <w:rtl w:val="true"/>
              </w:rPr>
              <w:tab/>
            </w:r>
            <w:r>
              <w:rPr>
                <w:rStyle w:val="IndexLink"/>
              </w:rPr>
              <w:t>133</w:t>
            </w:r>
          </w:hyperlink>
        </w:p>
        <w:p>
          <w:pPr>
            <w:pStyle w:val="Contents3"/>
            <w:tabs>
              <w:tab w:val="clear" w:pos="8459"/>
              <w:tab w:val="right" w:pos="9026" w:leader="dot"/>
            </w:tabs>
            <w:rPr/>
          </w:pPr>
          <w:hyperlink w:anchor="__RefHeading___Toc795053_139525021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795055_1395250215">
            <w:r>
              <w:rPr>
                <w:webHidden/>
                <w:rStyle w:val="IndexLink"/>
                <w:rtl w:val="true"/>
              </w:rPr>
              <w:t>چکیده</w:t>
            </w:r>
            <w:r>
              <w:rPr>
                <w:rStyle w:val="IndexLink"/>
                <w:rtl w:val="true"/>
              </w:rPr>
              <w:tab/>
            </w:r>
            <w:r>
              <w:rPr>
                <w:rStyle w:val="IndexLink"/>
              </w:rPr>
              <w:t>133</w:t>
            </w:r>
          </w:hyperlink>
        </w:p>
        <w:p>
          <w:pPr>
            <w:pStyle w:val="Contents3"/>
            <w:tabs>
              <w:tab w:val="clear" w:pos="8459"/>
              <w:tab w:val="right" w:pos="9026" w:leader="dot"/>
            </w:tabs>
            <w:rPr/>
          </w:pPr>
          <w:hyperlink w:anchor="__RefHeading___Toc795057_1395250215">
            <w:r>
              <w:rPr>
                <w:webHidden/>
                <w:rStyle w:val="IndexLink"/>
                <w:rtl w:val="true"/>
              </w:rPr>
              <w:t>واژگان کلیدی</w:t>
            </w:r>
            <w:r>
              <w:rPr>
                <w:rStyle w:val="IndexLink"/>
                <w:rtl w:val="true"/>
              </w:rPr>
              <w:tab/>
            </w:r>
            <w:r>
              <w:rPr>
                <w:rStyle w:val="IndexLink"/>
              </w:rPr>
              <w:t>133</w:t>
            </w:r>
          </w:hyperlink>
        </w:p>
        <w:p>
          <w:pPr>
            <w:pStyle w:val="Contents3"/>
            <w:tabs>
              <w:tab w:val="clear" w:pos="8459"/>
              <w:tab w:val="right" w:pos="9026" w:leader="dot"/>
            </w:tabs>
            <w:rPr/>
          </w:pPr>
          <w:hyperlink w:anchor="__RefHeading___Toc795059_1395250215">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795061_1395250215">
            <w:r>
              <w:rPr>
                <w:webHidden/>
                <w:rStyle w:val="IndexLink"/>
                <w:rtl w:val="true"/>
              </w:rPr>
              <w:t>آرای برقعی</w:t>
            </w:r>
            <w:r>
              <w:rPr>
                <w:rStyle w:val="IndexLink"/>
                <w:rtl w:val="true"/>
              </w:rPr>
              <w:tab/>
            </w:r>
            <w:r>
              <w:rPr>
                <w:rStyle w:val="IndexLink"/>
              </w:rPr>
              <w:t>134</w:t>
            </w:r>
          </w:hyperlink>
        </w:p>
        <w:p>
          <w:pPr>
            <w:pStyle w:val="Contents4"/>
            <w:tabs>
              <w:tab w:val="clear" w:pos="8176"/>
              <w:tab w:val="right" w:pos="9026" w:leader="dot"/>
            </w:tabs>
            <w:rPr/>
          </w:pPr>
          <w:hyperlink w:anchor="__RefHeading___Toc795063_139525021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95065_1395250215">
            <w:r>
              <w:rPr>
                <w:webHidden/>
                <w:rStyle w:val="IndexLink"/>
              </w:rPr>
              <w:t>1</w:t>
            </w:r>
            <w:r>
              <w:rPr>
                <w:rStyle w:val="IndexLink"/>
                <w:rtl w:val="true"/>
              </w:rPr>
              <w:t xml:space="preserve">. </w:t>
            </w:r>
            <w:r>
              <w:rPr>
                <w:rStyle w:val="IndexLink"/>
                <w:rtl w:val="true"/>
              </w:rPr>
              <w:t>قطع ارتباط با عالم دنیا پس از مرگ و عدم آگاهی از آن</w:t>
            </w:r>
            <w:r>
              <w:rPr>
                <w:rStyle w:val="IndexLink"/>
                <w:rtl w:val="true"/>
              </w:rPr>
              <w:tab/>
            </w:r>
            <w:r>
              <w:rPr>
                <w:rStyle w:val="IndexLink"/>
              </w:rPr>
              <w:t>134</w:t>
            </w:r>
          </w:hyperlink>
        </w:p>
        <w:p>
          <w:pPr>
            <w:pStyle w:val="Contents4"/>
            <w:tabs>
              <w:tab w:val="clear" w:pos="8176"/>
              <w:tab w:val="right" w:pos="9026" w:leader="dot"/>
            </w:tabs>
            <w:rPr/>
          </w:pPr>
          <w:hyperlink w:anchor="__RefHeading___Toc795067_1395250215">
            <w:r>
              <w:rPr>
                <w:webHidden/>
                <w:rStyle w:val="IndexLink"/>
              </w:rPr>
              <w:t>2</w:t>
            </w:r>
            <w:r>
              <w:rPr>
                <w:rStyle w:val="IndexLink"/>
                <w:rtl w:val="true"/>
              </w:rPr>
              <w:t xml:space="preserve">. </w:t>
            </w:r>
            <w:r>
              <w:rPr>
                <w:rStyle w:val="IndexLink"/>
                <w:rtl w:val="true"/>
              </w:rPr>
              <w:t>عالم برزخ؛ عالم مدهوشی</w:t>
            </w:r>
            <w:r>
              <w:rPr>
                <w:rStyle w:val="IndexLink"/>
                <w:rtl w:val="true"/>
              </w:rPr>
              <w:tab/>
            </w:r>
            <w:r>
              <w:rPr>
                <w:rStyle w:val="IndexLink"/>
              </w:rPr>
              <w:t>136</w:t>
            </w:r>
          </w:hyperlink>
        </w:p>
        <w:p>
          <w:pPr>
            <w:pStyle w:val="Contents4"/>
            <w:tabs>
              <w:tab w:val="clear" w:pos="8176"/>
              <w:tab w:val="right" w:pos="9026" w:leader="dot"/>
            </w:tabs>
            <w:rPr/>
          </w:pPr>
          <w:hyperlink w:anchor="__RefHeading___Toc795069_1395250215">
            <w:r>
              <w:rPr>
                <w:webHidden/>
                <w:rStyle w:val="IndexLink"/>
              </w:rPr>
              <w:t>3</w:t>
            </w:r>
            <w:r>
              <w:rPr>
                <w:rStyle w:val="IndexLink"/>
                <w:rtl w:val="true"/>
              </w:rPr>
              <w:t xml:space="preserve">. </w:t>
            </w:r>
            <w:r>
              <w:rPr>
                <w:rStyle w:val="IndexLink"/>
                <w:rtl w:val="true"/>
              </w:rPr>
              <w:t>عدم آگاهی انبیا</w:t>
            </w:r>
            <w:r>
              <w:rPr>
                <w:rStyle w:val="IndexLink"/>
              </w:rPr>
              <w:t></w:t>
            </w:r>
            <w:r>
              <w:rPr>
                <w:rStyle w:val="IndexLink"/>
                <w:rtl w:val="true"/>
              </w:rPr>
              <w:t xml:space="preserve"> از امت خود پس از وفات</w:t>
            </w:r>
            <w:r>
              <w:rPr>
                <w:rStyle w:val="IndexLink"/>
                <w:rtl w:val="true"/>
              </w:rPr>
              <w:tab/>
            </w:r>
            <w:r>
              <w:rPr>
                <w:rStyle w:val="IndexLink"/>
              </w:rPr>
              <w:t>137</w:t>
            </w:r>
          </w:hyperlink>
        </w:p>
        <w:p>
          <w:pPr>
            <w:pStyle w:val="Contents3"/>
            <w:tabs>
              <w:tab w:val="clear" w:pos="8459"/>
              <w:tab w:val="right" w:pos="9026" w:leader="dot"/>
            </w:tabs>
            <w:rPr/>
          </w:pPr>
          <w:hyperlink w:anchor="__RefHeading___Toc795071_1395250215">
            <w:r>
              <w:rPr>
                <w:webHidden/>
                <w:rStyle w:val="IndexLink"/>
                <w:rtl w:val="true"/>
              </w:rPr>
              <w:t>نقد و برسی آرای برقعی</w:t>
            </w:r>
            <w:r>
              <w:rPr>
                <w:rStyle w:val="IndexLink"/>
                <w:rtl w:val="true"/>
              </w:rPr>
              <w:tab/>
            </w:r>
            <w:r>
              <w:rPr>
                <w:rStyle w:val="IndexLink"/>
              </w:rPr>
              <w:t>138</w:t>
            </w:r>
          </w:hyperlink>
        </w:p>
        <w:p>
          <w:pPr>
            <w:pStyle w:val="Contents4"/>
            <w:tabs>
              <w:tab w:val="clear" w:pos="8176"/>
              <w:tab w:val="right" w:pos="9026" w:leader="dot"/>
            </w:tabs>
            <w:rPr/>
          </w:pPr>
          <w:hyperlink w:anchor="__RefHeading___Toc795073_1395250215">
            <w:r>
              <w:rPr>
                <w:webHidden/>
                <w:rStyle w:val="IndexLink"/>
                <w:rtl w:val="true"/>
              </w:rPr>
              <w:t xml:space="preserve">تعبیر </w:t>
            </w:r>
            <w:r>
              <w:rPr>
                <w:rStyle w:val="IndexLink"/>
                <w:rtl w:val="true"/>
              </w:rPr>
              <w:t>«</w:t>
            </w:r>
            <w:r>
              <w:rPr>
                <w:rStyle w:val="IndexLink"/>
                <w:rtl w:val="true"/>
              </w:rPr>
              <w:t>عند ربهم</w:t>
            </w:r>
            <w:r>
              <w:rPr>
                <w:rStyle w:val="IndexLink"/>
                <w:rtl w:val="true"/>
              </w:rPr>
              <w:t xml:space="preserve">» </w:t>
            </w:r>
            <w:r>
              <w:rPr>
                <w:rStyle w:val="IndexLink"/>
                <w:rtl w:val="true"/>
              </w:rPr>
              <w:t>به قرب معنوی اشاره دارد، نه قرب مکانی</w:t>
            </w:r>
            <w:r>
              <w:rPr>
                <w:rStyle w:val="IndexLink"/>
                <w:rtl w:val="true"/>
              </w:rPr>
              <w:tab/>
            </w:r>
            <w:r>
              <w:rPr>
                <w:rStyle w:val="IndexLink"/>
              </w:rPr>
              <w:t>138</w:t>
            </w:r>
          </w:hyperlink>
        </w:p>
        <w:p>
          <w:pPr>
            <w:pStyle w:val="Contents4"/>
            <w:tabs>
              <w:tab w:val="clear" w:pos="8176"/>
              <w:tab w:val="right" w:pos="9026" w:leader="dot"/>
            </w:tabs>
            <w:rPr/>
          </w:pPr>
          <w:hyperlink w:anchor="__RefHeading___Toc795075_1395250215">
            <w:r>
              <w:rPr>
                <w:webHidden/>
                <w:rStyle w:val="IndexLink"/>
                <w:rtl w:val="true"/>
              </w:rPr>
              <w:t>عالم برزخ، عالم حیات و شعور است، نه بی‌هوشی</w:t>
            </w:r>
            <w:r>
              <w:rPr>
                <w:rStyle w:val="IndexLink"/>
                <w:rtl w:val="true"/>
              </w:rPr>
              <w:tab/>
            </w:r>
            <w:r>
              <w:rPr>
                <w:rStyle w:val="IndexLink"/>
              </w:rPr>
              <w:t>138</w:t>
            </w:r>
          </w:hyperlink>
        </w:p>
        <w:p>
          <w:pPr>
            <w:pStyle w:val="Contents4"/>
            <w:tabs>
              <w:tab w:val="clear" w:pos="8176"/>
              <w:tab w:val="right" w:pos="9026" w:leader="dot"/>
            </w:tabs>
            <w:rPr/>
          </w:pPr>
          <w:hyperlink w:anchor="__RefHeading___Toc795077_1395250215">
            <w:r>
              <w:rPr>
                <w:webHidden/>
                <w:rStyle w:val="IndexLink"/>
                <w:rtl w:val="true"/>
              </w:rPr>
              <w:t>اثبات وجود رابطه بین برزخ با دنیا</w:t>
            </w:r>
            <w:r>
              <w:rPr>
                <w:rStyle w:val="IndexLink"/>
                <w:rtl w:val="true"/>
              </w:rPr>
              <w:tab/>
            </w:r>
            <w:r>
              <w:rPr>
                <w:rStyle w:val="IndexLink"/>
              </w:rPr>
              <w:t>140</w:t>
            </w:r>
          </w:hyperlink>
        </w:p>
        <w:p>
          <w:pPr>
            <w:pStyle w:val="Contents5"/>
            <w:tabs>
              <w:tab w:val="clear" w:pos="7892"/>
              <w:tab w:val="right" w:pos="9026" w:leader="dot"/>
            </w:tabs>
            <w:rPr/>
          </w:pPr>
          <w:hyperlink w:anchor="__RefHeading___Toc795079_1395250215">
            <w:r>
              <w:rPr>
                <w:webHidden/>
                <w:rStyle w:val="IndexLink"/>
              </w:rPr>
              <w:t>1</w:t>
            </w:r>
            <w:r>
              <w:rPr>
                <w:rStyle w:val="IndexLink"/>
                <w:rtl w:val="true"/>
              </w:rPr>
              <w:t xml:space="preserve">. </w:t>
            </w:r>
            <w:r>
              <w:rPr>
                <w:rStyle w:val="IndexLink"/>
                <w:rtl w:val="true"/>
              </w:rPr>
              <w:t>صالح</w:t>
            </w:r>
            <w:r>
              <w:rPr>
                <w:rStyle w:val="IndexLink"/>
              </w:rPr>
              <w:t></w:t>
            </w:r>
            <w:r>
              <w:rPr>
                <w:rStyle w:val="IndexLink"/>
                <w:rtl w:val="true"/>
              </w:rPr>
              <w:t xml:space="preserve"> با ارواح قوم خود سخن می‌گوید</w:t>
            </w:r>
            <w:r>
              <w:rPr>
                <w:rStyle w:val="IndexLink"/>
                <w:rtl w:val="true"/>
              </w:rPr>
              <w:tab/>
            </w:r>
            <w:r>
              <w:rPr>
                <w:rStyle w:val="IndexLink"/>
              </w:rPr>
              <w:t>140</w:t>
            </w:r>
          </w:hyperlink>
        </w:p>
        <w:p>
          <w:pPr>
            <w:pStyle w:val="Contents5"/>
            <w:tabs>
              <w:tab w:val="clear" w:pos="7892"/>
              <w:tab w:val="right" w:pos="9026" w:leader="dot"/>
            </w:tabs>
            <w:rPr/>
          </w:pPr>
          <w:hyperlink w:anchor="__RefHeading___Toc795081_1395250215">
            <w:r>
              <w:rPr>
                <w:webHidden/>
                <w:rStyle w:val="IndexLink"/>
              </w:rPr>
              <w:t>2</w:t>
            </w:r>
            <w:r>
              <w:rPr>
                <w:rStyle w:val="IndexLink"/>
                <w:rtl w:val="true"/>
              </w:rPr>
              <w:t xml:space="preserve">. </w:t>
            </w:r>
            <w:r>
              <w:rPr>
                <w:rStyle w:val="IndexLink"/>
                <w:rtl w:val="true"/>
              </w:rPr>
              <w:t>شعیب</w:t>
            </w:r>
            <w:r>
              <w:rPr>
                <w:rStyle w:val="IndexLink"/>
              </w:rPr>
              <w:t></w:t>
            </w:r>
            <w:r>
              <w:rPr>
                <w:rStyle w:val="IndexLink"/>
                <w:rtl w:val="true"/>
              </w:rPr>
              <w:t xml:space="preserve"> با ارواح قوم خود سخن می‌گوید</w:t>
            </w:r>
            <w:r>
              <w:rPr>
                <w:rStyle w:val="IndexLink"/>
                <w:rtl w:val="true"/>
              </w:rPr>
              <w:tab/>
            </w:r>
            <w:r>
              <w:rPr>
                <w:rStyle w:val="IndexLink"/>
              </w:rPr>
              <w:t>140</w:t>
            </w:r>
          </w:hyperlink>
        </w:p>
        <w:p>
          <w:pPr>
            <w:pStyle w:val="Contents5"/>
            <w:tabs>
              <w:tab w:val="clear" w:pos="7892"/>
              <w:tab w:val="right" w:pos="9026" w:leader="dot"/>
            </w:tabs>
            <w:rPr/>
          </w:pPr>
          <w:hyperlink w:anchor="__RefHeading___Toc795083_1395250215">
            <w:r>
              <w:rPr>
                <w:webHidden/>
                <w:rStyle w:val="IndexLink"/>
              </w:rPr>
              <w:t>3</w:t>
            </w:r>
            <w:r>
              <w:rPr>
                <w:rStyle w:val="IndexLink"/>
                <w:rtl w:val="true"/>
              </w:rPr>
              <w:t xml:space="preserve">. </w:t>
            </w:r>
            <w:r>
              <w:rPr>
                <w:rStyle w:val="IndexLink"/>
                <w:rtl w:val="true"/>
              </w:rPr>
              <w:t>پیامبر</w:t>
            </w:r>
            <w:r>
              <w:rPr>
                <w:rStyle w:val="IndexLink"/>
              </w:rPr>
              <w:t></w:t>
            </w:r>
            <w:r>
              <w:rPr>
                <w:rStyle w:val="IndexLink"/>
                <w:rtl w:val="true"/>
              </w:rPr>
              <w:t xml:space="preserve"> با ارواح انبیا سخن می‌گوید</w:t>
            </w:r>
            <w:r>
              <w:rPr>
                <w:rStyle w:val="IndexLink"/>
                <w:rtl w:val="true"/>
              </w:rPr>
              <w:tab/>
            </w:r>
            <w:r>
              <w:rPr>
                <w:rStyle w:val="IndexLink"/>
              </w:rPr>
              <w:t>140</w:t>
            </w:r>
          </w:hyperlink>
        </w:p>
        <w:p>
          <w:pPr>
            <w:pStyle w:val="Contents5"/>
            <w:tabs>
              <w:tab w:val="clear" w:pos="7892"/>
              <w:tab w:val="right" w:pos="9026" w:leader="dot"/>
            </w:tabs>
            <w:rPr/>
          </w:pPr>
          <w:hyperlink w:anchor="__RefHeading___Toc795085_1395250215">
            <w:r>
              <w:rPr>
                <w:webHidden/>
                <w:rStyle w:val="IndexLink"/>
              </w:rPr>
              <w:t>4</w:t>
            </w:r>
            <w:r>
              <w:rPr>
                <w:rStyle w:val="IndexLink"/>
                <w:rtl w:val="true"/>
              </w:rPr>
              <w:t xml:space="preserve">. </w:t>
            </w:r>
            <w:r>
              <w:rPr>
                <w:rStyle w:val="IndexLink"/>
                <w:rtl w:val="true"/>
              </w:rPr>
              <w:t>آیاتی که بر انبیای گذشته درود می‌فرستد</w:t>
            </w:r>
            <w:r>
              <w:rPr>
                <w:rStyle w:val="IndexLink"/>
                <w:rtl w:val="true"/>
              </w:rPr>
              <w:tab/>
            </w:r>
            <w:r>
              <w:rPr>
                <w:rStyle w:val="IndexLink"/>
              </w:rPr>
              <w:t>141</w:t>
            </w:r>
          </w:hyperlink>
        </w:p>
        <w:p>
          <w:pPr>
            <w:pStyle w:val="Contents3"/>
            <w:tabs>
              <w:tab w:val="clear" w:pos="8459"/>
              <w:tab w:val="right" w:pos="9026" w:leader="dot"/>
            </w:tabs>
            <w:rPr/>
          </w:pPr>
          <w:hyperlink w:anchor="__RefHeading___Toc795087_1395250215">
            <w:r>
              <w:rPr>
                <w:webHidden/>
                <w:rStyle w:val="IndexLink"/>
                <w:rtl w:val="true"/>
              </w:rPr>
              <w:t>برسی آیات مورد استناد برقعی در تفسیر خاصش از حیات برزخی</w:t>
            </w:r>
            <w:r>
              <w:rPr>
                <w:rStyle w:val="IndexLink"/>
                <w:rtl w:val="true"/>
              </w:rPr>
              <w:tab/>
            </w:r>
            <w:r>
              <w:rPr>
                <w:rStyle w:val="IndexLink"/>
              </w:rPr>
              <w:t>144</w:t>
            </w:r>
          </w:hyperlink>
        </w:p>
        <w:p>
          <w:pPr>
            <w:pStyle w:val="Contents3"/>
            <w:tabs>
              <w:tab w:val="clear" w:pos="8459"/>
              <w:tab w:val="right" w:pos="9026" w:leader="dot"/>
            </w:tabs>
            <w:rPr/>
          </w:pPr>
          <w:hyperlink w:anchor="__RefHeading___Toc795089_1395250215">
            <w:r>
              <w:rPr>
                <w:webHidden/>
                <w:rStyle w:val="IndexLink"/>
                <w:rtl w:val="true"/>
              </w:rPr>
              <w:t>ردّ استناد برقعی به قرآن، مبنی بر عدم اطلاع رسولان خدا از امت خود پس از وفات</w:t>
            </w:r>
            <w:r>
              <w:rPr>
                <w:rStyle w:val="IndexLink"/>
                <w:rtl w:val="true"/>
              </w:rPr>
              <w:tab/>
            </w:r>
            <w:r>
              <w:rPr>
                <w:rStyle w:val="IndexLink"/>
              </w:rPr>
              <w:t>147</w:t>
            </w:r>
          </w:hyperlink>
        </w:p>
        <w:p>
          <w:pPr>
            <w:pStyle w:val="Contents3"/>
            <w:tabs>
              <w:tab w:val="clear" w:pos="8459"/>
              <w:tab w:val="right" w:pos="9026" w:leader="dot"/>
            </w:tabs>
            <w:rPr/>
          </w:pPr>
          <w:hyperlink w:anchor="__RefHeading___Toc795091_1395250215">
            <w:r>
              <w:rPr>
                <w:webHidden/>
                <w:rStyle w:val="IndexLink"/>
                <w:rtl w:val="true"/>
              </w:rPr>
              <w:t>اشکالِ اساسی برقعی</w:t>
            </w:r>
            <w:r>
              <w:rPr>
                <w:rStyle w:val="IndexLink"/>
                <w:rtl w:val="true"/>
              </w:rPr>
              <w:tab/>
            </w:r>
            <w:r>
              <w:rPr>
                <w:rStyle w:val="IndexLink"/>
              </w:rPr>
              <w:t>148</w:t>
            </w:r>
          </w:hyperlink>
        </w:p>
        <w:p>
          <w:pPr>
            <w:pStyle w:val="Contents3"/>
            <w:tabs>
              <w:tab w:val="clear" w:pos="8459"/>
              <w:tab w:val="right" w:pos="9026" w:leader="dot"/>
            </w:tabs>
            <w:rPr/>
          </w:pPr>
          <w:hyperlink w:anchor="__RefHeading___Toc795093_1395250215">
            <w:r>
              <w:rPr>
                <w:webHidden/>
                <w:rStyle w:val="IndexLink"/>
                <w:rtl w:val="true"/>
              </w:rPr>
              <w:t>نتیجه گیری</w:t>
            </w:r>
            <w:r>
              <w:rPr>
                <w:rStyle w:val="IndexLink"/>
                <w:rtl w:val="true"/>
              </w:rPr>
              <w:tab/>
            </w:r>
            <w:r>
              <w:rPr>
                <w:rStyle w:val="IndexLink"/>
              </w:rPr>
              <w:t>149</w:t>
            </w:r>
          </w:hyperlink>
        </w:p>
        <w:p>
          <w:pPr>
            <w:pStyle w:val="Contents3"/>
            <w:tabs>
              <w:tab w:val="clear" w:pos="8459"/>
              <w:tab w:val="right" w:pos="9026" w:leader="dot"/>
            </w:tabs>
            <w:rPr/>
          </w:pPr>
          <w:hyperlink w:anchor="__RefHeading___Toc795095_1395250215">
            <w:r>
              <w:rPr>
                <w:webHidden/>
                <w:rStyle w:val="IndexLink"/>
                <w:rtl w:val="true"/>
              </w:rPr>
              <w:t>منابع</w:t>
            </w:r>
            <w:r>
              <w:rPr>
                <w:rStyle w:val="IndexLink"/>
                <w:rtl w:val="true"/>
              </w:rPr>
              <w:tab/>
            </w:r>
            <w:r>
              <w:rPr>
                <w:rStyle w:val="IndexLink"/>
              </w:rPr>
              <w:t>149</w:t>
            </w:r>
          </w:hyperlink>
        </w:p>
        <w:p>
          <w:pPr>
            <w:pStyle w:val="Contents2"/>
            <w:tabs>
              <w:tab w:val="clear" w:pos="8743"/>
              <w:tab w:val="right" w:pos="9026" w:leader="dot"/>
            </w:tabs>
            <w:rPr/>
          </w:pPr>
          <w:hyperlink w:anchor="__RefHeading___Toc795097_1395250215">
            <w:r>
              <w:rPr>
                <w:webHidden/>
                <w:rStyle w:val="IndexLink"/>
                <w:rtl w:val="true"/>
              </w:rPr>
              <w:t>چکیده عربی مقالات</w:t>
            </w:r>
            <w:r>
              <w:rPr>
                <w:rStyle w:val="IndexLink"/>
                <w:rtl w:val="true"/>
              </w:rPr>
              <w:tab/>
            </w:r>
            <w:r>
              <w:rPr>
                <w:rStyle w:val="IndexLink"/>
              </w:rPr>
              <w:t>151</w:t>
            </w:r>
          </w:hyperlink>
        </w:p>
        <w:p>
          <w:pPr>
            <w:pStyle w:val="Contents2"/>
            <w:tabs>
              <w:tab w:val="clear" w:pos="8743"/>
              <w:tab w:val="right" w:pos="9026" w:leader="dot"/>
            </w:tabs>
            <w:rPr/>
          </w:pPr>
          <w:hyperlink w:anchor="__RefHeading___Toc795099_1395250215">
            <w:r>
              <w:rPr>
                <w:webHidden/>
                <w:rStyle w:val="IndexLink"/>
                <w:rtl w:val="true"/>
              </w:rPr>
              <w:t>چکیده انگلیسی مقالات</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3_17861"/>
      <w:bookmarkStart w:id="1" w:name="pg2673_17861"/>
      <w:bookmarkEnd w:id="1"/>
    </w:p>
    <w:p>
      <w:pPr>
        <w:pStyle w:val="Heading2"/>
        <w:numPr>
          <w:ilvl w:val="1"/>
          <w:numId w:val="1"/>
        </w:numPr>
        <w:rPr/>
      </w:pPr>
      <w:bookmarkStart w:id="2" w:name="pg2673_17861"/>
      <w:bookmarkStart w:id="3" w:name="__RefHeading___Toc794719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سوم، شماره دهم، پاییز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آموزشی و 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4721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bookmarkStart w:id="7" w:name="pg2673_17867"/>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794723_1395250215"/>
      <w:bookmarkStart w:id="9" w:name="_Toc3"/>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73_17869"/>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2"/>
        <w:numPr>
          <w:ilvl w:val="1"/>
          <w:numId w:val="1"/>
        </w:numPr>
        <w:rPr/>
      </w:pPr>
      <w:bookmarkStart w:id="11" w:name="__RefHeading___Toc794725_1395250215"/>
      <w:bookmarkStart w:id="12" w:name="_Toc4"/>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بررسی انتقادی بایسته‌های معرفتیِ ادلۀ اثبات وجود خدا از دیدگاه سوئینبرن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محمدجواد اصغری، سیدمحمود موسوی</w:t>
      </w:r>
    </w:p>
    <w:p>
      <w:pPr>
        <w:pStyle w:val="BookText"/>
        <w:rPr/>
      </w:pPr>
      <w:r>
        <w:rPr>
          <w:rFonts w:ascii="IRNazanin" w:hAnsi="IRNazanin" w:eastAsia="IRNazanin"/>
          <w:color w:val="111111"/>
          <w:sz w:val="28"/>
          <w:sz w:val="28"/>
          <w:szCs w:val="28"/>
          <w:rtl w:val="true"/>
          <w:lang w:bidi="fa-IR"/>
        </w:rPr>
        <w:t>متکلمان امامی عصرِ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مسئلۀ 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سیداحسان موسوی‌خلخالی، نعمت‌اله صفری‌فروشانی</w:t>
      </w:r>
    </w:p>
    <w:p>
      <w:pPr>
        <w:pStyle w:val="BookText"/>
        <w:rPr/>
      </w:pPr>
      <w:r>
        <w:rPr>
          <w:rFonts w:ascii="IRNazanin" w:hAnsi="IRNazanin" w:eastAsia="IRNazanin"/>
          <w:color w:val="111111"/>
          <w:sz w:val="28"/>
          <w:sz w:val="28"/>
          <w:szCs w:val="28"/>
          <w:rtl w:val="true"/>
          <w:lang w:bidi="fa-IR"/>
        </w:rPr>
        <w:t>روش‌شناسی کلامی شیخ حر عاملی در مقام دفاع در حوزه‌های ردّ شبهات و مکاتب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محمد غفوری‌نژاد، ام‌ا‌لبنین خالقیان</w:t>
      </w:r>
    </w:p>
    <w:p>
      <w:pPr>
        <w:pStyle w:val="BookText"/>
        <w:rPr/>
      </w:pPr>
      <w:r>
        <w:rPr>
          <w:rFonts w:ascii="IRNazanin" w:hAnsi="IRNazanin" w:eastAsia="IRNazanin"/>
          <w:color w:val="111111"/>
          <w:sz w:val="28"/>
          <w:sz w:val="28"/>
          <w:szCs w:val="28"/>
          <w:rtl w:val="true"/>
          <w:lang w:bidi="fa-IR"/>
        </w:rPr>
        <w:t>محلّ نزول اولین وحی و آثار کلامی 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رضوی، محمدحسین افراخته</w:t>
      </w:r>
    </w:p>
    <w:p>
      <w:pPr>
        <w:pStyle w:val="BookText"/>
        <w:rPr/>
      </w:pPr>
      <w:r>
        <w:rPr>
          <w:rFonts w:ascii="IRNazanin" w:hAnsi="IRNazanin" w:eastAsia="IRNazanin"/>
          <w:color w:val="111111"/>
          <w:sz w:val="28"/>
          <w:sz w:val="28"/>
          <w:szCs w:val="28"/>
          <w:rtl w:val="true"/>
          <w:lang w:bidi="fa-IR"/>
        </w:rPr>
        <w:t>حقیقتِ انسان و مرگ از دیدگاه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دیرباز، محمدتقی سبحانی، سعیده سادات نبوی</w:t>
      </w:r>
    </w:p>
    <w:p>
      <w:pPr>
        <w:pStyle w:val="BookText"/>
        <w:rPr/>
      </w:pPr>
      <w:r>
        <w:rPr>
          <w:rFonts w:ascii="IRNazanin" w:hAnsi="IRNazanin" w:eastAsia="IRNazanin"/>
          <w:color w:val="111111"/>
          <w:sz w:val="28"/>
          <w:sz w:val="28"/>
          <w:szCs w:val="28"/>
          <w:rtl w:val="true"/>
          <w:lang w:bidi="fa-IR"/>
        </w:rPr>
        <w:t>گسترۀ مسئولیت انسان از دیدگاه قاضی عبدالجبار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ایزدی، مرضیه هراتیان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ادلۀ قرآنی برقعی دربارۀ برزخ از دیدگاه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نبیان، مهدی تیموری، سیدمحمدعلی میردامادی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3" w:name="pg2673_17873"/>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Heading2"/>
        <w:numPr>
          <w:ilvl w:val="1"/>
          <w:numId w:val="1"/>
        </w:numPr>
        <w:rPr/>
      </w:pPr>
      <w:bookmarkStart w:id="14" w:name="__RefHeading___Toc794727_1395250215"/>
      <w:bookmarkStart w:id="15" w:name="_Toc5"/>
      <w:bookmarkEnd w:id="14"/>
      <w:r>
        <w:rPr>
          <w:rtl w:val="true"/>
        </w:rPr>
        <w:t>بررسی انتقادی بایسته‌های معرفتیِ ادلۀ اثبات وجود خدا از دیدگاه سوئینبرن</w:t>
      </w:r>
      <w:bookmarkEnd w:id="15"/>
    </w:p>
    <w:p>
      <w:pPr>
        <w:pStyle w:val="Heading3"/>
        <w:numPr>
          <w:ilvl w:val="2"/>
          <w:numId w:val="1"/>
        </w:numPr>
        <w:rPr/>
      </w:pPr>
      <w:bookmarkStart w:id="16" w:name="__RefHeading___Toc794729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محمدجواد اصغری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سیدمحمود موسوی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1394/03/13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1394/09/10</w:t>
      </w:r>
    </w:p>
    <w:p>
      <w:pPr>
        <w:pStyle w:val="Heading3"/>
        <w:numPr>
          <w:ilvl w:val="2"/>
          <w:numId w:val="1"/>
        </w:numPr>
        <w:rPr/>
      </w:pPr>
      <w:bookmarkStart w:id="18" w:name="__RefHeading___Toc794731_1395250215"/>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سوئینبرن ـ فیلسوف دین معاصر ـ در آثار خود تلاش کرده است تقریر جدیدی از براهین اثبات وجود خدا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بایسته‌های معرفتی ویژه‌ای در خصوص این ادله بیان می کند که از میان آن‌ها می توان به اقناعی بودن، پسینی بودن، استقرایی بودن و انباشتی بودن این ادله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کرده ایم که رویکردهای مزبور به براهین را تبیین و سپس مورد بررسی و نقد قرار دهیم</w:t>
      </w:r>
      <w:r>
        <w:rPr>
          <w:rFonts w:eastAsia="IRNazanin" w:cs="IRNazanin"/>
          <w:color w:val="111111"/>
          <w:sz w:val="28"/>
          <w:szCs w:val="28"/>
          <w:rtl w:val="true"/>
          <w:lang w:bidi="fa-IR"/>
        </w:rPr>
        <w:t>.</w:t>
      </w:r>
    </w:p>
    <w:p>
      <w:pPr>
        <w:pStyle w:val="Heading3"/>
        <w:numPr>
          <w:ilvl w:val="2"/>
          <w:numId w:val="1"/>
        </w:numPr>
        <w:rPr/>
      </w:pPr>
      <w:bookmarkStart w:id="20" w:name="__RefHeading___Toc794733_1395250215"/>
      <w:bookmarkStart w:id="21" w:name="_Toc8"/>
      <w:bookmarkEnd w:id="20"/>
      <w:r>
        <w:rPr>
          <w:rtl w:val="true"/>
        </w:rPr>
        <w:t>واژگان کلیدی</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سوئینبرن، براهین اثبات وجود خدا، منطق استقرایی، یقین</w:t>
      </w:r>
      <w:r>
        <w:rPr>
          <w:rFonts w:eastAsia="IRNazanin" w:cs="IRNazanin"/>
          <w:color w:val="111111"/>
          <w:sz w:val="28"/>
          <w:szCs w:val="28"/>
          <w:rtl w:val="true"/>
          <w:lang w:bidi="fa-IR"/>
        </w:rPr>
        <w:t>.</w:t>
      </w:r>
      <w:bookmarkStart w:id="22" w:name="pg2673_17875"/>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 w:name="__RefHeading___Toc794735_1395250215"/>
      <w:bookmarkStart w:id="24" w:name="_Toc9"/>
      <w:bookmarkEnd w:id="23"/>
      <w:r>
        <w:rPr>
          <w:rtl w:val="true"/>
        </w:rPr>
        <w:t>مقدمه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سوئینبرن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مشهور مغرب‌زمین است که آثار گوناگونی در موضوعات فلسفه، فلسفۀ علم، فلسفۀ دین و مسیحیت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فیلسوفی عقل گراست و به همین دلیل با ایمان گرایی، یعنی دیدگاهی که نظام‌های اعتقادات دینی را موضوع ارزیابی عقلانی نمی‌داند،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کلی، روح تفکر توماسی را که بر الهیات مسیحی غلبه داشته است، بر روح تفکر کی یرکگاردی ترجیح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سوئینبرن،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از میان نظریه‌های متافیزیکی، خداشناسی توحیدی را از همه موجه‌تر می‌داند؛ از این روی، به صورتی تفصیلی به براهین و به تعبیر خود به شواهد و قرائنی پرداخته است که این نظریه را مورد تأیید و اثبات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خود تلاش کرده است تقریر جدیدی از براهین اثبات وجود خدا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وی به براهین اثبات وجود خدا نگاه ویژه‌ای دارد که در این پژوهش تلاش کرده‌ایم دیدگاه وی را تبیین کرده و مورد نقد و بررسی قرار دهیم</w:t>
      </w:r>
      <w:r>
        <w:rPr>
          <w:rFonts w:eastAsia="IRNazanin" w:cs="IRNazanin"/>
          <w:color w:val="111111"/>
          <w:sz w:val="28"/>
          <w:szCs w:val="28"/>
          <w:rtl w:val="true"/>
          <w:lang w:bidi="fa-IR"/>
        </w:rPr>
        <w:t>.</w:t>
      </w:r>
    </w:p>
    <w:p>
      <w:pPr>
        <w:pStyle w:val="Heading3"/>
        <w:numPr>
          <w:ilvl w:val="2"/>
          <w:numId w:val="1"/>
        </w:numPr>
        <w:rPr/>
      </w:pPr>
      <w:bookmarkStart w:id="25" w:name="__RefHeading___Toc794737_1395250215"/>
      <w:bookmarkStart w:id="26" w:name="_Toc10"/>
      <w:bookmarkEnd w:id="25"/>
      <w:r>
        <w:rPr>
          <w:rtl w:val="true"/>
        </w:rPr>
        <w:t>ادلۀ اثبات وجود خدا از دیدگاه سوئینبرن</w:t>
      </w:r>
      <w:bookmarkEnd w:id="26"/>
    </w:p>
    <w:p>
      <w:pPr>
        <w:pStyle w:val="BookText"/>
        <w:rPr/>
      </w:pPr>
      <w:r>
        <w:rPr>
          <w:rFonts w:ascii="IRNazanin" w:hAnsi="IRNazanin" w:eastAsia="IRNazanin"/>
          <w:color w:val="111111"/>
          <w:sz w:val="28"/>
          <w:sz w:val="28"/>
          <w:szCs w:val="28"/>
          <w:rtl w:val="true"/>
          <w:lang w:bidi="fa-IR"/>
        </w:rPr>
        <w:t xml:space="preserve">سوئینبرن در کتاب وجود خدا که آن را مهم‌ترین و جدی‌ترین کتاب خود در میان مکتوباتش در حوزۀ فلسفه دین تلقی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ادلۀ اثبات خداوند را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بشر در طول تاریخ سعی کرده است ادلۀ خود را دربارۀ ثبات وجود خداوند و یا عدم وجود خداوند، تنظیم و صورت‌بندی کند، اما هنوز همۀ ادلۀ اثبات وجود خدا صورت‌بندی نشده‌اند و نیاز به صورت‌بندی و تنظیم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 ادله، یک شکل کاملاً دقیق دریافت کرده‌اند که در قالب براهینِ معنون‌شده، تنظیم شده‌اند و سایر آن‌ها نیاز دارند که به شکلی واضح تنظیم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18</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کتاب، در مجموع شش نوع دلیل را تقریر کرده است و آن‌ها را مثبِت وجود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برهان به ترتیبی که در این کتاب بیان شده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غایت شناختی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وجدانی و اخلاقی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تاریخی و معجزات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تجربۀ دینی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چند سال بعد از نگارش کتاب وجود خدا، خلاصۀ آن را در کتاب آیا خدایی هست؟</w:t>
      </w:r>
      <w:r>
        <w:rPr>
          <w:rStyle w:val="FootnoteAnchor"/>
          <w:rtl w:val="true"/>
        </w:rPr>
        <w:footnoteReference w:id="10"/>
      </w:r>
      <w:r>
        <w:rPr>
          <w:rFonts w:ascii="IRNazanin" w:hAnsi="IRNazanin" w:eastAsia="IRNazanin"/>
          <w:color w:val="111111"/>
          <w:sz w:val="28"/>
          <w:sz w:val="28"/>
          <w:szCs w:val="28"/>
          <w:rtl w:val="true"/>
          <w:lang w:bidi="fa-IR"/>
        </w:rPr>
        <w:t>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سوئینبرن، مفاد برهان جهان شناختی این است که این واقعیت که جهانی</w:t>
      </w:r>
    </w:p>
    <w:p>
      <w:pPr>
        <w:pStyle w:val="BookText"/>
        <w:rPr/>
      </w:pPr>
      <w:r>
        <w:rPr>
          <w:rFonts w:ascii="IRNazanin" w:hAnsi="IRNazanin" w:eastAsia="IRNazanin"/>
          <w:color w:val="111111"/>
          <w:sz w:val="28"/>
          <w:sz w:val="28"/>
          <w:szCs w:val="28"/>
          <w:rtl w:val="true"/>
          <w:lang w:bidi="fa-IR"/>
        </w:rPr>
        <w:t xml:space="preserve">موجود است، نیازمند تبیین است و این‌که خداوند جهان را خلق کرده و آن را تدبیر می‌کند، تبیین‌گر وجود جهان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برهان غایت‌شناختی، استدلال از وجود و رفتار منظم اشیای مادی دربارۀ خدایی است که آن‌ها را همراه با نیروها و قابلیت‌هایی همانند موجود نگاه می‌دارد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2003: 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برهان از طریق آگاهی،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موجودات آگاهی وجود دارند، اگر فعل خدا نبود، امری رازآلود و غیر قابل</w:t>
      </w:r>
    </w:p>
    <w:p>
      <w:pPr>
        <w:pStyle w:val="BookText"/>
        <w:rPr/>
      </w:pPr>
      <w:r>
        <w:rPr>
          <w:rFonts w:ascii="IRNazanin" w:hAnsi="IRNazanin" w:eastAsia="IRNazanin"/>
          <w:color w:val="111111"/>
          <w:sz w:val="28"/>
          <w:sz w:val="28"/>
          <w:szCs w:val="28"/>
          <w:rtl w:val="true"/>
          <w:lang w:bidi="fa-IR"/>
        </w:rPr>
        <w:t>تبیین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اخلاقی، بهترین تبیین برای وجود جنبه‌های اخلاقی در وجود انسان را وجود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تاریخی و معجزات، پدیده‌های عمومی متعدد در طول تاریخ بشر را به عنوان شواهدی بر وجود خدا و فعل او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تجربۀ دینی مدعی است که تجارب شخصی مختلف، تجارب خداوند هستند و بنابراین وجود او را نشان می‌دهند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Swinburne, 2004: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از براهینی که علیه وجود خداوند اقامه شده است، سوئینبرن دو برهان</w:t>
      </w:r>
    </w:p>
    <w:p>
      <w:pPr>
        <w:pStyle w:val="BookText"/>
        <w:rPr/>
      </w:pPr>
      <w:r>
        <w:rPr>
          <w:rFonts w:ascii="IRNazanin" w:hAnsi="IRNazanin" w:eastAsia="IRNazanin"/>
          <w:color w:val="111111"/>
          <w:sz w:val="28"/>
          <w:sz w:val="28"/>
          <w:szCs w:val="28"/>
          <w:rtl w:val="true"/>
          <w:lang w:bidi="fa-IR"/>
        </w:rPr>
        <w:t>را مورد توجه و بررسی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شر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اختفای الهی</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شر،</w:t>
      </w:r>
    </w:p>
    <w:p>
      <w:pPr>
        <w:pStyle w:val="BookText"/>
        <w:rPr/>
      </w:pPr>
      <w:r>
        <w:rPr>
          <w:rFonts w:ascii="IRNazanin" w:hAnsi="IRNazanin" w:eastAsia="IRNazanin"/>
          <w:color w:val="111111"/>
          <w:sz w:val="28"/>
          <w:sz w:val="28"/>
          <w:szCs w:val="28"/>
          <w:rtl w:val="true"/>
          <w:lang w:bidi="fa-IR"/>
        </w:rPr>
        <w:t>مدعی آن است که وجود درد و رنج در جهان نشان می‌دهد که موجود خیّر مطلق و قادر</w:t>
      </w:r>
    </w:p>
    <w:p>
      <w:pPr>
        <w:pStyle w:val="BookText"/>
        <w:rPr/>
      </w:pPr>
      <w:r>
        <w:rPr>
          <w:rFonts w:ascii="IRNazanin" w:hAnsi="IRNazanin" w:eastAsia="IRNazanin"/>
          <w:color w:val="111111"/>
          <w:sz w:val="28"/>
          <w:sz w:val="28"/>
          <w:szCs w:val="28"/>
          <w:rtl w:val="true"/>
          <w:lang w:bidi="fa-IR"/>
        </w:rPr>
        <w:t xml:space="preserve">مطلق وجود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برهان اختفای الهی نیز سعی دارد نشان دهد که پنهـان بودن خـداوند با نیک بـودن، عالِم بودن و قـادر بودن خـداوند در تناقض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Swinburne, 2004: 267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توضیح خلاصه و اجمالی از ادله ای بود که مورد توجه سوئینبرن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پژوهش در نظر داریم دیدگاه‌هایی را که سوئینبرن دربارۀ براهین مزبور به صورت کلی دارد، تبیین کرده و مورد نقد و بررسی قرار دهیم</w:t>
      </w:r>
      <w:r>
        <w:rPr>
          <w:rFonts w:eastAsia="IRNazanin" w:cs="IRNazanin"/>
          <w:color w:val="111111"/>
          <w:sz w:val="28"/>
          <w:szCs w:val="28"/>
          <w:rtl w:val="true"/>
          <w:lang w:bidi="fa-IR"/>
        </w:rPr>
        <w:t>.</w:t>
      </w:r>
      <w:bookmarkStart w:id="27" w:name="pg2673_17879"/>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28" w:name="__RefHeading___Toc794739_1395250215"/>
      <w:bookmarkStart w:id="29" w:name="_Toc11"/>
      <w:bookmarkEnd w:id="28"/>
      <w:r>
        <w:rPr>
          <w:rtl w:val="true"/>
        </w:rPr>
        <w:t>بایسته‌های معرفتی ادلۀ اثبات وجود خدا</w:t>
      </w:r>
      <w:bookmarkEnd w:id="29"/>
    </w:p>
    <w:p>
      <w:pPr>
        <w:pStyle w:val="Heading4"/>
        <w:numPr>
          <w:ilvl w:val="3"/>
          <w:numId w:val="1"/>
        </w:numPr>
        <w:rPr/>
      </w:pPr>
      <w:bookmarkStart w:id="30" w:name="__RefHeading___Toc794741_1395250215"/>
      <w:bookmarkStart w:id="31" w:name="_Toc12"/>
      <w:bookmarkEnd w:id="30"/>
      <w:r>
        <w:rPr/>
        <w:t>1</w:t>
      </w:r>
      <w:r>
        <w:rPr>
          <w:rtl w:val="true"/>
        </w:rPr>
        <w:t xml:space="preserve">. </w:t>
      </w:r>
      <w:r>
        <w:rPr>
          <w:rtl w:val="true"/>
        </w:rPr>
        <w:t>پسینی بودن ادله</w:t>
      </w:r>
      <w:bookmarkEnd w:id="31"/>
    </w:p>
    <w:p>
      <w:pPr>
        <w:pStyle w:val="BookText"/>
        <w:rPr/>
      </w:pPr>
      <w:r>
        <w:rPr>
          <w:rFonts w:ascii="IRNazanin" w:hAnsi="IRNazanin" w:eastAsia="IRNazanin"/>
          <w:color w:val="111111"/>
          <w:sz w:val="28"/>
          <w:sz w:val="28"/>
          <w:szCs w:val="28"/>
          <w:rtl w:val="true"/>
          <w:lang w:bidi="fa-IR"/>
        </w:rPr>
        <w:t xml:space="preserve">سوئینبرن ادلۀ له یا علیه اثبات وجود خدا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پیشینی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پسینی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 ادلۀ پسینی همچون برهان جهان‌شناختی یا برهان تجربه دینی، ادله‌ای هستند که مقدمات آن‌ها گزارش‌دهندۀ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معنایی بسیار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تجربۀ انسانی است و ادعا می‌کنند که چیزی که انسان‌ها تجربه می‌کنند، شواهدی بر باور به وجود خداوند یا عدم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پیشینی همچون برهان وجودی، ادله‌ای هستند که مقدمات آن‌ها حامل حقایقی منطقاً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تصریح می‌کند که آنچه وی مورد توجه و بررسی قرار داده، صرفاً ادلۀ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ادلۀ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علتِ این‌که چرا از براهین پیشینی بحث نمی‌کند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 کنم ادلۀ وجودی که برای وجود خداوند اقامه شده اند، ادله ای مختص فلاسفه هستند و دلایلی را که مردمان عادی برای باور به وجود خداوند اقامه می‌کنند،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فلاسفۀ دین خداباور، عموماً ادلۀ وجودی را ردکرده و بر ادلۀ پسینی اعتماد کرده‌اند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794743_1395250215"/>
      <w:bookmarkStart w:id="33" w:name="_Toc13"/>
      <w:bookmarkEnd w:id="32"/>
      <w:r>
        <w:rPr/>
        <w:t>2</w:t>
      </w:r>
      <w:r>
        <w:rPr>
          <w:rtl w:val="true"/>
        </w:rPr>
        <w:t xml:space="preserve">. </w:t>
      </w:r>
      <w:r>
        <w:rPr>
          <w:rtl w:val="true"/>
        </w:rPr>
        <w:t>اقناعی بودن ادله</w:t>
      </w:r>
      <w:bookmarkEnd w:id="33"/>
    </w:p>
    <w:p>
      <w:pPr>
        <w:pStyle w:val="BookText"/>
        <w:rPr/>
      </w:pPr>
      <w:r>
        <w:rPr>
          <w:rFonts w:ascii="IRNazanin" w:hAnsi="IRNazanin" w:eastAsia="IRNazanin"/>
          <w:color w:val="111111"/>
          <w:sz w:val="28"/>
          <w:sz w:val="28"/>
          <w:szCs w:val="28"/>
          <w:rtl w:val="true"/>
          <w:lang w:bidi="fa-IR"/>
        </w:rPr>
        <w:t>از دیدگاه سوئینبرن، هدف استدلال تنها این است که مخاطب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مقدماتی استفاده شود که مفاد آن‌ها توسط عموم مخالفان پذیرفته شده باشد؛ به همین دلیل، بسیاری از براهین معتبر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براهین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فاقد کارآیی هستند، چرا‌که مقدمات آن‌ها توسط اغلب منکران خدا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در این باره نمونه‌ای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زندگی بامعنا باشد،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زندگی بامعناست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 وجود دارد</w:t>
      </w:r>
      <w:r>
        <w:rPr>
          <w:rFonts w:eastAsia="IRNazanin" w:cs="IRNazanin"/>
          <w:color w:val="111111"/>
          <w:sz w:val="28"/>
          <w:szCs w:val="28"/>
          <w:rtl w:val="true"/>
          <w:lang w:bidi="fa-IR"/>
        </w:rPr>
        <w:t>.</w:t>
      </w:r>
      <w:bookmarkStart w:id="34" w:name="pg2673_17881"/>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به نظر سوئینبرن، این استدلال کاملاً صحیح و معتبر است، اما نمی‌توان از آن برای بحث با منکران خدا استفاده کرد، چرا‌که عموماً مقدمات آن نزد ایشان از مقبولیت برخوردار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794745_1395250215"/>
      <w:bookmarkStart w:id="36" w:name="_Toc14"/>
      <w:bookmarkEnd w:id="35"/>
      <w:r>
        <w:rPr/>
        <w:t>3</w:t>
      </w:r>
      <w:r>
        <w:rPr>
          <w:rtl w:val="true"/>
        </w:rPr>
        <w:t xml:space="preserve">. </w:t>
      </w:r>
      <w:r>
        <w:rPr>
          <w:rtl w:val="true"/>
        </w:rPr>
        <w:t xml:space="preserve">استقرایی بودنِ ادله </w:t>
      </w:r>
      <w:r>
        <w:rPr>
          <w:rtl w:val="true"/>
        </w:rPr>
        <w:t>(</w:t>
      </w:r>
      <w:r>
        <w:rPr>
          <w:rtl w:val="true"/>
        </w:rPr>
        <w:t>شاهد یا برهان</w:t>
      </w:r>
      <w:r>
        <w:rPr>
          <w:rtl w:val="true"/>
        </w:rPr>
        <w:t>)</w:t>
      </w:r>
      <w:bookmarkEnd w:id="36"/>
    </w:p>
    <w:p>
      <w:pPr>
        <w:pStyle w:val="Heading5"/>
        <w:numPr>
          <w:ilvl w:val="4"/>
          <w:numId w:val="1"/>
        </w:numPr>
        <w:rPr/>
      </w:pPr>
      <w:bookmarkStart w:id="37" w:name="__RefHeading___Toc794747_1395250215"/>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از آن‌جا که استنتاج بر دو گونۀ قطعی و محتمل است، منطق نیز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قیاسی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با استنتاج قطعی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استقرایی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 استنتاج محتمل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قیاسی، حقایق جزئی را از حقایق کلی استنتاج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گزاره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میراست، سقراط انسان است، پس سقراط میراست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تشکیل‌دهندۀ یک قیاس است که در آن قضیۀ سوم از قضیۀ اول و دوم استنتاج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جزئی، حقیقتی را ثابت می‌کند که همان میرا بودن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این قضیه، نتیجۀ منطقی قضیۀ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قضیه صادق باشند، پس قضیه سوم ضرورتاً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استقرایی، حقایق کلی از حقایق جزئی استنتاج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بگوییم گزاره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امروز صبح برآمد، آفتاب دیروز صبح برآمد، دیده نشده هیچ روزی آفتاب برنیامده باشد، پس آفتاب هر روز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استنتاج استقرایی است که آخرین قضیه بر پایۀ قضیه‌های پیشین استنتاج شده است و به عبارتی، قضیۀ آخر نتیجۀ محتمل قضایای پیشین است، نه نتیجۀ قطعی آن‌ها، چرا‌که در قضایای قبلی هیچ چیزی نیست که منطقاً ایجاب کند قضیۀ آخر، صادق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سوئینبرن در بحث از براهین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استقرایی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براهین اثبات وجود خدا را براهین استقرایی می‌داند و بر این مطلب تأکید می‌کند که هیچ‌یک از ادله ای که له یا علیه وجود خداوند اقامه شده‌اند، ادلۀ قیاسی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هیچ‌یک از ادلۀ له یا علیه وجود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مستقلاً و نه به شکل انباشتی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قیاسی معتبری نمی‌دانم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منظور سوئینبرن این نیست که برهان قیاسی بر اثبات وجود خدا اقامه نشده است، بلکه همان‌طور که اشاره خواهیم کرد، از نظر وی براهین قیاسی معتبری بر اثبات وجود خداوند وجود دارد، اما از آن‌جا که این براهین از مقدماتی بهره می‌گیرند که فاقد مقبولیت عمومی هستند، سوئینبرن ارزشی برای بحث از آن‌ها قائل نیست</w:t>
      </w:r>
      <w:r>
        <w:rPr>
          <w:rFonts w:eastAsia="IRNazanin" w:cs="IRNazanin"/>
          <w:color w:val="111111"/>
          <w:sz w:val="28"/>
          <w:szCs w:val="28"/>
          <w:rtl w:val="true"/>
          <w:lang w:bidi="fa-IR"/>
        </w:rPr>
        <w:t>.</w:t>
      </w:r>
      <w:bookmarkStart w:id="39" w:name="pg2673_17883"/>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 این اساس، سوئینبرن تلاش می‌کند با استفاده از منطق استقرایی و روش تأیید نشان دهد که نظریه‌های دینی، از جمله نظریۀ وجود خدا، مشابه نظریه‌های علمی بوده و اعتقاد به آن امری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راهی که سوئینبرن برای اثبات معقول بودن گزاره های دینی انتخاب می‌کند این است که نشان دهد این گزاره‌ها هم مانند گزاره‌های علمی هستند؛ یعنی اگر با همان روش علمی فرضیۀ وجود خدا را هم بررسی کنیم،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شواهد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را تأیید می‌کنند و ثانیاً، فرضیۀ خداباوری بهترین تبیین برای این شواهد است و به این دو دلیل، همان‌طور که فرضیه‌های علمی را می‌پذیریم و اعتقاد به آن‌ها را معقول می‌دانیم، اعتقاد به وجود خدا هم بی‌دلیل نیست و باید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سوئینبرن در واقع ادلۀ اثبات وجود خدا را شواهدی بر وجود خدا می‌داند، نه برهان به معنای منطقی و فلسفی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منطقِ حاکم بر مباحث سوئینبرن در این خصوص منطق استقرایی است، در ادامه لازم است انواع استقرا از دیدگاه این فیلسوف مورد بحث قرار گیرد تا ببینیم سوئینبرن ادلۀ اثبات وجود خدا را دقیقاً چه نوع استقرایی می‌داند</w:t>
      </w:r>
      <w:r>
        <w:rPr>
          <w:rFonts w:eastAsia="IRNazanin" w:cs="IRNazanin"/>
          <w:color w:val="111111"/>
          <w:sz w:val="28"/>
          <w:szCs w:val="28"/>
          <w:rtl w:val="true"/>
          <w:lang w:bidi="fa-IR"/>
        </w:rPr>
        <w:t>.</w:t>
      </w:r>
    </w:p>
    <w:p>
      <w:pPr>
        <w:pStyle w:val="Heading5"/>
        <w:numPr>
          <w:ilvl w:val="4"/>
          <w:numId w:val="1"/>
        </w:numPr>
        <w:rPr/>
      </w:pPr>
      <w:bookmarkStart w:id="40" w:name="__RefHeading___Toc794749_1395250215"/>
      <w:bookmarkStart w:id="41" w:name="_Toc16"/>
      <w:bookmarkEnd w:id="40"/>
      <w:r>
        <w:rPr>
          <w:rtl w:val="true"/>
        </w:rPr>
        <w:t>الف</w:t>
      </w:r>
      <w:r>
        <w:rPr>
          <w:rtl w:val="true"/>
        </w:rPr>
        <w:t xml:space="preserve">) </w:t>
      </w:r>
      <w:r>
        <w:rPr>
          <w:rtl w:val="true"/>
        </w:rPr>
        <w:t>انواع استقرا</w:t>
      </w:r>
      <w:bookmarkEnd w:id="41"/>
    </w:p>
    <w:p>
      <w:pPr>
        <w:pStyle w:val="BookText"/>
        <w:rPr/>
      </w:pPr>
      <w:r>
        <w:rPr>
          <w:rFonts w:ascii="IRNazanin" w:hAnsi="IRNazanin" w:eastAsia="IRNazanin"/>
          <w:color w:val="111111"/>
          <w:sz w:val="28"/>
          <w:sz w:val="28"/>
          <w:szCs w:val="28"/>
          <w:rtl w:val="true"/>
          <w:lang w:bidi="fa-IR"/>
        </w:rPr>
        <w:t>سوئینبرن بین دو نوع استقرا تفاوت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دلیل استقرایی است که احتمال نتیجه را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می‌کند و بر این اساس، بر احتمال نقیض خود غلبه می‌نماید؛ مثلاً اگر فرض کنیم که دیوید ساکن لندن باشد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لندنی‌ها، کاتولیک باشند، می‌توان این‌گونه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لندنی‌ها کاتولیک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دیوید ساکن لندن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پس به احتمال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دیوید کاتولیک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لندنی بودن دیوید با لحاظ مقدمۀ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عبارتی ترکیب دو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این‌که او کاتولیک باشد را افزایش می‌دهد و چون این احتمال طبعاً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 است، بر نقیض خود غلبه دارد؛ اما سوئینبرن معتقد است بسیاری از ادله ای را که دلیل استقرایی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از این نوع نیستند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استدلالی است که سوئینبرن معتقد است احتمال نتیجه را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نمی‌کند و بر این اساس، نمی‌تواند بر احتمال نقیض خود غلبه داشته باشد؛ مثلاً اگر این‌گونه استدلال کنیم که</w:t>
      </w:r>
      <w:r>
        <w:rPr>
          <w:rFonts w:eastAsia="IRNazanin" w:cs="IRNazanin"/>
          <w:color w:val="111111"/>
          <w:sz w:val="28"/>
          <w:szCs w:val="28"/>
          <w:rtl w:val="true"/>
          <w:lang w:bidi="fa-IR"/>
        </w:rPr>
        <w:t>:</w:t>
      </w:r>
      <w:bookmarkStart w:id="42" w:name="pg2673_17885"/>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صد عدد کلاغ‌هایی که در مناطق مختلف جهان دیده شده‌اند،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کلاغ‌ها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می‌خواهیم از صد نمونه کلاغِ دیده‌شده در نقاط مختلف جهان که همگی سیاه بوده‌اند، نتیجه‌گیری کنیم که همۀ کلاغ‌ها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معتقد است، عادتاً مفاد این شواهد، اثبات نتایجی کلی است؛ حتی اگر فرض کنیم که هیچ کلاغی هرگز در دنیا وجود نداشته و نخواهد داشت، باز هم مفاد چنین دلیلی، اثبات نتیجه‌ای 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آن است که ما چگونه توانسته‌ایم از مقدمۀ اول که بر اساس آن تنها صد عدد از کلاغ‌ها بررسی شده‌اند، نتیجه‌ای کلی را اثبات کنیم و سیاه بودن همۀ کلاغ‌ها را نتیجه بگیریم؟ چرا‌که شاید سیاه بودن کلاغ‌های مشاهده‌شده، به خاطر خصوصیت زمانی وجود آن‌ها بوده است و مثلاً کلاغ‌های صد سال قبل این‌گونه نبوده‌اند یا در آینده این‌گونه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مقدمۀ اول شاهد کافی برای اثبات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نتیجه ممکن است درست باشد و در این استدلال می‌توان گفت که صحتِ مقدمه، باعث سنگین شدن کفۀ نتیجه می‌شود و به عبارتی، در این استدلال مقدمات تنها نتیجه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می‌کنند، ولی نه به آن اندازه که بر احتمال مخالف غلبه کنند، چرا‌که این احتمال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گاه از این دو استدلال این‌گونه تعبیر می‌کند که استقرای نوع اول، استدلالی است که در آن مقدمات، نتیجه را محتمل ساخته‌اند و استقرای نوع دوم، استدلالی است که در آن مقدمات، درجۀ احتمال نتیجه را افزایش داده و یا به عبارتی آن را تأیید کرده‌اند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مشاهده کردیم، هر دو دلیل فوق ادلۀ استقرایی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استقرای نوع اول را استقرای احتمالاتی </w:t>
      </w:r>
      <w:r>
        <w:rPr>
          <w:rStyle w:val="FootnoteAnchor"/>
          <w:rtl w:val="true"/>
        </w:rPr>
        <w:footnoteReference w:id="18"/>
      </w:r>
      <w:r>
        <w:rPr>
          <w:rFonts w:ascii="IRNazanin" w:hAnsi="IRNazanin" w:eastAsia="IRNazanin"/>
          <w:color w:val="111111"/>
          <w:sz w:val="28"/>
          <w:sz w:val="28"/>
          <w:szCs w:val="28"/>
          <w:rtl w:val="true"/>
          <w:lang w:bidi="fa-IR"/>
        </w:rPr>
        <w:t xml:space="preserve">و یا به اختصار استقرای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استقرای نوع دوم را استقرای مقولی </w:t>
      </w:r>
      <w:r>
        <w:rPr>
          <w:rStyle w:val="FootnoteAnchor"/>
          <w:rtl w:val="true"/>
        </w:rPr>
        <w:footnoteReference w:id="19"/>
      </w:r>
      <w:r>
        <w:rPr>
          <w:rFonts w:ascii="IRNazanin" w:hAnsi="IRNazanin" w:eastAsia="IRNazanin"/>
          <w:color w:val="111111"/>
          <w:sz w:val="28"/>
          <w:sz w:val="28"/>
          <w:szCs w:val="28"/>
          <w:rtl w:val="true"/>
          <w:lang w:bidi="fa-IR"/>
        </w:rPr>
        <w:t xml:space="preserve">و یا به اختصار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794751_1395250215"/>
      <w:bookmarkStart w:id="44" w:name="_Toc17"/>
      <w:bookmarkEnd w:id="43"/>
      <w:r>
        <w:rPr>
          <w:rtl w:val="true"/>
        </w:rPr>
        <w:t>ب</w:t>
      </w:r>
      <w:r>
        <w:rPr>
          <w:rtl w:val="true"/>
        </w:rPr>
        <w:t xml:space="preserve">) </w:t>
      </w:r>
      <w:r>
        <w:rPr>
          <w:rtl w:val="true"/>
        </w:rPr>
        <w:t>ماهیت ادلۀ استقرایی اثبات وجود خدا</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سوئینبرن معتقد است، اکثر ادلۀ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قوانین صحیح طبیعت یا پیش‌بینی‌ها دربارۀ نتایج آزمایش‌ها یا مشاهدات آینده به لحاظ قیاسی معتبر نیستند، اما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نوع ادلۀ استقرایی فوق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5</w:t>
      </w:r>
      <w:r>
        <w:rPr>
          <w:rFonts w:eastAsia="Times New Roman" w:cs="Times New Roman" w:ascii="Times New Roman" w:hAnsi="Times New Roman"/>
          <w:color w:val="111111"/>
          <w:sz w:val="28"/>
          <w:szCs w:val="28"/>
          <w:rtl w:val="true"/>
          <w:lang w:val="en-US" w:bidi="en-US"/>
        </w:rPr>
        <w:t>).</w:t>
      </w:r>
      <w:bookmarkStart w:id="45" w:name="pg2673_17888"/>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از نظر سوئینبرن، اکثر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مستقلاً فرض شوند و خواه به صورت انباشتی که در ادامه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وجود خداوند، ادلۀ استقرایی معتبر از 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که می‌توان گفت مقدمات این ادله، وجود خدا را معقول می‌سازند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نظر سوئینبرن، هر یک از این ادله یک دلیل استقرایی معتبر 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اما تنها وقتی که ما همۀ این ادله را به صورت انباشتی ملاحظه کنیم، یک دلیل استقرایی معتبر نوع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معتقد است، به این دلیل این روش را انتخاب کرده است که جست‌وجوی یک دلیل استقرایی معتبر نوع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بسیار ساده‌تر از جست‌وجوی یک دلیل استقرایی نوع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کردیم، وی از میان ادله علیه اثبات وجود خدا، از دو نوع دلیل</w:t>
      </w:r>
    </w:p>
    <w:p>
      <w:pPr>
        <w:pStyle w:val="BookText"/>
        <w:rPr/>
      </w:pPr>
      <w:r>
        <w:rPr>
          <w:rFonts w:ascii="IRNazanin" w:hAnsi="IRNazanin" w:eastAsia="IRNazanin"/>
          <w:color w:val="111111"/>
          <w:sz w:val="28"/>
          <w:sz w:val="28"/>
          <w:szCs w:val="28"/>
          <w:rtl w:val="true"/>
          <w:lang w:bidi="fa-IR"/>
        </w:rPr>
        <w:t xml:space="preserve">بحث می‌کند که 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 استقرایی از همین 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با قدرتی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اختفای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وجود خداوند، دلیل استقرایی معتبر</w:t>
      </w:r>
    </w:p>
    <w:p>
      <w:pPr>
        <w:pStyle w:val="BookText"/>
        <w:rPr/>
      </w:pPr>
      <w:r>
        <w:rPr>
          <w:rFonts w:ascii="IRNazanin" w:hAnsi="IRNazanin" w:eastAsia="IRNazanin"/>
          <w:color w:val="111111"/>
          <w:sz w:val="28"/>
          <w:sz w:val="28"/>
          <w:szCs w:val="28"/>
          <w:rtl w:val="true"/>
          <w:lang w:bidi="fa-IR"/>
        </w:rPr>
        <w:t xml:space="preserve">از 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سوئینبرن اذعان دارد که همۀ ادلۀ اثبات وجود خداوند در یک رتبه</w:t>
      </w:r>
    </w:p>
    <w:p>
      <w:pPr>
        <w:pStyle w:val="BookText"/>
        <w:rPr/>
      </w:pPr>
      <w:r>
        <w:rPr>
          <w:rFonts w:ascii="IRNazanin" w:hAnsi="IRNazanin" w:eastAsia="IRNazanin"/>
          <w:color w:val="111111"/>
          <w:sz w:val="28"/>
          <w:sz w:val="28"/>
          <w:szCs w:val="28"/>
          <w:rtl w:val="true"/>
          <w:lang w:bidi="fa-IR"/>
        </w:rPr>
        <w:t>نیستند و بعضی از این ادله، وجود خداوند را بسیار بیشتر از ادلۀ دیگر تأیید می‌کنند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Swinburne, 2004: 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794753_1395250215"/>
      <w:bookmarkStart w:id="47" w:name="_Toc18"/>
      <w:bookmarkEnd w:id="46"/>
      <w:r>
        <w:rPr/>
        <w:t>4</w:t>
      </w:r>
      <w:r>
        <w:rPr>
          <w:rtl w:val="true"/>
        </w:rPr>
        <w:t xml:space="preserve">. </w:t>
      </w:r>
      <w:r>
        <w:rPr>
          <w:rtl w:val="true"/>
        </w:rPr>
        <w:t>ضرورت نگاه انباشتی به ادله</w:t>
      </w:r>
      <w:bookmarkEnd w:id="47"/>
    </w:p>
    <w:p>
      <w:pPr>
        <w:pStyle w:val="BookText"/>
        <w:rPr/>
      </w:pPr>
      <w:r>
        <w:rPr>
          <w:rFonts w:ascii="IRNazanin" w:hAnsi="IRNazanin" w:eastAsia="IRNazanin"/>
          <w:color w:val="111111"/>
          <w:sz w:val="28"/>
          <w:sz w:val="28"/>
          <w:szCs w:val="28"/>
          <w:rtl w:val="true"/>
          <w:lang w:bidi="fa-IR"/>
        </w:rPr>
        <w:t>سوئینبرن معتقد است، ادلۀ اثبات وجود خدا را نه به صورت مستقل که باید به صورت جمعی و انباشتی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برهان آن است که ما با توجه به همۀ براهینی که تاکنون برای توجیه اعتقاد به خداوند مطرح شد و نیز با توجه به ایرادهای مختلفی که در ردّ آن‌ها ذکر شد، ببینیم مفاد آن‌ها روی‌هم‌رفته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ضمن تأکید بر لزوم داشتن چنین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وقتی به دنبال شواهد استقرایی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ادلۀ اثبات وجود خدا و نامناسب دانستن بررسی مستقل براهین مزبور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ویژگی نامناسب فلسفۀ دین جدید، گرایش آن به بررسی ادلۀ اثبات وجود خداوند به صورت مجزا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که بدواً هر برهانی به منظور سهولت ارائه، به صورت مجزا از یک‌دیگر بررسی گردد، اما واضح است که این ادله می‌توانند یک‌دیگر را تقویت کنند یا متقابلاً یکدیگر را تضعیف کنند و ما باید بررسی کنیم که آیا</w:t>
      </w:r>
    </w:p>
    <w:p>
      <w:pPr>
        <w:pStyle w:val="BookText"/>
        <w:rPr/>
      </w:pPr>
      <w:r>
        <w:rPr>
          <w:rFonts w:ascii="IRNazanin" w:hAnsi="IRNazanin" w:eastAsia="IRNazanin"/>
          <w:color w:val="111111"/>
          <w:sz w:val="28"/>
          <w:sz w:val="28"/>
          <w:szCs w:val="28"/>
          <w:rtl w:val="true"/>
          <w:lang w:bidi="fa-IR"/>
        </w:rPr>
        <w:t>آن‌ها این‌گونه هستند یا 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سوئینبرن دلیل خود را این‌گونه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احتمال یک فرضیه وابسته به آن است که ما باید بر اساس آن عمل کنیم یا نه، ما باید بر مبنای فرضیه‌ای عمل کنیم که تا به حال مجموع شواهدی که ما از جهان</w:t>
      </w:r>
      <w:bookmarkStart w:id="48" w:name="pg2673_17890"/>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بخش محدودی از معلومات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داریم، آن را محتمل ساخته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Swinburne, 2004: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حقیقت، منظور سوئینبرن از بررسی انباشتی ادله آن است که آیا برآیند شواهد در مجموع، به نفع خداباوری هست یا خیر</w:t>
      </w:r>
      <w:r>
        <w:rPr>
          <w:rFonts w:eastAsia="IRNazanin" w:cs="IRNazanin"/>
          <w:color w:val="111111"/>
          <w:sz w:val="28"/>
          <w:szCs w:val="28"/>
          <w:rtl w:val="true"/>
          <w:lang w:bidi="fa-IR"/>
        </w:rPr>
        <w:t>.</w:t>
      </w:r>
    </w:p>
    <w:p>
      <w:pPr>
        <w:pStyle w:val="Heading4"/>
        <w:numPr>
          <w:ilvl w:val="3"/>
          <w:numId w:val="1"/>
        </w:numPr>
        <w:rPr/>
      </w:pPr>
      <w:bookmarkStart w:id="49" w:name="__RefHeading___Toc794755_1395250215"/>
      <w:bookmarkStart w:id="50" w:name="_Toc19"/>
      <w:bookmarkEnd w:id="49"/>
      <w:r>
        <w:rPr/>
        <w:t>5</w:t>
      </w:r>
      <w:r>
        <w:rPr>
          <w:rtl w:val="true"/>
        </w:rPr>
        <w:t xml:space="preserve">. </w:t>
      </w:r>
      <w:r>
        <w:rPr>
          <w:rtl w:val="true"/>
        </w:rPr>
        <w:t>محتمل بودن نتیجه ادله اثبات</w:t>
      </w:r>
      <w:bookmarkEnd w:id="50"/>
    </w:p>
    <w:p>
      <w:pPr>
        <w:pStyle w:val="BookText"/>
        <w:rPr/>
      </w:pPr>
      <w:r>
        <w:rPr>
          <w:rFonts w:ascii="IRNazanin" w:hAnsi="IRNazanin" w:eastAsia="IRNazanin"/>
          <w:color w:val="111111"/>
          <w:sz w:val="28"/>
          <w:sz w:val="28"/>
          <w:szCs w:val="28"/>
          <w:rtl w:val="true"/>
          <w:lang w:bidi="fa-IR"/>
        </w:rPr>
        <w:t>سوئینبرن نتیجۀ براهین اثبات وجود خدا را نتیجه‌ای محتمل می‌داند، نه یقینی و بر همین اساس، ایمان به خداوند را نیز موجه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سوئینبرن در باب ایمان معتقد است که اگر به چیزی یقین داشته باشیم، دیگر جایی برای ایمان آوردن باقی نمی‌ماند، بلکه ایمان در جایی معنادار است که متعلق آن مورد باور یقینی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عقل می‌تواند به نتیجه‌ای نسبتاً موجه پیرامون وجود خداوند دست یابد، اما من استدلال خواهم کرد که تنها می‌تواند به یک نتیجۀ محتمل برسد، نه یک نتیجۀ غیر قابل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جایی برای ایمان به شعائر دینی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نظر سوئینبرن، وقتی می‌توان گفت شخصی به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آن شخص احتمال آن گزاره را از گزاره‌های بدیل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می‌تواند بین صفر و یک در نوسان باشد و هرچه به عدد یک نزدیک‌تر باشد، باور آن شخص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گزارۀ بدیل هم می‌تواند گزارۀ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گزاره‌های متفاوت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شخصی احتمال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به وجود خدا باور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2008: 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794757_1395250215"/>
      <w:bookmarkStart w:id="52" w:name="_Toc20"/>
      <w:bookmarkEnd w:id="51"/>
      <w:r>
        <w:rPr>
          <w:rtl w:val="true"/>
        </w:rPr>
        <w:t>نقد و برسی</w:t>
      </w:r>
      <w:bookmarkEnd w:id="52"/>
    </w:p>
    <w:p>
      <w:pPr>
        <w:pStyle w:val="Heading5"/>
        <w:numPr>
          <w:ilvl w:val="4"/>
          <w:numId w:val="1"/>
        </w:numPr>
        <w:rPr/>
      </w:pPr>
      <w:bookmarkStart w:id="53" w:name="__RefHeading___Toc794759_1395250215"/>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خصوص دیدگاه‌های سوئینبرن دربارۀ ادلۀ اثبات وجود خدا، ملاحظات متعددی وجود دارد</w:t>
      </w:r>
      <w:r>
        <w:rPr>
          <w:rFonts w:eastAsia="IRNazanin" w:cs="IRNazanin"/>
          <w:color w:val="111111"/>
          <w:sz w:val="28"/>
          <w:szCs w:val="28"/>
          <w:rtl w:val="true"/>
          <w:lang w:bidi="fa-IR"/>
        </w:rPr>
        <w:t>:</w:t>
      </w:r>
    </w:p>
    <w:p>
      <w:pPr>
        <w:pStyle w:val="Heading5"/>
        <w:numPr>
          <w:ilvl w:val="4"/>
          <w:numId w:val="1"/>
        </w:numPr>
        <w:rPr/>
      </w:pPr>
      <w:bookmarkStart w:id="55" w:name="__RefHeading___Toc794761_1395250215"/>
      <w:bookmarkStart w:id="56" w:name="_Toc22"/>
      <w:bookmarkEnd w:id="55"/>
      <w:r>
        <w:rPr/>
        <w:t>1</w:t>
      </w:r>
      <w:r>
        <w:rPr>
          <w:rtl w:val="true"/>
        </w:rPr>
        <w:t xml:space="preserve">. </w:t>
      </w:r>
      <w:r>
        <w:rPr>
          <w:rtl w:val="true"/>
        </w:rPr>
        <w:t>موجه نبودن بی‌اعتنایی به ادلۀ پیشینی</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سوئینبرن دربارۀ پسینی بودن ادلۀ اثبات وجود خدا و این‌که ادلۀ پیشینی، مختص فلاسفه بوده و مورد توجه مردمان عادی قرار نگرفته است و یا این‌که این ادله توسط برخی فلاسفۀ بزرگ رد شده‌اند، دلیل موجهی برای کنار گذاشتن این ادله نیست، چراکه نه مورد التفات قرار نگرفتن این ادله توسط انسان‌های عادی، دلیل درستی برای کنار گذاردن این ادله است و نه مردود بودن این ادله از جانب بعضی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وظیفۀ یک فیلسوف و ضرورت بحث عقلی اقتضا می‌کند که بر اساس مبانی عقلی روشن، موضع خویش را در قبال یک برهان</w:t>
      </w:r>
      <w:bookmarkStart w:id="57" w:name="pg2673_17892"/>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مطالعۀ آثار سوئینبرن می‌توان علت حقیقی بی‌مهری وی به این ادله را به خوبی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فیلسوف بیشتر از مبانی فلسفۀ علم در بحث از ادلۀ اثبات وجود خدا استفاده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23-45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مبنای علوم تجربی، مجرباتی است که بر اساس مشاهدات صورت می‌پذیرد، ادله ای مورد علاقۀ این فیلسوف است که فلسفی محض و عقلی محض نباشد و حداقل مقدمه‌ای از آن مستند به مشاهدات بوده و تجربی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ادله ای همچون برهان نظم، برهان تجربۀ دینی، برهان معجزات و برهان اخلاقی و وجدانی را مورد توجه قرار داده و از بحث دربارۀ براهین وجودی و عقلی محض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سوئینبرن در زمینۀ بی‌مهری به ادلۀ پیشینی وجود خدا، بین دو نوع عدم مقبولیت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مقبولیت همگانی که ناشی از تصور ادراکی مخاطبان است که امری شایع بوده، ولی چیزی از ارزش ادلۀ اثبات وجود خدا نمی‌کاهد، چرا‌که فهم آن نیازمند فراگیری منطق و فلسفه و درجه ای از توان فهم مفاهیم انتزاعی است که در اثر عواملی چه بسا در عامه مردم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مقبولیت در اثر قصور و کاستی خود دلیل است که ناشی از کذب برخی مقدمات یا مغالطه آمیز بودن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سوئینبرن از ابهام این واژه ظاهراً عدم مقبولیت از نوع دوم را نتیجه می 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 اساس آن، ادلۀ پیشینی را مورد بی‌مهری قرار می دهد</w:t>
      </w:r>
      <w:r>
        <w:rPr>
          <w:rFonts w:eastAsia="IRNazanin" w:cs="IRNazanin"/>
          <w:color w:val="111111"/>
          <w:sz w:val="28"/>
          <w:szCs w:val="28"/>
          <w:rtl w:val="true"/>
          <w:lang w:bidi="fa-IR"/>
        </w:rPr>
        <w:t>.</w:t>
      </w:r>
    </w:p>
    <w:p>
      <w:pPr>
        <w:pStyle w:val="Heading5"/>
        <w:numPr>
          <w:ilvl w:val="4"/>
          <w:numId w:val="1"/>
        </w:numPr>
        <w:rPr/>
      </w:pPr>
      <w:bookmarkStart w:id="58" w:name="__RefHeading___Toc794763_1395250215"/>
      <w:bookmarkStart w:id="59" w:name="_Toc23"/>
      <w:bookmarkEnd w:id="58"/>
      <w:r>
        <w:rPr/>
        <w:t>2</w:t>
      </w:r>
      <w:r>
        <w:rPr>
          <w:rtl w:val="true"/>
        </w:rPr>
        <w:t xml:space="preserve">. </w:t>
      </w:r>
      <w:r>
        <w:rPr>
          <w:rtl w:val="true"/>
        </w:rPr>
        <w:t>موجه نبودن روش استقرایی عام به براهین اثبات</w:t>
      </w:r>
      <w:bookmarkEnd w:id="59"/>
    </w:p>
    <w:p>
      <w:pPr>
        <w:pStyle w:val="BookText"/>
        <w:rPr/>
      </w:pPr>
      <w:r>
        <w:rPr>
          <w:rFonts w:ascii="IRNazanin" w:hAnsi="IRNazanin" w:eastAsia="IRNazanin"/>
          <w:color w:val="111111"/>
          <w:sz w:val="28"/>
          <w:sz w:val="28"/>
          <w:szCs w:val="28"/>
          <w:rtl w:val="true"/>
          <w:lang w:bidi="fa-IR"/>
        </w:rPr>
        <w:t>همان‌طور که دیدیم، رویکرد سوئینبرن در براهین اثبات وجود خدا، رویکرد استقرایی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خدا را فرضیه‌ای می‌داند که هر یک از ادلۀ اثبات می‌تواند شاهدی استقرایی بر این فرض باشد و همان‌طور که دانشمند علوم تجربی با جمع‌آوری شواهد تجربی خویش و استقرائات مکرر تلاش می‌کند برای فرضیات خود مؤیداتی فراهم آورد، در حقیقت هر یک از ادلۀ اثبات نیز شاهدی استقرایی بوده که می‌تواند در مجموع، مؤید فرضیۀ وجود خدا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استقراگرایی عبارت از آن است که علم از مشاهده آغاز می‌شود و مشاهدات به تعمیم ها و</w:t>
      </w:r>
    </w:p>
    <w:p>
      <w:pPr>
        <w:pStyle w:val="BookText"/>
        <w:rPr/>
      </w:pPr>
      <w:r>
        <w:rPr>
          <w:rFonts w:ascii="IRNazanin" w:hAnsi="IRNazanin" w:eastAsia="IRNazanin"/>
          <w:color w:val="111111"/>
          <w:sz w:val="28"/>
          <w:sz w:val="28"/>
          <w:szCs w:val="28"/>
          <w:rtl w:val="true"/>
          <w:lang w:bidi="fa-IR"/>
        </w:rPr>
        <w:t>پیش بینی 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استقراگرایی، یکی از روش های مطرح در علوم تجربی است و به نظر اکثر دانشمندان این علوم، اتکای علم به استدلال استقرایی به قدری واضح است که اصلاً لزومی ندارد کسی برای آن دلیل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چالمرز،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به‌کارگیری این روش به صورت عام در همۀ براهین اثبات وجود خدا، واجد چند اشکال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از موضوعات فلسفه و متافیزیک است، نه موضوعات علوم تجربی و همان‌طور که می دانیم روش این علم، روشی برهانی بوده که در آن از قیاس و استدلالات برهانی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استفاده می‌شود، چرا‌که هدف این علم کشف حقیقت به نحو یقینی است و تنها با به‌کارگیری چنین روشی، این هدف میسور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سوئینبرن این روش را به نحو عام و در همۀ براهین پسینی به کار می‌گیرد و به عبارتی، همۀ براهین را به استقرا به تأویل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هرچند به صورت جزئی و در بعضی موارد، به‌خصوص در صورتی که مخاطب این مباحث عموم مردم باشند، می‌تواند قابل پذیرش باشد، هم‌چنان‌که آیت‌الله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تلاش کرده اند با تأکید بر برهان نظم و ارائه تقریر استقرایی از آن، به اثبات وجود خدا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دانست که این رویکرد را به همۀ براهین پسینی سرایت نداده اند و همۀ این براهین نیز قابل تأویل به استقرا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سوئینبرن صرف‌نظر از برهان نظم، برهان تجربه دینی و برهان معجزه که یکی از مقدمات آن‌ها تجربی است، حتی برهان امکان و وجوب را نیز به استقرا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وی برهان امکان و وجوب را هم مانند سایر براهین پسینی، شاهدی بر تأیید وجود خدا می‌داند؛ به عبارتی، وجود خداوند را فرضیه ای می‌داند که برهان امکان و وجوب نیز همچون سایر براهین پسینی تأییدی بر این فرضیه است و مانند دانشمند علوم تجربی که بر فرضیۀ خویش شواهدی را جمع‌آوری می کند، وی نیز تلاش می‌کند همۀ براهین پسینی اثبات وجود خدا، از جمله برهان امکان و وجوب را شاهدی برای تأیید وجود خداوند قلمداد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133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لکن در سنت فلسفه و کلام اسلامی علاوه بر این‌که براهینی همچون برهان نظم به صورت برهانی تقریر شده و رویکرد استقرایی صرف به آن نشده است، در این سنت برهان امکان و وجوب به اشکال مختلف مورد تقریر قرار گرفته است که بر اساس بعضی از این تقریرات، برهان مزبور یک برهان پیشینی و ماقبل تجربی است، تا جایی که از آن به برهان لمّی یا شبه‌لمّی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ابن‌سینا،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برهان مزبور بدون تجربۀ جهان محسوس قابل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فلاسفۀ اسلامی همچون ابن‌سینا و ملاصدرا بر پیشینی و ماقبل تجربی بودن این تقریر تصریح کرده‌اند و آن را طریق صدیقین بر اثبات وجود خداوند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شیرازی،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سوئینبرن دربارۀ ادله اثبات وجود خدا، بین انّی بودن و استقرایی بودن این ادله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صرف‌نظر از تقریرات لمّی که از باب نمونه از برهان امکان و وجوب شده است، انّی بودن براهینی همچون برهان امکان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موجودات ممکن برای اثبات واجب استدلال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نظم، برهان تجربۀ دینی، برهان</w:t>
      </w:r>
      <w:bookmarkStart w:id="60" w:name="pg2673_17895"/>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معجزه و مانند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بودن، از اقسام استدلال برهانی است و با استقرا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در استدلالی از معلول یا معلولات مشاهده‌شده بر علت استدلال می‌شود و به عبارتی، صرف این‌که یکی از مقدمات استدلال تجربی است، موجب خروج استدلال از برهانی بودن و ورود به استقرا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فلاسفه و متکلمان از نظم، انسجام و اتقان جهان هم بر وجود ناظم و هم بر علم الهی استدلال کرده‌اند و با تفطن بر این مطلب که صغرای استدلال، امری حسی و مشهود است، استدلال مزبور را از براهین شمرده و آن را استقرا ندانسته‌اند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5"/>
        <w:numPr>
          <w:ilvl w:val="4"/>
          <w:numId w:val="1"/>
        </w:numPr>
        <w:rPr/>
      </w:pPr>
      <w:bookmarkStart w:id="61" w:name="__RefHeading___Toc794765_1395250215"/>
      <w:bookmarkStart w:id="62" w:name="_Toc24"/>
      <w:bookmarkEnd w:id="61"/>
      <w:r>
        <w:rPr/>
        <w:t>3</w:t>
      </w:r>
      <w:r>
        <w:rPr>
          <w:rtl w:val="true"/>
        </w:rPr>
        <w:t xml:space="preserve">. </w:t>
      </w:r>
      <w:r>
        <w:rPr>
          <w:rtl w:val="true"/>
        </w:rPr>
        <w:t>پیش‌زمینه‌های قابل تأمل</w:t>
      </w:r>
      <w:bookmarkEnd w:id="62"/>
    </w:p>
    <w:p>
      <w:pPr>
        <w:pStyle w:val="BookText"/>
        <w:rPr/>
      </w:pPr>
      <w:r>
        <w:rPr>
          <w:rFonts w:ascii="IRNazanin" w:hAnsi="IRNazanin" w:eastAsia="IRNazanin"/>
          <w:color w:val="111111"/>
          <w:sz w:val="28"/>
          <w:sz w:val="28"/>
          <w:szCs w:val="28"/>
          <w:rtl w:val="true"/>
          <w:lang w:bidi="fa-IR"/>
        </w:rPr>
        <w:t>این‌که سوئینبرن در بحث از ادلۀ اثبات وجود خدا از منطق استقرایی بهره جسته است، ناشی از پیش‌زمینه‌هایی است که بر تفکر این فیلسوف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آثار سوئینبرن می‌توان به دو پیش‌زمینه در این خصوص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پیش‌زمینۀ اول، مبانی فلسفه علم سوئینبرن و تحصیلاتی است که وی قبل از مباحث فلسفۀ دین در رشته فلسفۀ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در اواخر جلد هفتم از کتاب تاریخ فلسفه، از فیلسوفانی در قرن نوزدهم میلادی تحت عنوان نمایندگان علم ما بعدالطبیعه استقرایی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فیلسوفان از هر</w:t>
      </w:r>
    </w:p>
    <w:p>
      <w:pPr>
        <w:pStyle w:val="BookText"/>
        <w:rPr/>
      </w:pPr>
      <w:r>
        <w:rPr>
          <w:rFonts w:ascii="IRNazanin" w:hAnsi="IRNazanin" w:eastAsia="IRNazanin"/>
          <w:color w:val="111111"/>
          <w:sz w:val="28"/>
          <w:sz w:val="28"/>
          <w:szCs w:val="28"/>
          <w:rtl w:val="true"/>
          <w:lang w:bidi="fa-IR"/>
        </w:rPr>
        <w:t xml:space="preserve">جهت با سوئینبرن قابل مقایسه نیستند و جهات کاملاً مشترک ندارند، ولی از این جهت با سوئینبرن قابل مقایسه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فیلسوفانی بودند که از رشته‌ای از رشته‌های علم، به فلسفه روی می‌آوردند و بر آن بودند که دید علمی از جهان نیازمند آن است که با باریک‌اندیشیِ متافیزیکی کامل شود، اما باور نداشتند که بتوان یک سیستم ارزش‌مند مابعدالطبیعی را بدون در نظر داشتن دانش علمی،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گرایش بدان داشتند که به نظریه‌های مابعدالطبیعی همچون فرضیه هایی بنگرند که از میزان احتمال کم یا زیاد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کاپلستون،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سوئینبرن نیز از مباحث و مبانی فلسفۀ علم کاملاً متأثر بوده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Swinburne, 2004: 23-45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 مبانی و مباحث در آرای فلسفی او به نحو عام و در مباحث براهین اثبات وجود خدا به نحو خاص،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پیش‌زمینۀ دوم در گرایش سوئینبرن به منطق استقرایی را می‌توان سیطرۀ مکتب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گرایی حاکم بر فضای فکری کشور انگلستان، به‌خصوص تا قبل از قرن بیستم دانست، چرا‌که همان‌طور که می‌دانیم این کشور، به‌خصوص تا پیش از قرن بیستم، همواره زادگاه فیلسوفان تجربه 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بیکن، توماس هابز، جان لاک، جرج بارکلی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وی اصالتاً ایرلندی است، اما تخصص او فلسفۀ تجربه گرای انگلیسی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دیوید هیوم، جرمی بنتام،</w:t>
      </w:r>
      <w:bookmarkStart w:id="63" w:name="pg2673_17898"/>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جان استوارت میل، هربرت اسپنسر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فلاسفۀ تجربه گرای انگلیسی هستند که در تاریخ فلسفۀ غرب بسیار تأثیرگذار بوده‌اند و سوئینبرن نیز که بر سر همین خوان تلمذ کرده است، طبعاً متأثر از مشرب فلاسفۀ تجربه گرای کشور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توجه به کاستی‌های معرفت‌شناختی و فلسفی این مشرب فلسفی، آن را مسلّم انگاشته و براهین سنتی وجود خدا را بی‌ارزش قلمداد می‌کند</w:t>
      </w:r>
      <w:r>
        <w:rPr>
          <w:rFonts w:eastAsia="IRNazanin" w:cs="IRNazanin"/>
          <w:color w:val="111111"/>
          <w:sz w:val="28"/>
          <w:szCs w:val="28"/>
          <w:rtl w:val="true"/>
          <w:lang w:bidi="fa-IR"/>
        </w:rPr>
        <w:t>.</w:t>
      </w:r>
    </w:p>
    <w:p>
      <w:pPr>
        <w:pStyle w:val="Heading5"/>
        <w:numPr>
          <w:ilvl w:val="4"/>
          <w:numId w:val="1"/>
        </w:numPr>
        <w:rPr/>
      </w:pPr>
      <w:bookmarkStart w:id="64" w:name="__RefHeading___Toc794767_1395250215"/>
      <w:bookmarkStart w:id="65" w:name="_Toc25"/>
      <w:bookmarkEnd w:id="64"/>
      <w:r>
        <w:rPr/>
        <w:t>4</w:t>
      </w:r>
      <w:r>
        <w:rPr>
          <w:rtl w:val="true"/>
        </w:rPr>
        <w:t xml:space="preserve">. </w:t>
      </w:r>
      <w:r>
        <w:rPr>
          <w:rtl w:val="true"/>
        </w:rPr>
        <w:t>کارآمدی ادله به صورت مستقل</w:t>
      </w:r>
      <w:bookmarkEnd w:id="65"/>
    </w:p>
    <w:p>
      <w:pPr>
        <w:pStyle w:val="BookText"/>
        <w:rPr/>
      </w:pPr>
      <w:r>
        <w:rPr>
          <w:rFonts w:ascii="IRNazanin" w:hAnsi="IRNazanin" w:eastAsia="IRNazanin"/>
          <w:color w:val="111111"/>
          <w:sz w:val="28"/>
          <w:sz w:val="28"/>
          <w:szCs w:val="28"/>
          <w:rtl w:val="true"/>
          <w:lang w:bidi="fa-IR"/>
        </w:rPr>
        <w:t xml:space="preserve">برهان انباشتی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سوئینبرن قرار گرفته است و تأکید کرده است که ادلۀ اثبات وجود خدا باید به صورت انباشتی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ادلۀ قیاسی که با خدشه در یکی از مقدمات آن از اعتبار ساقط می‌شود، بر مجموعه‌ای از ادله، قرائن و شواهد تکیه می‌کند که ضعف یک‌دیگر را جبران کرده و با تعاضد و تعاون موجب اطمینان به درستی مدعا یا دست‌کم ترجیح آن بر نظریه‌های بدیل در مسئله مورد بحث و در نتیجه معقولیت پذیرش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برهان انباشتی که سوئینبرن مطرح می‌کند، به نوعی نتیجۀ رویکرد علمی و استقرایی اوست و وی معتقد است، این نگاه در براهین استقرایی به صورتی روشن‌تر به کار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که ادله می‌توانند یک‌دیگر را تقویت و یا تضعیف کنند، دربارۀ ادلۀ استقرایی واضح‌تر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Swinburne, 2004: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فلسفۀ اسلامی، این نکته قابل قبول است که همۀ براهین اثبات وجود خدا در یک رتبه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براهین همچون برهان امکان و وجوب، از مقدمات کاملاً عقلی بهره گرفته‌اند و در برخی از براهین همچون برهان نظم، از مقدمات تجربی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براهین مانند برهان امکان و وجوب، بر براهینی مانند برهان حدوث یا نظم تقدم رتبی دارد، زیرا براهین حدوث یا نظم بدون اتکا به برهان امکان و وجوب، از اثبات خدا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فلسفۀ اسلامی، همۀ براهین در یک رتبه قرار ندارند، اما همگی کارآمد بوده و برای اثبات متعلق خود نیازمند آن نیستند که حیث انباشتی آن‌ها لحاظ گردند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طرح برهان انباشتی برای اثبات وجود خدا و تمسک به آن از سوی متکلمان مسیحی معاصر از جمله سوئینبرن، ناشی از اشکالات و شبهاتی است که بر هر یک از براهین اثبات وجود خدا مطرح شده و تصور شده است که هر یک از این براهین، حتی برهان امکان و وجوب، توان اثبات متعلق خویش را صرفاً به صورت احتمالی ایفا می‌کنند و تنها با لحاظ حیث انباشتی این براهین است که می‌توان احتمال قابل توجهی را برای وجود خدا در نظر گرفت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Swinburne, 2004: 277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باید دانست که قوّت برهان انباشتی وابسته به آن</w:t>
      </w:r>
      <w:bookmarkStart w:id="66" w:name="pg2673_17900"/>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 که هر یک از عناصر سازندۀ آن از احتمال نسبی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ایرادهای وارده به هر یک از ادلۀ اثبات وجود خدا به این معنا باشد که احتمال صدق نتیجۀ هر یک از آن‌ها در حدّ صفر است، با افزودن این براهین به یک‌دیگر، هیچ چیز جدیدی به اسم برهان انباشتی عاید نمی‌شود، چرا‌که صفر به علاوۀ صفر نتیجه‌ای جز صفر در 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5"/>
        <w:numPr>
          <w:ilvl w:val="4"/>
          <w:numId w:val="1"/>
        </w:numPr>
        <w:rPr/>
      </w:pPr>
      <w:bookmarkStart w:id="67" w:name="__RefHeading___Toc794769_1395250215"/>
      <w:bookmarkStart w:id="68" w:name="_Toc26"/>
      <w:bookmarkEnd w:id="67"/>
      <w:r>
        <w:rPr/>
        <w:t>5</w:t>
      </w:r>
      <w:r>
        <w:rPr>
          <w:rtl w:val="true"/>
        </w:rPr>
        <w:t xml:space="preserve">. </w:t>
      </w:r>
      <w:r>
        <w:rPr>
          <w:rtl w:val="true"/>
        </w:rPr>
        <w:t>یقینی بودن نتیجۀ ادله</w:t>
      </w:r>
      <w:bookmarkEnd w:id="68"/>
    </w:p>
    <w:p>
      <w:pPr>
        <w:pStyle w:val="BookText"/>
        <w:rPr/>
      </w:pPr>
      <w:r>
        <w:rPr>
          <w:rFonts w:ascii="IRNazanin" w:hAnsi="IRNazanin" w:eastAsia="IRNazanin"/>
          <w:color w:val="111111"/>
          <w:sz w:val="28"/>
          <w:sz w:val="28"/>
          <w:szCs w:val="28"/>
          <w:rtl w:val="true"/>
          <w:lang w:bidi="fa-IR"/>
        </w:rPr>
        <w:t>در فلسفه و کلام اسلامی، وجود خداوند به نحو یقینی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این حوزه یقین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 به معنای تصدیقی جازم، مطابق با واقع و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هو التصدیق الجازم المطابق للواقع الثابت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معلوم است، در این تعریف چهار رکن برای یقین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جزم، مطابقت با واقع و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زوال یا 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اول، جنس تعریف است که شامل ظن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دوم ظن، با قید سوم جهل و با قید چهارم تقلید از تعریف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در یقین بالمعنی الاخص شرط علم مضاعف نیز لحاظ می‌شود؛ یعنی علم به قضیه معین و علم به این‌که محال است قضیه به آن شکلی که مورد علم و یقین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منطقی، مرکب از دو علم است و تا زمانی که علم دوم به علم اول افزوده نشود، در منطق برهان به آن یقین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یقین بالمعنی الاخص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ثبوت چیزی برای چیزی همراه با علم به استحالۀ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نوع یقین در علوم عقلی همانند فلسفه، منطق، ریاضی، معرفت‌شناسی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یقین بالمعنی الاخص با ظن و احتمال قابل جمع نیست، چرا‌که در ظن و گمان، احتمال خلاف منتفی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نیز تعبیر شده است، مطلق اعتقاد جازم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یقین، نوعی اطمینان روانی و</w:t>
      </w:r>
      <w:bookmarkStart w:id="69" w:name="pg2673_17901"/>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ذهنی است که البته ممکن است ناشی از حس و شواهد حسی و یا کشف و شهود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حتی ممکن است منشأ آن برای شخص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نوع یقین مهم است، دست‌یابی به چنین اطمینانی است، نه منشأ دست‌یابی به آن، چرا‌که راه دست‌یابی به اطمینان روانی در افراد مختلف، متفاوت است؛ مثلاً گاهی انسان خواب هولناکی می‌بیند و از آن خواب یقین می‌کند؛ یعنی اطمینان حاصل می‌کند که مرگش نزدیک است و یا گاهی نامه‌ای که خطش بسیار شبیه خط دوستش است، به دستش می‌رسد و یقین می‌کند؛ یعنی اطمینان حاصل می‌کند که نامه از دوستش است، اما در عین حال اصلاً محال نمی‌بیند که زنده بماند یا نامه از طرف دوستش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احتمال این معنا را نمی‌دهد، لکن احتمال ندادن به معنای استحاله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رویکرد استقرایی به ادلۀ اثبات وجود خدا، محتمل دانستن نتیجه ای است که از این ادله در صورت استقرا بودن ادلۀ مزبور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همان‌گونه که در منطق و فلسفه نیز این امر به صورت مبسوط مورد بررسی قرار گرفته است، استقرا گونه‌ای از استدلال است که برخلاف سایر انواع استدلال همچون استدلالات قیاسی و برهانی، نتیجۀ حاصل از آن نتیجه‌ای محتمل بوده که مفید قطع و یقین نیست و صرفاً نتیجۀ حاصل از آن، نوعی یقین روان‌شناختی و یا ایجاد ظن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فلسفه و کلام اسلامی، همۀ فلاسفه و متکلمان تصریح دارند که براهین اثبات وجود خدا، قادر به اثبات متعلق خویش به صورت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این‌که صرفاً یک نتیجۀ روان‌شناختی را افاده کرده و اطمینانی ایجاد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شیرازی،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فلاسفۀ اسلامی ادلۀ اثبات وجود خدا را استدلالی برهانی می‌دانند و در جای خود تصریح کرده اند که یکی از تفاوت‌های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است که در صورت پذیرش استدلال برهانی، مخاطب ملزم به پذیرش نتیجه است و به عبارتی این نوع استدلال، استدلالی یقین‌آور است</w:t>
      </w:r>
      <w:r>
        <w:rPr>
          <w:rFonts w:eastAsia="IRNazanin" w:cs="IRNazanin"/>
          <w:color w:val="111111"/>
          <w:sz w:val="28"/>
          <w:szCs w:val="28"/>
          <w:rtl w:val="true"/>
          <w:lang w:bidi="fa-IR"/>
        </w:rPr>
        <w:t>.</w:t>
      </w:r>
    </w:p>
    <w:p>
      <w:pPr>
        <w:pStyle w:val="Heading3"/>
        <w:numPr>
          <w:ilvl w:val="2"/>
          <w:numId w:val="1"/>
        </w:numPr>
        <w:rPr/>
      </w:pPr>
      <w:bookmarkStart w:id="70" w:name="__RefHeading___Toc794771_1395250215"/>
      <w:bookmarkStart w:id="71" w:name="_Toc27"/>
      <w:bookmarkEnd w:id="70"/>
      <w:r>
        <w:rPr>
          <w:rtl w:val="true"/>
        </w:rPr>
        <w:t>نتیجه گیری</w:t>
      </w:r>
      <w:bookmarkEnd w:id="7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سوئینبرن از مدافعان ادلۀ اثبات وجود خداست و در آثار خود تلاش کرده است تقریرهای جدیدی از این براهین ارائه کند، ولی بر اساس مبانی خود که از فلسفۀ علم اخذ کرده و نیز پیش‌زمینه های تجربی که بر تفکر این فیلسوف حاکم بوده است، رویکردهای خاصی به مجموعۀ این براهین دارد که بر اساس مبانی فلسفی، همگی قابل تأمل و نقد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رویکرد سوئینبرن به ادلۀ مزبور، رویکرد استقرایی و به‌کارگیری روش استقرایی در تقریر ادلۀ</w:t>
      </w:r>
      <w:bookmarkStart w:id="72" w:name="pg2673_17903"/>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مزبور است، اما استفاده از این رویکرد به نحو عام و نسبت به همۀ ادلۀ اثبات وجود خدا، موجه نبوده و این رویکرد، هم فی نفسه امری قابل قبول نیست و هم نتیجۀ آن فقط اثبات وجود خدایی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73" w:name="__RefHeading___Toc794773_1395250215"/>
      <w:bookmarkStart w:id="74" w:name="_Toc28"/>
      <w:bookmarkEnd w:id="73"/>
      <w:r>
        <w:rPr>
          <w:rtl w:val="true"/>
        </w:rPr>
        <w:t>منابع</w:t>
      </w:r>
      <w:bookmarkEnd w:id="74"/>
    </w:p>
    <w:p>
      <w:pPr>
        <w:pStyle w:val="BookText"/>
        <w:rPr/>
      </w:pPr>
      <w:r>
        <w:rPr>
          <w:rFonts w:ascii="IRNazanin" w:hAnsi="IRNazanin" w:eastAsia="IRNazanin"/>
          <w:color w:val="111111"/>
          <w:sz w:val="28"/>
          <w:sz w:val="28"/>
          <w:szCs w:val="28"/>
          <w:rtl w:val="true"/>
          <w:lang w:bidi="fa-IR"/>
        </w:rPr>
        <w:t xml:space="preserve">ابن‌سینا،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النجاه، تهران مرتضوی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الشفاء فی برهان، قم، کتاب‌خانه آیۀالله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تهران، مؤسسه المطالعات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الاشارات و التنبیهات،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زارعی، قم، بوستان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بهمنیار بن مرزبان،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التحصیل،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پیلین، دیوید،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فلسفه دین، گروه مترجمان،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موسوی، پژوهشگاه علوم و فرهنگ اسلامی، نشر بوستان 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چالمرز، آلن اف،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چیستی علم،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زیباکلام، تهران، انتشارات علمی ـ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تهران کتابفروشی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سوئینبرن، ریچارد،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خدایی هست؟،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جاودان، انتشارات دانشگاه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الاسفار الاربعه، قم، مکتبه المصطفوی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الهدایۀ الاثیریه، بیروت، مؤسسه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الاسس المنطقیۀ للاستقرا، بیروت، دارالتعارف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الفتاوی الواضحه، بیروت، دارالتعارف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الحکمه، قم، مؤسسه النشر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الاقتباس،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رضوی،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کاپلستون، فردریک،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آشوری، انتشارات سروش،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المنطق، قم،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Richard Swinburne, (2004), The Existence of God,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 There a God?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ـــــــــــــــــــــــــــــــــــــ</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Epistemic Justification, Oxford University Press</w:t>
      </w:r>
      <w:r>
        <w:rPr>
          <w:rFonts w:eastAsia="Times New Roman" w:cs="Times New Roman" w:ascii="Times New Roman" w:hAnsi="Times New Roman"/>
          <w:color w:val="111111"/>
          <w:sz w:val="28"/>
          <w:szCs w:val="28"/>
          <w:rtl w:val="true"/>
          <w:lang w:val="en-US" w:bidi="en-US"/>
        </w:rPr>
        <w:t>.</w:t>
      </w:r>
      <w:bookmarkStart w:id="75" w:name="pg2673_17905"/>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2"/>
        <w:numPr>
          <w:ilvl w:val="1"/>
          <w:numId w:val="1"/>
        </w:numPr>
        <w:rPr/>
      </w:pPr>
      <w:bookmarkStart w:id="76" w:name="__RefHeading___Toc794775_1395250215"/>
      <w:bookmarkStart w:id="77" w:name="_Toc29"/>
      <w:bookmarkEnd w:id="76"/>
      <w:r>
        <w:rPr>
          <w:rtl w:val="true"/>
        </w:rPr>
        <w:t>متکلمان امامی عصرِ امام صادق</w:t>
      </w:r>
      <w:r>
        <w:rPr/>
        <w:t>‌</w:t>
      </w:r>
      <w:r>
        <w:rPr>
          <w:rtl w:val="true"/>
        </w:rPr>
        <w:t xml:space="preserve"> و مسئلۀ صفات خداوند</w:t>
      </w:r>
      <w:bookmarkEnd w:id="77"/>
    </w:p>
    <w:p>
      <w:pPr>
        <w:pStyle w:val="Heading3"/>
        <w:numPr>
          <w:ilvl w:val="2"/>
          <w:numId w:val="1"/>
        </w:numPr>
        <w:rPr/>
      </w:pPr>
      <w:bookmarkStart w:id="78" w:name="__RefHeading___Toc794777_1395250215"/>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سیداحسان موسوی‌خلخالی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نعمت‌اله صفری‌فروشانی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1394/02/28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1394/03/20</w:t>
      </w:r>
    </w:p>
    <w:p>
      <w:pPr>
        <w:pStyle w:val="Heading3"/>
        <w:numPr>
          <w:ilvl w:val="2"/>
          <w:numId w:val="1"/>
        </w:numPr>
        <w:rPr/>
      </w:pPr>
      <w:bookmarkStart w:id="80" w:name="__RefHeading___Toc794779_1395250215"/>
      <w:bookmarkStart w:id="81" w:name="_Toc31"/>
      <w:bookmarkEnd w:id="80"/>
      <w:r>
        <w:rPr>
          <w:rtl w:val="true"/>
        </w:rPr>
        <w:t>چکیده</w:t>
      </w:r>
      <w:bookmarkEnd w:id="81"/>
    </w:p>
    <w:p>
      <w:pPr>
        <w:pStyle w:val="BookText"/>
        <w:rPr/>
      </w:pPr>
      <w:r>
        <w:rPr>
          <w:rFonts w:ascii="IRNazanin" w:hAnsi="IRNazanin" w:eastAsia="IRNazanin"/>
          <w:color w:val="111111"/>
          <w:sz w:val="28"/>
          <w:sz w:val="28"/>
          <w:szCs w:val="28"/>
          <w:rtl w:val="true"/>
          <w:lang w:bidi="fa-IR"/>
        </w:rPr>
        <w:t>مسئلۀ صفات خداوند، رابطۀ ذات خداوند با صفاتش، حدوث و قدم صفات، تشبیه و تجسیم از مهم‌ترین و کهن‌ترین مباحث تاریخ کلام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نظریات در این باره در نیمۀ نخست قرن دوم و به طور خاص در حلقه‌های متکلمان امامی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را می‌توان به چهار دستۀ اصلی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زرارة بن اعین و خاندان او که حادث شمردن برخی صفات فعل خداوند به وی نسبت داده شده؛ نظر مؤمن الطاق که علم را صفتی حادث می‌دانست؛ نظر هشام بن سالم که اهل تشبیه دانسته شده؛ نظر هشام بن حکم که متهم به تجسیم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با بررسی هم‌زمانِ روایات موجود در منابع امامی و نیز گزارش‌های فرقه‌نگاران تلاش می‌کنیم گزاره‌های منسوب به این متکلمان امامیِ عصر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بافتار فکری و فرهنگی زمان خودش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 در روایات منقول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روشن‌گری‌های آنان و تلاششان برای ارائۀ نظری منقح در این باره را دید</w:t>
      </w:r>
      <w:r>
        <w:rPr>
          <w:rFonts w:eastAsia="IRNazanin" w:cs="IRNazanin"/>
          <w:color w:val="111111"/>
          <w:sz w:val="28"/>
          <w:szCs w:val="28"/>
          <w:rtl w:val="true"/>
          <w:lang w:bidi="fa-IR"/>
        </w:rPr>
        <w:t>.</w:t>
      </w:r>
    </w:p>
    <w:p>
      <w:pPr>
        <w:pStyle w:val="Heading3"/>
        <w:numPr>
          <w:ilvl w:val="2"/>
          <w:numId w:val="1"/>
        </w:numPr>
        <w:rPr/>
      </w:pPr>
      <w:bookmarkStart w:id="82" w:name="__RefHeading___Toc794781_1395250215"/>
      <w:bookmarkStart w:id="83" w:name="_Toc32"/>
      <w:bookmarkEnd w:id="82"/>
      <w:r>
        <w:rPr>
          <w:rtl w:val="true"/>
        </w:rPr>
        <w:t>واژگان کلیدی</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خداوند،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تشبیه، تجسیم، متکلمان امامی</w:t>
      </w:r>
      <w:r>
        <w:rPr>
          <w:rFonts w:eastAsia="IRNazanin" w:cs="IRNazanin"/>
          <w:color w:val="111111"/>
          <w:sz w:val="28"/>
          <w:szCs w:val="28"/>
          <w:rtl w:val="true"/>
          <w:lang w:bidi="fa-IR"/>
        </w:rPr>
        <w:t>.</w:t>
      </w:r>
      <w:bookmarkStart w:id="84" w:name="pg2673_17907"/>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85" w:name="__RefHeading___Toc794783_1395250215"/>
      <w:bookmarkStart w:id="86" w:name="_Toc33"/>
      <w:bookmarkEnd w:id="85"/>
      <w:r>
        <w:rPr>
          <w:rtl w:val="true"/>
        </w:rPr>
        <w:t>مقدمه</w:t>
      </w:r>
      <w:bookmarkEnd w:id="86"/>
    </w:p>
    <w:p>
      <w:pPr>
        <w:pStyle w:val="BookText"/>
        <w:rPr/>
      </w:pPr>
      <w:r>
        <w:rPr>
          <w:rFonts w:ascii="IRNazanin" w:hAnsi="IRNazanin" w:eastAsia="IRNazanin"/>
          <w:color w:val="111111"/>
          <w:sz w:val="28"/>
          <w:sz w:val="28"/>
          <w:szCs w:val="28"/>
          <w:rtl w:val="true"/>
          <w:lang w:bidi="fa-IR"/>
        </w:rPr>
        <w:t>ذیل مبحث صفات خداوند، یکی از مباحث مطرح و اصلی، رابطۀ صفات خداوند با ذات او بود؛ این‌که صفات خداوند جزء ذات خدا هستند یا چیزی غیر ذات خدا یا نسبت سومی میانشان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بدان سبب بود که اگر صفات جزء ذات خدا دانسته می‌شدند، این تلقی پیش می‌آمد که ترکیب در ذات خداوند راه یافته است؛ یعنی می‌پنداشتند که چنین برداشتی ذات خداوند را از حالت بسیط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صفات جزء ذات خدا دانسته نمی‌شدند، یا باید حادث دانسته می‌شدند یا قدیم و هر دوی این فرض‌ها مسائل دیگری در پی داشت و تالی فاسدهایی برای آن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صفاتی مانند علم، سمع و بصر که اتصاف به آن‌ها متعلقی غیر از ذات خداوند لازم داشت، پیچیده‌تر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مسئله، طیف‌های متنوعی از نظریات ارائه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انکار وجود صفت برای خداوند،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شبیه دانستن صفات خداوند با صفات بشری را در بر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ولادوست،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پاکتچی،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گزارش‌ها در این باره، به نیمۀ نخست قرن دوم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دوره‌ای که می‌توان به جرئت از آن به دورۀ نظریه‌پردازی در کلام امامی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دورۀ متقدم در تاریخ کلام امامیه، یعنی دورۀ امامتِ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اوایل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یعنی کمی بیش از نیمۀ نخست قرن دوم هجری، دوره‌ای منحصربه‌فرد است؛ بدین لحاظ که در آن متکلمان اصحاب دست به نظریه‌پردازی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کرباسی،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نظریه‌پردازی در فضایی کاملاً مستقل از دیگر فرقه‌های کلامی، که در آن دوره هنوز بسیار نوپا بودند،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ضروری است که این نظریه‌پردازی‌ها در فضای بسیار متنوع فکری رایج در کوفه مطرح می‌شد و از مدینه، محل سکونت امامان،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شده بود که برخی اصحاب شاخص، برای طرح نظر خود دربارۀ برخی مسائل، نظر شخصی خود را مطرح کنند و در انتظار رسیدن نظر امام نمانند، هرچند بی‌شک آموزه‌های امامان را به صورت اجمالی در نظر می‌گرفتند و دست‌کم از نظر خودشان، از دایرۀ آن آموزه‌ها چندان دور نمی‌شدند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نشان داده‌ایم که با طبقه‌بندی گزارش‌های مربوط به بافت اجتماعی شیعیان در کوفه و نظریات کلامی مطرح‌شده و نیز گزارش‌های رجالی، می‌توانیم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فضای فکری امامیه در آن عصر شناسایی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موسوی‌خلخالی،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صفات</w:t>
      </w:r>
      <w:bookmarkStart w:id="87" w:name="pg2673_17909"/>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خداوند نیز یکی از مسائلی است که متکلمان امامی این عصر دربارۀ آن نظر داده‌اند و پی‌گیری گزارش‌های مطرح در آثار ملل و نحل و تاریخی و حدیثی به ما در شناسایی مرزبندی‌های درونی امامیه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گزارش‌ها را به تفکیک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تفکیک بر اساس همان جریان‌هایی است که با بررسی روایات و عقاید اصحاب می‌توان شناسایی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موسوی‌خلخالی،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نظریات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صفات الاهی تاکنون یک‌جا در منبعی بررسی نشده یا دست‌کم ما بدان دست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چه‌بسا پایان‌نامه‌ای در این باره نوشته شده باشد که ما از آن بی‌اطلاعیم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تکملۀ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دایرة‌المعارف بزرگ اسلامی تأکید کرده که گزارش‌های موجود دربارۀ عقاید منسوب به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نیازمند تحلیل است و تاکنون تحلیلی دربارۀ آن‌ها ارائه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تحلیل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سبب حساسیت فراوانش باید از این حکم کلی مستثنا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مقالات متنوعی نوشته و در کتاب‌ها بدان پرداخته شده که در همین مقاله آن‌ها را دسته‌بندی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 یوزف فان اس، با عنوان کلام و جامعه البته اطلاعات مهم و جامعی دربارۀ عقاید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اختیار می‌نهد که نمی‌توان از آن غافل بود</w:t>
      </w:r>
      <w:r>
        <w:rPr>
          <w:rFonts w:eastAsia="IRNazanin" w:cs="IRNazanin"/>
          <w:color w:val="111111"/>
          <w:sz w:val="28"/>
          <w:szCs w:val="28"/>
          <w:rtl w:val="true"/>
          <w:lang w:bidi="fa-IR"/>
        </w:rPr>
        <w:t>.</w:t>
      </w:r>
    </w:p>
    <w:p>
      <w:pPr>
        <w:pStyle w:val="Heading3"/>
        <w:numPr>
          <w:ilvl w:val="2"/>
          <w:numId w:val="1"/>
        </w:numPr>
        <w:rPr/>
      </w:pPr>
      <w:bookmarkStart w:id="88" w:name="__RefHeading___Toc794785_1395250215"/>
      <w:bookmarkStart w:id="89" w:name="_Toc34"/>
      <w:bookmarkEnd w:id="88"/>
      <w:r>
        <w:rPr>
          <w:rtl w:val="true"/>
        </w:rPr>
        <w:t>زراره و آل‌اعین</w:t>
      </w:r>
      <w:bookmarkEnd w:id="8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نظر در این باره را زرارة بن اعین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عقیده‌ای که اکثر منابع، طی ذکر نام زراره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عقیده به حدوث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در نامه‌ای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که به املای ایشان و به خط عبدالملک بن اعین، برادرِ زراره نوشته شده بوده، به این عقیده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بود و هیچ چیز جز او نبود، نه معروف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متکلم بود، نه مرید، نه متحرک،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باد خدای ما، و همۀ این صفات با حدوث فعل از او حادث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الاسلامیین ابوالحسن اشعری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روافض در این‌که خداوندِ سبحان، عالِم، حیّ، قادر، سمیع، بصیر و الاه است اختلاف کردند و بر نُه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نخست از ایشان زراریه‌اند؛ اصحاب زرارة بن اعین رافضی، پندارند که خداوند نه سمیع بود، نه علیم و نه بصیر تا آن را برای خود خلق کرد و اینان تیمیه خوانده شوند و رئیسشان زرارة بن اعین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از این عبارت شاید چنین به نظر آید که زراره و اصحابش قائل به مخلوق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حادث بودن همۀ صفات الاهی‌اند، اما با دقت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دیگری که اشعری برمی‌شمرد، روشن می‌شود که زراره فقط سه صفت سمیع، علیم و بصیر را مخلوق و حادث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صحت اصل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گروه سوم در تقسیم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حادث می‌شمرند و گروه چهارم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گروه پنجم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این گروه‌ها نه در اصل حادث بودن برخی صفات خداوند، که در تعیین این صفات حادث و چگونگی آن‌ها دربارۀ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 احتمالی دیگری نیز از نظر منسوب به زراره در این گزارش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قرن بعدتر، عبدالقاهر بغدادی که بنای خود را، به طور اخص در کتاب الفرق بین الفرق، بر نوعی بدعت در شیوۀ تبیین آرای کلامی نهاد که می‌توان آن را فاصله گرفتن از طرح بی‌طرفانۀ عقاید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آثار خود گویا دچار همان اشتباهی شده که در نگاه اول از گزارش اشعری به نظر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زرارة بن اعینند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منسوب به او آن است که خداوند نه حیّ بود، نه قادر، نه سمیع، نه بصیر، نه عالِم و نه مرید تا این‌که برای خود حیات، قدرت، علم، اراده، سمع و بصر آفرید و پس از آن‌که این صفات را برای خویش خلق کرد، حیّ، قادر، عالِم، مرید، سمیع و بصیر شد و بر طریقت این گمراه بود که قدریان بصره از حدوث کلام خداوند سخن گفتند و کرامیه از حدوث قول، اراده و ادراک الاهی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در این گزارش، اصل قول به حدوث صفات به زراره منسوب شده و ادعا شده دیگرانی هم‌چون کرامیه و معتزلۀ بصره، اعتقاد به حدوث برخی صفات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کتاب دیگرش اصول الدین، با تفصیل بیش‌تری عقیدۀ زراره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گزارش کرده که زراره صفات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حادث می‌داند، با افزایش این نکته که در باب قدرتِ خداوند مدعی است که زراره می‌گوید صفتِ قدرت نسبت به هر مقدور یک بار برای خداوند حادث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برای هر مقدوری یک بار صفت قدرت برای خداوند حدوث می‌یابد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گزارش اشعری را بعدها پیروانش گسترش و به همۀ صفات الاهی تعمیم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گزارش‌های بعدیِ نویسندگان ملل و نحل آمده، همان تعمیمی است که در گزارش بغدادی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ابن‌جوزی،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سمعانی،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ایجی،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صفدی،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توضیح عقیده‌ای که در مقالات الاسلامیین به زراره نسبت داده شده، باید گفت منظور زراره، در صورت صحت گزارش مزبور، آن است که سمع، بصر و علم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دارند که در نبود آن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سمع، بصر و علم معنا ندارد؛ یعنی سمیع باید شنوندۀ چیزی باشد، علیم باید عالم به چیزی باشد و بصیر باید بینندۀ چیزی باشد و چون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است، لامحاله مخلوق خداوند و حادث است و به این ترتیب سمع، بصر و علم هم حادث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مفصل ابوالحسن اشعری در این باره روشن می‌شود که این نظرِ غالب متکلمان شیعه و معتزلی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ما در مرحله‌ای از اندیشۀ اسلامی بحث می‌کنیم که بسیاری از اصطلاحات هنوز مطرح نشده و هنوز مفاهیم فلسفی‌ای هم‌چون قوه و فعل و ملکه و عدم ملکه و مفاهیم کلامی‌ای هم‌چون صفت ذات و صفت فعل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فلسفی‌ای که برشمردیم، مربوط به فلسفۀ یونانی است که پس از نهضت ترجمه وارد فضای فکری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معیاری است برای تاریخ‌گذاری روایات، از جمله خطبۀ نخست نهج‌البلاغه که در آن این مفاهیم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محتمل‌تر آن است که متعلق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چنان‌که در برخی منابع حدیثی نیز از آن حضرت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متکلمان میان صفت ذات و صفت فعل را نیز، به گزارش خود اشعری، اول بار تنی چند از معتزلیان بصره و گروهی از بغدادیان و ابویعقوب شَحّام، شاگرد ابوهذیل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تحلیل ما از نظر منسوب به زراره درست باشد، باید روشن کنیم که چرا زراره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سه صفت علم، سمع و بصر را مطرح کرده است؟ وجه اشتراک این سه صفت و تمایزشان با دیگر صفات چیست؟ چرا زراره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کمتر از نصف قرن بعدتر بحث‌های فراوان برانگیخت، در این میان یاد نکرده است؟ این پرسش‌ها ما را متمایل به پذیرش نظر یوزف فان اس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طرح این بحث از سوی زراره را نه موضوع صفات الاهی که بحث بداء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شاهد آوردن روایتی که زراره از یکی از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باب بداء نقل می‌کند و در آن بداء، اساسِ تعبد به خداوند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محوریِ اندیشۀ زراره را بداء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اس،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صفات ناظر به رابطۀ فعل انسان با علم خداوند است؛ وقتی علم خداوند هم‌زمان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حادث شود، دیگر عملِ انسان از پیش تعیین نشده است و بدین</w:t>
      </w:r>
      <w:bookmarkStart w:id="90" w:name="pg2673_17915"/>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سان بداء، قانون و اصل در طبیعت و خلقت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هم از سنخ علم است و تابع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ناظر به همین دیدگاه باشد که شیخ مفید تأکید می‌کند که این سه صفت، یک معنا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زراره در باب صفات را به لحاظ دیگری نیز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پیش‌گفتۀ اشعری آمده که زراره می‌گفت خداوند متصف به این صفات نیست تا این‌که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خلق ذلک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تفاوت آشکاری دارد با نظر دیگران، از جمله مؤمن الطاق، که می‌گویند خداوند فقط آن‌گاه متصف به صفتی می‌شود که متعلَق آن صفت را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خلخالی، همان،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نظر کسانی غیر از زراره، وقتی می‌توانیم به خداوند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را خلق کرده باشد و حدوث صفات به اعتبار حدوث متعلَق آن‌هاست، نه به اعتبار آن‌که صفات پس از ذات خداوند خلق شده‌اند، چنان‌که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روایتی که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را مخلوق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کنار هم نهادن آن گزارش اشعری، بر فرض صحت، در کنار این روایت، بتوان چنین برداشت کرد که زراره صفات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ذات می‌داند و برای همین آن را مخلوق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برداشت صحیح باشد، سه صفتی که در گزارش اشعری آمده، از باب نمونه است و نظر زراره به همۀ صفات الاهی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بتوان این را خلاف سیاق سخن اشعری و سیاهۀ عقایدی دانست که در این باب مطرح کرده است و به نظر می‌آید که برداشت نخست از نظری که اشعری به زراره نسبت داده، قابل دفاع‌تر باشد</w:t>
      </w:r>
      <w:r>
        <w:rPr>
          <w:rFonts w:eastAsia="IRNazanin" w:cs="IRNazanin"/>
          <w:color w:val="111111"/>
          <w:sz w:val="28"/>
          <w:szCs w:val="28"/>
          <w:rtl w:val="true"/>
          <w:lang w:bidi="fa-IR"/>
        </w:rPr>
        <w:t>.</w:t>
      </w:r>
    </w:p>
    <w:p>
      <w:pPr>
        <w:pStyle w:val="Heading3"/>
        <w:numPr>
          <w:ilvl w:val="2"/>
          <w:numId w:val="1"/>
        </w:numPr>
        <w:rPr/>
      </w:pPr>
      <w:bookmarkStart w:id="91" w:name="__RefHeading___Toc794787_1395250215"/>
      <w:bookmarkStart w:id="92" w:name="_Toc35"/>
      <w:bookmarkEnd w:id="91"/>
      <w:r>
        <w:rPr>
          <w:rtl w:val="true"/>
        </w:rPr>
        <w:t>مومن الطاق</w:t>
      </w:r>
      <w:bookmarkEnd w:id="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متکلم مهمّ امامی در این دوره، ابوجعفر محمد بن علی بن نعمان احول، ملقب به شاه طاق یا صاحب الطاق با شیطان الطاق یا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لقب او، باید گفت که در منابع اهل سنت همه‌جا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ابن‌حجر،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محل کارش 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ابن‌حجر،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ابن‌ندیم،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نسخه‌ای از الفهرست ابن‌ندیم،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او را به شیطان الطاق می‌شناسند و خاصه به مؤمن الطاق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ابن‌ندیم،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وجهِ نامیده شدن او به شیطان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ابن‌حجر،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ابن‌ندیم،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زیرکی و هشیاری او بوده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Modarresi, 2003, 1: 339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صفاتی که در مناظرات کلامی نیز به آن‌ها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منابع، هشام بن حکم آن‌گاه که شنید مخالفان، او را شیطان الطاق می‌خوانند، وی را مؤمن الطاق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ابوالحسن اشعری، مؤمن الطاق در باب صفتِ علم خداوند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جاهل نیست، اما علم او به اشیا آن‌گاه است که آن شیء را مقدر سازد و اراده کند و پیش از آن محال است به آن شیء علم داشته باشد؛ نه چون او عالم نیست، بلکه چون شیء پیش از اراده و تقدیر الاهی، شیء نیست و تثبیت شیء با تقدیر الاهی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عیناً در جای دیگری 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با این تفاوت که در پایان عبارت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شیء با تقدیر الاهی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یثبته بالتقدیر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شیء با تقدیر الاهی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ینشئه بالتقدیر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شباهت ظاهری دو کلمه، بعید نیست که مصحح کتاب یک کلمه را دو جور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در جایی دیگر، پس از بازگویی این عبارات می‌افزاید که تقدیر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اراده است؛ پس اگر ارادۀ خداوند به چیزی تعلق گرفت، به آن علم یافته و اگر تعلق نگرفت، به آن علم هم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اراده در نظر آنان نوعی تحرک است؛ اگر آن تحرک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به شیء علم یافته، وگرنه نمی‌توان گفت که او به آن شیء علم دارد و پنداشته‌اند که خداوند به علم به چیزی که وجود نداشته باشد، متصف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این را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شیطان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 و بسیاری از 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فرقه‌نگاران بعدی نیز تقریباً عین عبارات اشعری را بازگفته‌اند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اشاره کردیم که این مرحله از تاریخ اندیشۀ اسلامی، مرحلۀ فقر اصطلاحات فنی و کارشناسانه است و هنوز برای مفاهیمی مثل قوه و فعل و صفت ذات و صفت 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وضع نشده و این مفاهیم به صورت خام و صورت‌بندی‌نشده در اندیشه‌های صاحبان اندیشه در این دوره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نظر منسوب به مؤمن الطاق در این باره از دقیق‌ترین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اجمالاً متوجه شده که تا وقتی متعلَق علم فعلیت نیافته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بودن به آن معنا ندارد، اما در عین حال، به این نکته آگاه بوده که نمی‌توان خداوند را در هیچ حالی از احوال جاهل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قائل به دو مرتبه از علم الاهی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علم</w:t>
      </w:r>
      <w:bookmarkStart w:id="93" w:name="pg2673_17919"/>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صفت عالِم در خدا به آن مربوط می‌شود و خداوند 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علم دارد؛ و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اصطلاحاتی که در گیومه آورده‌ایم، اصطلاحاتی است که پس از دوران مورد بحث ما پیدا شده‌اند و به مدد همین اصطلاحات و تمایزات است که می‌توانیم آنچه را آنان به دشواری بیان کرده‌اند، به آسانی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تحلیل دوم از نظر زراره پذیرفته شود، در آن صورت تفاوت میان این دو دیدگاه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زراره، طبق تحلیل دوم، خداوند پس از خلق شیء، علم به آن را نیز برای خود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مؤمن الطاق، خداوند پس از خلق شیء عالم به آن می‌شود و علم به معلوم در او حدوث پیدا می‌کند</w:t>
      </w:r>
      <w:r>
        <w:rPr>
          <w:rFonts w:eastAsia="IRNazanin" w:cs="IRNazanin"/>
          <w:color w:val="111111"/>
          <w:sz w:val="28"/>
          <w:szCs w:val="28"/>
          <w:rtl w:val="true"/>
          <w:lang w:bidi="fa-IR"/>
        </w:rPr>
        <w:t>.</w:t>
      </w:r>
    </w:p>
    <w:p>
      <w:pPr>
        <w:pStyle w:val="Heading3"/>
        <w:numPr>
          <w:ilvl w:val="2"/>
          <w:numId w:val="1"/>
        </w:numPr>
        <w:rPr/>
      </w:pPr>
      <w:bookmarkStart w:id="94" w:name="__RefHeading___Toc794789_1395250215"/>
      <w:bookmarkStart w:id="95" w:name="_Toc36"/>
      <w:bookmarkEnd w:id="94"/>
      <w:r>
        <w:rPr>
          <w:rtl w:val="true"/>
        </w:rPr>
        <w:t>هشام بن سالم جوالیقی</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این، عقیدۀ اصلی‌ای که مؤمن الطاق در کنار هشام بن سالم جوالیقی همه‌جا به آن شناخته شده بود، عقیده به تشبیه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کلامی به معنای شبیه دانستن ذات یا صفات یا افعال خداوند به ذات یا صفات یا افعال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ولادوست،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ابوالحسن اشعری، هشام بن سالم معتقد 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انسان است، بی آن‌که گوشت و خون داشته باشد و گوید که او نوری ساطع است که از سپیدی می‌درخشد و مانند انسان حواس پنج‌گانه دارد و او را دست و پا و بینی و گوش و چشم و دهان است؛ و آنچه با آن می‌شنود، غیر از آن چیزی است که با آن می‌بیند و به همین ترتیب دیگر حواسش هم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نیز عین عبارات اشعری را می‌آورد و در انتها می‌افزاید که به نظر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نیمۀ بالایی‌اش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نیمۀ پایینی‌اش توپُر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صمد؛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صدوق، بی‌تا،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نیز همین عبارات بغدادی را بازگفته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افزودۀ بغدادی که در گزارش‌های بعدی نیز تکرار شده، علاوه بر تشبیه، عقیده به تجسیم را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مضمونی در روایات شیعه نیز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این افزوده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تحریفی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نشان می‌دهد این عقیده را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داوود جواربی، از بزرگان اهل تجسیم،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فان اس،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بی‌اساس بودن ادعای عقیده به تجسیم در هشام بن سالم و اصحابش آن است که، چنان‌که خواهیم دید، در سرتاسر روایات شیعه در این باب، هشام بن سالم تشبیهی و هشام بن حکم تجسیمی خوانده شده و همه‌جا تأکید شده که این دو در برابر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در منابع معتزلی نیز از مشبهه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خیاط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و 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خویش را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نیز نسبتی مشابه را تکرار کرده است و تأکید کرده که هشام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می‌دانست و در عین حال منکر تجسیم بود؛ و البته چنین باوری را تناقض‌گویی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توحیدی نیز داستانی نقل می‌کند که از آن می‌توان دریافت که اعتقاد به مشبهی بودن هشام بن سالم به داستان‌های عامیانه نیز راه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گفتیم، در روایات امامیه نیز همه‌جا هشام بن سالم قائل به صورت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بی‌تا،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می‌خوانیم که مبنای چنین عقیده‌ای، آیات و روایات مربوط به معراج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مربوط به آن دانسته می‌شده است و در آن‌ها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که از محدثان بزرگ امامیه است، حدود یک قرن و نیم بعدتر، هم‌چنان از امکان رؤیت خداوند دفاع می‌کند و برای آن استدلال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اصلی او در این باره،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أفَتُمارونَهُ عَلی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او دربارۀ آنچه دیده است مجادله می‌کنید؟ و به راستی که بار دیگر هم او را دیده بود؛ در نزدیکی سدرة‌المنتهی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ادامۀ این استدلال خود روایتی می‌آورد که نشان می‌دهد مخالفان هشام بن حکم، یعنی اصحاب هشام بن سالم، با استناد به روایتی که می‌گوید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هیئت یک جوان دید، قائل به صورت برای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هشام بن حکم نیز استدلالی دربارۀ ناممکن بودن رؤیت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مقایسه کنید با گزارشی منسوب به طبری دربارۀ این عقیدۀ هشام بن حکم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وقتی روشن‌تر می‌شود که بدانیم هشام بن سالم جوالیقی به گزارش نجاشی، کتابی دربارۀ معراج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کتاب همان روایت بلندی باشد که در 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ادامه‌دهندگان جریان کلامی هشام بن سالم بود، می‌توان یافت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Modarresi, 2003, 1: 271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چنین تصوراتی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سدرة‌المنتهی، به حضور خداوند می‌رسد نوری شدید از ورای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می‌شنود که اگر این حجاب‌ها نبودند، نور عرش از همه‌چیز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شیعه در باب رؤیت روشن می‌شود که عقیدۀ امکان رؤیت خداوند و لازمۀ آن، که صورت داشتن خداوند متعال است، دست‌کم در کوفه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اصحاب امامان از آنان دربارۀ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رؤیت نقل کرده‌اند،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دربارۀ این تصورات در میان اهل سنت،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جولدتسیهر،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روایات تأکید می‌کنند که این باور نتیجۀ خطا در فهم روایات مربوط به رؤیت باطنی و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باعث شده بود که امامان شیعه برخی روایات مربوط به این باب را برای یاران خاص خود بگویند و آنان را از نقل این سخنان برای عموم مردم برحذر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نقل چنین روایاتی بعدتر هم میان محدثان بزرگ شیعه ادامه یافت، چنان‌که شیخ صدوق در کتاب التوحید تأکید می‌کند که روایات در این باب بسیار است، اما از ترس آن‌که مبادا جاهلی از آن تشبیهْ برداشت کند، آن‌ها را نقل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همۀ این روایات و نیز از سخنان شیخ صدوق روشن می‌شود که شیعیان از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مشاهدۀ قلبی خداوند، که کاربرد قرآنی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ابایی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معتزله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تأویل می‌کرده و به معنای معرفت می‌گرفته‌اند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روایتی استدلال می‌آورد که لازمۀ پذیرش رؤیت خداوند، اعتقاد به تشبیه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بی‌تا،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عقیده‌ای که دست‌کم از نظر شیعیان، هشام بن سالم در چارچوب آن استدلال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پیش‌تر نیز به آن اشاره کردیم، تصریح شده که مبنای عقیدۀ هشام بن سالم، مؤمن الطاق و علی بن اسماعیل میثمی آن بوده که در روایات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هیئتی جوانی سی‌ساله و نیک‌منظر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آشکارا نشان می‌دهد که مبنای نظریۀ هشام بن سالم در این باره چه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این نکته توجه کنیم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آشکارا گزاره‌ای یهودی و بازگویی عبارتی از عهد عتیق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توراه، آفرینش،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عهد عتیق،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روایات اهل‌سنت بازتاب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مسلم نیشابوری،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ابن‌قتیبه،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ابن‌حجر،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بعدتر برای آن توضیحاتی ارائه کرده‌اند؛ از جمله، آنچه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حدیث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گذر می‌کرد و دو نفر را دید که به یک‌دیگر دشنام می‌دهند و یکی به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صورتت و صورت آن کس که شبیه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 خود چنین مگو که خداوند آدم را بر صورتش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ایدۀ نور دانستن خدا در میان غالیان کوفه نیز رواج بسیار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می‌شود مانند برخی از دیگر پژوهش‌گران این‌گونه عقاید هشام بن سالم را که به روشنی مستقل از آموزه‌های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متأثر از فضای فکری رایج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فان‌اس،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اندیشه‌های حدیثی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مگر کسی می‌تواند خارج از فضای فکری پیرامونی‌اش بیندیشد؟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عقیده در برخی آثار متأخرتر فرقه‌نگاری به مؤمن الطاق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الاسلامیین، چنین نسبتی دیده نمی‌شود، اما در کتابی قدیم‌تر، الانتصار نوشتۀ ابوالحسین خیاط معتزلی، هشام بن سالم و مؤمن الطاق هردو معتقد به تشبیه دانسته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نیز در کتاب خود همین عقیده را به او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بعدی نیز عبارات او را تکرار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صفدی،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ابن‌ابی‌الحدید در شرح خود بر نهج‌البلاغه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پس از گزارش این عقیده، تأکید می‌کند که مؤمن الطاق این عقیده را در چارچوب توجیه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درست باشد، روشن می‌شود که مؤمن الطاق، و احتمالاً مانند او هشام بن سالم، در پی توجیه این روایت به دور از التزام به تجسیم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می‌خواست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به چه ترتیب است؛ در مقام نظر این حالت یا باید جسمانی فرض شود؛ یعنی انسان به لحاظ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یا به معنایی مجرد و روحانی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مؤمن الطاق نمی‌خواست حالت جسمانی را بپذیرد و چون در زبان فنی آن دوره هنوز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نشده بود، ناگزیر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بر صورت انسانی ربانی است بی آن‌که جسم</w:t>
      </w:r>
      <w:bookmarkStart w:id="96" w:name="pg2673_17927"/>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چیزی غیر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جسم یعنی 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 الطاق در نبود اصطلاح مجرد، در برابرِ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استعمال صریح قرآنی دربارۀ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تجرد و غیرمادیت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می‌افزاید که مقاتل بن سلیمان، مفسر و محدث بزرگ قرن سوم، و داوود جواربی، متکلم تجسیمی، نیز همین عقیده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محدثان اهل‌سنت که چنین عقایدی به آنان منسوب شده می‌توان از این افراد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ابی‌مریم، محدث و شاگرد ابوحنیفه که مقاتل بن سلیمان همسرِ مادرش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نُعیم بن حمّاد اعور خزاعی و معاذ بن معاذ عنبری، محدثان بزرگی که روایاتشان در صحاح اهل‌سنت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97" w:name="__RefHeading___Toc794791_1395250215"/>
      <w:bookmarkStart w:id="98" w:name="_Toc37"/>
      <w:bookmarkEnd w:id="97"/>
      <w:r>
        <w:rPr>
          <w:rtl w:val="true"/>
        </w:rPr>
        <w:t>هشام بن حکم</w:t>
      </w:r>
      <w:bookmarkEnd w:id="98"/>
    </w:p>
    <w:p>
      <w:pPr>
        <w:pStyle w:val="BookText"/>
        <w:rPr/>
      </w:pPr>
      <w:r>
        <w:rPr>
          <w:rFonts w:ascii="IRNazanin" w:hAnsi="IRNazanin" w:eastAsia="IRNazanin"/>
          <w:color w:val="111111"/>
          <w:sz w:val="28"/>
          <w:sz w:val="28"/>
          <w:szCs w:val="28"/>
          <w:rtl w:val="true"/>
          <w:lang w:bidi="fa-IR"/>
        </w:rPr>
        <w:t>وقتی به هشام بن حکم، بزرگ‌ترین متکلم شیعی در این دوره می‌رسیم، موضوع از این نیز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نظریه‌ای که هشام بن حکم بدان شناخته شده،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اتهام تجسیمی بودن هشام بن حکم از آن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نظریه به دیگر متکلمان جهان اسلام، از جمله محمد بن کرّام و پیروان او نیز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این نظریه به هشام بن حکم را هم در متون شیعیان 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متون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ابن‌ابی‌الحدید،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قدیم بحث‌های بسیاری را به میان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نخست به تبیین نظر هشام می‌پردازیم و سپس تلاش‌هایی را که برای توجیه این نظر مطرح شده است، به اجمال بررسی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برای چندمین بار باید تأکید کنیم که بحث ما در دورۀ تاریخی‌ای است که اصطلاحات فلسفی و تمایز میان مفاهیم هنوز مطرح نشده و زبان عربی از زبان علمی و فنی، دست‌کم در حوزۀ علوم عقلی، فاصلۀ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طبیعی است که متکلمی مانند هشام بن حکم که آرای گوناگون و منحصر‌به‌فردی در حوزه‌های گوناگون کلامی، جهان‌شناختی و انسان‌شناختی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فان‌اس،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برخی از آن‌ها، مانند اعتقاد به ترکیب انسان از روح و جسم و نسبت دادن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ادراک به روح، برای نخستین بار در جهان اسلام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شود در بسیاری از مسائل، اصطلاحات تازه‌ای وضع و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نباید انتظار داشته باشیم این اصطلاحات دقیق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بعدتر، اصطلاحات دقیق‌تری وضع شد و در زبان عربی جا افتاد، نباید بر هشام بن حکم خرده گرفت که چرا از آن‌ها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نباید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روان‌پریشی تاریخی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anachronism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بررسی عقیده به جسمانیت افعال در عقاید هشام بن سالم و مؤمن الطاق این نکته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معنایی عام‌تر از آن چیزی داشته که بعدتر، از آن فهمیده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اشعری، هشام خود صریحاً جسم را به معنای موجود می‌گرفته و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می‌گویم جسم، 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بنفسه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پینیس،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به روشنی می‌توان دریافت که دست‌کم از نظر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معنا،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هشام تفاوتی نداشته است؛ اما دربارۀ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هشام آمده، اگر این عبارت عین عبارت خود او باشد و نه نقل به مضمون اشعری، باید دانست که این کلمه در معنای اصطلاحی‌اش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فلسفی‌اند که در دورۀ ترجمه برای اصطلاح یونانی </w:t>
      </w:r>
      <w:r>
        <w:rPr>
          <w:rFonts w:eastAsia="Times New Roman" w:cs="Times New Roman" w:ascii="Times New Roman" w:hAnsi="Times New Roman"/>
          <w:color w:val="111111"/>
          <w:sz w:val="28"/>
          <w:szCs w:val="28"/>
          <w:lang w:val="en-US" w:bidi="en-US"/>
        </w:rPr>
        <w:t>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آثار ارسطو وضع شدند و در این مرحله صرفاً به معنای لفظی خود به کار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معاصر نشان می‌دهد، معادل دیگر برای این اصطلاح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کندی، نخستین فیلسوف رسمی در جهان اسلام، آن را برای معنای دیگری به کار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این موضوع اشاره کردیم که این خود مبنای روشنی برای تاریخ‌گذاری روایات می‌تواند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یونس بن ظبیان، از یاران مفضل بن عمر و از متهمان به غلو، استدلال هشام بن حکم در این باره، این‌گونه بوده که هر چیزی یا جسم است یا فعل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نمی‌تواند فعل جسم باشد؛ پس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با نظر منسوب به هشام که اعراض را قبول نداشت و از نظرش همه‌چیز جسم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ابن‌حزم،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ادعا کرد که نطفۀ اولیۀ این استدلال در نظر جهم بن صفوان، از سران مرجئۀ جبریه، نهفته است که حرکت را جسم می‌دانست؛ با این استدلال که محال است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امامیه آمده که هشام، پیش از آشنایی با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گرایش جهمی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ادعای ما درست باشد، بدان معناست که تنها تفاوت هشام بن حکم، با استادش جهم، آن است که هشام ابایی از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جای تردید در اصل این گزارش هست، زیرا یونس بن ظبیان، از چهره‌های شاخص جریان مفضل بن عمر و متهمان به غلو بود که از اصلی‌ترین شاخصه‌هاشان دشمنی با هشام بن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دیگری، این بار از هشام الحناط، یک راوی ناشناخته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دقیق‌تر، استدلال هشام بن حکم را طور دیگری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جسم بودن آن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است، اما نه مانند دیگر اجسام؛ و شیء است، اما نه مانند دیگر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به روشنی مؤید این معناست که از نظر هشام،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می‌شود که اصطلاح‌های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 یک معنا و هردو به معادل اصطلاح دیگری که بعدتر رواج یافت،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همۀ گزارش‌های موجود دربارۀ آن دوره می‌شود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روایات شیعه نیز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بلامانع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روایتی منسوب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نفی شیئیت خداوند، نفی وجود خداوند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خودداری می‌کردند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بخلاف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روایتی که خود هشام بن حکم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خارج از حوزۀ شیعیان نیز استدلال‌هایی دربارۀ علت جسم خواندن خداوند، به هشام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استدلال‌ها را ابوهذیل علاف، از سران معتزله که می‌توان او را محور تبلیغات منفی علیه هشام بن حکم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ابوالهذیل،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به او گفت که پروردگارش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می‌آید و گاه حرکتی می‌کند و گاه ساکن می‌شود و گاه می‌نشیند و گاه می‌ایستد و طول و عرض و عمق دارد، زیرا هرچه چنین نباشد متلاشی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حدَّ التلاشی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نیز نشان می‌دهد، هشام بن حکم هر چیزی غیر از جسم با صفات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معدوم می‌دانسته است و از نظر او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اعتماد به چنین گزارشی دشوار است، زیرا هم ابوالهذیل به دشمنی با هشام شناخته شده و هم یاران و دوست‌دارانش دروغ‌های بسیار به هشام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چنین سخنی را نه یاران و پیروان هشام و ادامه‌دهندگان جریان او نقل کرده‌اند و نه دیگر شیعیان که قاعدتاً آثار متعدد هشام بن حکم در حلقه‌هایشان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تصفیۀ عقاید هشام بن حکم از سوی شیعیان هم مطرح نیست، زیرا او دشمنان سرسختی در حلقه‌های شیعی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دیگر را ابن‌راوندی، متکلم متهم به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زریاب،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میرزایی،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هشام بن حکم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می‌گفت میان خدایش با اجسامی که می‌بینیم، به لحاظی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هست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دلالت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پس از ذکر این دو گزارش، می‌افزاید که خلاف این مدعا نیز از هشام بن حکم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عبارت در نسخه‌های کتاب مقالات الاسلامیین مخدوش است، اما شهرستانی در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کعبی از او نقل کرده که خداوند جسمی است که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مقداری از مقدارها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من الاقدار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شبیه هیچ‌یک از مخلوقات نیست و هیچ شیئی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می‌بینیم که هشام بن حکم بر نبود هر گونه مشابهت میان خالق و مخلوق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این گزارش‌ها و گزارش‌های نظیرشان می‌توان نتیجه گرفت که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قولی بوده که واقعاً هشام بن حکم مطرح کرده است، اما دیگر سخنان دربارۀ تشبیه و داستان‌پردازی‌هایی که اشعری به نقل از ابوالهذیل علاف، زرقان، جاحظ و دیگران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صرفاً الزامات دیگران بر سخنان هشام بن حکم است، نه آن‌که او خود چنین سخنانی را مطرح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واکنش‌ها به این عقاید منسوب به هشام بن حکم را می‌توان سه دسته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شیخ مفید که انتساب تجسیم را به هشام بن حکم می‌پذیرد و می‌افزاید که نقل شده که هشام در این قول تجدید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شریف مرتضی، متکلم بزرگ شیعی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این سخن نه تشبیه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تصریح به عدم مشابهت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خلاف یکی از اصول یا فروع است، بلکه اشتباهی در عبارت است که برای اثبات یا انکار آن باید به لغت مراجعه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در معنایی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معنای لفظی مرسومش به کار رفته است و صحت چنین استعمالی را باید با مراجعه به لغت عرب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ابن‌حزم، متکلم ظاهرگرا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بگوید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مشبّه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خداوند بدعت کرده و خداوند را به نامی خوانده که خود، خویش را بدان نخوانده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نزاع را به نزاعی لفظی بر سرِ نام‌های خداوند، که باید توقیفی و منصوص باشد، فرومی‌کاهد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Wolfson, 1976: 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گزینه‌ای دیگر دربارۀ این‌که هشام بن حکم در چه اوضاع و احوال و چه سیاقی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نکته‌ای است که برخی اهل نظر نیز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هشام بن حکم این نظر را از باب الزام بر معتزله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شهرستانی در الملل و النحل به روشن‌ترین شکل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هشام بن حکم را سخنانی دوپهلو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نباید از الزاماتی که بر معتزله گرفته غافل شد، که این مرد فراتر از آن چیزی است که بر خصم الزام می‌کند و پایین‌تر از آن تشبیهی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علاف را الزام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باری‌تعالی عالِم است به علم و علمش ذاتش است؛ پس در این‌که عالم است به علم با محدثات شریک است و در این‌که علمش از ذاتش است با آن‌ها مباینت دارد؛ پس عالِم است، اما نه چون دیگر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 کالعالِمین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نه چون دیگر اجسام و صورت است نه چون دیگر صورت‌ها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نیز عبارتی شبیه این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اصحاب ما گویند که آن را از باب معارضه با معتزله آورده و به آنان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می‌گویید قدیم تعالی شیئی است نه چون دیگر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نه چون دیگر 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حدوث و قدم صفات الاهی، در برخی گزارش‌ها هشام بن حکم قائل به حدوث صفات در خداوند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گزارش‌ها تأکید شده که هشام، صفت خداوند را متصف به حدوث و قدم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منابع متأخرتر شیعی نیز این گزارش‌ها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در ادامۀ گزارش پیش‌گفتۀ خود می‌افزاید که هشام دربارۀ دیگر صفات خداوند، مانند قدرت، حیات، سمع و بصر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صفت خداوند هستند و نه ذات اویند، نه غیر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هی الله و لا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 که دربارۀ این‌که صفات حیّ و قادر از</w:t>
      </w:r>
      <w:bookmarkStart w:id="99" w:name="pg2673_17938"/>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نظر هشام بن حکم ازلی‌اند یا حادث، اختلاف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گزارش شهرستانی در این باره دقیق‌تر باشد که می‌گوید از نظر هشام، خداوند از ازل عالم بوده و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علمش به اشیا بعد از پیدایش آن‌هاست و این علم جدید، نه حادث است، نه غیر خداست و نه بعض خدا، زیرا علم صفت و صفت توصیف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صحیح باشد، یعنی هشام صفت علم را در خداوند ازلی می‌داند، اما قائل به تجدد این علم پس از پیدایش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تقریباً همان چیزی است که اشعری از پیروان محمد بن خلیل سکاک، شاگرد هشام بن حکم، نقل کرده است که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صفت ذاتی خداست و خداوند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اما تا وقتی چیزی نباشد، نمی‌توان او را عالِم توصیف کرد؛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می‌گوییم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وقتی نباشد، نمی‌توان گفت به آن عالِم است، زیرا شیئی نیست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این استدلال‌ها با آنچه از زراه و مؤمن الطاق نقل کردیم، تفاوت چندانی ندارد، جز این‌که هشام حاضر نشده از حدوث صفات الاهی سخن بگوید و صفت را از اساس موصوف به حدوث و قدم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گزارشی دربارۀ عقاید هشام دربارۀ دیگر صفات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00" w:name="__RefHeading___Toc794793_1395250215"/>
      <w:bookmarkStart w:id="101" w:name="_Toc38"/>
      <w:bookmarkEnd w:id="100"/>
      <w:r>
        <w:rPr>
          <w:rtl w:val="true"/>
        </w:rPr>
        <w:t>روایات ائمه</w:t>
      </w:r>
      <w:bookmarkEnd w:id="1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رجوع کنیم، می‌بینیم که آنان در عین این‌که ابزار شناخت خداوند و صفات او را عقل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برخی متکلمان، از جمله در واکنش به نظریۀ هشام بن سالم جوالیقی، تأکید کرده‌اند که مذهب صحیح در این باره همان است که در قرآن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گزارش‌هایی که دربارۀ اختلافات متکلمان کوفه در این موضوع به وی می‌رسید، عامدانه و آگاهانه به ذکر نصّ آیات قرآن بسنده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مقام تبیین نظر خود، تأکید می‌فرمود که صفات از ازل در ذات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از ازل در ذات خداوند بوده است، بی آن‌که معلومی در کار باشد و سمع در ذات او بوده، بی آن‌که مسموعی در کار باشد و بصر در ذات او بوده، بی آن‌که مبصَری در کار باشد و قدرت در ذات او بوده، بی آن‌که مقدوری در کار باشد و وقتی اشیا را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معلوم پیدا شد، علم او بر آن معلوم تعلق گرفت و سمع او بر مسموع و بصر او بر مبصَر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w:t>
      </w:r>
      <w:bookmarkStart w:id="102" w:name="pg2673_17940"/>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نظریه‌ای است که صفت را عین ذات خداوند می‌داند، زیرا لازمۀ کمال مطلق بودن خداوند آن است که صفات کمال را در ذات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داشته‌اند که خداوند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اما می‌توان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این هم انسان را از تشبیه خداوند و هم از تعطیل صفات خداوند دور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مذهب حق را کنار گذاشتنِ هم‌زمان نفی صفات و تشبیه و اثبات صفات برای خداوند به دور از هر گونه تشبیه او با خلق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جزئی‌تر به موضوع صفات بیندازیم، می‌بینیم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تأکید می‌کند که خداوند ذاتاً عالِم است، بی آن‌که معلومی در کار باشد و سمع ذات اوست، بی آن‌که مسموعی در کار باشد و همین تعبیر را دربارۀ بصر و قدرت نیز به کار می‌برد، اما کلام را صفتی حادث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صفات خداوند چیزی جدا از موصوف نیستند، بلکه خود ذات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این‌که نباید پنداشت که این صفات مانند آنچه در بشر می‌بینیم،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انسان که بینایی او غیر از شنوایی‌اش است، سمع خداوند همان بصر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صفت‌هایی است و نعت‌هایی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آنِ اوست و اسم آن بر مخلوقات جاری می‌شود؛ مثل سمیع، بصیر، رئوف و رحیم، اما نعت جز برای خداوند شایسته نیست؛ مانند حیٌ لایموت، عالمٌ لاجهل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شایان توجه دیگر، حادث دانستن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خداوند نخست مشیت را آفرید و سپس مخلوقات را با آن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علم خداوند غیر از مشیت و ارادۀ اوست؛ خداوند از ازل عالم و قادر بوده و سپس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03" w:name="__RefHeading___Toc794795_1395250215"/>
      <w:bookmarkStart w:id="104" w:name="_Toc39"/>
      <w:bookmarkEnd w:id="103"/>
      <w:r>
        <w:rPr>
          <w:rtl w:val="true"/>
        </w:rPr>
        <w:t>نتیجه گیری</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نظریات منسوب به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دیدیم که آنان در نظریه‌پردازی‌های خود دربارۀ صفات خداوند هرچند ظاهراً مستقل عمل می‌کرده‌اند، اما در کل فضای فکری و آموزه‌های امامان را به اجمال در نظر داشتند و در طرح نظریات خود، به آنچه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بی‌شک بسیاری از این نظریات، برگرفته از آبشخورهای علمی ـ فرهنگی دیگر و متناسب با بالندگی علمی و فرهنگی هر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ناپخته بودن گنجینۀ</w:t>
      </w:r>
      <w:bookmarkStart w:id="105" w:name="pg2673_17942"/>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واژگان فنی و اصطلاحی عربی نیز بر پیچیده‌تر شدن این وضع اثر نهاده و باعث شده که آنان در طرح نظریات خود مرتکب بی‌دقتی‌هایی شوند؛ نکته‌ای که امامان با دقت نظر خود در پی رفع آن برآمده و دربارۀ آن روشن‌گری کرده‌اند</w:t>
      </w:r>
      <w:r>
        <w:rPr>
          <w:rFonts w:eastAsia="IRNazanin" w:cs="IRNazanin"/>
          <w:color w:val="111111"/>
          <w:sz w:val="28"/>
          <w:szCs w:val="28"/>
          <w:rtl w:val="true"/>
          <w:lang w:bidi="fa-IR"/>
        </w:rPr>
        <w:t>.</w:t>
      </w:r>
    </w:p>
    <w:p>
      <w:pPr>
        <w:pStyle w:val="Heading3"/>
        <w:numPr>
          <w:ilvl w:val="2"/>
          <w:numId w:val="1"/>
        </w:numPr>
        <w:rPr/>
      </w:pPr>
      <w:bookmarkStart w:id="106" w:name="__RefHeading___Toc794797_1395250215"/>
      <w:bookmarkStart w:id="107" w:name="_Toc40"/>
      <w:bookmarkEnd w:id="106"/>
      <w:r>
        <w:rPr>
          <w:rtl w:val="true"/>
        </w:rPr>
        <w:t>منابع</w:t>
      </w:r>
      <w:bookmarkEnd w:id="107"/>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سروش،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عزالدین ابوحامد عبدالحمید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بی‌جا، دار احیاء الکتب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ابن‌الجوزی،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تلبیس ابلیس، اسکندریه، دار ابن‌خلدون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العسقلانی،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فتح‌الباری، بیروت، دارالمعرفه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لسان‌المیزان، بیروت، مؤسسة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ابن‌حزم، ابومحمد علی بن احمد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الاهواء و النحل، قاهره، مطبعة التمدن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مختلف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الاسعردی، بیروت، دارالکتب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ابن‌ندیم، ابوالفرج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تهران،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اسعدی، علیرضا،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حکم، قم،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بیروت ـ برلین، کلاوس شوارتز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افنان، سهیل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پیدایش اصطلاحات فلسفی در عربی و فارسی،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فیروزکوهی، تهران،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امیرمعزی، محمدعلی،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باب امام‌شناسی در تشیع دوازده‌امامی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ایران‌نامه، ش</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بررسی‌های تاریخی در حوزه اسلام و تشیع، تهران، کتاب‌خانه موزه و مرکز اسناد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انواری، محمدجواد،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تهران، مرکز دائرة‌المعارف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ایجی، عضدالدین،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المواقف، تصحیح عبدالرحمن عمیرة، بیروت، دارالجیل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ابوعبدالله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الدین،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استانبول، مدرسة الالهیات بدارالفنون التورکیة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محیی‌الدین عبدالحمید، بیروت، المکتبة العصریة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تکمله ـ صفات الاهی در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تهران، مرکز دائرة‌المعارف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تدوین عقاید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روش اندیشه علمی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دانشگاه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تهران، مرکز دائرة‌المعارف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پینیس،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الذرة عند المسلمین،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عبدالهادی ابوریده، قاهره، مکتبة النهضۀ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توحیدی، ابوحیان علی بن محمد،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الوزیرین،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تاویت الطبخی،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جابری‌زاده، عبدالامیر،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تهران، مرکز دائرة‌المعارف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 محمدرضا،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عند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تراثنا، ش</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جولدتسیهر، اجناس،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العقیدة و الشریعة فی الاسلام،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موسی و آخرون، قاهره ـ بغداد، دارالکتب الحدیثة و مکتبة المثنی، 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معتزلی، ابوالحسین عبدالرحیم بن محمد،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و الرد علی ابن‌الراوندی الملحد،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نیبرگ، بیروت، مکتبة دارالعربیة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شمس‌الدین محمد بن احمد،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بیروت، مؤسسة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رویش‌ها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عبدالکریم بن محمد،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البارودی، بیروت، دارالجنان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ابوالقاسم علی بن حسین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عبدالزهراء الحسینی الخطیب، قم،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شریف رضی، ابوالحسن محمد بن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بیروت،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فتح‌الله بدران، قاهره، مکتبة الانجلو المصریه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حسینی‌طهرانی، بیروت، مؤسسة الاعلمی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الاعلمی، بیروت، مؤسسة الاعلمی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تحقیق حسین الاستاد ولی و علی‌اکبر الغفاری، بیروت، دارالمفید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 تهران، مؤسسه مطالعات اسلامی دانشگاه تهران ـ دانشگاه مک‌گیل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الارناؤوط و ترکی المصطفی، بیروت، دار 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المعروف برجال الکشی،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المصطفوی، لندن ـ قاهره، مرکز نشر آثار العلامة المصطفوی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سیار، تهران، هرمس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اس، یوزف،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الکلام و المجتمع فی القرنین الثانی و الثالث للهجرة،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صالح، بیروت ـ برلین، منشورات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مؤسسة الامام المهدی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سیدطیب الموسوی الجزائری، النجف الاشرف، مکتبة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قوام‌کرباسی، اکبر،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کاظمی‌موسوی، احمد،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الهی در شیعه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ایران‌نامه، ش</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توراه، جلد اول، آفرینش،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رحمان پورداود و موسی زرگری، بی‌جا، انجمن فرهنگی اوتصر هتورا ـ گنج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 علی‌اکبر غفاری، دار الکتب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مکتب‌ها و فرقه‌های اسلامی در سده‌های میانه،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قاسمی، مشهد، 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موسوی‌خلخالی، سیداحسان،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جریان‌شناسی کلامی امامیه در عصر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پایان‌نامه کارشناسی‌ارشد،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نعمت‌الله صفری‌فروشانی، قم، دانشگاه ادیان و مذاهب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میرزایی، عباس،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ابن‌راوندی و دفاع از اندیشه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کلامی،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نجاشی، ابوالعباس احمد بن علی،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شبیری‌زنجانی، قم، مؤسسه النشر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المسلم،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ولادوست، بیتا،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تهران، مرکز دائرة‌المعارف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Modarresi, Hossein, (2003), Tradition and Survival, Oxford, Oneworld</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Wolfson, Harry A., (1976), The Philosophy of the Kalam, Harvard University Press, Cambridge – London</w:t>
      </w:r>
      <w:r>
        <w:rPr>
          <w:rFonts w:eastAsia="Times New Roman" w:cs="Times New Roman" w:ascii="Times New Roman" w:hAnsi="Times New Roman"/>
          <w:color w:val="111111"/>
          <w:sz w:val="28"/>
          <w:szCs w:val="28"/>
          <w:rtl w:val="true"/>
          <w:lang w:val="en-US" w:bidi="en-US"/>
        </w:rPr>
        <w:t>.</w:t>
      </w:r>
      <w:bookmarkStart w:id="108" w:name="pg2673_17947"/>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109" w:name="__RefHeading___Toc794799_1395250215"/>
      <w:bookmarkStart w:id="110" w:name="_Toc41"/>
      <w:bookmarkEnd w:id="109"/>
      <w:r>
        <w:rPr>
          <w:rtl w:val="true"/>
        </w:rPr>
        <w:t>روش‌شناسی کلامی شیخ حر عاملی در مقام دفاع در حوزه‌های ردّ شبهات و مکاتب معارض</w:t>
      </w:r>
      <w:bookmarkEnd w:id="110"/>
    </w:p>
    <w:p>
      <w:pPr>
        <w:pStyle w:val="Heading3"/>
        <w:numPr>
          <w:ilvl w:val="2"/>
          <w:numId w:val="1"/>
        </w:numPr>
        <w:rPr/>
      </w:pPr>
      <w:bookmarkStart w:id="111" w:name="__RefHeading___Toc794801_1395250215"/>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محمد غفوری‌نژاد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ام‌ا‌لبنین خالقیان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1394/08/09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1394/09/10</w:t>
      </w:r>
    </w:p>
    <w:p>
      <w:pPr>
        <w:pStyle w:val="Heading3"/>
        <w:numPr>
          <w:ilvl w:val="2"/>
          <w:numId w:val="1"/>
        </w:numPr>
        <w:rPr/>
      </w:pPr>
      <w:bookmarkStart w:id="113" w:name="__RefHeading___Toc794803_1395250215"/>
      <w:bookmarkStart w:id="114" w:name="_Toc43"/>
      <w:bookmarkEnd w:id="113"/>
      <w:r>
        <w:rPr>
          <w:rtl w:val="true"/>
        </w:rPr>
        <w:t>چکیده</w:t>
      </w:r>
      <w:bookmarkEnd w:id="114"/>
    </w:p>
    <w:p>
      <w:pPr>
        <w:pStyle w:val="BookText"/>
        <w:rPr/>
      </w:pPr>
      <w:r>
        <w:rPr>
          <w:rFonts w:ascii="IRNazanin" w:hAnsi="IRNazanin" w:eastAsia="IRNazanin"/>
          <w:color w:val="111111"/>
          <w:sz w:val="28"/>
          <w:sz w:val="28"/>
          <w:szCs w:val="28"/>
          <w:rtl w:val="true"/>
          <w:lang w:bidi="fa-IR"/>
        </w:rPr>
        <w:t>روش‌شناسی علم کلام، بررسی راه‌هایی است که ما را در علم کلام به استنباط عقاید و دفاع از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استنباط، به معرفت صحیحی از آموزه های دین می رسد و در مقام دفاع، آن معرفت را تبیین، تنظیم و اثبات می‌کند و به ردّ شبهات و عقاید معارض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میان پنج مرحلة مقام دفاع، با مروری بر آثار کلامی متعدد شیخ حر، روش‌های مورد استفادۀ وی را در دو مرحلة اخیر بررسیده‌ایم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مقام ردّ شبهات و مکاتب معارض از روش‌هایی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صورت و مادۀ استدلال، بیان تضاد در دیدگاه شبهه‌گر، ردّ مبانی یا لوازم دیدگاه خصم، ذکر مثال و حکایت، تبیین مفردات، تنبیه بر استثنای موجود یا قرائن حالی، ارجاع به بدیهیات، طرح سؤال و مطالبة دلیل از خصم بهره برده است</w:t>
      </w:r>
      <w:r>
        <w:rPr>
          <w:rFonts w:eastAsia="IRNazanin" w:cs="IRNazanin"/>
          <w:color w:val="111111"/>
          <w:sz w:val="28"/>
          <w:szCs w:val="28"/>
          <w:rtl w:val="true"/>
          <w:lang w:bidi="fa-IR"/>
        </w:rPr>
        <w:t>.</w:t>
      </w:r>
    </w:p>
    <w:p>
      <w:pPr>
        <w:pStyle w:val="Heading3"/>
        <w:numPr>
          <w:ilvl w:val="2"/>
          <w:numId w:val="1"/>
        </w:numPr>
        <w:rPr/>
      </w:pPr>
      <w:bookmarkStart w:id="115" w:name="__RefHeading___Toc794805_1395250215"/>
      <w:bookmarkStart w:id="116" w:name="_Toc44"/>
      <w:bookmarkEnd w:id="115"/>
      <w:r>
        <w:rPr>
          <w:rtl w:val="true"/>
        </w:rPr>
        <w:t>واژگان کلیدی</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روش‌شناسی کلام، حر عاملی، پاسخ به شبهه، مناظره، ردّ مکاتب معارض</w:t>
      </w:r>
      <w:r>
        <w:rPr>
          <w:rFonts w:eastAsia="IRNazanin" w:cs="IRNazanin"/>
          <w:color w:val="111111"/>
          <w:sz w:val="28"/>
          <w:szCs w:val="28"/>
          <w:rtl w:val="true"/>
          <w:lang w:bidi="fa-IR"/>
        </w:rPr>
        <w:t>.</w:t>
      </w:r>
      <w:bookmarkStart w:id="117" w:name="pg2673_17948"/>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118" w:name="__RefHeading___Toc794807_1395250215"/>
      <w:bookmarkStart w:id="119" w:name="_Toc45"/>
      <w:bookmarkEnd w:id="118"/>
      <w:r>
        <w:rPr>
          <w:rtl w:val="true"/>
        </w:rPr>
        <w:t>مقدمه</w:t>
      </w:r>
      <w:bookmarkEnd w:id="119"/>
    </w:p>
    <w:p>
      <w:pPr>
        <w:pStyle w:val="BookText"/>
        <w:rPr/>
      </w:pPr>
      <w:r>
        <w:rPr>
          <w:rFonts w:ascii="IRNazanin" w:hAnsi="IRNazanin" w:eastAsia="IRNazanin"/>
          <w:color w:val="111111"/>
          <w:sz w:val="28"/>
          <w:sz w:val="28"/>
          <w:szCs w:val="28"/>
          <w:rtl w:val="true"/>
          <w:lang w:bidi="fa-IR"/>
        </w:rPr>
        <w:t>شیخ حرّ عاملی، یکی از محدثان بنام نیمۀ دوم قرن یازدهم هجری، در پس چهرۀ حدیثی خود، متکلمی است که به روش‌های مختلفی به استنباط و دفاع از موضوعات اعتقادی و به‌خصوص موضوعات اختلافی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در لابه‌لای کتب گوناگون وی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الهداۀ بالنصوص و المعجزات، الفصول المهمۀ فی اصول الائمه، هدایۀ الامه، الایقاظ فی الهجعۀ بالبرهان علی الرجعه، رسالۀ خلق الکافر، رسالۀ الاثنی عشریه فی الرد علی الصوفیه، تنزیه المعصوم عن السهو و النسیان، الفوائد الطوسیه و نیز در رسائلی در باب امامت،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برخی پژوهش‌گران به مباحث محتوایی و موضوعات اعتقادی مطرح‌شده در منابع و کتب مختلف باقی‌مانده از شیخ حرّ عاملی پرداخته‌اند، ولی تاکنون روش‌شناسی کلامی وی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دارای تحلیل‌های کلامی است که در پس پردۀ عنوان اخباری‌گری او پنهان مانده و از طریق مطالعۀ نظام‌مند، قابل کشف و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کلام، علم اصیل اسلامی است و در مجامع علمی شناخته شده و وظیفۀ استنباط و دفاع از مکتب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مقام، اقتضائات خاص خود را دارد که باید در هر مقامی اقتضای خاص آن را لحاظ کرد، زیرا عدم تفکیک این مراحل، موجب به وجود آمدن مشکلاتی در هر دو مرحله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راه‌هایی است که ما را در علم کلام به هدف و مقصود ـ که همان استنباط عقاید و دفاع از آن است ـ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استنباط مرحله‌ای است که متکلم، معنا و مقصود گوینده را در دو مرحلۀ فهم مقصود از متن و مقایسۀ معنا با دیگر معانی استنباط‌شده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روش‌های نقلی و اقتضائات زبانی را لحاظ می‌کند و در صورت عدم مخالفت آن با عقل، به آن اعتقاد و باور پیدا می‌کند؛ بنابراین عقل و داده‌های عقلی نیز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متکلم در مقام دفاع، آن معرفت را تبیین، تنظیم و اثبات می‌کند و به ردّ شبهات و عقاید معارض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 دومین وظیفۀ متکلم است که از ابتدای پیدایش این علم، بسیار مورد توجه متکلمان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پنج مرحلۀ تبیین، تنظیم، اثبات، ردّ شبهات و ردّ عقاید معارض پیموده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شیخ حرّ عاملی در دو حوزۀ استنباط عقاید و دفاع از عقاید دینی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موضعی دیگر به روش‌شناسی کلامی شیخ حر در حوزة استنباط، تبیین، تنظیم و اثبات پرداخته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خالقیان،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محقق در این جستار، از آن‌جا که دفاع</w:t>
      </w:r>
      <w:bookmarkStart w:id="120" w:name="pg2673_17949"/>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معنای خاصّ آن به ردّ شبهات و مکاتب معارض گفته می شود، تنها در همین دو مرحله، یعنی ردّ شبهات و ردّ مکاتب معارض، به روش‌شناسی کلامی شیخ حرّ عاملی در مقام دفاع از حقانیت اصول اعتقادی مذهب تشیع، با بهره‌گیری از آثارِ به‌جا‌مانده از شیخ حر عاملی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در صدد پاسخ به این سؤال است که روش‌های کلامی شیخ حر عاملی در مقام دفاع، در دو مرحلۀ ردّ شبهات اعتقادی و ردّ مکاتب معارض چیست؟ بدان امید که این تحقیق، گامی عملی در جهت تقویت توان دفاع از معارف اعتقادی و آموزه های دین را برای علاقه‌مندان عرصه و میدان کلام فراهم آورد و نقاط ضعف در این حوزه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هجمۀ دشمنان علیه اعتقادات شیعه، نیاز به آشنایی با روش‌های علمی و محکم برای دانشمندان علم کلام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گسترش روزافزون دین مبین اسلام و مکتب تشیع در میان مردم جهان، برای تبلیغ اعتقادات و مبانی فکری مسلمین و شیعیان، نشان دادن علم کلام به عنوان یک دانش روش‌مند، که در همۀ مباحث، از روش‌های متعدد و در عین حال متقن و علمی استفاده می‌کند، ضرورت این نوع از تحقیقات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تحقیق از نوع بنیادی است و روش گردآوری داده‌ها کتاب‌خانه‌ای و به شیوۀ توصیفی تحلیلی تدوین شده است</w:t>
      </w:r>
      <w:r>
        <w:rPr>
          <w:rFonts w:eastAsia="IRNazanin" w:cs="IRNazanin"/>
          <w:color w:val="111111"/>
          <w:sz w:val="28"/>
          <w:szCs w:val="28"/>
          <w:rtl w:val="true"/>
          <w:lang w:bidi="fa-IR"/>
        </w:rPr>
        <w:t>.</w:t>
      </w:r>
    </w:p>
    <w:p>
      <w:pPr>
        <w:pStyle w:val="Heading3"/>
        <w:numPr>
          <w:ilvl w:val="2"/>
          <w:numId w:val="1"/>
        </w:numPr>
        <w:rPr/>
      </w:pPr>
      <w:bookmarkStart w:id="121" w:name="__RefHeading___Toc794809_1395250215"/>
      <w:bookmarkStart w:id="122" w:name="_Toc46"/>
      <w:bookmarkEnd w:id="121"/>
      <w:r>
        <w:rPr/>
        <w:t>1</w:t>
      </w:r>
      <w:r>
        <w:rPr>
          <w:rtl w:val="true"/>
        </w:rPr>
        <w:t xml:space="preserve">. </w:t>
      </w:r>
      <w:r>
        <w:rPr>
          <w:rtl w:val="true"/>
        </w:rPr>
        <w:t>روش‌شناسی پاسخ به شبهات اعتقادی</w:t>
      </w:r>
      <w:bookmarkEnd w:id="122"/>
    </w:p>
    <w:p>
      <w:pPr>
        <w:pStyle w:val="Heading4"/>
        <w:numPr>
          <w:ilvl w:val="3"/>
          <w:numId w:val="1"/>
        </w:numPr>
        <w:rPr/>
      </w:pPr>
      <w:bookmarkStart w:id="123" w:name="__RefHeading___Toc794811_1395250215"/>
      <w:bookmarkStart w:id="124" w:name="_Toc47"/>
      <w:bookmarkEnd w:id="123"/>
      <w:r>
        <w:rPr>
          <w:rtl w:val="true"/>
        </w:rPr>
        <w:t>اشاره</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لغویون این واژه را دارای اصل واحدی دالّ بر مطلق همانندی در ذات و یا صفات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فیومی،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وارد کردن عبارت است از ارائه دلایل فاسد و توجیهات نادرست به منظور حق جلوه دادن باطل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حق‌نما بودن و استدلال، از مقوّمات شبهه است؛ بنابراین اگر بطلانِ ادعایی واضح و آشکار باشد و یا به ادعای صرف بسنده شود، نمی‌توان آن را شبهه نامید، زیرا بطلان ادعای بدون دلیل، امری روشن و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بودن فهم آنچه موجب شبهه شده و نبودن دلیل قطعی و صریح برای مطلبی که به آن شبهه می‌شود و هم‌چنین سوء نیتِ شبهه‌کننده، از قیود دیگری است که در همۀ شبهات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شبهه و پاسخ‌دهی به آن ـ اگرچه از دیرباز از وظایف مهمّ متکلمان به حساب می‌آمده، اما در این برهه از زمان به دلیل رشد شبکه‌های ماهواره‌ای و سایت‌های اینترنتی شبهه‌افکن ـ از مهم‌ترین اموری است که باید متکلمان به آن بپردازند</w:t>
      </w:r>
      <w:r>
        <w:rPr>
          <w:rFonts w:eastAsia="IRNazanin" w:cs="IRNazanin"/>
          <w:color w:val="111111"/>
          <w:sz w:val="28"/>
          <w:szCs w:val="28"/>
          <w:rtl w:val="true"/>
          <w:lang w:bidi="fa-IR"/>
        </w:rPr>
        <w:t>.</w:t>
      </w:r>
      <w:bookmarkStart w:id="125" w:name="pg2673_17950"/>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4"/>
        <w:numPr>
          <w:ilvl w:val="3"/>
          <w:numId w:val="1"/>
        </w:numPr>
        <w:rPr/>
      </w:pPr>
      <w:bookmarkStart w:id="126" w:name="__RefHeading___Toc794813_1395250215"/>
      <w:bookmarkStart w:id="127" w:name="_Toc48"/>
      <w:bookmarkEnd w:id="126"/>
      <w:r>
        <w:rPr/>
        <w:t>1</w:t>
      </w:r>
      <w:r>
        <w:rPr>
          <w:rtl w:val="true"/>
        </w:rPr>
        <w:t>ـ</w:t>
      </w:r>
      <w:r>
        <w:rPr/>
        <w:t>1</w:t>
      </w:r>
      <w:r>
        <w:rPr>
          <w:rtl w:val="true"/>
        </w:rPr>
        <w:t xml:space="preserve">. </w:t>
      </w:r>
      <w:r>
        <w:rPr>
          <w:rtl w:val="true"/>
        </w:rPr>
        <w:t xml:space="preserve">مفهوم </w:t>
      </w:r>
      <w:r>
        <w:rPr>
          <w:rtl w:val="true"/>
        </w:rPr>
        <w:t>«</w:t>
      </w:r>
      <w:r>
        <w:rPr>
          <w:rtl w:val="true"/>
        </w:rPr>
        <w:t>شک</w:t>
      </w:r>
      <w:r>
        <w:rPr>
          <w:rtl w:val="true"/>
        </w:rPr>
        <w:t xml:space="preserve">» </w:t>
      </w:r>
      <w:r>
        <w:rPr>
          <w:rtl w:val="true"/>
        </w:rPr>
        <w:t>و تفاوت آن با شبهه</w:t>
      </w:r>
      <w:bookmarkEnd w:id="127"/>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واحد مشتقّ بعضه من بعض، و هو یدلّ علی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حالتی در مقابل یقین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ابن‌فارس،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خلیل بن احمد،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می‌تواند یکی از عوامل و اسباب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بروز شک ممکن است غیراختیاری باشد، اما شبهه کردن امری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این دو، قسیم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الکفر علی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 الغلو و الشک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بر چهار ستون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غلو، شک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4"/>
        <w:numPr>
          <w:ilvl w:val="3"/>
          <w:numId w:val="1"/>
        </w:numPr>
        <w:rPr/>
      </w:pPr>
      <w:bookmarkStart w:id="128" w:name="__RefHeading___Toc794815_1395250215"/>
      <w:bookmarkStart w:id="129" w:name="_Toc49"/>
      <w:bookmarkEnd w:id="128"/>
      <w:r>
        <w:rPr/>
        <w:t>1</w:t>
      </w:r>
      <w:r>
        <w:rPr>
          <w:rtl w:val="true"/>
        </w:rPr>
        <w:t>ـ</w:t>
      </w:r>
      <w:r>
        <w:rPr/>
        <w:t>2</w:t>
      </w:r>
      <w:r>
        <w:rPr>
          <w:rtl w:val="true"/>
        </w:rPr>
        <w:t xml:space="preserve">. </w:t>
      </w:r>
      <w:r>
        <w:rPr>
          <w:rtl w:val="true"/>
        </w:rPr>
        <w:t xml:space="preserve">مفهوم </w:t>
      </w:r>
      <w:r>
        <w:rPr>
          <w:rtl w:val="true"/>
        </w:rPr>
        <w:t>«</w:t>
      </w:r>
      <w:r>
        <w:rPr>
          <w:rtl w:val="true"/>
        </w:rPr>
        <w:t>سؤال</w:t>
      </w:r>
      <w:r>
        <w:rPr>
          <w:rtl w:val="true"/>
        </w:rPr>
        <w:t xml:space="preserve">» </w:t>
      </w:r>
      <w:r>
        <w:rPr>
          <w:rtl w:val="true"/>
        </w:rPr>
        <w:t>و تفاوت آن با شبهه</w:t>
      </w:r>
      <w:bookmarkEnd w:id="129"/>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طلب و خواستن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معمولاً برای رسیدن به شناخت و کشف حقیقت است، اما شبهه‌آفرینی تلاشی منفی و مخرّب در جهت ایجاد شک و تردید در مخاطب و آشفتگی در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در اسلام، از پرسش استقبال شده و همگان به پرسش‌گری دعوت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سیدرضی،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از شبهه‌گری و فرو افتادن در شبهات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30" w:name="__RefHeading___Toc794817_1395250215"/>
      <w:bookmarkStart w:id="131" w:name="_Toc50"/>
      <w:bookmarkEnd w:id="130"/>
      <w:r>
        <w:rPr/>
        <w:t>1</w:t>
      </w:r>
      <w:r>
        <w:rPr>
          <w:rtl w:val="true"/>
        </w:rPr>
        <w:t>‌</w:t>
      </w:r>
      <w:r>
        <w:rPr>
          <w:rtl w:val="true"/>
        </w:rPr>
        <w:t>ـ</w:t>
      </w:r>
      <w:r>
        <w:rPr/>
        <w:t>‌</w:t>
      </w:r>
      <w:r>
        <w:rPr/>
        <w:t>3</w:t>
      </w:r>
      <w:r>
        <w:rPr>
          <w:rtl w:val="true"/>
        </w:rPr>
        <w:t xml:space="preserve">. </w:t>
      </w:r>
      <w:r>
        <w:rPr>
          <w:rtl w:val="true"/>
        </w:rPr>
        <w:t>هدف و فواید پاسخ به شبهات</w:t>
      </w:r>
      <w:bookmarkEnd w:id="131"/>
    </w:p>
    <w:p>
      <w:pPr>
        <w:pStyle w:val="BookText"/>
        <w:rPr/>
      </w:pPr>
      <w:r>
        <w:rPr>
          <w:rFonts w:ascii="IRNazanin" w:hAnsi="IRNazanin" w:eastAsia="IRNazanin"/>
          <w:color w:val="111111"/>
          <w:sz w:val="28"/>
          <w:sz w:val="28"/>
          <w:szCs w:val="28"/>
          <w:rtl w:val="true"/>
          <w:lang w:bidi="fa-IR"/>
        </w:rPr>
        <w:t xml:space="preserve">اگرچه هدف اصلی از پاسخ به شبهات اعتقادی، جلوگیری از تزلزل آموزه‌های اعتقادی اسلام و محافظت از این عقاید و برطرف کردن موانع پذیرشِ عقاید درست از اذهان مردم است، اما بالا رفتن فهم مخاطبان دربارۀ اعتقاد مورد بحث، یافتن استدلال‌های جدیدی در موضوع بحث، طرح مباحث جدیدی در علم کلام، تقویت ذهنی متکلم و توانمند شدن برای پاسخ به شبهات مشابه، از فواید دیگر پاسخ به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132" w:name="__RefHeading___Toc794819_1395250215"/>
      <w:bookmarkStart w:id="133" w:name="_Toc51"/>
      <w:bookmarkEnd w:id="132"/>
      <w:r>
        <w:rPr/>
        <w:t>1</w:t>
      </w:r>
      <w:r>
        <w:rPr>
          <w:rtl w:val="true"/>
        </w:rPr>
        <w:t>‌</w:t>
      </w:r>
      <w:r>
        <w:rPr>
          <w:rtl w:val="true"/>
        </w:rPr>
        <w:t>ـ</w:t>
      </w:r>
      <w:r>
        <w:rPr/>
        <w:t>‌</w:t>
      </w:r>
      <w:r>
        <w:rPr/>
        <w:t>4</w:t>
      </w:r>
      <w:r>
        <w:rPr>
          <w:rtl w:val="true"/>
        </w:rPr>
        <w:t xml:space="preserve">. </w:t>
      </w:r>
      <w:r>
        <w:rPr>
          <w:rtl w:val="true"/>
        </w:rPr>
        <w:t>روش‌شناسی پاسخ به شبهات</w:t>
      </w:r>
      <w:bookmarkEnd w:id="133"/>
    </w:p>
    <w:p>
      <w:pPr>
        <w:pStyle w:val="Heading5"/>
        <w:numPr>
          <w:ilvl w:val="4"/>
          <w:numId w:val="1"/>
        </w:numPr>
        <w:rPr/>
      </w:pPr>
      <w:bookmarkStart w:id="134" w:name="__RefHeading___Toc794821_1395250215"/>
      <w:bookmarkStart w:id="135" w:name="_Toc52"/>
      <w:bookmarkEnd w:id="134"/>
      <w:r>
        <w:rPr>
          <w:rtl w:val="true"/>
        </w:rPr>
        <w:t>اشاره</w:t>
      </w:r>
      <w:bookmarkEnd w:id="1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معتقد است، به تمام شبهات به طور اجمال می‌توان چنین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شبهات از آن‌جایی که شبهه هستند، معارض با یقینند و هرچه چنین باشد، باطل است که</w:t>
      </w:r>
      <w:bookmarkStart w:id="136" w:name="pg2673_17951"/>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جماعتی از متکلمان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محقق و قطعی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وی به بسیاری از شبهات به طور خاص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شبهه‌ای که وارد می‌شود، یا به جهت اشتباه و اشکال در صورت استدلال آن است و یا به جهت بطلان ماده و مقدماتِ به‌کاررفته، در پاسخ‌گویی باید در هر دو قسمت دقت کنیم تا به راحتی بتوانیم آن را پاسخ دهیم</w:t>
      </w:r>
      <w:r>
        <w:rPr>
          <w:rFonts w:eastAsia="IRNazanin" w:cs="IRNazanin"/>
          <w:color w:val="111111"/>
          <w:sz w:val="28"/>
          <w:szCs w:val="28"/>
          <w:rtl w:val="true"/>
          <w:lang w:bidi="fa-IR"/>
        </w:rPr>
        <w:t>.</w:t>
      </w:r>
    </w:p>
    <w:p>
      <w:pPr>
        <w:pStyle w:val="Heading5"/>
        <w:numPr>
          <w:ilvl w:val="4"/>
          <w:numId w:val="1"/>
        </w:numPr>
        <w:rPr/>
      </w:pPr>
      <w:bookmarkStart w:id="137" w:name="__RefHeading___Toc794823_1395250215"/>
      <w:bookmarkStart w:id="138" w:name="_Toc53"/>
      <w:bookmarkEnd w:id="137"/>
      <w:r>
        <w:rPr/>
        <w:t>1</w:t>
      </w:r>
      <w:r>
        <w:rPr>
          <w:rtl w:val="true"/>
        </w:rPr>
        <w:t>‌</w:t>
      </w:r>
      <w:r>
        <w:rPr>
          <w:rtl w:val="true"/>
        </w:rPr>
        <w:t>ـ</w:t>
      </w:r>
      <w:r>
        <w:rPr/>
        <w:t>‌</w:t>
      </w:r>
      <w:r>
        <w:rPr/>
        <w:t>4</w:t>
      </w:r>
      <w:r>
        <w:rPr>
          <w:rtl w:val="true"/>
        </w:rPr>
        <w:t>‌</w:t>
      </w:r>
      <w:r>
        <w:rPr>
          <w:rtl w:val="true"/>
        </w:rPr>
        <w:t>ـ</w:t>
      </w:r>
      <w:r>
        <w:rPr/>
        <w:t>‌</w:t>
      </w:r>
      <w:r>
        <w:rPr/>
        <w:t>1</w:t>
      </w:r>
      <w:r>
        <w:rPr>
          <w:rtl w:val="true"/>
        </w:rPr>
        <w:t xml:space="preserve">. </w:t>
      </w:r>
      <w:r>
        <w:rPr>
          <w:rtl w:val="true"/>
        </w:rPr>
        <w:t>پاسخ به شبهه با روش ردّ صورت استدلال</w:t>
      </w:r>
      <w:bookmarkEnd w:id="138"/>
    </w:p>
    <w:p>
      <w:pPr>
        <w:pStyle w:val="BookText"/>
        <w:rPr/>
      </w:pPr>
      <w:r>
        <w:rPr>
          <w:rFonts w:ascii="IRNazanin" w:hAnsi="IRNazanin" w:eastAsia="IRNazanin"/>
          <w:color w:val="111111"/>
          <w:sz w:val="28"/>
          <w:sz w:val="28"/>
          <w:szCs w:val="28"/>
          <w:rtl w:val="true"/>
          <w:lang w:bidi="fa-IR"/>
        </w:rPr>
        <w:t>اشکال در صورت استدلال می‌تواند موارد متعددی داشته باشد؛ مانند عدم رعایت شروط عامه و یا خاصه قیاس اقترانی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آثار شیخ حر عاملی در ردّ شبهات اعتقادی، پاسخی که ناظر به روش اشکال در صورت استدلال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مطالبی که از وی یافت شد، چنین است که وی در 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عام، لازم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کلی نیست؛ پس صلاحیت ندارد که کبرای شکل اول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قضیه را به کار برده اند و احکام قضایا را بر آن بار کرده‌اند، که لازمه‌اش بطلان این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5"/>
        <w:numPr>
          <w:ilvl w:val="4"/>
          <w:numId w:val="1"/>
        </w:numPr>
        <w:rPr/>
      </w:pPr>
      <w:bookmarkStart w:id="139" w:name="__RefHeading___Toc794825_1395250215"/>
      <w:bookmarkStart w:id="140" w:name="_Toc54"/>
      <w:bookmarkEnd w:id="139"/>
      <w:r>
        <w:rPr/>
        <w:t>1</w:t>
      </w:r>
      <w:r>
        <w:rPr>
          <w:rtl w:val="true"/>
        </w:rPr>
        <w:t>‌</w:t>
      </w:r>
      <w:r>
        <w:rPr>
          <w:rtl w:val="true"/>
        </w:rPr>
        <w:t>ـ</w:t>
      </w:r>
      <w:r>
        <w:rPr/>
        <w:t>‌</w:t>
      </w:r>
      <w:r>
        <w:rPr/>
        <w:t>4</w:t>
      </w:r>
      <w:r>
        <w:rPr>
          <w:rtl w:val="true"/>
        </w:rPr>
        <w:t>‌</w:t>
      </w:r>
      <w:r>
        <w:rPr>
          <w:rtl w:val="true"/>
        </w:rPr>
        <w:t>ـ</w:t>
      </w:r>
      <w:r>
        <w:rPr/>
        <w:t>‌</w:t>
      </w:r>
      <w:r>
        <w:rPr/>
        <w:t>2</w:t>
      </w:r>
      <w:r>
        <w:rPr>
          <w:rtl w:val="true"/>
        </w:rPr>
        <w:t xml:space="preserve">. </w:t>
      </w:r>
      <w:r>
        <w:rPr>
          <w:rtl w:val="true"/>
        </w:rPr>
        <w:t>پاسخ به شبهه با روش ردّ ماده استدلال</w:t>
      </w:r>
      <w:bookmarkEnd w:id="140"/>
    </w:p>
    <w:p>
      <w:pPr>
        <w:pStyle w:val="Heading6"/>
        <w:numPr>
          <w:ilvl w:val="5"/>
          <w:numId w:val="1"/>
        </w:numPr>
        <w:rPr/>
      </w:pPr>
      <w:bookmarkStart w:id="141" w:name="__RefHeading___Toc794827_1395250215"/>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مقدماتی است که در استدلال به کار رفته، که یا خود آن مقدمات باطلند و یا مبتنی بر مبانی‌ای هستند که آن مبانی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اگرچه ممکن است روش‌های متعددی وجود داشته باشد، نگارنده در این‌جا تنها به مواردی اشاره می‌کند که شیخ حر در پاسخ‌گویی به شبهات، آن‌ها را متذکر شده است</w:t>
      </w:r>
      <w:r>
        <w:rPr>
          <w:rFonts w:eastAsia="IRNazanin" w:cs="IRNazanin"/>
          <w:color w:val="111111"/>
          <w:sz w:val="28"/>
          <w:szCs w:val="28"/>
          <w:rtl w:val="true"/>
          <w:lang w:bidi="fa-IR"/>
        </w:rPr>
        <w:t>.</w:t>
      </w:r>
    </w:p>
    <w:p>
      <w:pPr>
        <w:pStyle w:val="Heading6"/>
        <w:numPr>
          <w:ilvl w:val="5"/>
          <w:numId w:val="1"/>
        </w:numPr>
        <w:rPr/>
      </w:pPr>
      <w:bookmarkStart w:id="143" w:name="__RefHeading___Toc794829_1395250215"/>
      <w:bookmarkStart w:id="144" w:name="_Toc56"/>
      <w:bookmarkEnd w:id="143"/>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1</w:t>
      </w:r>
      <w:r>
        <w:rPr>
          <w:rtl w:val="true"/>
        </w:rPr>
        <w:t xml:space="preserve">. </w:t>
      </w:r>
      <w:r>
        <w:rPr>
          <w:rtl w:val="true"/>
        </w:rPr>
        <w:t>پاسخ به شبهه با روش بیان تضاد در دیدگاه شبهه گر</w:t>
      </w:r>
      <w:bookmarkEnd w:id="144"/>
    </w:p>
    <w:p>
      <w:pPr>
        <w:pStyle w:val="BookText"/>
        <w:rPr/>
      </w:pPr>
      <w:r>
        <w:rPr>
          <w:rFonts w:ascii="IRNazanin" w:hAnsi="IRNazanin" w:eastAsia="IRNazanin"/>
          <w:color w:val="111111"/>
          <w:sz w:val="28"/>
          <w:sz w:val="28"/>
          <w:szCs w:val="28"/>
          <w:rtl w:val="true"/>
          <w:lang w:bidi="fa-IR"/>
        </w:rPr>
        <w:t>گاهی لازم می آید برای رفع شبهه، به تضاد موجود در اعتقادات شبهه گر اشاره شود تا سخنانش از اعتبار ساقط شده و بنای شبهه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پاسخ به برخی شبهات، از این روش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شبهاتی را که مجبره به آن‌ها احتجاج می کند، جمع‌آوری کرده و سپس به ردّ شبهات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شبهاتی که از مجبره نقل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این شبهه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افعال را خلق کند، باید عالم به آن افعال باشد که تالی باطل است؛ پس مقدم هم مثل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به بیان شرطیت در این قضیه می پردازد و آن را به شکل مبسوطی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فعل، علم اجمالی کافی است و شکی نیست که این علم اجمالی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این است که جمعی از مجبره می گویند علم خداوند اجمالی است و برای خلق افعال کافی است؛</w:t>
      </w:r>
      <w:bookmarkStart w:id="145" w:name="pg2673_17952"/>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یعنی با همین علم اجمالی، خداوند افعال را خلق می کند، ولی برای بنده، علم اجمالی را در انجام فعل کافی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 بیان تضاد در اعتقادات شبهه گر، شبهه را از درجۀ اعتبار ساقط می کند</w:t>
      </w:r>
      <w:r>
        <w:rPr>
          <w:rFonts w:eastAsia="IRNazanin" w:cs="IRNazanin"/>
          <w:color w:val="111111"/>
          <w:sz w:val="28"/>
          <w:szCs w:val="28"/>
          <w:rtl w:val="true"/>
          <w:lang w:bidi="fa-IR"/>
        </w:rPr>
        <w:t>.</w:t>
      </w:r>
    </w:p>
    <w:p>
      <w:pPr>
        <w:pStyle w:val="Heading6"/>
        <w:numPr>
          <w:ilvl w:val="5"/>
          <w:numId w:val="1"/>
        </w:numPr>
        <w:rPr/>
      </w:pPr>
      <w:bookmarkStart w:id="146" w:name="__RefHeading___Toc794831_1395250215"/>
      <w:bookmarkStart w:id="147" w:name="_Toc57"/>
      <w:bookmarkEnd w:id="146"/>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2</w:t>
      </w:r>
      <w:r>
        <w:rPr>
          <w:rtl w:val="true"/>
        </w:rPr>
        <w:t xml:space="preserve">. </w:t>
      </w:r>
      <w:r>
        <w:rPr>
          <w:rtl w:val="true"/>
        </w:rPr>
        <w:t>پاسخ به شبهه با روش ردّ لوازم شبهه</w:t>
      </w:r>
      <w:bookmarkEnd w:id="147"/>
    </w:p>
    <w:p>
      <w:pPr>
        <w:pStyle w:val="BookText"/>
        <w:rPr/>
      </w:pPr>
      <w:r>
        <w:rPr>
          <w:rFonts w:ascii="IRNazanin" w:hAnsi="IRNazanin" w:eastAsia="IRNazanin"/>
          <w:color w:val="111111"/>
          <w:sz w:val="28"/>
          <w:sz w:val="28"/>
          <w:szCs w:val="28"/>
          <w:rtl w:val="true"/>
          <w:lang w:bidi="fa-IR"/>
        </w:rPr>
        <w:t>گاهی ممکن است فردی حرفی را بزند و ادعایی را مطرح کند، بدون این‌که به لوازم حرف و ادعایش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ذکر لوازم شبهه و بیان فساد و بطلان آن، یکی از روش‌هایی است که می‌توان اشتباه شبهه‌گر را به راحتی به او و یا مخاطبان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پاسخ به این شبهه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کافر را خلق کرد، با بیان لوازم فاسد شبهه به رفع شبهه می‌پردازد؛ به این معنا که لازمۀ این‌که خلق کافر را غیرحکیمانه و بیهوده بدانیم، نسبتِ عبث و فعل قبیح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عقلی و نقلی ثابت می شود که خداوند عادل و حکیم است و کار قبیح نمی کند و از ظلم و عبث و نقص و جهل منزه است؛ پس واجب است همۀ افعال خدا را مطابق با مصلحت و حکمت بدانیم، اگرچه حکمت آن بر ما آشکار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48" w:name="__RefHeading___Toc794833_1395250215"/>
      <w:bookmarkStart w:id="149" w:name="_Toc58"/>
      <w:bookmarkEnd w:id="148"/>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3</w:t>
      </w:r>
      <w:r>
        <w:rPr>
          <w:rtl w:val="true"/>
        </w:rPr>
        <w:t xml:space="preserve">. </w:t>
      </w:r>
      <w:r>
        <w:rPr>
          <w:rtl w:val="true"/>
        </w:rPr>
        <w:t>پاسخ به شبهه با روش ردّ مبنای شبهه‌گر</w:t>
      </w:r>
      <w:bookmarkEnd w:id="149"/>
    </w:p>
    <w:p>
      <w:pPr>
        <w:pStyle w:val="BookText"/>
        <w:rPr/>
      </w:pPr>
      <w:r>
        <w:rPr>
          <w:rFonts w:ascii="IRNazanin" w:hAnsi="IRNazanin" w:eastAsia="IRNazanin"/>
          <w:color w:val="111111"/>
          <w:sz w:val="28"/>
          <w:sz w:val="28"/>
          <w:szCs w:val="28"/>
          <w:rtl w:val="true"/>
          <w:lang w:bidi="fa-IR"/>
        </w:rPr>
        <w:t>گاهی شبهه، ریشه در برخی مبانی و عقاید باطل و اشتباه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برای پاسخ به شبهه باید مبنای آن را شناخت تا با شناسایی مبانی شبهه، راحت‌تر بتوان اساس شبهه را بر هم ریخت تا کلّ بنای شبهه نیز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پاسخ به این شبهۀ فخر رازی که چرا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تقیه کرد و حقش را مطالبه نکرد، مبانی اعتقادی شبهه‌گر را ریشه‌یابی کرده و با ردّ مبنا، شبهه را نیز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رازی و امثال او که مجبره هستند، انسان‌ها در انجام فعل یا ترک آن هیچ قدرتی ندارند و همۀ افعال، افعال خداوند است؛ بنابراین شبهه از بین رفته و اعتراض باطل است، زیرا تمام این افعال، فعل خداوند یا فعل مکلف از طریق جبر است؛ پس صحیح نیست که بگوییم چرا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تقیه کرد و حقش را مطالبه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6"/>
        <w:numPr>
          <w:ilvl w:val="5"/>
          <w:numId w:val="1"/>
        </w:numPr>
        <w:rPr/>
      </w:pPr>
      <w:bookmarkStart w:id="150" w:name="__RefHeading___Toc794835_1395250215"/>
      <w:bookmarkStart w:id="151" w:name="_Toc59"/>
      <w:bookmarkEnd w:id="150"/>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4</w:t>
      </w:r>
      <w:r>
        <w:rPr>
          <w:rtl w:val="true"/>
        </w:rPr>
        <w:t xml:space="preserve">. </w:t>
      </w:r>
      <w:r>
        <w:rPr>
          <w:rtl w:val="true"/>
        </w:rPr>
        <w:t>پاسخ به شبهه با روش پاسخ نقضی</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متکلم با استفاده از استدلال شبهه‌گر، مصادیقی را بیان می‌کند که شبهه‌گر نیز آن را قبول داشته تا ساختمان استدلال او را فرو بریزد و دلایل او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w:t>
      </w:r>
      <w:bookmarkStart w:id="152" w:name="pg2673_17953"/>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باید از مواردی باشد که شبهه‌گر نیز آن را قبول داشته، تا با ارائه آن، او و یا مخاطبان متوجه اشتباه استدلال مذکور شوند و در نتیجه، شبهه از اعتبار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قوی ترین شبهۀ منکرین رجعت را چنین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ادلۀ عقلی و نقلی ثابت شده است که ممکن نیست یک چشم به‌هم‌زدن زمین از حجت خدا خالی بماند و ممکن نیست غیرافضل بر افضل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معنا ندارد، چون لازم می‌آید یا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امامت عزل شود ـ در صورتی که احادیث دلالت می‌کنند امامتِ او تا قیامت ادامه دارد ـ و یا غیرافضل یعنی امام زمان بر افضل یعنی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با ارائه مثال نقض، اساس استدلال آنان را بر هم می ریزد و موجب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شبهه به خود آنان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اثبات کردیم که انبیا و اوصیای گذشته در بنی‌اسرائیل و سایر اقوام هم رجوع کرده‌اند، با این‌که قطعاً هر پیغمبری از وصیّ خود و هر وصی از وصیّ بعدی افضل بوده، زیرا تقدیم غیرافضل بر افضل ممکن نیست، و خلافت هر وصی هم مدت معینی داشته؛ پس در صورتی که رجعت انبیای سابق به اشکالی برنخورده، رجعت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اشکالی ندارد و هر جوابی شما آن‌جا دادید، ما هم این‌جا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6"/>
        <w:numPr>
          <w:ilvl w:val="5"/>
          <w:numId w:val="1"/>
        </w:numPr>
        <w:rPr/>
      </w:pPr>
      <w:bookmarkStart w:id="153" w:name="__RefHeading___Toc794837_1395250215"/>
      <w:bookmarkStart w:id="154" w:name="_Toc60"/>
      <w:bookmarkEnd w:id="153"/>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5</w:t>
      </w:r>
      <w:r>
        <w:rPr>
          <w:rtl w:val="true"/>
        </w:rPr>
        <w:t xml:space="preserve">. </w:t>
      </w:r>
      <w:r>
        <w:rPr>
          <w:rtl w:val="true"/>
        </w:rPr>
        <w:t>پاسخ به شبهه با روش پاسخ حلی</w:t>
      </w:r>
      <w:bookmarkEnd w:id="154"/>
    </w:p>
    <w:p>
      <w:pPr>
        <w:pStyle w:val="BookText"/>
        <w:rPr/>
      </w:pPr>
      <w:r>
        <w:rPr>
          <w:rFonts w:ascii="IRNazanin" w:hAnsi="IRNazanin" w:eastAsia="IRNazanin"/>
          <w:color w:val="111111"/>
          <w:sz w:val="28"/>
          <w:sz w:val="28"/>
          <w:szCs w:val="28"/>
          <w:rtl w:val="true"/>
          <w:lang w:bidi="fa-IR"/>
        </w:rPr>
        <w:t>از آن‌جا که گاهی تنها با ارائه پاسخ نقضی جواب شبهه داده نمی شود، در این موارد متکلم می‌تواند با پاسخ‌های حلی و ارائه برهان و استدلال، پاسخ را تکمیل کرده و از اساس شبهه را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نقضی اگر مقدم بر پاسخ حلی باشد، زمینۀ مناسب برای پاسخ حلی مهیا می شود، اما شیخ حر در استدلال‌های خود رعایت چنین تقدم و تأخری را نکرده و غالباً استدلال‌های حلی را مقدم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به شبهۀ استبعاد رجعت، چندین پاسخ حلی می دهد و معتقد است ریشۀ انکار منکرین، استبعاد است، چون بسیاری از عقل‌های ضعیف، از پذیرفتن این‌گونه مطالب عاجز است؛ مخصوصاً به لحاظ شاخ و برگ‌هایی که در بعضی احادیث اضافه شده، نظیر حدیثی که مدت رجعت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هشتادهزار سال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حجت و دلیل شرعی نیست و در مقابلِ دلیل، تاب مقاومت ندارد؛ پس مطلب محال نیست و باید به طور شک و تردید با آن برخورد کرد، نه به نحو ردّ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ممکن شد و دلیلی هم بر ردّش نبود، انکارش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مدت مشارالیه از باب مبالغه باشد، چراکه</w:t>
      </w:r>
      <w:bookmarkStart w:id="155" w:name="pg2673_1795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این‌گونه مطالب نسبت به فضل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و نسبت به قدرت و کرم خدا، بی‌مقدارتر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پاسخ حلی، شیوۀ متداول شیخ حر عاملی در ارائه پاسخ به شبهات است</w:t>
      </w:r>
      <w:r>
        <w:rPr>
          <w:rFonts w:eastAsia="IRNazanin" w:cs="IRNazanin"/>
          <w:color w:val="111111"/>
          <w:sz w:val="28"/>
          <w:szCs w:val="28"/>
          <w:rtl w:val="true"/>
          <w:lang w:bidi="fa-IR"/>
        </w:rPr>
        <w:t>.</w:t>
      </w:r>
    </w:p>
    <w:p>
      <w:pPr>
        <w:pStyle w:val="Heading6"/>
        <w:numPr>
          <w:ilvl w:val="5"/>
          <w:numId w:val="1"/>
        </w:numPr>
        <w:rPr/>
      </w:pPr>
      <w:bookmarkStart w:id="156" w:name="__RefHeading___Toc794839_1395250215"/>
      <w:bookmarkStart w:id="157" w:name="_Toc61"/>
      <w:bookmarkEnd w:id="156"/>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6</w:t>
      </w:r>
      <w:r>
        <w:rPr>
          <w:rtl w:val="true"/>
        </w:rPr>
        <w:t xml:space="preserve">. </w:t>
      </w:r>
      <w:r>
        <w:rPr>
          <w:rtl w:val="true"/>
        </w:rPr>
        <w:t>پاسخ به شبهه با روش ذکر مثال و تشبیه</w:t>
      </w:r>
      <w:bookmarkEnd w:id="157"/>
    </w:p>
    <w:p>
      <w:pPr>
        <w:pStyle w:val="BookText"/>
        <w:rPr/>
      </w:pPr>
      <w:r>
        <w:rPr>
          <w:rFonts w:ascii="IRNazanin" w:hAnsi="IRNazanin" w:eastAsia="IRNazanin"/>
          <w:color w:val="111111"/>
          <w:sz w:val="28"/>
          <w:sz w:val="28"/>
          <w:szCs w:val="28"/>
          <w:rtl w:val="true"/>
          <w:lang w:bidi="fa-IR"/>
        </w:rPr>
        <w:t>گاهی شبهه در برخی مسائل اعتقادی به دلیل سنگینی آن مسائل و نیز به دلیل این‌که مخاطب برای آن‌ها مثالی محقق نمی‌یابد،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باعث می شود مخاطبان در فهم آن‌ها دچار شبهه شده و آن را متوجه نشوند و یا اساساً چنین آموزه‌ای را باطل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متکلم باید با ارائه مثال‌ها و تصویرسازی و بیان تشبیهات، شبهۀ ایجادشده در ذهن مخاطب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پاسخ به قوی ترین شبهۀ منکرین رجعت، با این مضمون که ممکن نیست در یک چشم به‌هم‌زدن زمین از حجت خالی بماند و ممکن نیست در یک زمان چند حجت از جانب خدا در زمین باشد و غیر افضل بر افضل مقدم شود، با مثالی از وقایع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و 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موقع معراج یا باید بگویید زمین از حجت خالی مانده و ادله‌ای را که می فرماید هیچ‌گاه زمین خالی نمی‌ماند، به دلیل معراج که قطعی است، تخصیص بزنید؛ پس در رجعت هم این تخصیص ممکن است و یا بگویید موقتاً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بوده که معلوم می شود ممکن است در یک زمان، دو حجت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رجعت هم جایز است که همراه با امام زمان،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ائمه برگردند و چند حجت در یک زمان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رابطه با احادیث مشیت و ارادۀ خداوند که متعلق به افعال مکلفان است، به شبهۀ جبر اشاره می کند؛ به این معنا که تعلق مشیت و ارادۀ خدا به افعال مکلفان، موجب جبر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شبهه، جواب های متعددی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پاسخ‌ها، تعلق اراده و مشیت خداوند به افعال بندگان را مثل قضا و قدر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ـ قبلاً ثابت کردیم و دانستید ـ قضا و قدر منافاتی با تکلیف ندارد و منجر به جبر نمی شود؛ پس تعلق اراده و مشیت خداوند به افعال مکلفان هم موجب جبر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58" w:name="pg2673_17955"/>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6"/>
        <w:numPr>
          <w:ilvl w:val="5"/>
          <w:numId w:val="1"/>
        </w:numPr>
        <w:rPr/>
      </w:pPr>
      <w:bookmarkStart w:id="159" w:name="__RefHeading___Toc794841_1395250215"/>
      <w:bookmarkStart w:id="160" w:name="_Toc62"/>
      <w:bookmarkEnd w:id="159"/>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7</w:t>
      </w:r>
      <w:r>
        <w:rPr>
          <w:rtl w:val="true"/>
        </w:rPr>
        <w:t xml:space="preserve">. </w:t>
      </w:r>
      <w:r>
        <w:rPr>
          <w:rtl w:val="true"/>
        </w:rPr>
        <w:t>پاسخ به شبهه با روش تبیین مفردات</w:t>
      </w:r>
      <w:bookmarkEnd w:id="160"/>
    </w:p>
    <w:p>
      <w:pPr>
        <w:pStyle w:val="BookText"/>
        <w:rPr/>
      </w:pPr>
      <w:r>
        <w:rPr>
          <w:rFonts w:ascii="IRNazanin" w:hAnsi="IRNazanin" w:eastAsia="IRNazanin"/>
          <w:color w:val="111111"/>
          <w:sz w:val="28"/>
          <w:sz w:val="28"/>
          <w:szCs w:val="28"/>
          <w:rtl w:val="true"/>
          <w:lang w:bidi="fa-IR"/>
        </w:rPr>
        <w:t>گاهی شبهه بر اساس عدم درک صحیح از معانی به‌کاررفته در آموزۀ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برخی الفاظ مأخوذ در آموزه‌های کلامی، حامل معانی گوناگون هستند و یا الفاظ اصطلاحی هستند که نیاز به تبیین و توضیح دارند، و عدم فهم صحیح از آن‌ها موجب ایجاد شبهه در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متکلم باید با تبیین صحیح واژه‌ها و مشخص کردن حد و مرز معانی آن‌ها، شبهه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پاسخ به این شبهه که مراد از رجعت، خروج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برگشتن دولت به دست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زنده شدن، با بیان دوازده دلیل از جمله با تبیین مفردات و واژه‌ها، این شبهه را برطرف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لغت تصریح کرده‌اند که مراد از رجعت، زنده شدن و برگشتن به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مراجعه به موارد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مقصود از رجعت، زنده شدن بعد از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خروج از رجعت،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6"/>
        <w:numPr>
          <w:ilvl w:val="5"/>
          <w:numId w:val="1"/>
        </w:numPr>
        <w:rPr/>
      </w:pPr>
      <w:bookmarkStart w:id="161" w:name="__RefHeading___Toc794843_1395250215"/>
      <w:bookmarkStart w:id="162" w:name="_Toc63"/>
      <w:bookmarkEnd w:id="161"/>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8</w:t>
      </w:r>
      <w:r>
        <w:rPr>
          <w:rtl w:val="true"/>
        </w:rPr>
        <w:t xml:space="preserve">. </w:t>
      </w:r>
      <w:r>
        <w:rPr>
          <w:rtl w:val="true"/>
        </w:rPr>
        <w:t>پاسخ به شبهه با روش تنبیه به استثنای موجود</w:t>
      </w:r>
      <w:bookmarkEnd w:id="162"/>
    </w:p>
    <w:p>
      <w:pPr>
        <w:pStyle w:val="BookText"/>
        <w:rPr/>
      </w:pPr>
      <w:r>
        <w:rPr>
          <w:rFonts w:ascii="IRNazanin" w:hAnsi="IRNazanin" w:eastAsia="IRNazanin"/>
          <w:color w:val="111111"/>
          <w:sz w:val="28"/>
          <w:sz w:val="28"/>
          <w:szCs w:val="28"/>
          <w:rtl w:val="true"/>
          <w:lang w:bidi="fa-IR"/>
        </w:rPr>
        <w:t>در برخی از شبهات، شبهه‌گر بدون توجه به حصر موجود، شبهۀ خود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متکلم باید با توجه و تنبیه دادن به حصر موجود، اساس شبهه را در هم بریزد و ثابت کند استدلال شبهه‌گر،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شبهه‌ای در ردّ امامت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شبهه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حدیث پیامبر دربارۀ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تقیه نکرد و بر منبر بالا رفت و حقّ خود را بیان کرد و مردم را به پیروی از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جانشین پیامبر بود، چرا به خاطر تقیه و خوف، این کارها را نکرد؛ از منبر بالا نرفت و دعوت نکرد؟ بنابراین، عامه بر صواب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این شبهه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بر نظر فریقین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بمنزلۀ هارون من موسی الا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توجه به استثنا، باعث شبهه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منزلت نبوت که مختص به هارون است، موجب استثنای لوازم و توابع نبوت از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لوازم، عدم جواز تقیه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چون نبی بوده نمی توانسته تقیه کند، ولی علی چون امام بوده نه نبی، می توانست تقیه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63" w:name="pg2673_17956"/>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6"/>
        <w:numPr>
          <w:ilvl w:val="5"/>
          <w:numId w:val="1"/>
        </w:numPr>
        <w:rPr/>
      </w:pPr>
      <w:bookmarkStart w:id="164" w:name="__RefHeading___Toc794845_1395250215"/>
      <w:bookmarkStart w:id="165" w:name="_Toc64"/>
      <w:bookmarkEnd w:id="164"/>
      <w:r>
        <w:rPr/>
        <w:t>1</w:t>
      </w:r>
      <w:r>
        <w:rPr>
          <w:rtl w:val="true"/>
        </w:rPr>
        <w:t>‌</w:t>
      </w:r>
      <w:r>
        <w:rPr>
          <w:rtl w:val="true"/>
        </w:rPr>
        <w:t>ـ</w:t>
      </w:r>
      <w:r>
        <w:rPr/>
        <w:t>‌</w:t>
      </w:r>
      <w:r>
        <w:rPr/>
        <w:t>4</w:t>
      </w:r>
      <w:r>
        <w:rPr>
          <w:rtl w:val="true"/>
        </w:rPr>
        <w:t>‌</w:t>
      </w:r>
      <w:r>
        <w:rPr>
          <w:rtl w:val="true"/>
        </w:rPr>
        <w:t>ـ</w:t>
      </w:r>
      <w:r>
        <w:rPr/>
        <w:t>‌</w:t>
      </w:r>
      <w:r>
        <w:rPr/>
        <w:t>2</w:t>
      </w:r>
      <w:r>
        <w:rPr>
          <w:rtl w:val="true"/>
        </w:rPr>
        <w:t>‌</w:t>
      </w:r>
      <w:r>
        <w:rPr>
          <w:rtl w:val="true"/>
        </w:rPr>
        <w:t>ـ</w:t>
      </w:r>
      <w:r>
        <w:rPr/>
        <w:t>‌</w:t>
      </w:r>
      <w:r>
        <w:rPr/>
        <w:t>9</w:t>
      </w:r>
      <w:r>
        <w:rPr>
          <w:rtl w:val="true"/>
        </w:rPr>
        <w:t xml:space="preserve">. </w:t>
      </w:r>
      <w:r>
        <w:rPr>
          <w:rtl w:val="true"/>
        </w:rPr>
        <w:t>پاسخ به شبهه با روش تنبیه به مقتضای حال و شرایط</w:t>
      </w:r>
      <w:bookmarkEnd w:id="165"/>
    </w:p>
    <w:p>
      <w:pPr>
        <w:pStyle w:val="BookText"/>
        <w:rPr/>
      </w:pPr>
      <w:r>
        <w:rPr>
          <w:rFonts w:ascii="IRNazanin" w:hAnsi="IRNazanin" w:eastAsia="IRNazanin"/>
          <w:color w:val="111111"/>
          <w:sz w:val="28"/>
          <w:sz w:val="28"/>
          <w:szCs w:val="28"/>
          <w:rtl w:val="true"/>
          <w:lang w:bidi="fa-IR"/>
        </w:rPr>
        <w:t>شیخ حر در پاسخ به شبهۀ فوق، مخاطب را متوجه اختلاف احوال و شرایط و مقتضای حال هارون 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می‌کند، زیرا لازمۀ اختلاف احوال و شرایط و اقتضائات، اختلاف احکام و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هاررون و علی در همۀ اوصاف و احوال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زمان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 ولی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خدا را بر اساس شرع خود می پرستید 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اساس شرع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می دانست اگر مثل هارون حقش را اظهار کند و به قول ما جنگ کند، همه یا اکثر آنان که اسلام آورده بودند، از دین برمی گردند و یا ادعای نبوت برای فرد یا افراد دیگری می‌کردند و فساد حاکم می شد؛ لذا برخلاف هارون حقش را اظهار نکرد، چون شرایط و مقتضای حال آنان با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قدرت بر اظهار و انکار و بالا رفتن از منبر و نهی از منکر را داشت، ولی علی چنین قدرتی نداشت، زیرا مردم با غیر او بیعت کرده بودند و آن‌ها بر منبر بالا رفته بودند و او را از حقش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با صراحت حقش را بیان کرد، به خاطر این بود که یاوری مثل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 و مطمئن بود که از حالِ مردم باخبر می شود و حق و باطل را برایشان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زیرا موسی در بین مردم بود، ولی جانشینی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بود و وی بعد از رحلت پیامبر یاوری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هارون مردم را به خود فرا نمی‌خواند، بلکه مردم را به عبادت خدا دعوت می کرد و از عبادت گوساله بازمی‌داشت و لذا در نزد مردم متهم نبود، ولی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نزد مردم متهم بود، زیرا به حسب ظاهر مردم را به سوی خود دعوت می‌کرد، اگرچه مصالح مردم در اطاعت از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حر بیان می‌کند که این تفاصیل، بنا بر این بود که ما با مخاطب همراهی کنیم و مسلّم بدانیم 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حق خود را اظهار نکرد، حال آن‌که از فریقین نقل متواتر در ابراز و اظهار حق داریم که بر کسی که از شبهه و تقلید به دور باشد، مفید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66" w:name="__RefHeading___Toc794847_1395250215"/>
      <w:bookmarkStart w:id="167" w:name="_Toc65"/>
      <w:bookmarkEnd w:id="166"/>
      <w:r>
        <w:rPr/>
        <w:t>2</w:t>
      </w:r>
      <w:r>
        <w:rPr>
          <w:rtl w:val="true"/>
        </w:rPr>
        <w:t xml:space="preserve">. </w:t>
      </w:r>
      <w:r>
        <w:rPr>
          <w:rtl w:val="true"/>
        </w:rPr>
        <w:t>روش‌شناسی ردّ مکاتب معارض</w:t>
      </w:r>
      <w:bookmarkEnd w:id="167"/>
    </w:p>
    <w:p>
      <w:pPr>
        <w:pStyle w:val="Heading4"/>
        <w:numPr>
          <w:ilvl w:val="3"/>
          <w:numId w:val="1"/>
        </w:numPr>
        <w:rPr/>
      </w:pPr>
      <w:bookmarkStart w:id="168" w:name="__RefHeading___Toc794849_1395250215"/>
      <w:bookmarkStart w:id="169" w:name="_Toc66"/>
      <w:bookmarkEnd w:id="168"/>
      <w:r>
        <w:rPr>
          <w:rtl w:val="true"/>
        </w:rPr>
        <w:t>اشاره</w:t>
      </w:r>
      <w:bookmarkEnd w:id="1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مکتب و عقیدۀ معارض، هر نظر و عقیده‌ای است که در عرض آموزه‌های دینی مطرح شده و به طور کامل با آن‌ها انطباق نداشته باشد، نه تعارض مصطلح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w:t>
      </w:r>
      <w:bookmarkStart w:id="170" w:name="pg2673_17957"/>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حاضر، متکلم در دفاع از دین و ارزش‌ها و آموزه‌های دینی باید گامی فراتر از ردّ شبهات برداشته و به نقد و ردّ دیگر مکاتب بپردازد تا کامل بودن آموزه های دینی مکتب خود و پوچی و خلاف واقع بودن مکاتب معارض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متکلم برای کشف هماهنگی و یا ناهماهنگی عقاید طرح‌شده در دیگر مکاتب، با آموزه‌های دینی، نیاز به تسلط کامل، هم به آموزه‌های دینی و هم به مکاتب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ردّ مکاتب، حالت هجومی دارد، به خلاف مقام دفع شبهه که در آن‌جا متکلم تدافعی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اسلام برای ردّ افکار مخالف و ضد دین با حفظ موازین عقلانی، اهمیت خاصی قائل شده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71" w:name="__RefHeading___Toc794851_1395250215"/>
      <w:bookmarkStart w:id="172" w:name="_Toc67"/>
      <w:bookmarkEnd w:id="171"/>
      <w:r>
        <w:rPr/>
        <w:t>2</w:t>
      </w:r>
      <w:r>
        <w:rPr>
          <w:rtl w:val="true"/>
        </w:rPr>
        <w:t>‌</w:t>
      </w:r>
      <w:r>
        <w:rPr>
          <w:rtl w:val="true"/>
        </w:rPr>
        <w:t>ـ</w:t>
      </w:r>
      <w:r>
        <w:rPr/>
        <w:t>‌</w:t>
      </w:r>
      <w:r>
        <w:rPr/>
        <w:t>1</w:t>
      </w:r>
      <w:r>
        <w:rPr>
          <w:rtl w:val="true"/>
        </w:rPr>
        <w:t xml:space="preserve">. </w:t>
      </w:r>
      <w:r>
        <w:rPr>
          <w:rtl w:val="true"/>
        </w:rPr>
        <w:t>هدف و فواید ردّ</w:t>
      </w:r>
      <w:bookmarkEnd w:id="172"/>
    </w:p>
    <w:p>
      <w:pPr>
        <w:pStyle w:val="BookText"/>
        <w:rPr/>
      </w:pPr>
      <w:r>
        <w:rPr>
          <w:rFonts w:ascii="IRNazanin" w:hAnsi="IRNazanin" w:eastAsia="IRNazanin"/>
          <w:color w:val="111111"/>
          <w:sz w:val="28"/>
          <w:sz w:val="28"/>
          <w:szCs w:val="28"/>
          <w:rtl w:val="true"/>
          <w:lang w:bidi="fa-IR"/>
        </w:rPr>
        <w:t>هدف اصلی در ردّ مکاتبِ معارض این است که ثابت شود مکتب و دین مورد نظر متکلم، کامل‌ترین دین است و صحیح‌ترین نظریات را دارد و باقی عقایدِ طرح‌شده مبتلا به اشکال بوده و نمی‌توانند سعادت بشر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ایجاد شبهه در آموزه‌های دین، رفع موانع فکری برای پذیرش عقاید درست دینی و تقویت عقاید یک مکتب، از دیگر فواید ردّ مکاتب 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173" w:name="__RefHeading___Toc794853_1395250215"/>
      <w:bookmarkStart w:id="174" w:name="_Toc68"/>
      <w:bookmarkEnd w:id="173"/>
      <w:r>
        <w:rPr/>
        <w:t>2</w:t>
      </w:r>
      <w:r>
        <w:rPr>
          <w:rtl w:val="true"/>
        </w:rPr>
        <w:t>‌</w:t>
      </w:r>
      <w:r>
        <w:rPr>
          <w:rtl w:val="true"/>
        </w:rPr>
        <w:t>ـ</w:t>
      </w:r>
      <w:r>
        <w:rPr/>
        <w:t>‌</w:t>
      </w:r>
      <w:r>
        <w:rPr/>
        <w:t>2</w:t>
      </w:r>
      <w:r>
        <w:rPr>
          <w:rtl w:val="true"/>
        </w:rPr>
        <w:t xml:space="preserve">. </w:t>
      </w:r>
      <w:r>
        <w:rPr>
          <w:rtl w:val="true"/>
        </w:rPr>
        <w:t>روش‌شناسی ردّ مکاتب معارض</w:t>
      </w:r>
      <w:bookmarkEnd w:id="174"/>
    </w:p>
    <w:p>
      <w:pPr>
        <w:pStyle w:val="Heading5"/>
        <w:numPr>
          <w:ilvl w:val="4"/>
          <w:numId w:val="1"/>
        </w:numPr>
        <w:rPr/>
      </w:pPr>
      <w:bookmarkStart w:id="175" w:name="__RefHeading___Toc794855_1395250215"/>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شیخ حر عاملی با تشخیص درست شرایط و موقعیت‌ها، برای ابطال مکاتب انحرافی و آموزه‌های نادرست، روش‌های گوناگونی را به کار گرفته است</w:t>
      </w:r>
      <w:r>
        <w:rPr>
          <w:rFonts w:eastAsia="IRNazanin" w:cs="IRNazanin"/>
          <w:color w:val="111111"/>
          <w:sz w:val="28"/>
          <w:szCs w:val="28"/>
          <w:rtl w:val="true"/>
          <w:lang w:bidi="fa-IR"/>
        </w:rPr>
        <w:t>.</w:t>
      </w:r>
    </w:p>
    <w:p>
      <w:pPr>
        <w:pStyle w:val="Heading5"/>
        <w:numPr>
          <w:ilvl w:val="4"/>
          <w:numId w:val="1"/>
        </w:numPr>
        <w:rPr/>
      </w:pPr>
      <w:bookmarkStart w:id="177" w:name="__RefHeading___Toc794857_1395250215"/>
      <w:bookmarkStart w:id="178" w:name="_Toc70"/>
      <w:bookmarkEnd w:id="177"/>
      <w:r>
        <w:rPr/>
        <w:t>2</w:t>
      </w:r>
      <w:r>
        <w:rPr>
          <w:rtl w:val="true"/>
        </w:rPr>
        <w:t>‌</w:t>
      </w:r>
      <w:r>
        <w:rPr>
          <w:rtl w:val="true"/>
        </w:rPr>
        <w:t>ـ</w:t>
      </w:r>
      <w:r>
        <w:rPr/>
        <w:t>‌</w:t>
      </w:r>
      <w:r>
        <w:rPr/>
        <w:t>2</w:t>
      </w:r>
      <w:r>
        <w:rPr>
          <w:rtl w:val="true"/>
        </w:rPr>
        <w:t>‌</w:t>
      </w:r>
      <w:r>
        <w:rPr>
          <w:rtl w:val="true"/>
        </w:rPr>
        <w:t>ـ</w:t>
      </w:r>
      <w:r>
        <w:rPr/>
        <w:t>‌</w:t>
      </w:r>
      <w:r>
        <w:rPr/>
        <w:t>1</w:t>
      </w:r>
      <w:r>
        <w:rPr>
          <w:rtl w:val="true"/>
        </w:rPr>
        <w:t xml:space="preserve">. </w:t>
      </w:r>
      <w:r>
        <w:rPr>
          <w:rtl w:val="true"/>
        </w:rPr>
        <w:t>روش بیان لوازم فاسد دیدگاه</w:t>
      </w:r>
      <w:bookmarkEnd w:id="178"/>
    </w:p>
    <w:p>
      <w:pPr>
        <w:pStyle w:val="BookText"/>
        <w:rPr/>
      </w:pPr>
      <w:r>
        <w:rPr>
          <w:rFonts w:ascii="IRNazanin" w:hAnsi="IRNazanin" w:eastAsia="IRNazanin"/>
          <w:color w:val="111111"/>
          <w:sz w:val="28"/>
          <w:sz w:val="28"/>
          <w:szCs w:val="28"/>
          <w:rtl w:val="true"/>
          <w:lang w:bidi="fa-IR"/>
        </w:rPr>
        <w:t>گاهی افراد به لوازم باطل ادعاهای خود آگاهی ندارند؛ لذا باید آنان را متوجه لوازم فاسد حرفشان کرد تا به بطلان ادعای خود پی ببرند، اگرچه ممکن است برخی، چنین ادعاهای باطلی را حتی با آگاهی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فایدۀ چنین روشی آن است که سایر مردم متوجه بطلان حرف او شده و از او پیروی نمی کنند و مانع گسترش فساد فکری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در ردّ دیدگاه مجبره به لوازم فاسد این دیدگاه اشاره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 مستلزم نهایت ظلم و جور از سوی خداوند است، زیرا فعلی را در ما خلق می‌کند، ولی 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به سبب آن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منزه داشتن مخلوقات حتی ابلیس از هر عمل زشت و شر و معصیت و کفری، و نسبت دادن این‌ها به خالق، غیرمعقول و مقبول است؛ حال آن‌که خداوند نفس خود را منزه از آن دانسته که به بندگان ظلم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سایر لوازم باطل دیدگاه جبر را، مخلوق خداوند بودن افعال بندگان، قبح تکلیف و عبث بودن امر و نهی و وعد و وعید و ارسال رسل و انزال کتب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عاقلی جایز می‌داند که سنگ و درخت، مکلف به نماز و حج باشند؟ بلکه به طور حتم این امر را قبیح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ردّ حلول و اتحاد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حلول و یا اتحاد، لازم می‌آید واجب‌الوجود دستخوش تغییر و تبدیل شود و از حالِ خود به حال دیگری تغییر یابد و این تغییر و تحول قطعاً باطل است، زیرا با قدیم بودن ذات باری‌تعالی و واجب‌الوجود بودنش،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اتحاد خدای متعال با غیر خود، به فرض حجّتش موجب تغییر و دگرگونی قدیم به حادث و واجب به ممکن و برعکس خواهد شد و یا سبب اجتماع آن اوصاف متناقص در یک ذات می‌شود که هردو ملازمه، واضح و روشنند و نیاز به بیان ندارند و بطلان لوازم، بلکه ملزومات آن واضح‌تر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ادعای یگانگی با خدا، ادعای کشف و آگاهی از غیب و تساوی با اهل عصمت، ادعای ساقط شدن تکالیف، ادعای عدم وجوب امر به معروف و نهی از منکر، عدم وجوب جهاد، بطلان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دیگر مفاسد حلول و اتحاد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برای ردّ دیدگاه کشف، به لوازم باطل این دیدگاه در تصوف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لوازم، اعتقاد به عصمت و علم غیب در صاحب کشف، بطلان معجزه و رفع تکلیف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صحت کشف، لازمه‌اش این است که صاحب کشف هیچ‌گاه به خطا و اشتباهی دچار نشود که این همان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مدّعی کشف شد یا برایش کشف حاصل گشت، باید قائل به عصمت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ادعا کرده‌اند برای بیشتر آن‌ها عصمت حاصل می‌شود که این سخنی بیهوده و محکوم به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لازمۀ صحت کشف، علم غیب و یا شناخت بسیاری از امور غیبی است که در این صورت لازم می‌آید مقام و رتبۀ علم و دانش صاحب کشف، برتر از همۀ انبیا حتی اشرف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ما وراء جداری هذا الّا بوحی یوحی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با وحی که به من الهام می‌شود، نمی‌دانم پشت دیوار خانه‌ام چه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کشف و علم و دانش و</w:t>
      </w:r>
      <w:bookmarkStart w:id="179" w:name="pg2673_17959"/>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کراماتی که صاحبان کشف مدّعی آنند، لازم می‌آید که بر بسیاری از معجزات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کشیده شود و نه تنها در زمینۀ آوردن معجزات، امکان برابری و مساوات آنان با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بلکه در صحت ادعای پیامبری و امامت آن‌ها نیز شک و تردید به وجود آید، زیرا دلایلی که ثابت‌کنندۀ ادعای آن‌هاست، برای همۀ مردم، اموری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صوفیان قائلند با حصول کشف، همۀ تکالیف از انسان ساقط می‌شوند، در صورتی که لازم، باطل و ملزوم نیز محکوم به بطلان است و ملازمه روشن است، چون خود، بدان اعتراف و اقرار کرده و مدعی آن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حر با ردّ لوازم باطل یک دیدگاه، فساد آن دیدگاه را اثبات می کند</w:t>
      </w:r>
      <w:r>
        <w:rPr>
          <w:rFonts w:eastAsia="IRNazanin" w:cs="IRNazanin"/>
          <w:color w:val="111111"/>
          <w:sz w:val="28"/>
          <w:szCs w:val="28"/>
          <w:rtl w:val="true"/>
          <w:lang w:bidi="fa-IR"/>
        </w:rPr>
        <w:t>.</w:t>
      </w:r>
    </w:p>
    <w:p>
      <w:pPr>
        <w:pStyle w:val="Heading5"/>
        <w:numPr>
          <w:ilvl w:val="4"/>
          <w:numId w:val="1"/>
        </w:numPr>
        <w:rPr/>
      </w:pPr>
      <w:bookmarkStart w:id="180" w:name="__RefHeading___Toc794859_1395250215"/>
      <w:bookmarkStart w:id="181" w:name="_Toc71"/>
      <w:bookmarkEnd w:id="180"/>
      <w:r>
        <w:rPr/>
        <w:t>2</w:t>
      </w:r>
      <w:r>
        <w:rPr>
          <w:rtl w:val="true"/>
        </w:rPr>
        <w:t>‌</w:t>
      </w:r>
      <w:r>
        <w:rPr>
          <w:rtl w:val="true"/>
        </w:rPr>
        <w:t>ـ</w:t>
      </w:r>
      <w:r>
        <w:rPr/>
        <w:t>‌</w:t>
      </w:r>
      <w:r>
        <w:rPr/>
        <w:t>2</w:t>
      </w:r>
      <w:r>
        <w:rPr>
          <w:rtl w:val="true"/>
        </w:rPr>
        <w:t>‌</w:t>
      </w:r>
      <w:r>
        <w:rPr>
          <w:rtl w:val="true"/>
        </w:rPr>
        <w:t>ـ</w:t>
      </w:r>
      <w:r>
        <w:rPr/>
        <w:t>‌</w:t>
      </w:r>
      <w:r>
        <w:rPr/>
        <w:t>2</w:t>
      </w:r>
      <w:r>
        <w:rPr>
          <w:rtl w:val="true"/>
        </w:rPr>
        <w:t xml:space="preserve">. </w:t>
      </w:r>
      <w:r>
        <w:rPr>
          <w:rtl w:val="true"/>
        </w:rPr>
        <w:t>روش ردّ مبنایی و زیرساختاری</w:t>
      </w:r>
      <w:bookmarkEnd w:id="181"/>
    </w:p>
    <w:p>
      <w:pPr>
        <w:pStyle w:val="BookText"/>
        <w:rPr/>
      </w:pPr>
      <w:r>
        <w:rPr>
          <w:rFonts w:ascii="IRNazanin" w:hAnsi="IRNazanin" w:eastAsia="IRNazanin"/>
          <w:color w:val="111111"/>
          <w:sz w:val="28"/>
          <w:sz w:val="28"/>
          <w:szCs w:val="28"/>
          <w:rtl w:val="true"/>
          <w:lang w:bidi="fa-IR"/>
        </w:rPr>
        <w:t>قوام و استحکام هر دیدگاهی، بر یک سری اصول و زیرساخت‌ها و پایه هایی استوار است که برای آن نظریه، نقش ستون‌های ساختمان را ایفا می‌کنند؛ لذا اگر مبانی دیدگاه معارض دین کشف و تخریب شود، تمام ساختمان دیدگاه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محکم‌ترین و کارآمدترین روش‌های نقد مکاتب، روش نقد مبنایی و زیرساختی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ردّ اشاعره که قائل به جبر هستند، به ردّ مبنایی دیدگاه آن‌ها می‌پردازد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و زیرساخت فکری آنان این است که تمام افعال از خداوند صادر می‌شود؛ حال آن‌که این مبنا درست نیست، زیرا شکی نیست که خداوند تنها خالق اجسام است، اما افعال و حرکات بندگان از اعراض است و آیات و روایات دالّ بر صدور آن‌ها از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 دیدگاه کسانی که دلیل عقلی ظنّی را معتبر می‌دانند، به مبنای آن استناد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اعتقادات آنان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خبر واحد، در اصول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اعتقادی دارند، چگونه به وسیلۀ خبر واحد بر چنین مطلب مهمی</w:t>
      </w:r>
    </w:p>
    <w:p>
      <w:pPr>
        <w:pStyle w:val="BookText"/>
        <w:rPr/>
      </w:pPr>
      <w:r>
        <w:rPr>
          <w:rFonts w:ascii="IRNazanin" w:hAnsi="IRNazanin" w:eastAsia="IRNazanin"/>
          <w:color w:val="111111"/>
          <w:sz w:val="28"/>
          <w:sz w:val="28"/>
          <w:szCs w:val="28"/>
          <w:rtl w:val="true"/>
          <w:lang w:bidi="fa-IR"/>
        </w:rPr>
        <w:t xml:space="preserve">ـ حجیت دلیل عقلی ظنی ـ استدلال می‌کنند؟ این برخلاف روش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5"/>
        <w:numPr>
          <w:ilvl w:val="4"/>
          <w:numId w:val="1"/>
        </w:numPr>
        <w:rPr/>
      </w:pPr>
      <w:bookmarkStart w:id="182" w:name="__RefHeading___Toc794861_1395250215"/>
      <w:bookmarkStart w:id="183" w:name="_Toc72"/>
      <w:bookmarkEnd w:id="182"/>
      <w:r>
        <w:rPr/>
        <w:t>2</w:t>
      </w:r>
      <w:r>
        <w:rPr>
          <w:rtl w:val="true"/>
        </w:rPr>
        <w:t>‌</w:t>
      </w:r>
      <w:r>
        <w:rPr>
          <w:rtl w:val="true"/>
        </w:rPr>
        <w:t>ـ</w:t>
      </w:r>
      <w:r>
        <w:rPr/>
        <w:t>‌</w:t>
      </w:r>
      <w:r>
        <w:rPr/>
        <w:t>2</w:t>
      </w:r>
      <w:r>
        <w:rPr>
          <w:rtl w:val="true"/>
        </w:rPr>
        <w:t>‌</w:t>
      </w:r>
      <w:r>
        <w:rPr>
          <w:rtl w:val="true"/>
        </w:rPr>
        <w:t>ـ</w:t>
      </w:r>
      <w:r>
        <w:rPr/>
        <w:t>‌</w:t>
      </w:r>
      <w:r>
        <w:rPr/>
        <w:t>3</w:t>
      </w:r>
      <w:r>
        <w:rPr>
          <w:rtl w:val="true"/>
        </w:rPr>
        <w:t xml:space="preserve">. </w:t>
      </w:r>
      <w:r>
        <w:rPr>
          <w:rtl w:val="true"/>
        </w:rPr>
        <w:t>روش استفاده از مبانی طرف مقابل</w:t>
      </w:r>
      <w:bookmarkEnd w:id="1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نقد اندیشه‌های مخالف، می‌توان از مبانی و مطالبی که مورد قبول اوست،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متکلم سعی می‌کند تا با تنظیم استدلالی که محتوای آن را از مطالب مورد قبول خصم گرفته، عقاید او را رد کند؛ اگرچه ممکن است، خود متکلم آن مبانی را قبول نداشته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خصم آن‌ها را پذیرفته، چاره‌ای جز پذیرفتن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از شرایط استفاده از این روش، اطلاع دقیق و کافی از مبانی و منابع طرف مقابل است؛ در غیر این صورت، حتی ممکن است عقاید کلامی خود متکلم نیز نزد مخاطبان،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استناد به کتب عامه را به خاطر احتجاج به آن‌ها به وسیلۀ روایاتشان و عدم قدرت آن‌ها بر انکار این احادیث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می توانند آن‌ها را رد کنند و نه معارضه با آن‌ها عاقلانه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دیگران را به واسطۀ آنچه به آن ملزمند و اعتقاد دارند، مجبور به پذیرش حق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نیز از مبانی مورد قبول خصم علیه خودشان استفاده می‌کردند و علیه آنان احتجاج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اعتقاداتی که عامه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اجماع، استصحاب، اصل، مفهوم لقب، مصالح مرسله و مانند آن، علیه خودشان احتجاج می کردند و با این‌که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حجیت این موارد تصریح کرده بودند، مثلاً در بسیاری از موارد برای این‌که استدلال بر مطلب مهمی کنند، از شعر که نزد عامه حجت است، استفاده می‌کردند تا سامع بهتر بفهمد و بیشتر مورد قبول او قرار گیرد؛ پس مطابق با مقتضای حالِ سامع و بلیغ سخن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ردّ دیدگاه عامه، مبنی بر خلافت خلفا و عدم قبول عصمت و امامت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مبانی اهل‌سنت و روایات و منابع آنان استفاده کرده است، زیرا آنان در روایات نصوص و معجزات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نیستند، اگرچه در غیر این روایات متهمند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بسیاری در عصمت و امامت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ذکر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همه از مناقب خوارزمی است که از شاگردان زمخشری و از اعیان علمای عامه است؛ هم‌چنین احادیث بسیاری نیز از زمخشری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و امثال آن‌ها تعجب می شود که احادیثی روایت می کنند، ولی اعتقاد ندارند و اعتراف می کنند، سپس انکار می کنند و شبهه و تقلید بر آنان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آنچه را روایت کرده اند،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کتب بسیاری از اهل‌سنت اشاره می کند که بر وزیر و وصی بودن و امیرالمؤمنین بودن و امام متقین بودن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با وجود تعصب و عناد بسیارش، به این احادیث طعن وارد نکرده، بلکه به تأویل آن‌ها پرداخته است، ولی این تأویل‌ها درست نیست؛ به علاوه جایی برای تأویل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احادیثی در اثبات امامت می گوید</w:t>
      </w:r>
      <w:r>
        <w:rPr>
          <w:rFonts w:eastAsia="IRNazanin" w:cs="IRNazanin"/>
          <w:color w:val="111111"/>
          <w:sz w:val="28"/>
          <w:szCs w:val="28"/>
          <w:rtl w:val="true"/>
          <w:lang w:bidi="fa-IR"/>
        </w:rPr>
        <w:t>:</w:t>
      </w:r>
      <w:bookmarkStart w:id="184" w:name="pg2673_17961"/>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این حدیث‌ها نصّ قاطع برای اثبات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ردّ آن‌ها امکان دارد و نه معارضه با آن‌ها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این همه احادیث به واسطۀ کثرت و تواتر، محال است و هر کس بخواهد آن‌ها را تأویل کند، دچار نوعی گمراهی می‌شود، زیرا بیشتر آن‌ها صراحت برای مقصود دارند، به طوری که قابل هیچ گونه تأویل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این احادیث را رد کنند، باید بقیۀ احادیثی را که آن‌ها نقل کرده‌اند، 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انصاف داشته باشند، ملزم به قبول این روایات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نه تنها شهادت برای اثبات، مورد قبول‌تر از شهادت برای نفی است، بلکه حتی شهادت دادن به این‌که کسی کاری را نکرده، جز در موارد نادر مورد قبول نیست؛ به علاوه، شاهد بر نفی متهم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حر عاملی با استفاده از مبانی طرف مقابل، از جمله منابع و روایات مورد قبول آنان، به ردّ دیدگاه و نظراتشان می پردازد</w:t>
      </w:r>
      <w:r>
        <w:rPr>
          <w:rFonts w:eastAsia="IRNazanin" w:cs="IRNazanin"/>
          <w:color w:val="111111"/>
          <w:sz w:val="28"/>
          <w:szCs w:val="28"/>
          <w:rtl w:val="true"/>
          <w:lang w:bidi="fa-IR"/>
        </w:rPr>
        <w:t>.</w:t>
      </w:r>
    </w:p>
    <w:p>
      <w:pPr>
        <w:pStyle w:val="Heading5"/>
        <w:numPr>
          <w:ilvl w:val="4"/>
          <w:numId w:val="1"/>
        </w:numPr>
        <w:rPr/>
      </w:pPr>
      <w:bookmarkStart w:id="185" w:name="__RefHeading___Toc794863_1395250215"/>
      <w:bookmarkStart w:id="186" w:name="_Toc73"/>
      <w:bookmarkEnd w:id="185"/>
      <w:r>
        <w:rPr/>
        <w:t>2</w:t>
      </w:r>
      <w:r>
        <w:rPr>
          <w:rtl w:val="true"/>
        </w:rPr>
        <w:t>‌</w:t>
      </w:r>
      <w:r>
        <w:rPr>
          <w:rtl w:val="true"/>
        </w:rPr>
        <w:t>ـ</w:t>
      </w:r>
      <w:r>
        <w:rPr/>
        <w:t>‌</w:t>
      </w:r>
      <w:r>
        <w:rPr/>
        <w:t>2</w:t>
      </w:r>
      <w:r>
        <w:rPr>
          <w:rtl w:val="true"/>
        </w:rPr>
        <w:t>‌</w:t>
      </w:r>
      <w:r>
        <w:rPr>
          <w:rtl w:val="true"/>
        </w:rPr>
        <w:t>ـ</w:t>
      </w:r>
      <w:r>
        <w:rPr/>
        <w:t>‌</w:t>
      </w:r>
      <w:r>
        <w:rPr/>
        <w:t>4</w:t>
      </w:r>
      <w:r>
        <w:rPr>
          <w:rtl w:val="true"/>
        </w:rPr>
        <w:t xml:space="preserve">. </w:t>
      </w:r>
      <w:r>
        <w:rPr>
          <w:rtl w:val="true"/>
        </w:rPr>
        <w:t>روش هم‌گامی ظاهری با طرف مقابل</w:t>
      </w:r>
      <w:bookmarkEnd w:id="186"/>
    </w:p>
    <w:p>
      <w:pPr>
        <w:pStyle w:val="BookText"/>
        <w:rPr/>
      </w:pPr>
      <w:r>
        <w:rPr>
          <w:rFonts w:ascii="IRNazanin" w:hAnsi="IRNazanin" w:eastAsia="IRNazanin"/>
          <w:color w:val="111111"/>
          <w:sz w:val="28"/>
          <w:sz w:val="28"/>
          <w:szCs w:val="28"/>
          <w:rtl w:val="true"/>
          <w:lang w:bidi="fa-IR"/>
        </w:rPr>
        <w:t>یکی از روش‌های ردّ عقاید طرف مقابل، این است که در ظاهر چند قدم با او هم‌گام شده و در جایگاه مناسب، به او نشان داده شود که با فرض همراهی با او، باز هم عقیدۀ او در مورد بحث، صحیح نیست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گذشته، در استدلالشان به ظاهر همراه و موافق با خصم پیش می‌رفتند، اگرچه در باطن از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به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جهت بود که خصم را ملزم به پذیرش حق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کشف و ردّ نظریۀ تصوف، ابتدا با صوفیان همراهی کرده و به ظاهر عقیدۀ آنان را پذیرفته و</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کشف نیز حاصل شود، یقین‌آور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می‌افتد اموری برای انسان کشف می‌شود، ولی پس از آن، فساد و بطلانش برای او پدیدار می‌گردد و کسی که ادعای کشف می‌کند و یا برایش مدعی کشف می‌شوند نیز همین‌گونه محکوم به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5"/>
        <w:numPr>
          <w:ilvl w:val="4"/>
          <w:numId w:val="1"/>
        </w:numPr>
        <w:rPr/>
      </w:pPr>
      <w:bookmarkStart w:id="187" w:name="__RefHeading___Toc794865_1395250215"/>
      <w:bookmarkStart w:id="188" w:name="_Toc74"/>
      <w:bookmarkEnd w:id="187"/>
      <w:r>
        <w:rPr/>
        <w:t>2</w:t>
      </w:r>
      <w:r>
        <w:rPr>
          <w:rtl w:val="true"/>
        </w:rPr>
        <w:t>‌</w:t>
      </w:r>
      <w:r>
        <w:rPr>
          <w:rtl w:val="true"/>
        </w:rPr>
        <w:t>ـ</w:t>
      </w:r>
      <w:r>
        <w:rPr/>
        <w:t>‌</w:t>
      </w:r>
      <w:r>
        <w:rPr/>
        <w:t>2</w:t>
      </w:r>
      <w:r>
        <w:rPr>
          <w:rtl w:val="true"/>
        </w:rPr>
        <w:t>‌</w:t>
      </w:r>
      <w:r>
        <w:rPr>
          <w:rtl w:val="true"/>
        </w:rPr>
        <w:t>ـ</w:t>
      </w:r>
      <w:r>
        <w:rPr/>
        <w:t>‌</w:t>
      </w:r>
      <w:r>
        <w:rPr/>
        <w:t>5</w:t>
      </w:r>
      <w:r>
        <w:rPr>
          <w:rtl w:val="true"/>
        </w:rPr>
        <w:t xml:space="preserve">. </w:t>
      </w:r>
      <w:r>
        <w:rPr>
          <w:rtl w:val="true"/>
        </w:rPr>
        <w:t>روش اثبات بطلان آموزه</w:t>
      </w:r>
      <w:bookmarkEnd w:id="1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اثبات بطلان آموزه، به طور مستقیم به ردّ و نقد آموزۀ کلامی معارض با دین پرداخته و با استدلال مرتبط و مناسب با آموزه، اثبات می‌شود آموزۀ مورد نظر، باطل و دارای اشکال است</w:t>
      </w:r>
      <w:r>
        <w:rPr>
          <w:rFonts w:eastAsia="IRNazanin" w:cs="IRNazanin"/>
          <w:color w:val="111111"/>
          <w:sz w:val="28"/>
          <w:szCs w:val="28"/>
          <w:rtl w:val="true"/>
          <w:lang w:bidi="fa-IR"/>
        </w:rPr>
        <w:t>.</w:t>
      </w:r>
      <w:bookmarkStart w:id="189" w:name="pg2673_17962"/>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شیخ حر این روش را بسیار به کار برده و به ابطال آرا و مذاهب باطل پرداخته و با استدلال‌هایی، عقاید آنان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ادلۀ ردّ مجبره را با استفاده از روش بطلان آموزه چنین بیان می کند که در کتاب، سنت و کلام جمیع عقلا، فعل به بنده اضافه و نسبت داده می‌شود و قرآن از چنین نسبت‌هایی مملو و پر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حقیقی است، زیرا حمل بر مجاز، دلیل و قرینه می‌خواهد و اگر قرینه و دلیلی نباشد، حمل بر حقیقت قطعی و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فعل، فعل بندگان است و انسان با اراده و اختیار خود اعمال را انجام می دهد، بطلان جبر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هم‌چنین در ردّ دیدگاه جبر در مجبره که به ظاهرِ بعضی آیات،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خلقکم و 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حمل بر مجاز می‌شود؛ یعنی خداوند ارادۀ خلق اسباب و لوازم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ادلۀ اختیار و ردّ جبر و تفویض بسیار است، تأویل این آیات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اثبات بطلان کشف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ظاهر است، در خبرهایی که صاحبان کشف می‌دهند، اختلاف بسیار زیادی وجود دارد که نیاز به بیان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صوفیان از آن خبر می‌دهند، خلاف آن فراوان ظاهر شده است و کرامات، دلایل و براهینی که بر ولایت خود ابراز می‌کنند، مردود و محکوم به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اثبات بطلان دیدگاه واقفیه، ابتدا روایاتی را که موجب این دیدگاه غلط شده،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سپس می‌گوید که این روایات و مانند آن باعث شبهۀ واقفیه شده است که شیخ و دیگران آن را 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چندین دلیل در ردّ دیدگاه واقفیه و روایاتی که به آن استناد کرده‌اند،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اثبات بطلان آموزه می پردازد</w:t>
      </w:r>
      <w:r>
        <w:rPr>
          <w:rFonts w:eastAsia="IRNazanin" w:cs="IRNazanin"/>
          <w:color w:val="111111"/>
          <w:sz w:val="28"/>
          <w:szCs w:val="28"/>
          <w:rtl w:val="true"/>
          <w:lang w:bidi="fa-IR"/>
        </w:rPr>
        <w:t>.</w:t>
      </w:r>
    </w:p>
    <w:p>
      <w:pPr>
        <w:pStyle w:val="Heading5"/>
        <w:numPr>
          <w:ilvl w:val="4"/>
          <w:numId w:val="1"/>
        </w:numPr>
        <w:rPr/>
      </w:pPr>
      <w:bookmarkStart w:id="190" w:name="__RefHeading___Toc794867_1395250215"/>
      <w:bookmarkStart w:id="191" w:name="_Toc75"/>
      <w:bookmarkEnd w:id="190"/>
      <w:r>
        <w:rPr/>
        <w:t>2</w:t>
      </w:r>
      <w:r>
        <w:rPr>
          <w:rtl w:val="true"/>
        </w:rPr>
        <w:t>‌</w:t>
      </w:r>
      <w:r>
        <w:rPr>
          <w:rtl w:val="true"/>
        </w:rPr>
        <w:t>ـ</w:t>
      </w:r>
      <w:r>
        <w:rPr/>
        <w:t>‌</w:t>
      </w:r>
      <w:r>
        <w:rPr/>
        <w:t>2</w:t>
      </w:r>
      <w:r>
        <w:rPr>
          <w:rtl w:val="true"/>
        </w:rPr>
        <w:t>‌</w:t>
      </w:r>
      <w:r>
        <w:rPr>
          <w:rtl w:val="true"/>
        </w:rPr>
        <w:t>ـ</w:t>
      </w:r>
      <w:r>
        <w:rPr/>
        <w:t>‌</w:t>
      </w:r>
      <w:r>
        <w:rPr/>
        <w:t>6</w:t>
      </w:r>
      <w:r>
        <w:rPr>
          <w:rtl w:val="true"/>
        </w:rPr>
        <w:t xml:space="preserve">. </w:t>
      </w:r>
      <w:r>
        <w:rPr>
          <w:rtl w:val="true"/>
        </w:rPr>
        <w:t>روش ارجاع به بدیهیات</w:t>
      </w:r>
      <w:bookmarkEnd w:id="191"/>
    </w:p>
    <w:p>
      <w:pPr>
        <w:pStyle w:val="BookText"/>
        <w:rPr/>
      </w:pPr>
      <w:r>
        <w:rPr>
          <w:rFonts w:ascii="IRNazanin" w:hAnsi="IRNazanin" w:eastAsia="IRNazanin"/>
          <w:color w:val="111111"/>
          <w:sz w:val="28"/>
          <w:sz w:val="28"/>
          <w:szCs w:val="28"/>
          <w:rtl w:val="true"/>
          <w:lang w:bidi="fa-IR"/>
        </w:rPr>
        <w:t>یکی دیگر از روش‌های ردّ مکاتب معارض و مقابله با خصم، روش ارجاع به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راه دفاع بر خصم بسته می شود، زیرا کسی نمی تواند بدیهیات را انکار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در برخی موارد، از جمله در ردّ جبر و دیدگاه مکاتب معارض به بدیهیات ارجاع می‌دهد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قطعاً و بالوجدان می داند که در مقابل طاعت یا معصیت، او قادر به انجام یا ترک آن کار می باشد و این بدیهی و ضروری است و هر عاقلی فرق بین سقوط از</w:t>
      </w:r>
      <w:bookmarkStart w:id="192" w:name="pg2673_17963"/>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پشت‌بام و پایین آمدن از پله را 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ضرورتاً مدح بر احسان را نیکو و ذمّ بر احسان را قبیح می‌داند و در بیان بدیهی بودن این امر، این سؤال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واسطۀ طلوع خورشید، فردی مدح شده و یا به واسطۀ غروب خورشید، کسی ذم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افعال ما مخلوق خداوند باشد، نباید فرقی بین قاتل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بین شمشیری که با او حضرت را شهید کردند، بگذاریم؛ حال آن‌که این فرق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 توجه به بدیهیات و امور وجدانی و بالفطره، به ردّ مکاتب معتقد به جبر می‌پردازد</w:t>
      </w:r>
      <w:r>
        <w:rPr>
          <w:rFonts w:eastAsia="IRNazanin" w:cs="IRNazanin"/>
          <w:color w:val="111111"/>
          <w:sz w:val="28"/>
          <w:szCs w:val="28"/>
          <w:rtl w:val="true"/>
          <w:lang w:bidi="fa-IR"/>
        </w:rPr>
        <w:t>.</w:t>
      </w:r>
    </w:p>
    <w:p>
      <w:pPr>
        <w:pStyle w:val="Heading5"/>
        <w:numPr>
          <w:ilvl w:val="4"/>
          <w:numId w:val="1"/>
        </w:numPr>
        <w:rPr/>
      </w:pPr>
      <w:bookmarkStart w:id="193" w:name="__RefHeading___Toc794869_1395250215"/>
      <w:bookmarkStart w:id="194" w:name="_Toc76"/>
      <w:bookmarkEnd w:id="193"/>
      <w:r>
        <w:rPr/>
        <w:t>2</w:t>
      </w:r>
      <w:r>
        <w:rPr>
          <w:rtl w:val="true"/>
        </w:rPr>
        <w:t>‌</w:t>
      </w:r>
      <w:r>
        <w:rPr>
          <w:rtl w:val="true"/>
        </w:rPr>
        <w:t>ـ</w:t>
      </w:r>
      <w:r>
        <w:rPr/>
        <w:t>‌</w:t>
      </w:r>
      <w:r>
        <w:rPr/>
        <w:t>2</w:t>
      </w:r>
      <w:r>
        <w:rPr>
          <w:rtl w:val="true"/>
        </w:rPr>
        <w:t>‌</w:t>
      </w:r>
      <w:r>
        <w:rPr>
          <w:rtl w:val="true"/>
        </w:rPr>
        <w:t>ـ</w:t>
      </w:r>
      <w:r>
        <w:rPr/>
        <w:t>‌</w:t>
      </w:r>
      <w:r>
        <w:rPr/>
        <w:t>7</w:t>
      </w:r>
      <w:r>
        <w:rPr>
          <w:rtl w:val="true"/>
        </w:rPr>
        <w:t xml:space="preserve">. </w:t>
      </w:r>
      <w:r>
        <w:rPr>
          <w:rtl w:val="true"/>
        </w:rPr>
        <w:t>روش بیان حکایت و مثال</w:t>
      </w:r>
      <w:bookmarkEnd w:id="194"/>
    </w:p>
    <w:p>
      <w:pPr>
        <w:pStyle w:val="BookText"/>
        <w:rPr/>
      </w:pPr>
      <w:r>
        <w:rPr>
          <w:rFonts w:ascii="IRNazanin" w:hAnsi="IRNazanin" w:eastAsia="IRNazanin"/>
          <w:color w:val="111111"/>
          <w:sz w:val="28"/>
          <w:sz w:val="28"/>
          <w:szCs w:val="28"/>
          <w:rtl w:val="true"/>
          <w:lang w:bidi="fa-IR"/>
        </w:rPr>
        <w:t>بیانِ حکایت و مثال، تأثیر عمیقی در خصم می‌گذارد و روشی در ردّ مکاتب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ردّ دیدگاه قائلان به جبر، از این روش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ما حکایت کرده‌اند که قاضی ای از عامه و برخی علمای شیعه در مجلس خلفای عباسی جمع بودند که مردی بلندقد که پولی را دزدیده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جزایش می‌دهی؟ قاضی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ضربه شلاق به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دیگری 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مجازاتی؟ فرد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ضربه تازیانه هم به خاطر بلندقد بودنش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بلندقدّی او به اختیار خودش بوده؟ فرد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ربودن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اختیار خودش بود؟ پس قاضی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بطلان اعتقاداتش پی برد</w:t>
      </w:r>
      <w:r>
        <w:rPr>
          <w:rFonts w:eastAsia="IRNazanin" w:cs="IRNazanin"/>
          <w:color w:val="111111"/>
          <w:sz w:val="28"/>
          <w:szCs w:val="28"/>
          <w:rtl w:val="true"/>
          <w:lang w:bidi="fa-IR"/>
        </w:rPr>
        <w:t>.</w:t>
      </w:r>
    </w:p>
    <w:p>
      <w:pPr>
        <w:pStyle w:val="Heading5"/>
        <w:numPr>
          <w:ilvl w:val="4"/>
          <w:numId w:val="1"/>
        </w:numPr>
        <w:rPr/>
      </w:pPr>
      <w:bookmarkStart w:id="195" w:name="__RefHeading___Toc794871_1395250215"/>
      <w:bookmarkStart w:id="196" w:name="_Toc77"/>
      <w:bookmarkEnd w:id="195"/>
      <w:r>
        <w:rPr/>
        <w:t>2</w:t>
      </w:r>
      <w:r>
        <w:rPr>
          <w:rtl w:val="true"/>
        </w:rPr>
        <w:t>‌</w:t>
      </w:r>
      <w:r>
        <w:rPr>
          <w:rtl w:val="true"/>
        </w:rPr>
        <w:t>ـ</w:t>
      </w:r>
      <w:r>
        <w:rPr/>
        <w:t>‌</w:t>
      </w:r>
      <w:r>
        <w:rPr/>
        <w:t>2</w:t>
      </w:r>
      <w:r>
        <w:rPr>
          <w:rtl w:val="true"/>
        </w:rPr>
        <w:t>‌</w:t>
      </w:r>
      <w:r>
        <w:rPr>
          <w:rtl w:val="true"/>
        </w:rPr>
        <w:t>ـ</w:t>
      </w:r>
      <w:r>
        <w:rPr/>
        <w:t>‌</w:t>
      </w:r>
      <w:r>
        <w:rPr/>
        <w:t>8</w:t>
      </w:r>
      <w:r>
        <w:rPr>
          <w:rtl w:val="true"/>
        </w:rPr>
        <w:t xml:space="preserve">. </w:t>
      </w:r>
      <w:r>
        <w:rPr>
          <w:rtl w:val="true"/>
        </w:rPr>
        <w:t>روش طرح سؤال و مطالبۀ دلیل از طرف مقابل</w:t>
      </w:r>
      <w:bookmarkEnd w:id="1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طرح سؤال و مطالبۀ دلیل از طرف مقابل</w:t>
      </w:r>
    </w:p>
    <w:p>
      <w:pPr>
        <w:pStyle w:val="BookText"/>
        <w:rPr/>
      </w:pPr>
      <w:r>
        <w:rPr>
          <w:rFonts w:ascii="IRNazanin" w:hAnsi="IRNazanin" w:eastAsia="IRNazanin"/>
          <w:color w:val="111111"/>
          <w:sz w:val="28"/>
          <w:sz w:val="28"/>
          <w:szCs w:val="28"/>
          <w:rtl w:val="true"/>
          <w:lang w:bidi="fa-IR"/>
        </w:rPr>
        <w:t>گاهی می‌توان با طرح سؤال، خصم را متوجه اشتباه در عقیده‌اش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دیگر از روش‌های ردّ مکاتب معارض، روش طرح سؤال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گاهی برای ردّ مکاتب باطل، با روش طرح سؤال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 کشف در دیدگاه تصوف، سؤالی را 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کشف، بلکه فراتر و بزرگ‌تر از آن برای کفّار و جن‌زدگان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فضیلتی در کشف است و اهل کشف از چه مزیتی برخوردارند؟ در مورد کفار هند و دیگران، همه‌جا رایج است که نظیر این کشف برایشان حاصل می‌شود، بلکه اینان و امثالشان اختراع‌کنندۀ این ریاضت‌ها بوده‌اند، ولی در دین، چنین چیزی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ادعای کشف داشته‌اند، سؤال و</w:t>
      </w:r>
      <w:bookmarkStart w:id="197" w:name="pg2673_17964"/>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درخواست شود به وسیلۀ کشف تنها یک مسئله از مسائل مشکل معروف بین علما و دانشمندان و یا اخبار و احادیث و یا کاری نظیر آن را به تحقیق و بررسی بپردازند، بی‌آن‌که از شخص معینی نام برده شود، خواهید دید که عجز و ناتوانی‌اش آشکار و ادعایش به طور یقین محکوم به بطلان است و قطعاً قادر بر تحقیق و بررسی کوچک‌ترین مسئله‌ای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پاسخی برای این سؤال نخواهند داشت که به چه دلیل در احادیث و اخبار، ذکر و یادی از کشف، بلکه نامی از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مشخص می‌شود که چنین موضوعی شرعاً از ریشه و اساسی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98" w:name="__RefHeading___Toc794873_1395250215"/>
      <w:bookmarkStart w:id="199" w:name="_Toc78"/>
      <w:bookmarkEnd w:id="198"/>
      <w:r>
        <w:rPr>
          <w:rtl w:val="true"/>
        </w:rPr>
        <w:t>نتیجه</w:t>
      </w:r>
      <w:bookmarkEnd w:id="199"/>
    </w:p>
    <w:p>
      <w:pPr>
        <w:pStyle w:val="BookText"/>
        <w:rPr/>
      </w:pPr>
      <w:r>
        <w:rPr>
          <w:rFonts w:ascii="IRNazanin" w:hAnsi="IRNazanin" w:eastAsia="IRNazanin"/>
          <w:color w:val="111111"/>
          <w:sz w:val="28"/>
          <w:sz w:val="28"/>
          <w:szCs w:val="28"/>
          <w:rtl w:val="true"/>
          <w:lang w:bidi="fa-IR"/>
        </w:rPr>
        <w:t>دفاع به معنای خاص کلمه، دربارۀ پاسخ‌گویی به شبهات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همواره مورد توجه متکلمان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نیز بسیار به پاسخ‌گویی به شبهات پرداخته است، لیکن بیشترِ شبهاتی که مطرح کرده، ناظر به اعتقادات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شبهه‌ای که وارد می‌شود، یا به جهت اشتباه و اشکال در صورت استدلال آن است و یا به جهت بطلان ماده و مقدمات به‌کار‌رفته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شیخ حر عاملی در ردّ شبهات اعتقادی، پاسخی که ناظر به روش اشکال در صورت استدلال باشد، چندان یافت نشد، اما در پاسخ‌گویی به شیوۀ ردّ مادۀ استدلال، از روش‌های متعددی استفاده کرده است که از جملۀ آن‌ها می‌توان به روش ردّ لوازم و مبانی شبهه، روش پاسخ نقضی، روش ذکر مثال و تشبیه، روش ردّ استدلال شبهه‌گر، روش تنبیه به استثنای موجود و روش تنبیه به مقتضای حال و شرایط، اشاره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مکاتب معارض، آخرین مرحله در دفاع از آموزه‌هاست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متکلم حالت هجومی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جهت آن‌که نشان‌دهندۀ کمال مکتب متکلم است،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این مرحله با روش‌های مختلف، از جمله لوازم فاسد دیدگاه‌های معارض، ردّ مبنایی و زیرساختاری، استفاده از مبانی طرف مقابل، هم‌گامی ظاهری با طرف مقابل، اثبات بطلان آموزه، ارجاع به بدیهیات، مطالبۀ دلیل از طرف مقابل، روش طرح سؤال و مطالبۀ دلیل از طرف مقابل، به ردّ مکاتب معارض پرداخته است</w:t>
      </w:r>
      <w:r>
        <w:rPr>
          <w:rFonts w:eastAsia="IRNazanin" w:cs="IRNazanin"/>
          <w:color w:val="111111"/>
          <w:sz w:val="28"/>
          <w:szCs w:val="28"/>
          <w:rtl w:val="true"/>
          <w:lang w:bidi="fa-IR"/>
        </w:rPr>
        <w:t>.</w:t>
      </w:r>
      <w:bookmarkStart w:id="200" w:name="pg2673_17965"/>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201" w:name="__RefHeading___Toc794875_1395250215"/>
      <w:bookmarkStart w:id="202" w:name="_Toc79"/>
      <w:bookmarkEnd w:id="201"/>
      <w:r>
        <w:rPr>
          <w:rtl w:val="true"/>
        </w:rPr>
        <w:t>منابع</w:t>
      </w:r>
      <w:bookmarkEnd w:id="20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النهایۀ فی غریب الحدیث و الأثر، قم،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ابن‌شعبه حرانی،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تحف‌العقول، قم،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لسان‌العرب،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فارس شدیاق، بیروت، دارالفکر،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فارس، ابی الحسین،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مقائیس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 دفتر تبلیغات 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استنباط و دفاع در عقاید، قم، دارالحدیث،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اللغه و صحاح العربیه،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 دارالعلم للملایین،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الفواید الطوسیة، قم، المطبعة العلمیة،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أصول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الغناء، قم، مرصاد،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الجواهر السنیة فی الاحادیث القدسیة، بیروت، مؤسسة الأعلمی للمطبوعات،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الإیقاظ من الهجعة بالبرهان علی الرجعة، تهران، نوید،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 بیروت، مؤسسة الأعلمی للمطبوعات،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الرسالۀ الاثنی عشریه فی الرد علی الصوفیه،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الجلالی، قم، انصاریان للطباعه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رساله خلق الکافر، نسخه خطی کتابخانه مجلس، شماره بازیابی </w:t>
      </w:r>
      <w:r>
        <w:rPr>
          <w:rFonts w:eastAsia="IRNazanin" w:cs="IRNazanin"/>
          <w:color w:val="111111"/>
          <w:sz w:val="28"/>
          <w:szCs w:val="28"/>
          <w:lang w:bidi="fa-IR"/>
        </w:rPr>
        <w:t>1/3147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تحریر وسائل الشیعه، نسخه خطی کتاب‌خانه مجلس، شماره بازیابی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خالقیان، ام البنین،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کلامی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دکتری، قم، دانشگاه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ابوالحسن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محمد دشتی، تهران، پیام عدالت،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هجرت، چاپ دوم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فی غریب الشرح الکبیر للرافعی، قم، دارالرضی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الاسلامیه،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مؤسسه الوفاء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محمدعلی،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پاسخ به پرسش‌های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دو‌ماه‌نامه مبلغان، ش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203" w:name="pg2673_17967"/>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2"/>
        <w:numPr>
          <w:ilvl w:val="1"/>
          <w:numId w:val="1"/>
        </w:numPr>
        <w:rPr/>
      </w:pPr>
      <w:bookmarkStart w:id="204" w:name="__RefHeading___Toc794877_1395250215"/>
      <w:bookmarkStart w:id="205" w:name="_Toc80"/>
      <w:bookmarkEnd w:id="204"/>
      <w:r>
        <w:rPr>
          <w:rtl w:val="true"/>
        </w:rPr>
        <w:t>محلّ نزول اولین وحی و آثار کلامی آن</w:t>
      </w:r>
      <w:bookmarkEnd w:id="205"/>
    </w:p>
    <w:p>
      <w:pPr>
        <w:pStyle w:val="Heading3"/>
        <w:numPr>
          <w:ilvl w:val="2"/>
          <w:numId w:val="1"/>
        </w:numPr>
        <w:rPr/>
      </w:pPr>
      <w:bookmarkStart w:id="206" w:name="__RefHeading___Toc794879_1395250215"/>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رسول رضوی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محمدحسین افراخته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1393/12/20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1394/02/13</w:t>
      </w:r>
    </w:p>
    <w:p>
      <w:pPr>
        <w:pStyle w:val="Heading3"/>
        <w:numPr>
          <w:ilvl w:val="2"/>
          <w:numId w:val="1"/>
        </w:numPr>
        <w:rPr/>
      </w:pPr>
      <w:bookmarkStart w:id="208" w:name="__RefHeading___Toc794881_1395250215"/>
      <w:bookmarkStart w:id="209" w:name="_Toc82"/>
      <w:bookmarkEnd w:id="208"/>
      <w:r>
        <w:rPr>
          <w:rtl w:val="true"/>
        </w:rPr>
        <w:t>چکیده</w:t>
      </w:r>
      <w:bookmarkEnd w:id="209"/>
    </w:p>
    <w:p>
      <w:pPr>
        <w:pStyle w:val="BookText"/>
        <w:rPr/>
      </w:pPr>
      <w:r>
        <w:rPr>
          <w:rFonts w:ascii="IRNazanin" w:hAnsi="IRNazanin" w:eastAsia="IRNazanin"/>
          <w:color w:val="111111"/>
          <w:sz w:val="28"/>
          <w:sz w:val="28"/>
          <w:szCs w:val="28"/>
          <w:rtl w:val="true"/>
          <w:lang w:bidi="fa-IR"/>
        </w:rPr>
        <w:t>دو دسته گزارش دربارۀ اولین وحیِ نازل‌شده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دستۀ اول، غار حرا را محل نزول اولین وحی می‌داند و دستۀ دوم، محل نزول وحی را منطقۀ ابطح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حاضر سعی کرده است ضمن بررسی اسناد، متن و آثار کلامی و تاریخیِ گزارش مشهور که غار حرا را محل نزول اولین وحی می‌داند و نشان دادن چگونگی استناد برخی مستشرقان به این گزارش در اثباتِ وام گرفته شدن اسلام از مسیحیت و غیراصیل بودن آموز‌ه‌های آن، به واگویی گزارش دیگری بپردازد که در منابع شیعی بدان پرداخته شده و محل نزول اولین وحی را ابطح معرفی کرده است؛ با آن‌که این گزارش علاوه بر استحکام سند، آثار سوء مترتب بر گزارش اول را ندارد</w:t>
      </w:r>
      <w:r>
        <w:rPr>
          <w:rFonts w:eastAsia="IRNazanin" w:cs="IRNazanin"/>
          <w:color w:val="111111"/>
          <w:sz w:val="28"/>
          <w:szCs w:val="28"/>
          <w:rtl w:val="true"/>
          <w:lang w:bidi="fa-IR"/>
        </w:rPr>
        <w:t>.</w:t>
      </w:r>
    </w:p>
    <w:p>
      <w:pPr>
        <w:pStyle w:val="Heading3"/>
        <w:numPr>
          <w:ilvl w:val="2"/>
          <w:numId w:val="1"/>
        </w:numPr>
        <w:rPr/>
      </w:pPr>
      <w:bookmarkStart w:id="210" w:name="__RefHeading___Toc794883_1395250215"/>
      <w:bookmarkStart w:id="211" w:name="_Toc83"/>
      <w:bookmarkEnd w:id="210"/>
      <w:r>
        <w:rPr>
          <w:rtl w:val="true"/>
        </w:rPr>
        <w:t>واژگان کلیدی</w:t>
      </w:r>
      <w:bookmarkEnd w:id="2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وحی، غار حرا، سرزمین ابطح، مستشرقان</w:t>
      </w:r>
      <w:r>
        <w:rPr>
          <w:rFonts w:eastAsia="IRNazanin" w:cs="IRNazanin"/>
          <w:color w:val="111111"/>
          <w:sz w:val="28"/>
          <w:szCs w:val="28"/>
          <w:rtl w:val="true"/>
          <w:lang w:bidi="fa-IR"/>
        </w:rPr>
        <w:t>.</w:t>
      </w:r>
      <w:bookmarkStart w:id="212" w:name="pg2673_17968"/>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3"/>
        <w:numPr>
          <w:ilvl w:val="2"/>
          <w:numId w:val="1"/>
        </w:numPr>
        <w:rPr/>
      </w:pPr>
      <w:bookmarkStart w:id="213" w:name="__RefHeading___Toc794885_1395250215"/>
      <w:bookmarkStart w:id="214" w:name="_Toc84"/>
      <w:bookmarkEnd w:id="213"/>
      <w:r>
        <w:rPr>
          <w:rtl w:val="true"/>
        </w:rPr>
        <w:t>مقدمه</w:t>
      </w:r>
      <w:bookmarkEnd w:id="214"/>
    </w:p>
    <w:p>
      <w:pPr>
        <w:pStyle w:val="BookText"/>
        <w:rPr/>
      </w:pPr>
      <w:r>
        <w:rPr>
          <w:rFonts w:ascii="IRNazanin" w:hAnsi="IRNazanin" w:eastAsia="IRNazanin"/>
          <w:color w:val="111111"/>
          <w:sz w:val="28"/>
          <w:sz w:val="28"/>
          <w:szCs w:val="28"/>
          <w:rtl w:val="true"/>
          <w:lang w:bidi="fa-IR"/>
        </w:rPr>
        <w:t>وحی در ادیان الهی، از منابع اصیل معرفتی و واسطۀ ارتباط خلق با خالق به حساب می آید و پیامبران الهی در رساندن آن به مردم سعی بلیغ داشته و به تعبیر قرآنی، از روی هوای نفس سخن نگفته و هر آنچه بیان می کردند، وحی الهی بود؛ به همین دلیل، مردم به چگونگی برقراری این ارتباط و زمان آغاز چنین ارتباطی اهمیت بسیاری داده و پرسش های متعددی در این باره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ایمان‌آورندگان به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مستثنا نبوده و دربارۀ چگونگی نزول اولین وحی بر آن حضرت، پرسش هایی می‌پرسیدند و طبیعی بود که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نزدیکان ایشان نیز پاسخ هایی به این پرسش‌ها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پاسخ های رسیده به دست ما متفاوتند و برخی شرق شناسان با استناد به این پاسخ ها، سعی در اثبات وام گرفته شدن اسلام از مسیحیت و غیراصیل بودن آموزه های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 در این باره در کتاب‌های تفسیری و ذیل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طولانی دارد و عده‌ای نیز نگاهی انتقادی به برخی مباحث طرح‌شده در زمینۀ اولین وحی داشته‌اند که از معاصران می‌توان به علامه طباطبائی در تفسیر المیزان، آیۀ‌الله سبحانی در تفسیر منشور جاوید و رسول جعفریان در تاریخ سیاسی اسلام اشاره کرد، اما این نگاه‌های انتقادی به شیوۀ تطبیقی بین احادیث فریقین نبوده و راه‌حلی برای حل مشکلات کلامیِ مترتب بر نقل مشهور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سعی خواهیم کرد ضمن یادکرد پاسخ هایی که از طریق صحابه و یا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اولین وحی به دست ما رسیده، به ارزیابی و اعتبارسنجی هر یک از آن‌ها پرداخته و به چگونگی سوء‌برداشتِ مستشرقان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و ضمن بررسی تطبیقی، برتری سندی و محتوایی روایت نقل‌شده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دهیم</w:t>
      </w:r>
      <w:r>
        <w:rPr>
          <w:rFonts w:eastAsia="IRNazanin" w:cs="IRNazanin"/>
          <w:color w:val="111111"/>
          <w:sz w:val="28"/>
          <w:szCs w:val="28"/>
          <w:rtl w:val="true"/>
          <w:lang w:bidi="fa-IR"/>
        </w:rPr>
        <w:t>.</w:t>
      </w:r>
    </w:p>
    <w:p>
      <w:pPr>
        <w:pStyle w:val="Heading3"/>
        <w:numPr>
          <w:ilvl w:val="2"/>
          <w:numId w:val="1"/>
        </w:numPr>
        <w:rPr/>
      </w:pPr>
      <w:bookmarkStart w:id="215" w:name="__RefHeading___Toc794887_1395250215"/>
      <w:bookmarkStart w:id="216" w:name="_Toc85"/>
      <w:bookmarkEnd w:id="215"/>
      <w:r>
        <w:rPr>
          <w:rtl w:val="true"/>
        </w:rPr>
        <w:t>دیدگاه ها دربارۀ بدء الوحی</w:t>
      </w:r>
      <w:bookmarkEnd w:id="216"/>
    </w:p>
    <w:p>
      <w:pPr>
        <w:pStyle w:val="Heading4"/>
        <w:numPr>
          <w:ilvl w:val="3"/>
          <w:numId w:val="1"/>
        </w:numPr>
        <w:rPr/>
      </w:pPr>
      <w:bookmarkStart w:id="217" w:name="__RefHeading___Toc794889_1395250215"/>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کنکاش در روایات رسیده در منابع شیعه و اهل‌سنت، نشان‌گر وجود دو دیدگاه کلی دربارۀ مکان اولین وحی است</w:t>
      </w:r>
      <w:r>
        <w:rPr>
          <w:rFonts w:eastAsia="IRNazanin" w:cs="IRNazanin"/>
          <w:color w:val="111111"/>
          <w:sz w:val="28"/>
          <w:szCs w:val="28"/>
          <w:rtl w:val="true"/>
          <w:lang w:bidi="fa-IR"/>
        </w:rPr>
        <w:t>:</w:t>
      </w:r>
    </w:p>
    <w:p>
      <w:pPr>
        <w:pStyle w:val="Heading4"/>
        <w:numPr>
          <w:ilvl w:val="3"/>
          <w:numId w:val="1"/>
        </w:numPr>
        <w:rPr/>
      </w:pPr>
      <w:bookmarkStart w:id="219" w:name="__RefHeading___Toc794891_1395250215"/>
      <w:bookmarkStart w:id="220" w:name="_Toc87"/>
      <w:bookmarkEnd w:id="219"/>
      <w:r>
        <w:rPr/>
        <w:t>1</w:t>
      </w:r>
      <w:r>
        <w:rPr>
          <w:rtl w:val="true"/>
        </w:rPr>
        <w:t xml:space="preserve">. </w:t>
      </w:r>
      <w:r>
        <w:rPr>
          <w:rtl w:val="true"/>
        </w:rPr>
        <w:t>دیدگاه اهل سنت</w:t>
      </w:r>
      <w:bookmarkEnd w:id="220"/>
    </w:p>
    <w:p>
      <w:pPr>
        <w:pStyle w:val="Heading5"/>
        <w:numPr>
          <w:ilvl w:val="4"/>
          <w:numId w:val="1"/>
        </w:numPr>
        <w:rPr/>
      </w:pPr>
      <w:bookmarkStart w:id="221" w:name="__RefHeading___Toc794893_1395250215"/>
      <w:bookmarkStart w:id="222" w:name="_Toc88"/>
      <w:bookmarkEnd w:id="221"/>
      <w:r>
        <w:rPr>
          <w:rtl w:val="true"/>
        </w:rPr>
        <w:t>اشاره</w:t>
      </w:r>
      <w:bookmarkEnd w:id="2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بر این باورند در کوه نور و زمانی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غار حرا بودند، اولین وحی بر ایشان نازل شد و هنگامی که جبرئیل پیام الهی را به آن حضرت رساند، دچار اضطراب و شک شده و می‌خواستند خود را از کوه به پایین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کوه پایین</w:t>
      </w:r>
      <w:bookmarkStart w:id="223" w:name="pg2673_17969"/>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آمدند، از ورقۀ بن نوفل شنیدند که آنچه دیده اند جبرئیل بوده؛ پس شکشان تبدیل به یقین شد و آرامش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باور، احادیثی است که در ادامه به بررسی آن‌ها پرداخته می‌شود</w:t>
      </w:r>
      <w:r>
        <w:rPr>
          <w:rFonts w:eastAsia="IRNazanin" w:cs="IRNazanin"/>
          <w:color w:val="111111"/>
          <w:sz w:val="28"/>
          <w:szCs w:val="28"/>
          <w:rtl w:val="true"/>
          <w:lang w:bidi="fa-IR"/>
        </w:rPr>
        <w:t>.</w:t>
      </w:r>
    </w:p>
    <w:p>
      <w:pPr>
        <w:pStyle w:val="Heading5"/>
        <w:numPr>
          <w:ilvl w:val="4"/>
          <w:numId w:val="1"/>
        </w:numPr>
        <w:rPr/>
      </w:pPr>
      <w:bookmarkStart w:id="224" w:name="__RefHeading___Toc794895_1395250215"/>
      <w:bookmarkStart w:id="225" w:name="_Toc89"/>
      <w:bookmarkEnd w:id="224"/>
      <w:r>
        <w:rPr>
          <w:rtl w:val="true"/>
        </w:rPr>
        <w:t>روایتِ ابن شهاب زهری از عروۀ بن زبیر از عایشه</w:t>
      </w:r>
      <w:bookmarkEnd w:id="225"/>
    </w:p>
    <w:p>
      <w:pPr>
        <w:pStyle w:val="Heading6"/>
        <w:numPr>
          <w:ilvl w:val="5"/>
          <w:numId w:val="1"/>
        </w:numPr>
        <w:rPr/>
      </w:pPr>
      <w:bookmarkStart w:id="226" w:name="__RefHeading___Toc794897_1395250215"/>
      <w:bookmarkStart w:id="227" w:name="_Toc9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از عایشه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در خواب بود که مانند طلوع آفتاب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تنهایی و عزلت تمایل پیدا کرد و در غار حرا به تنهایی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آن‌جا به تحنث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 و دعا کردن شب 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پرداختند تا زمانی که به نزد خانوادۀ خود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بار ها و بارها اتفاق می افتاد تا این‌که روزی در غار حرا حق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ایشان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خواندن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مرا در بغل گرفت و آن‌قدر فشار داد که جانم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بر خواندن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دوم مرا در بغل گرفت تا این‌که جانم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بر خواندن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بار سوم در بغل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الاِنسَانَ مِن عَلَق اِقرَأ 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آن در حالی که دلش لرزان بود، بازگشت و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پارچه ای بپیچانید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کار را کردند و لرزش اندام های ایشان تمام شد، ماجرا را برای خدیجه تعریف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کاهن یا مجنون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تو را هرگز وانمی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چراکه تو صلۀ رحم، تجارت و مهمان‌نوازی می کنی و به مردم در سختی‌ها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به همراه پیامبر به نزد ورقۀ بن نوفل، پسرعموی خدیجه رفتند که در جاهلیت به مسیحیت گرویده بود و به عبرانی کتاب های گوناگون، از جمله انجیل را می نوشت و در سنّ پیری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پسرِ برادرت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بینی؟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بودند، برای ورقه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ناموسی است که خدا بر موسی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نیز در آن یارِ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زمان که قومت تو را از شهر اخراج می کنند، من زنده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قوم من، مرا از این شهر بیرون می‌کنند؟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روز بودم، تو را یاری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نگذشت که ورقه از دنیا رفت و وحی نیز از پیامبر منقطع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در تمامی کتاب هایی که این داستان را نقل کرده اند وجود دارد، اما در برخی نقل 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ترس این را داشتند که مجنون یا کاهن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خواستند خود را از کوه پرتاب کنند</w:t>
      </w:r>
      <w:r>
        <w:rPr>
          <w:rFonts w:eastAsia="IRNazanin" w:cs="IRNazanin"/>
          <w:color w:val="111111"/>
          <w:sz w:val="28"/>
          <w:szCs w:val="28"/>
          <w:rtl w:val="true"/>
          <w:lang w:bidi="fa-IR"/>
        </w:rPr>
        <w:t>.</w:t>
      </w:r>
      <w:bookmarkStart w:id="228" w:name="pg2673_17970"/>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6"/>
        <w:numPr>
          <w:ilvl w:val="5"/>
          <w:numId w:val="1"/>
        </w:numPr>
        <w:rPr/>
      </w:pPr>
      <w:bookmarkStart w:id="229" w:name="__RefHeading___Toc794899_1395250215"/>
      <w:bookmarkStart w:id="230" w:name="_Toc91"/>
      <w:bookmarkEnd w:id="229"/>
      <w:r>
        <w:rPr>
          <w:rtl w:val="true"/>
        </w:rPr>
        <w:t>برسی سندی</w:t>
      </w:r>
      <w:bookmarkEnd w:id="230"/>
    </w:p>
    <w:p>
      <w:pPr>
        <w:pStyle w:val="BookText"/>
        <w:rPr/>
      </w:pPr>
      <w:r>
        <w:rPr>
          <w:rFonts w:ascii="IRNazanin" w:hAnsi="IRNazanin" w:eastAsia="IRNazanin"/>
          <w:color w:val="111111"/>
          <w:sz w:val="28"/>
          <w:sz w:val="28"/>
          <w:szCs w:val="28"/>
          <w:rtl w:val="true"/>
          <w:lang w:bidi="fa-IR"/>
        </w:rPr>
        <w:t xml:space="preserve">این روایت به سندهای گوناگون و متفاوت و در کتاب های متعدد اهل‌سنت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مسلم بن حجاج،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ابن‌حنبل،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کتاب‌هایی که به ذکر سند حدیث پرداخته اند، اسناد این روایت به ابن شهاب زهری از عروۀ بن زبیر از عایشه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عایشه امکان این را نداشته است که در اولین وحی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 و امکان نقل این داستان برای وی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سه سال پیش از هجرت، یعنی حدود ده سال پس از بعثت و در سنّ هفت‌سالگی با پیامبر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به هنگام نزول اولین وحی به دنیا نیامده بود و نمی توانست شاهد آن باشد؛ پس سند این روایت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باید افزود که برخی مورخان جدید، ازدواج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عایشه را در سنین بالاتر وی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مونس،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امر مسلّم است که این ازدواج در مدینه تحقق یافته و او در دورۀ مکه ارتباط مستقیمی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هرچند اگر ارتباطی هم وجود داشت، چون این روایت نقل 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نقص سند آن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اهل‌سنت به مرسل بودن این حدیث اذعان کرده و چارۀ کار را در موارد ذیل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موضوعات مهم در علوم حدیث اهل‌سنت، روایاتی است که به یکی از صحابه، بدون اسناد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اهل‌سنت در این باره اختلاف دارند، اما اکثریت آن‌ها این احادیث را حدیث مسند دانسته و با آن به منزلۀ سنن برخورد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سخاوی،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برخی علمای اهل‌سنت روایتِ عایشه را قابل قبول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فاخذنی فغطنی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عایشه این حدیث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قسطلانی،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سند حدیث ناقص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نگاه توجیه گرانۀ بالا به این نکته باید توجه داشت که با هر توجیهی، باز روایت دچار اضطراب است، زیرا قسمتی از حدیث از زبان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دیگر از زبان عایشه و قسمت آخر هم از زبان حضرت خدیجه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و این عدول از ظاهر حدیث است که کلّ حدیث را از زبان عایشه نقل می‌کند</w:t>
      </w:r>
      <w:r>
        <w:rPr>
          <w:rFonts w:eastAsia="IRNazanin" w:cs="IRNazanin"/>
          <w:color w:val="111111"/>
          <w:sz w:val="28"/>
          <w:szCs w:val="28"/>
          <w:rtl w:val="true"/>
          <w:lang w:bidi="fa-IR"/>
        </w:rPr>
        <w:t>.</w:t>
      </w:r>
    </w:p>
    <w:p>
      <w:pPr>
        <w:pStyle w:val="Heading6"/>
        <w:numPr>
          <w:ilvl w:val="5"/>
          <w:numId w:val="1"/>
        </w:numPr>
        <w:rPr/>
      </w:pPr>
      <w:bookmarkStart w:id="231" w:name="__RefHeading___Toc794901_1395250215"/>
      <w:bookmarkStart w:id="232" w:name="_Toc92"/>
      <w:bookmarkEnd w:id="231"/>
      <w:r>
        <w:rPr>
          <w:rtl w:val="true"/>
        </w:rPr>
        <w:t>برسی متنی</w:t>
      </w:r>
      <w:bookmarkEnd w:id="2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نکاتی وجود دارد که با دیگر گزارش های تاریخی و نیز مبانی اعتقادی اسلام سازگار نیست؛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وحی و مشاهدۀ ملک وحی، باز نبوت خویش را باور نداشت و با راهنمایی همسرشان و ورقه بود که به این باور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صدد القای ـ نعوذ بالله ـ برتری عقل و دانش حضرت خدیجه و ورقۀ بن نوفل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مخالفی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برتری، نیازی نبود که آن دو از پیامبر پیروی کنند؛ در واقع پیامبرِ اصلی، خدیجه و ورقۀ بن نوفل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پرسش‌ها در روایت مذکور، بی‌پاسخ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جبرئیل پیش از آن‌که چیزی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از ایشان می خواهد که چیز ناآورده‌ای را بخوانند؟ بر فرض جبرئیل نوشته ای آورده بود که پیامبر باید از روی آن می خواندند؛ چرا از کسی که به ادعای اهل‌سنت توانایی خواندن نداشته، خواسته تا نوشته ای را بخواند؟ اگر منظور این بوده که پیامبر باید سخنانی را که جبرئیل به ایشان عرضه می دارد تکرار می کردند، در این فرض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به نبوت انتخاب می‌شود که توانایی تکرار چند کلمه را ندارد؛ آن هم کسی که باید پیام های الهی را بی‌کم‌وکاست به انسان‌ها برساند؟ علاوه بر این شیعه، پیامبر را در تمامی حرکات و افعال معصوم می داند، اما اهل‌سنت پیامبر را تنها در دریافت و ابلاغ وحی معصوم می‌دانند؛ حال چگونه است که ایشان از تکرار چند جملۀ کوتاه وحی ناتوان هستند؟ آیا این ناتوانی با عصمت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p>
    <w:p>
      <w:pPr>
        <w:pStyle w:val="BookText"/>
        <w:rPr/>
      </w:pPr>
      <w:r>
        <w:rPr>
          <w:rFonts w:ascii="IRNazanin" w:hAnsi="IRNazanin" w:eastAsia="IRNazanin"/>
          <w:color w:val="111111"/>
          <w:sz w:val="28"/>
          <w:sz w:val="28"/>
          <w:szCs w:val="28"/>
          <w:rtl w:val="true"/>
          <w:lang w:bidi="fa-IR"/>
        </w:rPr>
        <w:t>ـ آیا می توان پذیرفت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خود را از کوه به پایین پرتاب کنند؛ حال آن‌که هر عقل سلیمی خودکشی را روا نمی داند و در اسلام خودکشی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شایستۀ افرادی است که از نعمت عقل بی بهره‌اند، نه فردی مانند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صرف‌نظر از تناقض‌های تاریخی دربارۀ ورقۀ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تشکیک برخی نویسندگان دربارۀ اصل وجود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زرگری‌نژاد،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ورقۀ بن نوفل به این‌که آن فرشته جبرئیل بوده، اذعان داشته و به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معنا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درک می کرد، به ایشان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 به چه معناست؟ او که در همان زمان قبول داشته است که ایشان نبی هستند، چرا ایشان را نصرت نداد و به نبوت ایشان ایمان نیاورد؟</w:t>
      </w:r>
    </w:p>
    <w:p>
      <w:pPr>
        <w:pStyle w:val="BookText"/>
        <w:rPr/>
      </w:pPr>
      <w:r>
        <w:rPr>
          <w:rFonts w:ascii="IRNazanin" w:hAnsi="IRNazanin" w:eastAsia="IRNazanin"/>
          <w:color w:val="111111"/>
          <w:sz w:val="28"/>
          <w:sz w:val="28"/>
          <w:szCs w:val="28"/>
          <w:rtl w:val="true"/>
          <w:lang w:bidi="fa-IR"/>
        </w:rPr>
        <w:t>ـ چه دلیلی وجود داشت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ورقه را بپذیرند و به سخنان او اعتماد کنند، آن هم در امر خطیری همچون نبوت، ولی سخنان امین وحی را باور نکنند؟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از شیر گرفته شدند، شب و روز با بزرگ‌ترین ملک از ملائکه الهی قرین و همراه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بی تا،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بزرگ‌ترین ملک همان جبرئیل بود، پس پیامبر از دوران کودکی با ایشان مأنوس بودند و ترس یا نشناختن ملک برای ایشان منتفی خواهد بود؛ و اگر این</w:t>
      </w:r>
      <w:bookmarkStart w:id="233" w:name="pg2673_17972"/>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بزرگ‌ترین ملک غیر از جبرئیل بود، پس رسول خدا که از کودکی با ملکی بزرگ‌تر از جبرئیل مأنوس بودند، از جبرئیل نخواهند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نقل مورخان را مبنی بر این‌که پیامبر از سخنان ورقه آرام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 وجود آن‌که بشارت های فراوانی دربارۀ نبوت ایشان از طریق مسیحیان و یهودیان داده شده بود و به نصّ آیۀ قرآن، مسیحیان و یهودیان ایشان را مانند فرزندان خود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قبول نیست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خود اطلاع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جامعه ای که بسیاری از مردم به طمعِ این‌که فرزندشان پیامبر باشد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پیامبریِ خود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این‌که پدرانِ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 خواب دید که نوری از پیامبر ساطع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خواب نتیجه گرفت که پسرش، شأن و مقام والایی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حتی معتقد بود شیطان راهی به پسرش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ابن هشام،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ایشان اعتقاد داشتند، می توان پذیرفت که خود ایشان از نبوت خود آگاه نبودند؟</w:t>
      </w:r>
      <w:r>
        <w:rPr>
          <w:rFonts w:eastAsia="IRNazanin" w:cs="IRNazanin"/>
          <w:color w:val="111111"/>
          <w:sz w:val="28"/>
          <w:szCs w:val="28"/>
          <w:rtl w:val="true"/>
          <w:lang w:bidi="fa-IR"/>
        </w:rPr>
        <w:t>!</w:t>
      </w:r>
    </w:p>
    <w:p>
      <w:pPr>
        <w:pStyle w:val="Heading5"/>
        <w:numPr>
          <w:ilvl w:val="4"/>
          <w:numId w:val="1"/>
        </w:numPr>
        <w:rPr/>
      </w:pPr>
      <w:bookmarkStart w:id="234" w:name="__RefHeading___Toc794903_1395250215"/>
      <w:bookmarkStart w:id="235" w:name="_Toc93"/>
      <w:bookmarkEnd w:id="234"/>
      <w:r>
        <w:rPr>
          <w:rtl w:val="true"/>
        </w:rPr>
        <w:t>روایت ابن شهاب زهری از ابوسلمه از جابر</w:t>
      </w:r>
      <w:bookmarkEnd w:id="235"/>
    </w:p>
    <w:p>
      <w:pPr>
        <w:pStyle w:val="BookText"/>
        <w:rPr/>
      </w:pPr>
      <w:r>
        <w:rPr>
          <w:rFonts w:ascii="IRNazanin" w:hAnsi="IRNazanin" w:eastAsia="IRNazanin"/>
          <w:color w:val="111111"/>
          <w:sz w:val="28"/>
          <w:sz w:val="28"/>
          <w:szCs w:val="28"/>
          <w:rtl w:val="true"/>
          <w:lang w:bidi="fa-IR"/>
        </w:rPr>
        <w:t>جابر بن عبدالله انصاری نقل کرده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مدتی وحی از من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راه می رفتم، از آسمان ندایی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کردم، دیدم فرشته ای که در حرا به نزد من آمده بود، اکنون بر تختی میان آسمان و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او ترسیدم و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پارچه ای بپوشانید و آن‌ها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بر من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فَاَنذِر و رَبُّکَ فَکَبِّر وَ ثِیابَکَ فَطَهِّر 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بر من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نیز که به اسناد گوناگون در کتاب های اهل‌سنت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مطلب اشاره دارد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که در غار حرا دیده دوباره در جای دیگر مشاهده می‌کند، ولی دربارۀ چگونگی ماجرای کوه حرا و اولین نزول وحی در آن ماجرا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پیش از این ملکی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در این باره نیز بر ایشان نازل شده است و ارتباطی به اولین نزول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236" w:name="__RefHeading___Toc794905_1395250215"/>
      <w:bookmarkStart w:id="237" w:name="_Toc94"/>
      <w:bookmarkEnd w:id="236"/>
      <w:r>
        <w:rPr>
          <w:rtl w:val="true"/>
        </w:rPr>
        <w:t>روایت عبید بن عمیر بن قتادۀ لیثی</w:t>
      </w:r>
      <w:bookmarkEnd w:id="237"/>
    </w:p>
    <w:p>
      <w:pPr>
        <w:pStyle w:val="Heading6"/>
        <w:numPr>
          <w:ilvl w:val="5"/>
          <w:numId w:val="1"/>
        </w:numPr>
        <w:rPr/>
      </w:pPr>
      <w:bookmarkStart w:id="238" w:name="__RefHeading___Toc794907_1395250215"/>
      <w:bookmarkStart w:id="239" w:name="_Toc95"/>
      <w:bookmarkEnd w:id="238"/>
      <w:r>
        <w:rPr>
          <w:rtl w:val="true"/>
        </w:rPr>
        <w:t>اشاره</w:t>
      </w:r>
      <w:bookmarkEnd w:id="2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اسحـاق از وهب بن کیسان نقل کـرده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عبدالله بن زبیر از عبید بن عمیر بن قتادۀ</w:t>
      </w:r>
      <w:bookmarkStart w:id="240" w:name="pg2673_17973"/>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لیثی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وحی بر پیامبر که جبرئیل بر ایشان آورد، چگونه بود؟ عبید به عبدالله بن زبیر و کسانی که در آن‌جا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ماه در غار حرا حاضر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در آن مدت از قریش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بعد تقریباً با روایت عایشه هم‌داستان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Heading6"/>
        <w:numPr>
          <w:ilvl w:val="5"/>
          <w:numId w:val="1"/>
        </w:numPr>
        <w:rPr/>
      </w:pPr>
      <w:bookmarkStart w:id="241" w:name="__RefHeading___Toc794909_1395250215"/>
      <w:bookmarkStart w:id="242" w:name="_Toc96"/>
      <w:bookmarkEnd w:id="241"/>
      <w:r>
        <w:rPr>
          <w:rtl w:val="true"/>
        </w:rPr>
        <w:t>برسی سندی</w:t>
      </w:r>
      <w:bookmarkEnd w:id="242"/>
    </w:p>
    <w:p>
      <w:pPr>
        <w:pStyle w:val="BookText"/>
        <w:rPr/>
      </w:pPr>
      <w:r>
        <w:rPr>
          <w:rFonts w:ascii="IRNazanin" w:hAnsi="IRNazanin" w:eastAsia="IRNazanin"/>
          <w:color w:val="111111"/>
          <w:sz w:val="28"/>
          <w:sz w:val="28"/>
          <w:szCs w:val="28"/>
          <w:rtl w:val="true"/>
          <w:lang w:bidi="fa-IR"/>
        </w:rPr>
        <w:t>دیدگاه ها دربارۀ عبید بن عمیر لیثی، متفاوت است؛ برخی او را از صحابه ای دانسته اند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برخی چنین اعتقادی نداشته و او را از بزرگان تابعین به شمار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وی در دوران نزولِ اولین وحی، به این دنیا پا نگذاشته بود و این روایت همانند روایت عایشه، مستند نبوده و حجیت لازم را نخواهد داشت</w:t>
      </w:r>
      <w:r>
        <w:rPr>
          <w:rFonts w:eastAsia="IRNazanin" w:cs="IRNazanin"/>
          <w:color w:val="111111"/>
          <w:sz w:val="28"/>
          <w:szCs w:val="28"/>
          <w:rtl w:val="true"/>
          <w:lang w:bidi="fa-IR"/>
        </w:rPr>
        <w:t>.</w:t>
      </w:r>
    </w:p>
    <w:p>
      <w:pPr>
        <w:pStyle w:val="Heading6"/>
        <w:numPr>
          <w:ilvl w:val="5"/>
          <w:numId w:val="1"/>
        </w:numPr>
        <w:rPr/>
      </w:pPr>
      <w:bookmarkStart w:id="243" w:name="__RefHeading___Toc794911_1395250215"/>
      <w:bookmarkStart w:id="244" w:name="_Toc97"/>
      <w:bookmarkEnd w:id="243"/>
      <w:r>
        <w:rPr>
          <w:rtl w:val="true"/>
        </w:rPr>
        <w:t>برسی محتوایی</w:t>
      </w:r>
      <w:bookmarkEnd w:id="244"/>
    </w:p>
    <w:p>
      <w:pPr>
        <w:pStyle w:val="BookText"/>
        <w:rPr/>
      </w:pPr>
      <w:r>
        <w:rPr>
          <w:rFonts w:ascii="IRNazanin" w:hAnsi="IRNazanin" w:eastAsia="IRNazanin"/>
          <w:color w:val="111111"/>
          <w:sz w:val="28"/>
          <w:sz w:val="28"/>
          <w:szCs w:val="28"/>
          <w:rtl w:val="true"/>
          <w:lang w:bidi="fa-IR"/>
        </w:rPr>
        <w:t>این روایت در دوران عبدالله بن زبیر گفته شده و در تاریخ مشهور است که عبدالله چهل هفته در خطبۀ نماز،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تا بنی هاشم به شنیدنِ نام ایشان گردن‌افرازی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طبیعی است که در این دوران، برای کاهش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تمامی اشکال‌هایی که دربارۀ روایت اول وجود دارد، دربارۀ این روایت نیز می توان بیان کرد</w:t>
      </w:r>
      <w:r>
        <w:rPr>
          <w:rFonts w:eastAsia="IRNazanin" w:cs="IRNazanin"/>
          <w:color w:val="111111"/>
          <w:sz w:val="28"/>
          <w:szCs w:val="28"/>
          <w:rtl w:val="true"/>
          <w:lang w:bidi="fa-IR"/>
        </w:rPr>
        <w:t>.</w:t>
      </w:r>
    </w:p>
    <w:p>
      <w:pPr>
        <w:pStyle w:val="Heading5"/>
        <w:numPr>
          <w:ilvl w:val="4"/>
          <w:numId w:val="1"/>
        </w:numPr>
        <w:rPr/>
      </w:pPr>
      <w:bookmarkStart w:id="245" w:name="__RefHeading___Toc794913_1395250215"/>
      <w:bookmarkStart w:id="246" w:name="_Toc98"/>
      <w:bookmarkEnd w:id="245"/>
      <w:r>
        <w:rPr>
          <w:rtl w:val="true"/>
        </w:rPr>
        <w:t>پرسش ابوذر درباره اولین نزول وحی</w:t>
      </w:r>
      <w:bookmarkEnd w:id="246"/>
    </w:p>
    <w:p>
      <w:pPr>
        <w:pStyle w:val="Heading6"/>
        <w:numPr>
          <w:ilvl w:val="5"/>
          <w:numId w:val="1"/>
        </w:numPr>
        <w:rPr/>
      </w:pPr>
      <w:bookmarkStart w:id="247" w:name="__RefHeading___Toc794915_1395250215"/>
      <w:bookmarkStart w:id="248" w:name="_Toc9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روایتی دیگر، پرسش و پاسخی میان ابوذر یا ابوهریره و یا یک شخص نامعلوم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شما پیامبرید؟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بطحاء بودم که دو فرشته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فرشته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اوست؟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یک نفر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نفر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ده نفر 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تمامی امتش وزن کنی، باز هم وزنِ او بیشتر است</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برخی منابع اهل‌سنت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در ادامه، 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bookmarkStart w:id="249" w:name="pg2673_17974"/>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دارمی این روایت را بدون ذکر حادثۀ شق صدر نقل کرده و تقریباً با روایتی که در ادامه از کتب شیعه نقل خواهد شد، همسوست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6"/>
        <w:numPr>
          <w:ilvl w:val="5"/>
          <w:numId w:val="1"/>
        </w:numPr>
        <w:rPr/>
      </w:pPr>
      <w:bookmarkStart w:id="250" w:name="__RefHeading___Toc794917_1395250215"/>
      <w:bookmarkStart w:id="251" w:name="_Toc100"/>
      <w:bookmarkEnd w:id="250"/>
      <w:r>
        <w:rPr>
          <w:rtl w:val="true"/>
        </w:rPr>
        <w:t>برسی محتوایی</w:t>
      </w:r>
      <w:bookmarkEnd w:id="251"/>
    </w:p>
    <w:p>
      <w:pPr>
        <w:pStyle w:val="BookText"/>
        <w:rPr/>
      </w:pPr>
      <w:r>
        <w:rPr>
          <w:rFonts w:ascii="IRNazanin" w:hAnsi="IRNazanin" w:eastAsia="IRNazanin"/>
          <w:color w:val="111111"/>
          <w:sz w:val="28"/>
          <w:sz w:val="28"/>
          <w:szCs w:val="28"/>
          <w:rtl w:val="true"/>
          <w:lang w:bidi="fa-IR"/>
        </w:rPr>
        <w:t>توزینِ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گوناگون، تمثیلی نمادین از جایگاه والای معنوی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این روایت تناقض‌هایی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های تاریخی که مدعی داستان شقّ صدرند، این حادثه در سنین کودکی پیامبر اتفاق افتاده، اما نزول وحی بر پیامبر در سنّ چهل‌سالگی بوده؛ بنابراین یا باید به نقل دارمی که با روایت شیعه هم‌خوانی دارد، اکتفا</w:t>
      </w:r>
    </w:p>
    <w:p>
      <w:pPr>
        <w:pStyle w:val="BookText"/>
        <w:rPr/>
      </w:pPr>
      <w:r>
        <w:rPr>
          <w:rFonts w:ascii="IRNazanin" w:hAnsi="IRNazanin" w:eastAsia="IRNazanin"/>
          <w:color w:val="111111"/>
          <w:sz w:val="28"/>
          <w:sz w:val="28"/>
          <w:szCs w:val="28"/>
          <w:rtl w:val="true"/>
          <w:lang w:bidi="fa-IR"/>
        </w:rPr>
        <w:t>کرد و باقی وقایع را ساختۀ دست جاعلان دانست و یا باید پذیرفت که ایشان از کودکی پیامبر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5"/>
        <w:numPr>
          <w:ilvl w:val="4"/>
          <w:numId w:val="1"/>
        </w:numPr>
        <w:rPr/>
      </w:pPr>
      <w:bookmarkStart w:id="252" w:name="__RefHeading___Toc794919_1395250215"/>
      <w:bookmarkStart w:id="253" w:name="_Toc101"/>
      <w:bookmarkEnd w:id="252"/>
      <w:r>
        <w:rPr>
          <w:rtl w:val="true"/>
        </w:rPr>
        <w:t>روایات دیگر</w:t>
      </w:r>
      <w:bookmarkEnd w:id="253"/>
    </w:p>
    <w:p>
      <w:pPr>
        <w:pStyle w:val="Heading6"/>
        <w:numPr>
          <w:ilvl w:val="5"/>
          <w:numId w:val="1"/>
        </w:numPr>
        <w:rPr/>
      </w:pPr>
      <w:bookmarkStart w:id="254" w:name="__RefHeading___Toc794921_1395250215"/>
      <w:bookmarkStart w:id="255" w:name="_Toc10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روایات مشابه دیگری در این زمینه از عکرمه از زبان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ابن سعد، الطبقات،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اولاً، هر دوی این صحابه در زمان آغاز بعثت به دنیا نیامده بودند و از متولدان دوران مدینه به شمار می‌آیند و اشکال عدم اسناد هم‌چنان بر آن‌ها هم وارد است؛ و ثانیاً، از نظر محتوایی، مشابه روایات مزبور بوده و همان اشکال‌ها متوجه این نقل‌ها خواهد بود</w:t>
      </w:r>
      <w:r>
        <w:rPr>
          <w:rFonts w:eastAsia="IRNazanin" w:cs="IRNazanin"/>
          <w:color w:val="111111"/>
          <w:sz w:val="28"/>
          <w:szCs w:val="28"/>
          <w:rtl w:val="true"/>
          <w:lang w:bidi="fa-IR"/>
        </w:rPr>
        <w:t>.</w:t>
      </w:r>
    </w:p>
    <w:p>
      <w:pPr>
        <w:pStyle w:val="Heading6"/>
        <w:numPr>
          <w:ilvl w:val="5"/>
          <w:numId w:val="1"/>
        </w:numPr>
        <w:rPr/>
      </w:pPr>
      <w:bookmarkStart w:id="256" w:name="__RefHeading___Toc794923_1395250215"/>
      <w:bookmarkStart w:id="257" w:name="_Toc103"/>
      <w:bookmarkEnd w:id="256"/>
      <w:r>
        <w:rPr>
          <w:rtl w:val="true"/>
        </w:rPr>
        <w:t>تلاش برای توجیه این روایات</w:t>
      </w:r>
      <w:bookmarkEnd w:id="257"/>
    </w:p>
    <w:p>
      <w:pPr>
        <w:pStyle w:val="BookText"/>
        <w:rPr/>
      </w:pPr>
      <w:r>
        <w:rPr>
          <w:rFonts w:ascii="IRNazanin" w:hAnsi="IRNazanin" w:eastAsia="IRNazanin"/>
          <w:color w:val="111111"/>
          <w:sz w:val="28"/>
          <w:sz w:val="28"/>
          <w:szCs w:val="28"/>
          <w:rtl w:val="true"/>
          <w:lang w:bidi="fa-IR"/>
        </w:rPr>
        <w:t>با توجه به این‌که در روایات مزبور، به مقام شامخ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شده است و حتی موجب عدم اطمینان به نبوت ایشان می شود، برخی دانشمندان تلاش کردند تا این روایات را توجیه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قاضی عیاض معتقد است، ترس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وحی و یا تردید ایشان در الهی بودن آنچه بر ایشان نازل شده، نبوده است، بلکه ترس از عدم موفقیت، عدم توانایی در تبلیغ رسالت و یا ترس از شیطانی بودن وحی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عیاض،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صورتی که این روایات صحیح باشد</w:t>
      </w:r>
      <w:r>
        <w:rPr>
          <w:rStyle w:val="FootnoteAnchor"/>
          <w:rtl w:val="true"/>
        </w:rPr>
        <w:footnoteReference w:id="29"/>
      </w:r>
      <w:r>
        <w:rPr>
          <w:rFonts w:ascii="IRNazanin" w:hAnsi="IRNazanin" w:eastAsia="IRNazanin"/>
          <w:color w:val="111111"/>
          <w:sz w:val="28"/>
          <w:sz w:val="28"/>
          <w:szCs w:val="28"/>
          <w:rtl w:val="true"/>
          <w:lang w:bidi="fa-IR"/>
        </w:rPr>
        <w:t xml:space="preserve">، باز هم مربوط به اوایل دوران بعثت پیامبر است که هنوز با ملک رابطه ای نداشتند، اما پس از نزول وحی و ملاقات با ملک، شک در ایشان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ـ نووی احتمال دوم قاضی عیاض را رد کرده و آن را مخالف صریح آیه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کرمانی پس از نقل دو نظر فوق، احتمال سومی مبنی بر ترس خودِ پیامبر از نزول وحی مطرح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شواهدی قرار داد تا ایشان متوجه شوند جبرئیل نزد ایشان آمده است، 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الکرمانی،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روایاتی نقل شده است که درختان و سنگ ها پیش از بعثت،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نبوت سلام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وشنانی و سنوسی در شروح خود بر صحیح مسلم معتقدند، رؤیای صادقه و سلام کردن حجر، برای آمادگی ایشان برای نزول وحی بوده است؛ به این ترتیب که در ابتدا</w:t>
      </w:r>
    </w:p>
    <w:p>
      <w:pPr>
        <w:pStyle w:val="BookText"/>
        <w:rPr/>
      </w:pPr>
      <w:r>
        <w:rPr>
          <w:rFonts w:ascii="IRNazanin" w:hAnsi="IRNazanin" w:eastAsia="IRNazanin"/>
          <w:color w:val="111111"/>
          <w:sz w:val="28"/>
          <w:sz w:val="28"/>
          <w:szCs w:val="28"/>
          <w:rtl w:val="true"/>
          <w:lang w:bidi="fa-IR"/>
        </w:rPr>
        <w:t>روح پیامبر برای نزول وحی بر ایشان انس پیدا کند و از این‌که برای اولین بار وحی ایشان را</w:t>
      </w:r>
    </w:p>
    <w:p>
      <w:pPr>
        <w:pStyle w:val="BookText"/>
        <w:rPr/>
      </w:pPr>
      <w:r>
        <w:rPr>
          <w:rFonts w:ascii="IRNazanin" w:hAnsi="IRNazanin" w:eastAsia="IRNazanin"/>
          <w:color w:val="111111"/>
          <w:sz w:val="28"/>
          <w:sz w:val="28"/>
          <w:szCs w:val="28"/>
          <w:rtl w:val="true"/>
          <w:lang w:bidi="fa-IR"/>
        </w:rPr>
        <w:t xml:space="preserve">غافل گیر کند ممانعت نماید، چراکه قوای بشری تحمل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عیاض،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مسلم بن حجاج،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احمد بن ابراهیم اسماعیلی جرجانی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ایشان از عدم علم ضروری به الهی بودن آنچه بر ایشان نازل شده است،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زرقانی،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قسطلانی و زرقانی ترس ایشان را از کشته شدن از سوی قوم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زرقانی،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حجر دربارۀ تکرار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مرتبۀ اول به دلیل امتناع، مرتبۀ دوم به دلیل اخبار به نفی محض و مرتبۀ سوم بر استفهام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شوکانی این اقدام را شکایت ایشان از وضعیت اوایل وحی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دانشمندان جدید، اکرم ضیاء العمری فرازی از این حدیث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خود را از کوه پرتاب کنند، منافی عصمت ایشان و آن را غیرصحیح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توجیه‌ها از این امر ناشی می شود که این افراد نتوانسته اند خود را از چنگال انبوه روایات نقل‌شده در این زمینه رها سازند، هرچند این روایات تا چند نسل، همگی خبر واحد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متوجه این نبودند که با این توجیهات، از جایگاه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کرد که ریشۀ این روایات، تلاش برخی جریان‌های سیاسی صدر اسلام است که سعی در عادی سازی و زمینی دانستن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به‌خصوص آل‌زبیر که پس از شکست سیاسی، در عرصۀ فرهنگی به ترویج باورهای خود پرداخته</w:t>
      </w:r>
      <w:bookmarkStart w:id="258" w:name="pg2673_17976"/>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در این جبهه نیز مانند جبهۀ سیاسی، از عایشه که خالۀ آنان بود، بیشترین استفاده را بردند</w:t>
      </w:r>
      <w:r>
        <w:rPr>
          <w:rFonts w:eastAsia="IRNazanin" w:cs="IRNazanin"/>
          <w:color w:val="111111"/>
          <w:sz w:val="28"/>
          <w:szCs w:val="28"/>
          <w:rtl w:val="true"/>
          <w:lang w:bidi="fa-IR"/>
        </w:rPr>
        <w:t>.</w:t>
      </w:r>
    </w:p>
    <w:p>
      <w:pPr>
        <w:pStyle w:val="Heading4"/>
        <w:numPr>
          <w:ilvl w:val="3"/>
          <w:numId w:val="1"/>
        </w:numPr>
        <w:rPr/>
      </w:pPr>
      <w:bookmarkStart w:id="259" w:name="__RefHeading___Toc794925_1395250215"/>
      <w:bookmarkStart w:id="260" w:name="_Toc104"/>
      <w:bookmarkEnd w:id="259"/>
      <w:r>
        <w:rPr/>
        <w:t>2</w:t>
      </w:r>
      <w:r>
        <w:rPr>
          <w:rtl w:val="true"/>
        </w:rPr>
        <w:t xml:space="preserve">. </w:t>
      </w:r>
      <w:r>
        <w:rPr>
          <w:rtl w:val="true"/>
        </w:rPr>
        <w:t>دیدگاه مستشرقان درباره روایات بداء الوحی</w:t>
      </w:r>
      <w:bookmarkEnd w:id="260"/>
    </w:p>
    <w:p>
      <w:pPr>
        <w:pStyle w:val="BookText"/>
        <w:rPr/>
      </w:pPr>
      <w:r>
        <w:rPr>
          <w:rFonts w:ascii="IRNazanin" w:hAnsi="IRNazanin" w:eastAsia="IRNazanin"/>
          <w:color w:val="111111"/>
          <w:sz w:val="28"/>
          <w:sz w:val="28"/>
          <w:szCs w:val="28"/>
          <w:rtl w:val="true"/>
          <w:lang w:bidi="fa-IR"/>
        </w:rPr>
        <w:t>تلاش برای اثبات غیرالهی بودن و غیراصیل بودن دین اسلام، عمده ترین رویکرد شرق شناسان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مدعی‌اند به دلیل وجود مسیحیان و یهودیان فراوان در جامعۀ عربستان،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تعالیم آن‌ها بهره برده و دین اسلام را به جامعۀ عربستان عرضه کرده و در واقع، اسلام چکیده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ادیان پیشین و فضای اجتماعی ـ فرهنگی مکه است و تحت تأثیر</w:t>
      </w:r>
    </w:p>
    <w:p>
      <w:pPr>
        <w:pStyle w:val="BookText"/>
        <w:rPr/>
      </w:pPr>
      <w:r>
        <w:rPr>
          <w:rFonts w:ascii="IRNazanin" w:hAnsi="IRNazanin" w:eastAsia="IRNazanin"/>
          <w:color w:val="111111"/>
          <w:sz w:val="28"/>
          <w:sz w:val="28"/>
          <w:szCs w:val="28"/>
          <w:rtl w:val="true"/>
          <w:lang w:bidi="fa-IR"/>
        </w:rPr>
        <w:t>فرهنگ های پیشین یا موجود در آن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اکّدی، بابلی، آرامی، سریانی و حبشی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اساسی ترین دلیل و شاهد این افراد در اثبات تأثیرپذیری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 و یهودیان، داستان دیدار ایشان با ورقۀ بن نوفل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واقعه در</w:t>
      </w:r>
    </w:p>
    <w:p>
      <w:pPr>
        <w:pStyle w:val="BookText"/>
        <w:rPr/>
      </w:pPr>
      <w:r>
        <w:rPr>
          <w:rFonts w:ascii="IRNazanin" w:hAnsi="IRNazanin" w:eastAsia="IRNazanin"/>
          <w:color w:val="111111"/>
          <w:sz w:val="28"/>
          <w:sz w:val="28"/>
          <w:szCs w:val="28"/>
          <w:rtl w:val="true"/>
          <w:lang w:bidi="fa-IR"/>
        </w:rPr>
        <w:t xml:space="preserve">مهم ترین کتاب های حدیثی و تاریخیِ اهل‌سنت بیان شده و از سوی دیگر، ورقۀ بن نوفل از افرادی است که به مسیحی بودن او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ابن کثیر،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مارگلیوث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اولین گزارش ها، پیامبر از اولین تجربه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داشته و بیمِ این را داشته است که کاهن یا شاعر شده باشد و لذا می خواست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یافت و به او آرامش و بشارت داد که</w:t>
      </w:r>
    </w:p>
    <w:p>
      <w:pPr>
        <w:pStyle w:val="BookText"/>
        <w:rPr/>
      </w:pPr>
      <w:r>
        <w:rPr>
          <w:rFonts w:ascii="IRNazanin" w:hAnsi="IRNazanin" w:eastAsia="IRNazanin"/>
          <w:color w:val="111111"/>
          <w:sz w:val="28"/>
          <w:sz w:val="28"/>
          <w:szCs w:val="28"/>
          <w:rtl w:val="true"/>
          <w:lang w:bidi="fa-IR"/>
        </w:rPr>
        <w:t>او پیامبر این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 توان پذیرفت، خدیجه از پیش با این واژه آشنا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خویشاوند خود، ورقۀ بن نوفل مشورت کرد و او نیز همین دلگرمی را به او داد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Margoliouth, 1905: 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مارگلیوث پس از این، به جملۀ معروف ورقۀ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 هذا هو الناموس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یونانی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Margoliouth, 1905: 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سخن به معنای تأثیر مسیحیت بر ورقه است که ورقه نیز بر پیامبر تأثیر گذاشته است؛ در واقع، پیامبر از این طریق به طور غیرمستقیم از مسیحیان تأثیر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مونتگومری وات پس از نقل داستان‌های نقل‌شده در کتاب های اسلامی دربارۀ آغاز بعثت، به داستان تشویق حضرت خدیجه و رفتن به نزد ورقۀ بن نوفل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توجهی خاص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پس از بحث در این زمینه، چنین نتیجه می گیرد که ورقه تحت تأثیر تعالیم یونانیان بوده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قانون یا متن مقدس وحی‌شده به کار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معنای دقیق این واژه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Barney, 6: 631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مونتگومری وات پس از ذکر عبارت مزبور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 ورقه باعث شد که محمد پس از آن وحی را دریافت کند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می تواند این معنا را داشته باشد که آنچه محمد دریافت می کرد، با متون مقدس مسیحیان و یهودیان ارتباط داشته و یا حداقل در ردیف آنان قرار بگیرد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Watt, 1960: 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وات معتقد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درس‌ناخوانده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دربارۀ ایشان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ورقه تنها کسی از اطرافیان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سوادِ خواندن و نوشتن داشته، وات مصداق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 این آیه در صدد یادآوری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گیری پیامبر از ورقه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Watt, 1960: 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در انتهای بحث، از مدیون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ورقه نتیجه می گیرد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مراودات فراوانی با ورقه داشت و در روزهای اول نبوت خود، مسائل بسیاری را از او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در پایان به صراحت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معتقدات و تصورات بعدی اسلامی، توسط ورقه شکل گرفته که این به معنای این است که تمام تعالیم محمد، از ادیان پیشین اخذ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Watt, 1960: 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 در کتاب محمد در مدینه، در فصل نهم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همین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به نظام دینی اسلام پرداخته و سپس به رابطۀ اسلام و مشرکان اشاره می‌کند و در نهایت،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روابط متقابل اسلام و مسیحیت پرداخته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Watt, 1956: 303-321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باز هم در ابتدای این بخش، به ورقه و نقش او در وقایع اسلام اشاره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تعداد مسیحیان فراوان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ورقۀ بن نوفل بود که پسرعموی خدیجه نیز بود که احتمالاً تأثیری قابل ملاحظه بر محمد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مسیحیان، بردگان حبشی بودند که اعتقاد صحیحی دربارۀ مسیحیت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در سفرهای خود به شام، از مسیحیان چیزهایی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به مدینه نرفته بود، با یهودیان هیچ ارتباطی نداشت و در ابتدا امیدوار بود که یهودیان به نبوت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مانند ورقه رابطه نداشته است، فرضی بدون دلیل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Watt, 1956: 315-316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وایر، نویسندۀ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دایرۀالمعارف اسلام، ابتدا به ذکر معانی گوناگونِ این واژه در حوزه های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با ذکر عباراتی از انجیل یوحنا که در آن با استفاده از این واژه،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اسلام، این واژه ناشناخته بود تا این‌که ابن هشام آن را به شکل ناموس در کتاب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زندگی‌نامۀ پیامبر نشان می دهند، ورقۀ بن نوفل به صراحت محمد را با فارقلیط که مسیح، بشارت او را در عباراتی از انجیل داده، مرتبط کرده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Vire, 1986, 7: 953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به طور ضمنی در صدد بیان دانش ورقه به کتب مسیحیت و هم‌چنین دِین جامعۀ اسلامی به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به جهت تعریف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با ذکر جملۀ ورقه، به بیان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فرهنگ های لغت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رابینسون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دایرۀ‌المعارف اسلام، اهمیت وی در تاریخ اسلام را نقش وی در راهنمایی در اولین وحی به پیامبر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بررسی زندگی ورقه، به آشنایی وی با کتاب های مسیحیت اشاره کرده و در پایان به نقش وی در راهنمایی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 در گزارش‌های مرتبط با اولین آیاتِ نازل‌شده بر پیامبر، جایگاه خود را در تاریخ اسلام به دست آورد که او بر این‌که اولین وحی‌های ابتدایی بر محمد موثق بوده است، صحه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که بر موسی 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به جبرئیل ملک 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 به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 برای تعیین چگونگی این دیدار،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خدیجه، محمد را تنها به نزد ورقه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خدیجه به تنهایی می رفت و سخنان ورقه را به او گزارش می داد و گاهی اوقات خدیجه و ابوبکر به نزد وی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تمامی این سخنان، ورقه به دین مسیحی خود باقی ماند و مسلمان نشد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Robinson, "Waraqa b. Nawfal", Encyclopedia of Islam, 11: 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نویسندۀ این مقاله، به داستان ورقه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روایات مذکور در کتب معتقد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سخن ورقه به حقانیت خود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روایات کتب اسلامی، با این گفته ها در صدد اثبات نقش ورقه در تاریخ اسلام و هم‌چنین تأثیر وی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مقاله، برخلاف دیگر نویسندگان، مدعی است این دیدار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دیگر در این باره، ادعای نویسنده دربارۀ عدم ایمان آوردن ورقه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با این کلام، این مطلب را به خواننده القا می کند که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کسی که به وحیانی بودن و موثق بودن آنچه بر ایشان نازل شده بود شهادت داد، مورد قبول قرار نگرفته است؛ این موضوع نشان‌دهندۀ کاستی در دین اسلام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کارن آرمسترانگ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دایرۀ‌المعارف دین، دربارۀ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بعثت که به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معتقد است که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محدود به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و ورقۀ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ورقه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دو سال محمد، دعوت خود را خاموش نگه داشت و تنها بر دو نفر که همسرش خدیجه و پسرعموی همسرش ورقۀ بن نوفل که پیش از این به مسیحیت گرویده بود،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دادند تا اعتقاد پیدا کند آنچه دیده است، وحی</w:t>
      </w:r>
      <w:bookmarkStart w:id="261" w:name="pg2673_17979"/>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الهی بوده و از سوی خداست و او انتخاب شده است تا دین مسیح و یهود را به اعراب برساند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Armstrong, 2005, 9: 6221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آخر آرمسترانگ می توان چنین نتیجه گرفت که وی نه تنها معتقد به عدم اصالتِ دین اسلام و تأثیر‌پذیری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 و یهودیان است، بلکه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ابلاغ دین مسیحیت و یهودیت می داند</w:t>
      </w:r>
      <w:r>
        <w:rPr>
          <w:rFonts w:eastAsia="IRNazanin" w:cs="IRNazanin"/>
          <w:color w:val="111111"/>
          <w:sz w:val="28"/>
          <w:szCs w:val="28"/>
          <w:rtl w:val="true"/>
          <w:lang w:bidi="fa-IR"/>
        </w:rPr>
        <w:t>.</w:t>
      </w:r>
    </w:p>
    <w:p>
      <w:pPr>
        <w:pStyle w:val="Heading4"/>
        <w:numPr>
          <w:ilvl w:val="3"/>
          <w:numId w:val="1"/>
        </w:numPr>
        <w:rPr/>
      </w:pPr>
      <w:bookmarkStart w:id="262" w:name="__RefHeading___Toc794927_1395250215"/>
      <w:bookmarkStart w:id="263" w:name="_Toc105"/>
      <w:bookmarkEnd w:id="262"/>
      <w:r>
        <w:rPr/>
        <w:t>3</w:t>
      </w:r>
      <w:r>
        <w:rPr>
          <w:rtl w:val="true"/>
        </w:rPr>
        <w:t xml:space="preserve">. </w:t>
      </w:r>
      <w:r>
        <w:rPr>
          <w:rtl w:val="true"/>
        </w:rPr>
        <w:t>دیدگاه امامیه</w:t>
      </w:r>
      <w:bookmarkEnd w:id="263"/>
    </w:p>
    <w:p>
      <w:pPr>
        <w:pStyle w:val="Heading5"/>
        <w:numPr>
          <w:ilvl w:val="4"/>
          <w:numId w:val="1"/>
        </w:numPr>
        <w:rPr/>
      </w:pPr>
      <w:bookmarkStart w:id="264" w:name="__RefHeading___Toc794929_1395250215"/>
      <w:bookmarkStart w:id="265" w:name="_Toc106"/>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روایت های موجود دربارۀ اولین وحی در منابع اهل‌سنت که به برخی صحابه استناد داده می شود، از سوی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ضعیف یا صحیح، نقل نشده و هیچ‌کدام از راویان شیعه و در هیچ‌یک از مجامع حدیثی و کتاب‌های روایی شیعه آورده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آن‌ها را نقل کرده، با همین سند مذکور و به نقل از ابن شهاب زهری از عروۀ بن زبیر از عایشه،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طبرسی،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دانشمندانی مانند ملاصالح مازندرانی بر این نکته که این روایت از طریق اهل‌سنت نقل شده،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به نقد این روایات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شیعه، واقعۀ نزول اولین آیات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متفاوت از آنچه گفته شد، بیان شده است</w:t>
      </w:r>
      <w:r>
        <w:rPr>
          <w:rFonts w:eastAsia="IRNazanin" w:cs="IRNazanin"/>
          <w:color w:val="111111"/>
          <w:sz w:val="28"/>
          <w:szCs w:val="28"/>
          <w:rtl w:val="true"/>
          <w:lang w:bidi="fa-IR"/>
        </w:rPr>
        <w:t>.</w:t>
      </w:r>
    </w:p>
    <w:p>
      <w:pPr>
        <w:pStyle w:val="Heading5"/>
        <w:numPr>
          <w:ilvl w:val="4"/>
          <w:numId w:val="1"/>
        </w:numPr>
        <w:rPr/>
      </w:pPr>
      <w:bookmarkStart w:id="266" w:name="__RefHeading___Toc794931_1395250215"/>
      <w:bookmarkStart w:id="267" w:name="_Toc107"/>
      <w:bookmarkEnd w:id="266"/>
      <w:r>
        <w:rPr>
          <w:rtl w:val="true"/>
        </w:rPr>
        <w:t>روایت حذیفه بن یمان</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دادند در سیزده روز پایانیِ ماه رجب پیش از وقت، اذان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این روزها ایشان خطبه ای طولانی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مرا و سه نفر از اهل‌بیتم را برگزید و من برتر از آن سه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علی و جعفر، پسران ابوطالب، و حمزۀ بن عبدالمطلب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ابطح خوابیده بودیم، در حالی که هر کدام لباس خود را بر صورت خود کشیده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در سمت راست من، جعفر بن ابی‌طالب در سمت چپ من و حمزه پیش پایم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زدن ملائکه مرا از خواب بیدار کرد و دیدم جبرئیل با سه ملک به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کدام‌یک از این‌ها فرستاده شده ای؟ او مرا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سید‌النبیین، این علی بن ابی‌طالب سیدالوصیین، این جعفر بن ابی‌طالب که در بهشت دو بال دارد و با ملائکه پرواز می کند و این حمزۀ بن عبدالمطلب سیدالشهداست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 توجه به این‌که این سخنان، بخشی از خطبۀ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بوده و حذیفۀ بن یمان نیز جزء صحابۀ ایشان بوده است، اشکالی در نقل این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علی عن أبیه عن الحسن بن سعید عن الحسین بن علوان الکلبی عن علی بن الحسین العبدی عن أبی هارون العبدی عن ربیعة السعدی 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چندین روایت دیگر از او در کتاب تفسیر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رجالی، توثیق صریح ندارد، اما از آن‌جایی که وی از بزرگانی مانند پدرش نقل کرده است و علمایی مانند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کرده اند، می توان به طور نسبی به وی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جلالتِ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اعتماد این دو بر این روایت، می توان روایت مذکور را قابل اطمینان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عامی بودن، محبتِ شدیدی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گفته شده وی تشیع خود را مخفی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روایات بسیاری از کتاب های حدیثی شیعه، نام وی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عامی بودن، ولی علمای فراوانی بر وی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بر اساس روایات وی فتوا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آیۀ‌الله خوئی در موارد فراوانی، روایات وی را موثق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استحباب نماز در روز عید غدیر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علمای شیعۀ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مستندِ فتوای خود بر استحباب این عمل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علمایی که در علم رجال سخت‌گیری داشته اند، به این روایت استناد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دربارۀ استحباب این نماز، مناقشۀ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یکی دیگر از راویان این حدیث نقل کرده است، ولی دربارۀ علی بن الحسین عبدی هیچ سخنی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العبدی روایات بسیاری نقل کرده و ربیعۀ السعدی از راویان احادیث در فضایل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اهل‌سنت نیز وی را توثیق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bookmarkStart w:id="268" w:name="pg2673_17981"/>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نقل فضایل امیرالمؤمنین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اهل‌سنت در شهر بصره به افراط در محبت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روایات ربیعه</w:t>
      </w:r>
    </w:p>
    <w:p>
      <w:pPr>
        <w:pStyle w:val="BookText"/>
        <w:rPr/>
      </w:pPr>
      <w:r>
        <w:rPr>
          <w:rFonts w:ascii="IRNazanin" w:hAnsi="IRNazanin" w:eastAsia="IRNazanin"/>
          <w:color w:val="111111"/>
          <w:sz w:val="28"/>
          <w:sz w:val="28"/>
          <w:szCs w:val="28"/>
          <w:rtl w:val="true"/>
          <w:lang w:bidi="fa-IR"/>
        </w:rPr>
        <w:t>در فضیلت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الزیارات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دوست داشتن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نیز از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مزبور، می توان سند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از نظر بسیاری از علما، قابل قبول و احتجاج است</w:t>
      </w:r>
      <w:r>
        <w:rPr>
          <w:rFonts w:eastAsia="IRNazanin" w:cs="IRNazanin"/>
          <w:color w:val="111111"/>
          <w:sz w:val="28"/>
          <w:szCs w:val="28"/>
          <w:rtl w:val="true"/>
          <w:lang w:bidi="fa-IR"/>
        </w:rPr>
        <w:t>.</w:t>
      </w:r>
    </w:p>
    <w:p>
      <w:pPr>
        <w:pStyle w:val="Heading5"/>
        <w:numPr>
          <w:ilvl w:val="4"/>
          <w:numId w:val="1"/>
        </w:numPr>
        <w:rPr/>
      </w:pPr>
      <w:bookmarkStart w:id="269" w:name="__RefHeading___Toc794933_1395250215"/>
      <w:bookmarkStart w:id="270" w:name="_Toc108"/>
      <w:bookmarkEnd w:id="269"/>
      <w:r>
        <w:rPr>
          <w:rtl w:val="true"/>
        </w:rPr>
        <w:t>روایت امام صادق</w:t>
      </w:r>
      <w:bookmarkEnd w:id="270"/>
    </w:p>
    <w:p>
      <w:pPr>
        <w:pStyle w:val="BookText"/>
        <w:rPr/>
      </w:pPr>
      <w:r>
        <w:rPr>
          <w:rFonts w:ascii="IRNazanin" w:hAnsi="IRNazanin" w:eastAsia="IRNazanin"/>
          <w:color w:val="111111"/>
          <w:sz w:val="28"/>
          <w:sz w:val="28"/>
          <w:szCs w:val="28"/>
          <w:rtl w:val="true"/>
          <w:lang w:bidi="fa-IR"/>
        </w:rPr>
        <w:t>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بدء الوحی نقل شده که مشابه همان روایت حذیفۀ بن 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اختلافی که وجود دارد، تصریحی است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نام ملائکه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جبرئیل، میکائیل و اسرافیل نام برده اند</w:t>
      </w:r>
      <w:r>
        <w:rPr>
          <w:rFonts w:eastAsia="IRNazanin" w:cs="IRNazanin"/>
          <w:color w:val="111111"/>
          <w:sz w:val="28"/>
          <w:szCs w:val="28"/>
          <w:rtl w:val="true"/>
          <w:lang w:bidi="fa-IR"/>
        </w:rPr>
        <w:t>.</w:t>
      </w:r>
    </w:p>
    <w:p>
      <w:pPr>
        <w:pStyle w:val="Heading5"/>
        <w:numPr>
          <w:ilvl w:val="4"/>
          <w:numId w:val="1"/>
        </w:numPr>
        <w:rPr/>
      </w:pPr>
      <w:bookmarkStart w:id="271" w:name="__RefHeading___Toc794935_1395250215"/>
      <w:bookmarkStart w:id="272" w:name="_Toc109"/>
      <w:bookmarkEnd w:id="271"/>
      <w:r>
        <w:rPr>
          <w:rtl w:val="true"/>
        </w:rPr>
        <w:t xml:space="preserve">روایت مسعودی در کتاب </w:t>
      </w:r>
      <w:r>
        <w:rPr>
          <w:rtl w:val="true"/>
        </w:rPr>
        <w:t xml:space="preserve">« </w:t>
      </w:r>
      <w:r>
        <w:rPr>
          <w:rtl w:val="true"/>
        </w:rPr>
        <w:t>اثبات الوصیله</w:t>
      </w:r>
      <w:r>
        <w:rPr>
          <w:rtl w:val="true"/>
        </w:rPr>
        <w:t>»</w:t>
      </w:r>
      <w:bookmarkEnd w:id="2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اثبات الوصیه روایتی دربارۀ اولین نزول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تصریح بیشتر بر نزول اولین وحی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این بخش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دعوۀ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خواست نور او را تمام کند و رسالت ایشان را آشکار کند، در حالی که ایشان پیش از این نیز نبی بودند، اما مخفیانه، به جبرئیل دستور داد به نزد ایشان آمده، دستور اظهار رسالت را به ایشان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رحمت را مبعوث کرده و به من دستور داده است که به نزد او بروم و اظهار رسالت را به ایشان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بیایم؟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نازل شدند و دیدند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میان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جعفر بن ابی‌طالب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سر ایشان و میکائیل نزد پای ایشان نشستند، اما به احترام رسول‌الله و از هیبت ایشان،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کدام‌یک از آن‌ها فرستاده شده‌ای؟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در وسط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خواست پیامبر را بیدار کند، اما جبرئیل او را از این کار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بیدار شدند و جبرئیل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دستور آغاز رسالت را به ایشان ابلاغ کرد</w:t>
      </w:r>
      <w:r>
        <w:rPr>
          <w:rFonts w:eastAsia="IRNazanin" w:cs="IRNazanin"/>
          <w:color w:val="111111"/>
          <w:sz w:val="28"/>
          <w:szCs w:val="28"/>
          <w:rtl w:val="true"/>
          <w:lang w:bidi="fa-IR"/>
        </w:rPr>
        <w:t>.»</w:t>
      </w:r>
      <w:bookmarkStart w:id="273" w:name="pg2673_17982"/>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این روایت در کتاب مسعودی بدون سند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نکات مهمی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اعتقادات شیعیان،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ولادت است که علمای شیعه به اثبات آن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مسعودی به همین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اتهاماتی که در طول تاریخ به شیعیان زده شده، این است که شیعیان معتقدند جبرئیل وحی باید وحی را بر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می کرد، اما اشتباه کرده و آن را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بدان‌جا رسیده که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ها معرفی شده است که این اعتقاد را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اسفراینی،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عبدالقاهر بغدادی،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ابن قتیبه،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نه تنها این اتهام رد شده است و جرئیل دستور الهی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تأکید شده که پیش از این واقعه هم ایشان نبی بوده اند و این واقعه امر الهی به آغاز اظهار رسالت بوده است</w:t>
      </w:r>
      <w:r>
        <w:rPr>
          <w:rFonts w:eastAsia="IRNazanin" w:cs="IRNazanin"/>
          <w:color w:val="111111"/>
          <w:sz w:val="28"/>
          <w:szCs w:val="28"/>
          <w:rtl w:val="true"/>
          <w:lang w:bidi="fa-IR"/>
        </w:rPr>
        <w:t>.</w:t>
      </w:r>
    </w:p>
    <w:p>
      <w:pPr>
        <w:pStyle w:val="Heading5"/>
        <w:numPr>
          <w:ilvl w:val="4"/>
          <w:numId w:val="1"/>
        </w:numPr>
        <w:rPr/>
      </w:pPr>
      <w:bookmarkStart w:id="274" w:name="__RefHeading___Toc794937_1395250215"/>
      <w:bookmarkStart w:id="275" w:name="_Toc110"/>
      <w:bookmarkEnd w:id="274"/>
      <w:r>
        <w:rPr>
          <w:rtl w:val="true"/>
        </w:rPr>
        <w:t>مناشده امیر المومنین</w:t>
      </w:r>
      <w:bookmarkEnd w:id="275"/>
    </w:p>
    <w:p>
      <w:pPr>
        <w:pStyle w:val="BookText"/>
        <w:rPr/>
      </w:pPr>
      <w:r>
        <w:rPr>
          <w:rFonts w:ascii="IRNazanin" w:hAnsi="IRNazanin" w:eastAsia="IRNazanin"/>
          <w:color w:val="111111"/>
          <w:sz w:val="28"/>
          <w:sz w:val="28"/>
          <w:szCs w:val="28"/>
          <w:rtl w:val="true"/>
          <w:lang w:bidi="fa-IR"/>
        </w:rPr>
        <w:t>در مناشده ای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روز سقیفه نیز مشابه همین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سخنان، به حضور خود در کنار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نزول وحی مباهات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مناشده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در میان شما کسی هست که پیامبر دربارۀ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آفرید و آن‌ها را دو گروه قرار داد و مرا در بهترینِ آن‌ها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گروه های مختلفی قرار داد و مرا در بهترینِ آن گروه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قبیله های مختلف جای داد و مرا در بهترین قبیله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خانواده های مختلف جا داد و مرا در بهترین آن‌ها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اهل‌بیتم، من، علی و جعفر را برگزید و مرا بهترینِ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دو فرزندِ ابوطالب خوابیده بودم که جبرئیل با ملکی دیگر آمد و آن ملک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کدام‌یک از این ها فرستاده شدی؟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مرا بیدار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أبی‌الخطاب، عن الحکم بن مسکین الثقفی، عن أبی‌الجارود و هشام أبی‌ساسان و أبی طارق السراج، عن عامر بن واثلة</w:t>
      </w:r>
      <w:r>
        <w:rPr>
          <w:rFonts w:eastAsia="IRNazanin" w:cs="IRNazanin"/>
          <w:color w:val="111111"/>
          <w:sz w:val="28"/>
          <w:szCs w:val="28"/>
          <w:rtl w:val="true"/>
          <w:lang w:bidi="fa-IR"/>
        </w:rPr>
        <w:t>.»</w:t>
      </w:r>
      <w:bookmarkStart w:id="276" w:name="pg2673_17983"/>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علمای رجال، پدر شیخ صدوق، محمد بن حسن بن احمد بن ولید، سعد بن عبدالله، محمد بن حسین بن ابی‌خطاب و حکم بن مسکین ثقفی را به صراحت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هشام ابوساسان و ابوطارق السراج نیز در کتاب های روایی مورد مدح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نیز از صحابۀ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به ایشان محبت داشت و ایشان را بر ابوبکر و عمر برتری می داد و در تمام جنگ ها همراه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صحیح است</w:t>
      </w:r>
      <w:r>
        <w:rPr>
          <w:rFonts w:eastAsia="IRNazanin" w:cs="IRNazanin"/>
          <w:color w:val="111111"/>
          <w:sz w:val="28"/>
          <w:szCs w:val="28"/>
          <w:rtl w:val="true"/>
          <w:lang w:bidi="fa-IR"/>
        </w:rPr>
        <w:t>.</w:t>
      </w:r>
    </w:p>
    <w:p>
      <w:pPr>
        <w:pStyle w:val="Heading5"/>
        <w:numPr>
          <w:ilvl w:val="4"/>
          <w:numId w:val="1"/>
        </w:numPr>
        <w:rPr/>
      </w:pPr>
      <w:bookmarkStart w:id="277" w:name="__RefHeading___Toc794939_1395250215"/>
      <w:bookmarkStart w:id="278" w:name="_Toc111"/>
      <w:bookmarkEnd w:id="277"/>
      <w:r>
        <w:rPr>
          <w:rtl w:val="true"/>
        </w:rPr>
        <w:t>برسی روایات امامیه</w:t>
      </w:r>
      <w:bookmarkEnd w:id="278"/>
    </w:p>
    <w:p>
      <w:pPr>
        <w:pStyle w:val="BookText"/>
        <w:rPr/>
      </w:pPr>
      <w:r>
        <w:rPr>
          <w:rFonts w:ascii="IRNazanin" w:hAnsi="IRNazanin" w:eastAsia="IRNazanin"/>
          <w:color w:val="111111"/>
          <w:sz w:val="28"/>
          <w:sz w:val="28"/>
          <w:szCs w:val="28"/>
          <w:rtl w:val="true"/>
          <w:lang w:bidi="fa-IR"/>
        </w:rPr>
        <w:t>ـ این روایات نشان می دهند اولین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بوده است و نه در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موقع نزول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تنها نبودند و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حمزه و جعفر در کنار ایشان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اساس این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وحی بر ایشان نازل شود، ملائکه را</w:t>
      </w:r>
    </w:p>
    <w:p>
      <w:pPr>
        <w:pStyle w:val="BookText"/>
        <w:rPr/>
      </w:pPr>
      <w:r>
        <w:rPr>
          <w:rFonts w:ascii="IRNazanin" w:hAnsi="IRNazanin" w:eastAsia="IRNazanin"/>
          <w:color w:val="111111"/>
          <w:sz w:val="28"/>
          <w:sz w:val="28"/>
          <w:szCs w:val="28"/>
          <w:rtl w:val="true"/>
          <w:lang w:bidi="fa-IR"/>
        </w:rPr>
        <w:t>می دیدند و با جبرئیل و میکائیل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اعتقاد شیعه مبنی بر نبی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هم‌چنین این روایت نشان می دهد،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هنگام نزولِ اولین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ایشان بودند و سخن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فریاد شیطان را هنگام نزول اولین وحی شنیدند،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جملۀ پیامبر به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تَسمَعُ ما اَسمَعُ و تَرَی مَا 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نقل نشان می دهد، جناب حمزه و جعفر از اولین افرادی هستند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روایات فراوانی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این روایت، نه تنها هیچ نقلی دربارۀ ترس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وحی، تشکیک ایشان دربارۀ نبوت خویش، نیاز به راهنمایی ورقۀ بن نوفل، تلاش برای خودکشی و پرتاب از کوه وجود ندارد، بلکه عزم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ابلاغ دستورات الهی و همراهی افرادی مانند حمزه و جعفر را نیز نشان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روایات نشان می دهد، اولین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و از ابتدا نیز با نزول فرشته بر ایشان بوده است؛ هر‌چند ایشان در ابطح خواب بودند، اما پس از نزول ملائکه از خواب بیدار شده و ملک، پیغام الهی را در بیداری به ایشان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توجیهاتی که علمای اهل‌سنت دربارۀ آمادگی روحی پیامبر و امثال آن ذکر کرده اند، از اساس باطل است</w:t>
      </w:r>
      <w:r>
        <w:rPr>
          <w:rFonts w:eastAsia="IRNazanin" w:cs="IRNazanin"/>
          <w:color w:val="111111"/>
          <w:sz w:val="28"/>
          <w:szCs w:val="28"/>
          <w:rtl w:val="true"/>
          <w:lang w:bidi="fa-IR"/>
        </w:rPr>
        <w:t>.</w:t>
      </w:r>
      <w:bookmarkStart w:id="279" w:name="pg2673_17984"/>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بنابراین، ادعای تأثیرپذیری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ورقۀ بن نوفل مسیحی، عدم قدرت ایشان بر خواندن، جهلشان بر امین وحی، اقدام برای خودکشی و تبعیت از حضرت خدیجه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شناخت وحی الهی از وحی شیطانی، همگی مبتنی بر گزارشی بدون سند است که متأسفانه بر اثر تکرار شهرت یافته و زمینۀ پیدایش شبهات یاد‌شده را آماده کرده است، در حالی که گزارش‌های دیگر از این آفات مصون بوده، پاسخ‌گوی شبهات یاد‌شده نیز هستند</w:t>
      </w:r>
      <w:r>
        <w:rPr>
          <w:rFonts w:eastAsia="IRNazanin" w:cs="IRNazanin"/>
          <w:color w:val="111111"/>
          <w:sz w:val="28"/>
          <w:szCs w:val="28"/>
          <w:rtl w:val="true"/>
          <w:lang w:bidi="fa-IR"/>
        </w:rPr>
        <w:t>.</w:t>
      </w:r>
    </w:p>
    <w:p>
      <w:pPr>
        <w:pStyle w:val="Heading3"/>
        <w:numPr>
          <w:ilvl w:val="2"/>
          <w:numId w:val="1"/>
        </w:numPr>
        <w:rPr/>
      </w:pPr>
      <w:bookmarkStart w:id="280" w:name="__RefHeading___Toc794941_1395250215"/>
      <w:bookmarkStart w:id="281" w:name="_Toc112"/>
      <w:bookmarkEnd w:id="280"/>
      <w:r>
        <w:rPr>
          <w:rtl w:val="true"/>
        </w:rPr>
        <w:t>جمع بندی</w:t>
      </w:r>
      <w:bookmarkEnd w:id="281"/>
    </w:p>
    <w:p>
      <w:pPr>
        <w:pStyle w:val="BookText"/>
        <w:rPr/>
      </w:pPr>
      <w:r>
        <w:rPr>
          <w:rFonts w:ascii="IRNazanin" w:hAnsi="IRNazanin" w:eastAsia="IRNazanin"/>
          <w:color w:val="111111"/>
          <w:sz w:val="28"/>
          <w:sz w:val="28"/>
          <w:szCs w:val="28"/>
          <w:rtl w:val="true"/>
          <w:lang w:bidi="fa-IR"/>
        </w:rPr>
        <w:t>با توجه به مباحث یادشده در بررسی تطبیقی روایات فریقین می‌توان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قبولِ روایت امامیه، شبهۀ بی‌اطلاعی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و پیامبری خویشتن، سالبه به انتفای موضوع شده و خدشه‌ای در علم بی‌کران آن حضرت که یکی از منشأ‌های عصمت به شمار می‌آید،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مستشرقان علاقۀ فراوانی دارند که اسلام را آیینی التقاطی و برگرفته از ادیان بنی‌اسرائیلی معرفی کنند و در این راه، وجود شخصیتی همانند ورقه در روایت مشهور اهل‌سنت، کمک‌کار آنان است، ولی روایت نقل‌شده از امامیه، زمینۀ شبهه علم‌آموزی پیامبر و اثرپذیری ایشان از ورقۀ بن نوفل مسیحی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اقدام به خودکشی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اولین وحی، شبهۀ دیگری است که در روایت مشهور وجود دارد و با عصمت پیامبر از خطا و اشتباه سازگاری ندارد و با اثبات ضعف سند حدیث یادشده و قوّت روایت امامیه دربارۀ اولین وحی، این شبهه هم از میان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جامعۀ عصر بعثت، جامعه‌ای منتظر بوده و با وجود بشارت‌های متعدد و فراوان پیامبران پیشین، آگاهی بسیاری دربارۀ پیامبری که قرار بود در مکه ظهور کند، وجود داشت و نشانه‌های فراوانی مردم را به سوی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خود ایشان، بلکه اطرافیان ایشان نیز از نزدیکی بعثت آگاهی داشتند و این امر در روایت نقل‌شده از امامیه و همراهی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حمزه و جعفر با آن حضرت، نمود پیدا می‌کند و نشان می‌دهد، بحث اولین ایمان‌آورندگان آن‌گونه که در روایات مشهور نقل شده، قابل تأمل بوده و بر اساس روایت نقل‌شده می‌توان نگاهی جدید به آن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برخی صوفیه، با استفاده از روایتی که غار حرا را محلّ اولین وحی و در پی تحنث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سعی در مستند کردن فرهنگ چله‌نشینی در سنت نبوی دارند که با پذیرش روایت امامیه، این ادعا نیز بدون سند می‌ماند</w:t>
      </w:r>
      <w:r>
        <w:rPr>
          <w:rFonts w:eastAsia="IRNazanin" w:cs="IRNazanin"/>
          <w:color w:val="111111"/>
          <w:sz w:val="28"/>
          <w:szCs w:val="28"/>
          <w:rtl w:val="true"/>
          <w:lang w:bidi="fa-IR"/>
        </w:rPr>
        <w:t>.</w:t>
      </w:r>
      <w:bookmarkStart w:id="282" w:name="pg2673_17985"/>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283" w:name="__RefHeading___Toc794943_1395250215"/>
      <w:bookmarkStart w:id="284" w:name="_Toc113"/>
      <w:bookmarkEnd w:id="283"/>
      <w:r>
        <w:rPr>
          <w:rtl w:val="true"/>
        </w:rPr>
        <w:t>منابع</w:t>
      </w:r>
      <w:bookmarkEnd w:id="28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معرفه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عوض و عادل احمد عبدالموجود،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الاحسان فی تقریب صحیح ابن حبان،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الانؤوط، بیروت، مؤسسه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الثقات، حیدرآباد، مطبعۀ دائرۀ‌المعارف 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الاصابۀ فی معرفۀ الصحابه، کلکته،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حیدرآباد، مطبعۀ دائرۀ‌المعارف النظامیه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فی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القاهره، المکتبة السلفیة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الاهواء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نصر و عبدالرحمن عمیره، بیروت، دارالجیل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ابن‌حنبل، احمد،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قاهره، المطبعۀ المیمنیه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محمدبن سعد کاتب واقدی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عطاء،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محمدبن علی بن شهرآشوب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 قم،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بن محمد بن عبدالبر ابن عاصم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معرفۀ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علی بن حسنبن هبه 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مدینۀ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العمروی،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محمدبن جعفر بن موسی بن قولویه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الفقاهه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البدایۀ و النهایه، بیروت، مکتبۀ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السیرۀالنبویه،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عبدالواحد، بیروت، دارالمعرفه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عبدالملک بن هشام ابن ایوب بصری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السیرۀ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دیگران، قاهره، مطبعۀ مصطفی البابی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الموصلی، ابویعلی،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اسد، دمشق، دارالمأمون للتراث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اسفراینی، عمادالدین شهفوربن طاهر بن محمد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و تمییز الفرقه الناحیه عن فرق الهالکین، تحقیق کمال یوسف الحوت، بیروت، عالم الکتب،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ابونعیم،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رواس قلعه جی و عبدالبر عباس، بیروت، دارالنفائس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التاریخ الکبیر، حیدرآباد، دائرۀ‌المعارف النظامیه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بولاق، مطبعۀ المنیریه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خطیب،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لاخلاق الراوی و آداب السامع،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طحان، ریاض، مکتبۀ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تحقیق محمد محیی الدین عبدالحمید، بیروت، مکتبه العصریه،</w:t>
      </w:r>
    </w:p>
    <w:p>
      <w:pPr>
        <w:pStyle w:val="BookText"/>
        <w:rPr/>
      </w:pP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قلعجی، القاهره، دارالریان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ابوعیسی،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القاهره، شرکۀ مصطفی البابی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المفصل فی تاریخ العرب قبل الاسلام، بغداد،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محمدبن عبدالله ضبی طهمانی،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حیدرآباد، مجلس دائرۀ‌المعارف النظامیه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معرفۀ علوم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حسین، بیروت، دارالآفاق الجدیده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الحج، قم، مطبعۀ العملمیه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الصلاۀ، قم، مطبعۀ العملمیه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آیة الله العظمی الخوئی،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عبدالله بن عبدالرحمن،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تحقیق حسین سلیم اسد الدارانی، ریاض، دارالمغنی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القلوب الی الصواب، قم، انتشارات شریف الرضی،</w:t>
      </w:r>
    </w:p>
    <w:p>
      <w:pPr>
        <w:pStyle w:val="BookText"/>
        <w:rPr/>
      </w:pPr>
      <w:r>
        <w:rPr>
          <w:rFonts w:ascii="IRNazanin" w:hAnsi="IRNazanin" w:eastAsia="IRNazanin"/>
          <w:color w:val="111111"/>
          <w:sz w:val="28"/>
          <w:sz w:val="28"/>
          <w:szCs w:val="28"/>
          <w:rtl w:val="true"/>
          <w:lang w:bidi="fa-IR"/>
        </w:rPr>
        <w:t xml:space="preserve">دینوری، ابن قتیبه،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ثروت عکاشه، قاهره، دارالمعارف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شمس‌الدین،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التدمری، بیروت، دارالکتاب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محمدبن عبدالباقی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المواهب اللدنیه،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عبدالعزیز الخالدی،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زرگری‌نژاد، غلامحسین،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صدر اسلام، عصر نبوت،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السخاوی، شمس‌الدین،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المغیث بشرح الفیۀ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عبدالله الخضیر و محمد بن عبدالله آل‌فهید، ریاض، مکتبۀ دارالمنهاج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محمد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دارالهجره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بن ابی بکر،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الدیباج علی صحیح مسلم بن حجاج،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حوینی، بی‌جا، دار ابن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عمیره، دارالوفاء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مکی بن احمد عاملی نبطی جزینی،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ذکری الشیعه فی احکام الشریعه، تحقیق مؤسسه آل‌البیت، قم، مؤسسه آل‌البیت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محمد بن حسن بن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بهراد جعفری،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موسوی خرسان، نجف،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 قم، مؤسسه آل‌البیت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العروۀ الوثقی، بیروت، مؤسسه الاعلمی للمطبوعات</w:t>
      </w:r>
    </w:p>
    <w:p>
      <w:pPr>
        <w:pStyle w:val="BookText"/>
        <w:rPr/>
      </w:pPr>
      <w:r>
        <w:rPr>
          <w:rFonts w:ascii="IRNazanin" w:hAnsi="IRNazanin" w:eastAsia="IRNazanin"/>
          <w:color w:val="111111"/>
          <w:sz w:val="28"/>
          <w:sz w:val="28"/>
          <w:szCs w:val="28"/>
          <w:rtl w:val="true"/>
          <w:lang w:bidi="fa-IR"/>
        </w:rPr>
        <w:t xml:space="preserve">طبرسی، امین‌الاسلام،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باعلام الهدی،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قاهره، دارالمعارف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سیدمحمد،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الاحکام فی شرح عبادات شرائع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 قم، مؤسسه آل‌البیت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تحقیق قسم الفقه فی مجمع البحوث الاسلامیه، مشهد،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العمری، اکرم ضیاء،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السیرۀ النبویه الصحیحه، مدینه، مکتبه العلوم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عِیاض بن موسی بن عیاض بن عمرو بن موسی بن عیاض یحصبی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اکمال المعلم بفوائد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اسماعیل، المنصوره، دارالوفاء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الشفاء بتعریف حقوق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قاهره، مطبعۀ عیسی البابی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الشاری الی شرح صحیح البخاری، بولاق، مطبعۀ الامیریه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المواهب اللدنیۀ بالمنح المحمدیه،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 محی‌الدین،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قم، دارالکتاب،</w:t>
      </w:r>
    </w:p>
    <w:p>
      <w:pPr>
        <w:pStyle w:val="BookText"/>
        <w:rPr/>
      </w:pPr>
      <w:r>
        <w:rPr>
          <w:rFonts w:ascii="IRNazanin" w:hAnsi="IRNazanin" w:eastAsia="IRNazanin"/>
          <w:color w:val="111111"/>
          <w:sz w:val="28"/>
          <w:sz w:val="28"/>
          <w:szCs w:val="28"/>
          <w:rtl w:val="true"/>
          <w:lang w:bidi="fa-IR"/>
        </w:rPr>
        <w:t xml:space="preserve">الکرمانی، محمد بن یوسف،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الکواکب الدراری فی شرح صحیح البخاری، قاهره، المطبعۀ البهیۀ المصریه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معرفۀ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مصطفوی، مشهد، دانشگاه مشهد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مازندرانی، مولی‌محمد‌صالح،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جعفر بن حسن بن یحیی بن سعید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المعتبر فی شرح المختصر،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حیدری و دیگران، قم، مؤسسه سید‌الشهدا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الوصیه، بیروت، دارالاضواء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محیی‌الدین عبدالحمید، قاهره، مطبعه السعاده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محمدحسن،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الصدق، قاهره، دارالمعلم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حسین،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تنقیه اصول التاریخ الاسلامی، قاهره، دارالرشاد،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شیخ‌محمدحسن،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الاسلام،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شیخ‌عباس قوچانی،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بیروت، مؤسسة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محیی‌الدین،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بشرح النووی، قاهره، مطبعۀ المصریه بالازهر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محمدفؤاد عبدالباقی، قاهره، دار احیاء الکتب 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مع شرحه اکمال اکمال المعلم و مکمل اکمال الکمال،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خلفه الوشنانی الآبی و محمد بن محمد السنوسی،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نورالدین،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الاستار عن زوائد البزار،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حبیب‌الرحمن الاعظمی، بیروت، مؤسسه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ابن واضح،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هوتسما، لیدن، بریل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Armstrong, Karen, "Muhammad", (2005), Encyclopedia of Religion, (Editor in Chief Lindsay Jones),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Barney, Rachel, Encyclopedia of Philosophy (2nd Ed.), (Editor in Chief Donald M. Borchert) vol. 6, p 631, nomos and phusis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Gibb, Alexander Hamilton, (1986), Encyclopedia of Islam (New Edition), Leiden,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Margoliouth, David, (1905) Mohammed and the Rise of Islam, New York, G. P. Putnam's 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Montgomery, (1960), Muhammad at Mecca,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r>
        <w:rPr>
          <w:rFonts w:eastAsia="IRNazanin" w:cs="IRNazanin"/>
          <w:color w:val="111111"/>
          <w:sz w:val="28"/>
          <w:szCs w:val="28"/>
          <w:rtl w:val="true"/>
          <w:lang w:bidi="fa-IR"/>
        </w:rPr>
        <w:t>,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at Medina, Oxford,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William of Tyre, (1943), A History of Deeds Done Beyond the Sea, trans. Emily Babcock and A. C. Krey, New York, Columbia University Press</w:t>
      </w:r>
      <w:r>
        <w:rPr>
          <w:rFonts w:eastAsia="Times New Roman" w:cs="Times New Roman" w:ascii="Times New Roman" w:hAnsi="Times New Roman"/>
          <w:color w:val="111111"/>
          <w:sz w:val="28"/>
          <w:szCs w:val="28"/>
          <w:rtl w:val="true"/>
          <w:lang w:val="en-US" w:bidi="en-US"/>
        </w:rPr>
        <w:t>.</w:t>
      </w:r>
      <w:bookmarkStart w:id="285" w:name="pg2673_17989"/>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2"/>
        <w:numPr>
          <w:ilvl w:val="1"/>
          <w:numId w:val="1"/>
        </w:numPr>
        <w:rPr/>
      </w:pPr>
      <w:bookmarkStart w:id="286" w:name="__RefHeading___Toc794945_1395250215"/>
      <w:bookmarkStart w:id="287" w:name="_Toc114"/>
      <w:bookmarkEnd w:id="286"/>
      <w:r>
        <w:rPr>
          <w:rtl w:val="true"/>
        </w:rPr>
        <w:t>حقیقتِ انسان و مرگ از دیدگاه سید مرتضی</w:t>
      </w:r>
      <w:bookmarkEnd w:id="287"/>
    </w:p>
    <w:p>
      <w:pPr>
        <w:pStyle w:val="Heading3"/>
        <w:numPr>
          <w:ilvl w:val="2"/>
          <w:numId w:val="1"/>
        </w:numPr>
        <w:rPr/>
      </w:pPr>
      <w:bookmarkStart w:id="288" w:name="__RefHeading___Toc794947_1395250215"/>
      <w:bookmarkStart w:id="289" w:name="_Toc11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عسگر دیرباز</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1394/04/04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1394/09/20</w:t>
      </w:r>
    </w:p>
    <w:p>
      <w:pPr>
        <w:pStyle w:val="Heading3"/>
        <w:numPr>
          <w:ilvl w:val="2"/>
          <w:numId w:val="1"/>
        </w:numPr>
        <w:rPr/>
      </w:pPr>
      <w:bookmarkStart w:id="290" w:name="__RefHeading___Toc794949_1395250215"/>
      <w:bookmarkStart w:id="291" w:name="_Toc116"/>
      <w:bookmarkEnd w:id="290"/>
      <w:r>
        <w:rPr>
          <w:rtl w:val="true"/>
        </w:rPr>
        <w:t>چکیده</w:t>
      </w:r>
      <w:bookmarkEnd w:id="291"/>
    </w:p>
    <w:p>
      <w:pPr>
        <w:pStyle w:val="BookText"/>
        <w:rPr/>
      </w:pPr>
      <w:r>
        <w:rPr>
          <w:rFonts w:ascii="IRNazanin" w:hAnsi="IRNazanin" w:eastAsia="IRNazanin"/>
          <w:color w:val="111111"/>
          <w:sz w:val="28"/>
          <w:sz w:val="28"/>
          <w:szCs w:val="28"/>
          <w:rtl w:val="true"/>
          <w:lang w:bidi="fa-IR"/>
        </w:rPr>
        <w:t>مرگ چیست و چگونه روی می دهد و سرانجامِ انسان پس از مرگ چه می شود؟ پاسخ به این سؤال ها که از کهن ترین و دیرپای ترین سؤال های فلسفی ـ دینی بشرند و با معناداری زندگی عجین شده اند، بستگی به ماهیت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متکلمانی است که گرچه تفسیری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گرایانه از انسان برمی گزیند و مرگ را نابودی می انگارد، به زندگی پس از مرگ اعتقاد راسخ دارد و در تبیین چگونگی برزخ و رستاخیز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است نظر او دربارۀ ماهیت انسان و مرگ، به دقت و تفصیل شرح داده شود تا درآمدی باشد برای بررسی چگونگی زندگی پسادنیوی از دیدگاه او که مجال و مقالی جداگانه می طلبد</w:t>
      </w:r>
      <w:r>
        <w:rPr>
          <w:rFonts w:eastAsia="IRNazanin" w:cs="IRNazanin"/>
          <w:color w:val="111111"/>
          <w:sz w:val="28"/>
          <w:szCs w:val="28"/>
          <w:rtl w:val="true"/>
          <w:lang w:bidi="fa-IR"/>
        </w:rPr>
        <w:t>.</w:t>
      </w:r>
    </w:p>
    <w:p>
      <w:pPr>
        <w:pStyle w:val="Heading3"/>
        <w:numPr>
          <w:ilvl w:val="2"/>
          <w:numId w:val="1"/>
        </w:numPr>
        <w:rPr/>
      </w:pPr>
      <w:bookmarkStart w:id="292" w:name="__RefHeading___Toc794951_1395250215"/>
      <w:bookmarkStart w:id="293" w:name="_Toc117"/>
      <w:bookmarkEnd w:id="292"/>
      <w:r>
        <w:rPr>
          <w:rtl w:val="true"/>
        </w:rPr>
        <w:t>واژگان کلیدی</w:t>
      </w:r>
      <w:bookmarkEnd w:id="2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بنیه، روح، مرگ، فنا و سید مرتضی</w:t>
      </w:r>
      <w:r>
        <w:rPr>
          <w:rFonts w:eastAsia="IRNazanin" w:cs="IRNazanin"/>
          <w:color w:val="111111"/>
          <w:sz w:val="28"/>
          <w:szCs w:val="28"/>
          <w:rtl w:val="true"/>
          <w:lang w:bidi="fa-IR"/>
        </w:rPr>
        <w:t>.</w:t>
      </w:r>
      <w:bookmarkStart w:id="294" w:name="pg2673_17990"/>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295" w:name="__RefHeading___Toc794953_1395250215"/>
      <w:bookmarkStart w:id="296" w:name="_Toc118"/>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 xml:space="preserve">انسان در جهان بینی کلامی،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تکلیف بر این فرض استوار است که انسان، فاعل کارهای نیک و بدی است که از او سر می زند و چون انجام آن‌ها آگاهانه و آزادانه است، استحقاق پاداش یا کیفر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متکلمان متقدم برای شناخت ماهیت انسان، به مطالعه و بررسی چگونگی وقوع فعل از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رویکرد، از صفات گوناگون انسان، قدرت و حیات ـ که شرط آن است ـ اهمیت ویژه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سید مرتضی،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 و برای پی بردن به ماهیت آن، راه چاره را در این می بیند که بررسی کنیم و ببینیم که قدرت و حیات انسان، وابسته به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حیات، به نوبۀ خود، ذهن متکلمان را با این مسئله درگیر کرد که اگر انسان، زنده و برخوردار از حیات است، چگونه می میرد؟ به خصوص اگر حیات ـ چنان که از آرای فیلسوفان برمی آید ـ ذاتی نفس انسانی باشد؛ و اصولاً 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یا انتقال؟</w:t>
      </w:r>
    </w:p>
    <w:p>
      <w:pPr>
        <w:pStyle w:val="BookText"/>
        <w:rPr/>
      </w:pPr>
      <w:r>
        <w:rPr>
          <w:rFonts w:ascii="IRNazanin" w:hAnsi="IRNazanin" w:eastAsia="IRNazanin"/>
          <w:color w:val="111111"/>
          <w:sz w:val="28"/>
          <w:sz w:val="28"/>
          <w:szCs w:val="28"/>
          <w:rtl w:val="true"/>
          <w:lang w:bidi="fa-IR"/>
        </w:rPr>
        <w:t>در این مقاله، نظر سید مرتضی را دربارۀ حقیقت انسان و مرگ، با روش توصیفی ـ تحلیلی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دربارۀ چیستی انسان و چگونگی زندگی پس از مرگ از دیدگاه سید مرتضی، پیش تر مقالاتی نگاشته شده است </w:t>
      </w:r>
      <w:r>
        <w:rPr>
          <w:rStyle w:val="FootnoteAnchor"/>
          <w:rtl w:val="true"/>
        </w:rPr>
        <w:footnoteReference w:id="34"/>
      </w:r>
      <w:r>
        <w:rPr>
          <w:rFonts w:ascii="IRNazanin" w:hAnsi="IRNazanin" w:eastAsia="IRNazanin"/>
          <w:color w:val="111111"/>
          <w:sz w:val="28"/>
          <w:sz w:val="28"/>
          <w:szCs w:val="28"/>
          <w:rtl w:val="true"/>
          <w:lang w:bidi="fa-IR"/>
        </w:rPr>
        <w:t>، اما در هیچ کدام از آن‌ها تلاش نشده آرای سید مرتضی بر اساس مفاهیم و مبانی جهان‌شناختی عصر او تبیین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مفاهیم و مبانی جهان شناختی متکلمان متقدم یاد شد؛ جا دارد برخی از آن‌ها را که به فهم آرای سید مرتضی کمک می کنند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متکلمان، انسان را به عنوان فاعل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فعل را ـ صرف‌نظر از این‌که فاعل آن چه کسی باشد ـ به سه دسته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مخترَع و متولِّد، زیرا از دیدگاه آن‌ها فعل یا بی واسطۀ فعل دیگر حادث می شود، یا با واسطۀ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مانند شکستن شیشه پس از پرتاب سنگ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بی واسطه به نوبۀ خود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bookmarkStart w:id="297" w:name="pg2673_17991"/>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بی‌واسطه ای که در محل قدرت پدید می آید که متکلمان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مانند دراز کردن دست برای برداشتن سنگ ـ البته بنا بر نظر کسانی که معتقدند قدرت انسان در</w:t>
      </w:r>
    </w:p>
    <w:p>
      <w:pPr>
        <w:pStyle w:val="BookText"/>
        <w:rPr/>
      </w:pPr>
      <w:r>
        <w:rPr>
          <w:rFonts w:ascii="IRNazanin" w:hAnsi="IRNazanin" w:eastAsia="IRNazanin"/>
          <w:color w:val="111111"/>
          <w:sz w:val="28"/>
          <w:sz w:val="28"/>
          <w:szCs w:val="28"/>
          <w:rtl w:val="true"/>
          <w:lang w:bidi="fa-IR"/>
        </w:rPr>
        <w:t xml:space="preserve">عضله های او نهفته است ـ، و فعل بی‌واسطه ای که در بیرون محل قدرت به وقوع می پیوندد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نمونۀ بارز و برجستۀ آن و چه بسا تنها مورد آن، آفرینش جهان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گفتنی است از نگاه متکلمان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اندام بدن است، حال یا به این علت که جایگاه انسان است یا جایگاه صفات انسان که متکلمان فعل قلب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بر تعریف خود سید مرتضی،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درآمیختن اجزای دارای اعراض مخصوص، طوری که آمیزۀ آن‌ها حکم یا نامی پیدا کند که برای افرادش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مزاج در فلسفه را به عناصر چهارگانه محدود نکنیم، می توانیم بنیه را معادل آن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دیگری که بسیار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به آنچه فیلسوفان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معنا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اعراض، حرکت و سکون و اجتماع و افتراقند که لازمۀ مکان‌مندی جسمند و به نظر متکلمان، استمرار وجود جسم، پس از لحظۀ حدوث، به آن‌ها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به این چهار عرض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اعراضی که متکلمان برشمرده اند،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متکلمان، استمرار وجود جسم پس از حدوث را به علت عرض بقا می دانستند که لحظه به لحظه خدای تعالی آن را در جسم خلق می کند؛ در حالی که بعضی دیگر باور داشتند جسم پس از حدوث، به خودی خود باقی می‌ماند، اما چون اجسام نابودشدنی اند، برای نابود کردن آن‌ها خدا عرض فنا را می آفریند</w:t>
      </w:r>
      <w:r>
        <w:rPr>
          <w:rFonts w:eastAsia="IRNazanin" w:cs="IRNazanin"/>
          <w:color w:val="111111"/>
          <w:sz w:val="28"/>
          <w:szCs w:val="28"/>
          <w:rtl w:val="true"/>
          <w:lang w:bidi="fa-IR"/>
        </w:rPr>
        <w:t>.</w:t>
      </w:r>
    </w:p>
    <w:p>
      <w:pPr>
        <w:pStyle w:val="Heading3"/>
        <w:numPr>
          <w:ilvl w:val="2"/>
          <w:numId w:val="1"/>
        </w:numPr>
        <w:rPr/>
      </w:pPr>
      <w:bookmarkStart w:id="298" w:name="__RefHeading___Toc794955_1395250215"/>
      <w:bookmarkStart w:id="299" w:name="_Toc119"/>
      <w:bookmarkEnd w:id="298"/>
      <w:r>
        <w:rPr>
          <w:rtl w:val="true"/>
        </w:rPr>
        <w:t>ماهیت انسان از دیدگاه سید مرتضی</w:t>
      </w:r>
      <w:bookmarkEnd w:id="2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بین نفس، روح و انسان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معنای لغوی برای نفس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و دیگر حیوان‌ها که با از دست دادن آن، از جرگۀ حیات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ذات شیء،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فلانٌ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مرتضی،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دو معنا برای روح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هوای سردی که در قلب هست و مادۀ نفس کشیدن و شرط حیات است؛ و دوم، جسمی که در بدن حیوان روان است و محل حیات و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معنای نخست را ترجیح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صحیح این است که روح عبارت است از</w:t>
      </w:r>
      <w:bookmarkStart w:id="300" w:name="pg2673_17992"/>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هوایی که در منفذهای ذات حیّ ما در رفت وآمد است و حیات به تردد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آنچه در منفذهای جماد تردد می کند، روح گفته نمی شود؛ و سپس نتیجه</w:t>
      </w:r>
    </w:p>
    <w:p>
      <w:pPr>
        <w:pStyle w:val="BookText"/>
        <w:rPr/>
      </w:pPr>
      <w:r>
        <w:rPr>
          <w:rFonts w:ascii="IRNazanin" w:hAnsi="IRNazanin" w:eastAsia="IRNazanin"/>
          <w:color w:val="111111"/>
          <w:sz w:val="28"/>
          <w:sz w:val="28"/>
          <w:szCs w:val="28"/>
          <w:rtl w:val="true"/>
          <w:lang w:bidi="fa-IR"/>
        </w:rPr>
        <w:t xml:space="preserve">می گیرد که بنابراین روح،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معنای یادشده، به این نکته استشهاد شده است که در قرآن، روح،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صفات اجسام دقیق است،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به استادانش ـ که به تصریح شیخ مفید، ابوعلی و ابوهاشم جبایی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می دهد که انسان حیّ قادر را همین شخص</w:t>
      </w:r>
      <w:r>
        <w:rPr>
          <w:rStyle w:val="FootnoteAnchor"/>
          <w:rtl w:val="true"/>
        </w:rPr>
        <w:footnoteReference w:id="35"/>
      </w:r>
      <w:r>
        <w:rPr>
          <w:rFonts w:ascii="IRNazanin" w:hAnsi="IRNazanin" w:eastAsia="IRNazanin"/>
          <w:color w:val="111111"/>
          <w:sz w:val="28"/>
          <w:sz w:val="28"/>
          <w:szCs w:val="28"/>
          <w:rtl w:val="true"/>
          <w:lang w:bidi="fa-IR"/>
        </w:rPr>
        <w:t xml:space="preserve">می دانستند، با این بنیه و ساختار خاص که مایۀ امتیاز او از دیگر حیوان‌هاست و هم اوست که امر و نهی و مدح و ذم متوجه اوست؛ و حیّ قادر است به سبب حیات و قدرت که معانی ای در اویند، نه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این تعریف را تأیید می کند و انسان را همین مجموعۀ تشکیل شده از اندام های گوناگون که با چشم می بینیم ـ و نه بخشی از آن ـ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01" w:name="__RefHeading___Toc794957_1395250215"/>
      <w:bookmarkStart w:id="302" w:name="_Toc120"/>
      <w:bookmarkEnd w:id="301"/>
      <w:r>
        <w:rPr>
          <w:rtl w:val="true"/>
        </w:rPr>
        <w:t>پیش فرضها و مقدمات دیدگاه سید مرتضی</w:t>
      </w:r>
      <w:bookmarkEnd w:id="302"/>
    </w:p>
    <w:p>
      <w:pPr>
        <w:pStyle w:val="BookText"/>
        <w:rPr/>
      </w:pPr>
      <w:r>
        <w:rPr>
          <w:rFonts w:ascii="IRNazanin" w:hAnsi="IRNazanin" w:eastAsia="IRNazanin"/>
          <w:color w:val="111111"/>
          <w:sz w:val="28"/>
          <w:sz w:val="28"/>
          <w:szCs w:val="28"/>
          <w:rtl w:val="true"/>
          <w:lang w:bidi="fa-IR"/>
        </w:rPr>
        <w:t>استدلال سید مرتضی و هم‌فکرانش بر پیش فرض ها و مقدمات زیر تکیه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 و چون قدرت و حیات شرط تکلیف است، نتیجه می گرفتند که ماهیت انسان هرچه باشد،</w:t>
      </w:r>
    </w:p>
    <w:p>
      <w:pPr>
        <w:pStyle w:val="BookText"/>
        <w:rPr/>
      </w:pPr>
      <w:r>
        <w:rPr>
          <w:rFonts w:ascii="IRNazanin" w:hAnsi="IRNazanin" w:eastAsia="IRNazanin"/>
          <w:color w:val="111111"/>
          <w:sz w:val="28"/>
          <w:sz w:val="28"/>
          <w:szCs w:val="28"/>
          <w:rtl w:val="true"/>
          <w:lang w:bidi="fa-IR"/>
        </w:rPr>
        <w:t>بی شک از قدرت و حیات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برای تحلیل ماهیت انسان، راهی جز این پیش رو نداریم که بررسی کنیم صفات انسان و به‌خصوص، این دو صفت در ما قائم به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پایان زندگی نیست و انسان پاداش و کیفر کارهای نیک و بدِ خویش را در آخرت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هنگام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اعاده می شوند که انسان از راه خودآگاهی می داند که از کودکی تا بزرگ‌سالی همواره در او ثابت بوده اند و هم او بوده که اراده می کرده و به تناسب کارهای نیک یا بدی که انجام داده است، استحقاق مدح و پاداش، یا ذم و کیفر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اعادۀ اطراف بدن و اجزائی که در اثر چاقی به پیکر افزوده می شوند و در استحقاق مدح و ذم نقش ندارند، ضرورت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هم‌چنین، به نظر برخی متکلمان اشاره می کند که معاد را اعادۀ حیات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تفسیر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نه اعادۀ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تصور این دسته از متکلمان، ممکن است پس از مرگ، اجزای بدن تغییر کنند و جزء موجود زنده دیگر شوند، اما حیات آن پایدار می ماند و دوباره به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این تصویر از معاد را مردود می داند، به این دلیل که آنچه مستحق ثواب یا عقاب است و باید اعاده شود، حی است که دارای اجزاست، نه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می توانیم این نتیجه را هم بگیریم که از دیدگاه سید مرتضی، هویت شخصی و آگاهی و ارادۀ انسان، صرفاً به ترکیب اجزای اصلی و حیاتی بدن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ذات، بر علم به صفات تقدم دارد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از راه صفاتش</w:t>
      </w:r>
    </w:p>
    <w:p>
      <w:pPr>
        <w:pStyle w:val="BookText"/>
        <w:rPr/>
      </w:pPr>
      <w:r>
        <w:rPr>
          <w:rFonts w:ascii="IRNazanin" w:hAnsi="IRNazanin" w:eastAsia="IRNazanin"/>
          <w:color w:val="111111"/>
          <w:sz w:val="28"/>
          <w:sz w:val="28"/>
          <w:szCs w:val="28"/>
          <w:rtl w:val="true"/>
          <w:lang w:bidi="fa-IR"/>
        </w:rPr>
        <w:t xml:space="preserve">نمی 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 فلسفی ـ معرفت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علم به صفت، بدون علم به موصوف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علم به ذات انسان ضروری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جز استدلال برای شناخت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هم‌چنان که خواهیم دید، سید مرتضی و هم‌فکرانش، برای تعریف ماهیت انسان، از صفات او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تناقض ظاهری را بتوان این‌گونه حل کرد که مراد آن‌ها از این‌که ماهیت شیء را از راه صفاتش نمی توان شناخت، این بود که ذات هیچ چیزی را نمی توان به صفاتش فروکاست؛ برخلاف نجار که جسم را اعراض گرد هم آمده</w:t>
      </w:r>
    </w:p>
    <w:p>
      <w:pPr>
        <w:pStyle w:val="BookText"/>
        <w:rPr/>
      </w:pPr>
      <w:r>
        <w:rPr>
          <w:rFonts w:ascii="IRNazanin" w:hAnsi="IRNazanin" w:eastAsia="IRNazanin"/>
          <w:color w:val="111111"/>
          <w:sz w:val="28"/>
          <w:sz w:val="28"/>
          <w:szCs w:val="28"/>
          <w:rtl w:val="true"/>
          <w:lang w:bidi="fa-IR"/>
        </w:rPr>
        <w:t xml:space="preserve">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افعالی که انسان در اطراف بدن خویش پدید می آورد، مبتدأند؛ نه مخترع و نه متولد، زیرا اختراع فعل تنها از خدای تعالی که قادر لذاته است برمی آید، نه انسان که قدرت او زاید بر 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تولید فعل در اطراف بدن هم باید قلب، با جذب و 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حرکاتی را دومینووار، یکی پس از دیگری، در اجزای بدن پدید آورد تا به طرف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افعال انسان جبری خواهند بود و استحقاق مدح و ذم به بار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تکلیف نامعقول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یکی از مهم‌ترین مقدمات استدلال سید مرتضی، در توجیه دیدگاهش دربارۀ ماهیت انسان است، زیرا با تکیه بر آن آرای کسانی چون اسواری، ابن راوندی و معمر را نقد و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اسواری، جسمی که به نام انسان می شناسیم، همچون دیگر اجسام، توده ای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اجزای لایتجزای بسیار است که تنها یک جزء آن که در قلب جا دارد، انسان است و بقیۀ اجزا، همگی، مرده و از حیات، علم و قدرت بی بهره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تعریف اشکال شد که اگر انسان جزء لایتجزی و روحِ جای گرفته در قلب باشد، باید درد را تنها در قلبش احساس کند، در حالی که انسان در دیگر اعضا و جوارحش نیز درد را احساس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w:t>
      </w:r>
    </w:p>
    <w:p>
      <w:pPr>
        <w:pStyle w:val="BookText"/>
        <w:rPr/>
      </w:pPr>
      <w:r>
        <w:rPr>
          <w:rFonts w:ascii="IRNazanin" w:hAnsi="IRNazanin" w:eastAsia="IRNazanin"/>
          <w:color w:val="111111"/>
          <w:sz w:val="28"/>
          <w:sz w:val="28"/>
          <w:szCs w:val="28"/>
          <w:rtl w:val="true"/>
          <w:lang w:bidi="fa-IR"/>
        </w:rPr>
        <w:t>ابن راوندی را واداشت تا نظریه را اصلاح کند، به این شکل که چنین نیست غیر از انسان، اجزای دیگر بدن مرده باشند؛ همۀ اجزای بدن، اعم از انسان و غیرانسان، دارای روح و از حیات و ادراک برخوردارند و در نتیجه، درد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فرقی که انسان با اجزای غیرانسان دارد، این است که علاوه بر حیات و ادراک، از قدرت و اراده نیز برخوردار است و از همین رو، بین اجزای بدن، تمانع قدرت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ابن راوندی چاره ساز نشد، زیرا در تبیین این‌که مگر قلب چه خصوصیتی دارد که قدرت در روحِ جای‌گرفته در آن حلول می کند و نه ارواح اندام های دیگر بدن، درماند، چون اگر گفته شود به این دلیل روحِ جای‌گرفته در قلب، محل قدرت است که اگر از آن جدا شود، تدبیر و تصرف برای انسان ناممکن می گردد، پاسخ این است که با از هم پاشیدن بنیۀ گردن یا خون‌ریزی نیز انسان می میرد و توانایی تدبیر و تصرف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به این دلیل که اراده در قلب حلول می کند، پاسخ این است که اگر اراده در قلب حلول می کند، فعل مبتدأ در اطراف بدن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دلالت دارد بر این‌که قلب محل قدرت است، دومی را باید دلیل گرفت بر این‌که همۀ اطراف بدن، از حیات و قدرت برخوردارند که در این صورت انسان مجموعه ای خواهد بود از موجودهای حیّ بسیار که تمانع قدرت بین آن‌ها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نظریۀ اسواری و ابن راوندی این بود که طبق نظر آن‌ها، چون قدرت صفت انسان است و انسان در قلب جای دارد، برای این‌که حرکتی را در اطراف بدن ـ مثلاً دست و پا ـ پدید آورد، یا باید باواسطه و از راه تولید دومینووارِ حرکات در اجزای بدن این کار را بکند، یا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و از راه اختراع فعل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حرکت ـ هم‌چنان که گفته شد ـ تنها از راه جذب یا دفع قلب امکان پذیر است، در حالی که دست حرکت می کند، بی آن که از قلب به آن حرکت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اختراع حرکت نیز تنها از فاعلی برمی آید که بذاته از حیات و قدرت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تداخل اجسام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فلسفی ـ جهان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در ردّ نظر نظام است که انسان را روح و جسم لطیف می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منتقدان به بیان‌های گوناگون، نقش بدن و جسم کثیف انسان در ماهیت او را گوشزد کردند، از جمله این‌که انسان با بدنش گرما و سرما و درد را احساس می کند؛ پس باید بدن از حیات و قدرت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چگونه است که وقتی سر بریده، یا بدن دو نیم می شود، روح تلف می گردد، اما هنگامی که دست یا پا قطع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سید مرتضی، همین امر، به خصوص اشکال آخر، برخی از متأخران را</w:t>
      </w:r>
    </w:p>
    <w:p>
      <w:pPr>
        <w:pStyle w:val="BookText"/>
        <w:rPr/>
      </w:pPr>
      <w:r>
        <w:rPr>
          <w:rFonts w:ascii="IRNazanin" w:hAnsi="IRNazanin" w:eastAsia="IRNazanin"/>
          <w:color w:val="111111"/>
          <w:sz w:val="28"/>
          <w:sz w:val="28"/>
          <w:szCs w:val="28"/>
          <w:rtl w:val="true"/>
          <w:lang w:bidi="fa-IR"/>
        </w:rPr>
        <w:t xml:space="preserve">ـ که بنا بر منابع دیگر، کسی نیست جز ابن‌اخشید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آن داشت تا انسان را جسم رقیق روان در بدن تفسیر کند که وقتی گردن زده یا دو نیم می شود، درهم کشیده و جمع نمی شود و تلف می‌گردد، برخلاف زمانی که دست یا پای او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ترتیب کوشید برای اشکالی که بر نظریۀ نظام شده بود، پاسخی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تلاش او را ناکام ارزیابی می کند، زیرا درهم کشیده و جمع شدن انسان و در نتیجه، زنده ماندن او، هم‌چنان که پس از قطع دست ممکن است، پس از قطع سر نیز عقلاً امکان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کثیر می توانند هویت واحد و یک‌پارچه ای را بسازند، به گونه ای که مرکزیت یک عضو در آن ـ مثلاً قلب ـ لطمه ای به وحدت هویت و یک‌پارچگی آن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فلسفی ـ جهان 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از انضمام چیزی که دارای حیات نیست به غیر حیّ دیگر، مجموعه ای برخوردار از حیات پدیدار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فلسفی ـ جهان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دو مقدمه گفتنی است از اشارۀ سید مرتضی در الذخیرۀ فی علم الکلام برمی آید که بخش مهمی از اختلاف نظر متکلمانی که از سویی، انسان را جزء لایتجزی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دانستند و از سوی دیگر، تداخل اجسام را نیز ممتنع می شمردند، در پاسخ آن‌ها به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پرسش اساسی زیر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آیا یک صفت می‌تواند قائم به مجموعه ای از اجزا باشد و دوم این‌که آیا از انضمام چیزی که دارای حیات نیست به غیر حیّ دیگر، مجموعه ای برخوردار از حیات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چون قاضی عبدالجبار و سید مرتضی، به پیروی از ابوعلی و ابوهاشم جبایی، با قبول این اصل که ممکن است</w:t>
      </w:r>
    </w:p>
    <w:p>
      <w:pPr>
        <w:pStyle w:val="BookText"/>
        <w:rPr/>
      </w:pPr>
      <w:r>
        <w:rPr>
          <w:rFonts w:ascii="IRNazanin" w:hAnsi="IRNazanin" w:eastAsia="IRNazanin"/>
          <w:color w:val="111111"/>
          <w:sz w:val="28"/>
          <w:sz w:val="28"/>
          <w:szCs w:val="28"/>
          <w:rtl w:val="true"/>
          <w:lang w:bidi="fa-IR"/>
        </w:rPr>
        <w:t>اجزای کثیر با یک‌دیگر ترکیب شوند و هویت واحدی را بسازند، انسان را همین بنیه و ساختار</w:t>
      </w:r>
    </w:p>
    <w:p>
      <w:pPr>
        <w:pStyle w:val="BookText"/>
        <w:rPr/>
      </w:pPr>
      <w:r>
        <w:rPr>
          <w:rFonts w:ascii="IRNazanin" w:hAnsi="IRNazanin" w:eastAsia="IRNazanin"/>
          <w:color w:val="111111"/>
          <w:sz w:val="28"/>
          <w:sz w:val="28"/>
          <w:szCs w:val="28"/>
          <w:rtl w:val="true"/>
          <w:lang w:bidi="fa-IR"/>
        </w:rPr>
        <w:t>تشکیل شده از اندام های گوناگون دانستند و بعضی دیگر، چون معمر و شیخ مفید، که منکر چنین پیش فرضی بودند و باور داشتند که هویت واحد انسان باید به ذات واحدی وابسته باشد، طرحی نو درانداختند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جزء لایتجزی است، اما نه جزء لایتجزای جای گرفته در قلب، بلکه نوع دیگری از جزء لایتجزی که به تعبیر اشعری، نامکان‌مند است و تماس و جدایی و حرکت و سکون و دیگر اعراض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معادلی که شیخ مفید برای این نوع جزء لایتجزی یافت، اصطلاح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درون خویش می یابد که با یک اراده تصرف می کند؛ پس قادر نیز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هویت شخصی، بر اساس دیدگاه کسانی که انسان را جزء لایتجزایی در قلب، روح بسیط، یا نفس می دانستند، به سادگی قابل تبیین بود، برخلاف دیدگاه جباییان و پیروان آن‌ها که غریب و نامأنوس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از کسانی که جسم را مجموعه ای گرد هم آمده ار اجزای لایتجزی می انگاشتند و حداکثر به مزاج عناصر چهارگانه باور داشتند، شگفت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نخستین بار به ذهن پویا و تیزبین ابوعلی و ابوهاشم جبایی خطور کرد که غیر از اجتماع فیزیکی جوهرهای فرد که جسم را می سازد، باید گونۀ دیگری از ترکیب نیز باشد که اختصاص به موجودهای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ترکیب، اجزای لایتجزی با ساختار ویژه ای به یک‌دیگر متصل و ضمیمه می‌شوند که در صورت فراهم بودن شرایط دیگر، مانند رطوبت و گردش خون و هوای دم و بازدم، حیات در آن پدیدار می شود و مجموعه ی اجزا به یک شیء بدل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فرایند، با این‌که حیات و قدرت در بخشی از بدن ـ که طبق نظر متکلمان قلب است ـ حلول می کند، کلّ مجموعه به حیّ و قادر توصیف می شود و به همین دلیل گفته نمی شود</w:t>
      </w:r>
    </w:p>
    <w:p>
      <w:pPr>
        <w:pStyle w:val="BookText"/>
        <w:rPr/>
      </w:pPr>
      <w:r>
        <w:rPr>
          <w:rFonts w:ascii="IRNazanin" w:hAnsi="IRNazanin" w:eastAsia="IRNazanin"/>
          <w:color w:val="111111"/>
          <w:sz w:val="28"/>
          <w:sz w:val="28"/>
          <w:szCs w:val="28"/>
          <w:rtl w:val="true"/>
          <w:lang w:bidi="fa-IR"/>
        </w:rPr>
        <w:t xml:space="preserve">که مثلاً دست زنده است، بلکه گفته می شود که انسان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نظریۀ معمر را ـ که با اقبال شیخ مفید نیز روبه رو شده بود ـ درست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 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ـ یعنی، ذات حی و فعال ما ـ خارج از این پیکر باشد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نه در آن، باید افعال را ابتدائاً در آن اختراع کند، زیرا قدرت بنا بر دیدگاه آن‌ها، قائم به آن ذات است و نه این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باطل است؛ پس مقدم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تلازم مقدم و تالی باید گفت با توضیحی که در مقدمه دربارۀ اقسام فعل داده شد، اگر انسان غیر از بدن باشد، از آن جا که قدرت صفت انسان است، نه بدن، حرکت و سکونی که انسان در بدن خویش پدید می‌آورد، چون در بیرون محل قدرت است، فعل مخترع خواهد بود، در حالی که اختراع فعل، تنها از خدای تعالی برمی آید که قادر لذاته است، نه انسان که قدرتش محدود است و از حدود اندام ها و عضله هایش فراتر نمی رود، مگر با وساطت فعل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انسان غیر از بدن باشد، باید محل قدرت هم غیر از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حرکتی که انسان در اطراف بدنش پدید می آورد، چون از سویی، در بیرون محل قدرت است و از سوی دیگر، با واسطه و از راه تولید نیست، مخترع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حرکت درآوردن دست ـ مثلاً ـ درست مانند این است که کسی ورقۀ کاغذ یا قلم را بدون تکان دادن اطراف بدن ـ مثلاً دست ـ، بی واسطه،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برای ابطال تالی، چندین شاهد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کم و بیش تجربه کرده ایم که جابه جا کردن جسم سنگین با یک دست برایمان دشوار و گاه نامقدور است، اما وقتی از دست دیگرمان کمک می گیریم، توانایی جابه جا کردن آن را پیدا می کنیم، یا انجام آن برای ما آسان و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می توان پی برد که نیرو و قدرت انسان در اندام ها و عضله های بدنش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می توانست در بیرون محل قدرتش فعل اختراع کند، باید می توانست بیمار ناتوان و زمین‌گیری را که قدرت تکان دادن دستانش را ندارد، به حرکت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قدرت، طبق فرض، صفت انسان و قائم به اوست، نه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مجاور بدن یا حالّ در آن نباشد و فقط فعل را در آن اختراع کند، این اشکال پیش می‌آید که نتوان افعالی را که در بدن ظاهر می شوند، به شخص خاص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انسان غیر از بدن باشد که صرفاً رابطۀ تدبیری با آن دارد، چگونه است که جوهری بسیط ـ البته به تعبیر شیخ مفید ـ که هویت شخص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سازد، تنها بدن او را تدبیر می کند، نه بدن شخص دیگری مثلاً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حالی که با هر دوی آن‌ها نسبت یکسان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سید مرتضی، نه تنها قدرت، بلکه اراده و خستگی و درد نیز به بدن وابسته است، زیرا انسان اراده را در قلبش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در فکر و استدلال غوطه ور می شود،</w:t>
      </w:r>
      <w:bookmarkStart w:id="303" w:name="pg2673_17998"/>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خستگی و درد را در ناحیۀ قلبش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محل آن‌ها نباشد، احساس خستگی و درد در قلب و یافتن اراده در آن چه توجیهی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نیز به بدن وابسته است، به این دلیل که وقتی کسی گردن زده یا دو نیم می شود،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چه فرقی بین قطع سر و دست است که با اولی انسان می میرد، اما با دومی نه، در حالی که اگر انسان خارج از این پیکر باشد و مجاور یا حالّ در آن نباشد، با همۀ اندام های بدن نسبت یکسان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ادراک، قدرت و حیات انسان، همگی، به بدن وابسته اند، باید حکم کرد انسان چیزی جز این بدن ـ البته با ساختار ویژه اش که حیات و به تبع آن، علم و قدرت را برای او ممکن می گرداند ـ نیست</w:t>
      </w:r>
      <w:r>
        <w:rPr>
          <w:rFonts w:eastAsia="IRNazanin" w:cs="IRNazanin"/>
          <w:color w:val="111111"/>
          <w:sz w:val="28"/>
          <w:szCs w:val="28"/>
          <w:rtl w:val="true"/>
          <w:lang w:bidi="fa-IR"/>
        </w:rPr>
        <w:t>.</w:t>
      </w:r>
    </w:p>
    <w:p>
      <w:pPr>
        <w:pStyle w:val="Heading3"/>
        <w:numPr>
          <w:ilvl w:val="2"/>
          <w:numId w:val="1"/>
        </w:numPr>
        <w:rPr/>
      </w:pPr>
      <w:bookmarkStart w:id="304" w:name="__RefHeading___Toc794959_1395250215"/>
      <w:bookmarkStart w:id="305" w:name="_Toc121"/>
      <w:bookmarkEnd w:id="304"/>
      <w:r>
        <w:rPr>
          <w:rtl w:val="true"/>
        </w:rPr>
        <w:t>آرای متکلمان درباره چیستی مرگ</w:t>
      </w:r>
      <w:bookmarkEnd w:id="305"/>
    </w:p>
    <w:p>
      <w:pPr>
        <w:pStyle w:val="BookText"/>
        <w:rPr/>
      </w:pPr>
      <w:r>
        <w:rPr>
          <w:rFonts w:ascii="IRNazanin" w:hAnsi="IRNazanin" w:eastAsia="IRNazanin"/>
          <w:color w:val="111111"/>
          <w:sz w:val="28"/>
          <w:sz w:val="28"/>
          <w:szCs w:val="28"/>
          <w:rtl w:val="true"/>
          <w:lang w:bidi="fa-IR"/>
        </w:rPr>
        <w:t>بسیاری از متکلمان متقدم، حتی کسانی چون شیخ مفید که برای انسان نفس قائل بودند، مرگ را نابودی تصور می کردند، گرچه به تناسب پاسخی که به پرسش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انسان پس از حدوث استمرار پیدا می‌کند، یا لحظه به لحظه حادث می شود؛ و بنا بر فرض نخست،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انسان به خودی خود استمرار می‌یابد، یا به سبب عرض بقا، داده اند، تصویرها و نظریه های گوناگونی از چگونگی نابودی انسان پرداخته اند،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نظام جوهر و جسم لحظه به لحظه خلق و حادث می شوند؛ پس برای نابودی آن‌ها کافی است خدای تعالی دست از آفرینش آن‌ها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در مقام نقد، از شهود و درون نگری ما شاهد می آوردند که همگی، علم ضروری داریم به این‌که همان شخص دیروزی هستیم؛ پس انسان باقی است و از آن‌جا که دیگر جواهر و اجسام هم سنخ و هم جنس انسانند، آن‌ها نیز باید باقی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دلیل دیگری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جوهر لحظه به لحظه حادث شود، مدح و ذمّ آن قبیح خواهد بود، زیرا مدح و ذم، پس از وقوع فعل، زمانی سزاوار است که کسی که مدح یا ذم می شود، همان کسی باشد که کار نیک یا بد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که چرا فرض نکنیم خدای تعالی، جوهر را در هر لحظه از نو خلق می‌کند، در حالی که همان جوهر پیشین است؟ پاسخ سید مرتضی این است که در این صورت، عقلاً باید ممکن باشد که جوهر در دو زمان متوالی و پیوسته، در دو مکان ناپیوسته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مثلاً لحظۀ اول در بغداد و لحظۀ دوم در بصره ـ خلق شود و بی آن که مسافتی را طی کند،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جایی به جای دیگر منتقل شود، زیرا اگر وجود جوهر در لحظۀ دوم نیز همانند لحظۀ قبل به خدا و قدرت و ارادۀ او وابسته باشد، هم‌چنان که در لحظۀ نخست مخیر بود، او را در هر شهری که بخواهد خلق کند، در لحظۀ دوم نیز باید بتواند او را در هر کجا که اراده کند،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جواهر و اجسام پس از حدوث استمرار پیدا می کند؛ اما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یا به سبب عرض بقا؟ سید مرتضی گزینۀ اول را اختیار می کند، برخلاف شیخ مفید که گزینۀ دوم را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اختلاف نظر ـ که البته به آن‌ها محدود نیست ـ ریشه در تصور آن‌ها از صفات و اعراض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مرتضی، صفاتی که به یک شیء نسبت داده می شوند، زمانی بر وجود یک عرض در آن دلالت دارند که متمایز و واضح باشند؛ باقی از آن جهت که باقی است دارای این ویژگی ها نیست؛ بنابراین بقا، عرض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بقا عرض باشد، باید وجود آن در جوهر از همان لحظۀ پیدایش جوهر ممکن باشد، چون آنچه وجود عرض را در جوهر ممکن می کند، تحیز است که جوهر در لحظۀ پیدایش هم دارای آن است، در حالی که بقا،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حدوث را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آن‌جا که به نظر سید مرتضی، جوهر در وجودش به چیزی وابسته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اعدام هم عدم فعل است، نه فعل عدم و در نتیجه، قدرت به آن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باید نابودی جوهر را از راه ضد ـ یعنی فنا ـ دانست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نابودی جوهر از راه فنا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در الإنتصار ـ که یکی از قدیمی ترین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برجای‌ماندۀ کلامی است ـ از سه دیدگاه یاد می کند که وجه اشتراک همگی آن‌ها این است که هرگاه خدا اراده کند چیزی را نابود سازد، فنا را حادث می کند؛ و اختلاف آن‌ها تنها در این است که فنا قائم به کیست 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شیء، یا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 دیدگاه متکلمانی چون سید مرتضی که در اصل از آنِ ابوهاشم جبایی است، در این بود که معتقد شدند فنا، اولاً، عرضی است که محل ندارد و ثانیاً، ضد همۀ اجسام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یکی از چاره اندیشی های متأخرتر ـ که در آثار سید مرتضی نیز بازتاب یافته ـ نظریۀ باقلانی است که راه‌حل را در ویژگی مکان‌مندی جوهر و جسم ـ که متکلمان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ـ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جوهر و جسم موجود نمی شوند، مگر در مکان و جهت خاص؛ با این وصف، کافی است خدا ویژگی مکان‌مندی را از آن‌ها بگیرد تا نابود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نقد نظر باقلانی، پاسخ های گوناگونی را که متکلمان، به تناسب رأی خویش دربارۀ بقای عرض مکان‌مندی دادند،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گرچه کم و بیش در بقای مکا ن‌مندی تردید دارد، اما در نهایت نظریۀ بقای اکوان را ترجیح می دهد و حتی در تأیید آن استدلال</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نقض و ابرام ها و چون و چراها، بر این پیش فرض مهم استوار و توجیه پذیر است که جواهر نابودشدنی باشند؛ پیش فرضی که سید مرتضی در تأیید یا نفی آن، دلیل عقلی سراغ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معتبرترین دلیل در تأیید این مقدمه، اجماع</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آیاتی از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 ظهور دارد در این‌که خدا پس از همۀ موجودات است؛ از سوی دیگر، دلیل داریم بر این‌که بهشت و دوزخ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دو دلیل ناچاریم آیه را مقید کنیم به پیش از داخل شدن بندگان در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جواهر و دیگر مخلوقات باید همگی، زمانی، نابود شوند تا خدا به تنهایی موجود و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دوم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است، به ویژه به قرینۀ دنبالۀ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گذشت، استدلال سید مرتضی و هم‌فکران او را می توان چنین صورت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باقی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یا از راه ضد نابود می شوند، یا از راه چیزی که در وجود یا بقای خویش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در وجود و بقای خویش به چیزی نیاز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از راه ضد نابود می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همۀ جواهر از راه یک عرض فنا</w:t>
      </w:r>
      <w:bookmarkStart w:id="306" w:name="pg2673_18001"/>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تا این‌جا ثابت شد که به نظر سید مرتضی و هم‌فکران او، جوهر از راه ضدش که عرض فناست نابود می شود؛ اما آیا همۀ جوهرها با یک عرض فنا نابود می شوند، یا هر جوهری با عرض فنای خاص خودش؟ بنا بر گزارش ملاحمی در الفائق فی اصول الدین، ابوهاشم جبایی به گزینۀ نخست باور داشت و ابوعلی جبایی به گزینه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ابوعلی این بود که هر جوهری، به تنهایی، ذات مستقل است؛ پس باید ضد خاص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ابوهاشم هم این بود که امکان ندارد فنا در چیزی حلول کند، زیرا اجتماع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جسم و فنای حالّ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و زمانی هم که بدون محل موجود شود، با هر جوهری منافات پیدا می کند؛ مانند جزء واحد از سیاهی که اگر در محلی موجود شود که در آن ده جزء سفیدی هست، با هر ده جزء منافات پیدا می‌کند، چون به جزء خاصی اختصاص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قول، سید مرتضی، به نظر ابوهاشم گروید و استدلال او را تأیید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07" w:name="__RefHeading___Toc794961_1395250215"/>
      <w:bookmarkStart w:id="308" w:name="_Toc122"/>
      <w:bookmarkEnd w:id="307"/>
      <w:r>
        <w:rPr>
          <w:rtl w:val="true"/>
        </w:rPr>
        <w:t>نقد نظریه سید مرتضی درباره فنا</w:t>
      </w:r>
      <w:bookmarkEnd w:id="3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قاضی عبدالجبار و سید مرتضی، از چند جهت نامأنوس و سؤال برانگیز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یک معنا بدون محل 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فرض امکان،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همۀ جواهر با هم نابود شوند؟ آیا نمی توان فرض کرد که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بی هیچ علتی، با برخی جوهرها و نه همۀ آن‌ها منافات داشته باشد، هم‌چنان که عرض به یکی از دو محل اختصاص پیدا می کند، بی آن که علتی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فنا به گونه ای باشد که فقط با برخی از جوهرها ناسازگار باشد، نه همۀ آن‌ها و در نتیجه، هر جوهری با فنای خاص خودش نابود شود ـ چنان که ابوعلی جبایی می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به ضمیمه دغیم،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متویه، التذکره فی أحکام الجواهر و الأعراض،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در جهت خاصی باشد و هر جوهری را که مقابل آن قرار گیرد، نابود کند و به عبارت دیگر، هم‌چنان که امکان ندارد سیاهی در همان محلی وجود پیدا کند که سفیدی در آن حلول کرده است، امکان ندارد جوهر در همان جهتی وجود پیدا کند که فنا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نتیجۀ این نظریه، محدودیت قدرت خدا نیست، زیرا لازمه اش این است که خدا قادر نباشد برخی از جواهر را نابود کند و بقیه را باقی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پاسخ قاضی عبدالجبار و سید مرتضی به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ممکن پنداشتن حلول فنا در یک محل، به این معناست که فنا و محلش هم زمان وجود داشته باشند که در این صورت، دیگر با هم تنافی ندارند؛ بنابراین فرض حلول فنا در یک جوهر درون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دو چیز، به خودی خود، با یک‌دیگر تضاد و تنافی پیدا نمی کنند؛ و زمانی با هم تضاد پیدا می‌کنند و غیر قابل جمع می گردند که اولاً، جنس آن‌ها با یک‌دیگر ناسازگار باشد و ثانیاً، بنا باشد در یک محل موجود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فرض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 که این فناها یا مختلفند، یا متضاد، یا متماثل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نیستند، زیرا اشیای مختلف چه بسا با یک‌دیگر تضاد نداشته باشند، در حالی که فنای برخی از جوهرها، طبق فرض، ضد فنای جوهرهای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فناها یا باید ضد یک‌دیگر باشند، یا مثل یک‌دیگر؛ که در هر دو حالت، یکی از آن‌ها ـ به تنهایی ـ با همۀ جوهرها تضاد پیدا می کند و سبب نابودی آن‌ها می شود؛ هم‌چنان که رنگ های دیگر غیر از سفیدی، متماثل باشند یا متضاد، یکی از آن‌ها ـ به تنهایی ـ سبب نابودی همۀ اجزای سفیدی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به ضمیمه دغیم،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استاد و شاگرد به فرض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بود که برای این‌که فنا در جهت خاصی باشد، باید مکان‌مند باشد و برای این‌که مکان‌مند باشد، باید متحیز باشد، در حالی که تحیز صفت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 شود که فنا ذاتاً در جهت خاصی هست و بنابراین نیاز نیست مکان‌مند باشد؛ پاسخ این است که لازمۀ چنین فرضی این است که جوهر هم برای این‌که در جهت خاصی قرار گیرد، نیاز نباشد که مکان‌مند و متحیز باشد که برخلاف ذات و ماهیت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به ضمیمه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تحیز ذاتی جوهر است و مکان‌مندی و به تبع آن، جهت مندی، لازمۀ تحیز و از جوهر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فنا ذاتاً جهت مند باشد، اما مکان‌مند و متحیز نباشد، لازم می آید که تحیز و مکان‌مندی، از جهت مندی جدایی پذیر باشند و در این صورت باید بتوان فرض کرد که جوهر جهت مند باشد، بی آن که متحیز و مکان‌مند باشد، که این برخلاف ماهیت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سوم، تحیز، مکان‌مندی و جهت مندی با یک‌دیگر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فنا اقتضا کند که در جهت خاصی باشد، باید هم‌چنین اقتضا کند که متحیز و مکان‌مند باشد، در حالی که منتقدان، اگر فنا را عرض و معنا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آن را جوهر و متحیز هم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تفصیلی تر دربارۀ این فرض و نقد آن،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bookmarkStart w:id="309" w:name="pg2673_18003"/>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اشکال دوم، با همۀ فرض هایش، ریشه در اشکال مهم تر و بنیادین تری داشت که از چشم مخالفان، به ویژه اشاعره پنهان نماند؛ یعنی، همان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اشاعره، نظریۀ جبایی و پسرش، سر از محدودیت قدرت خدای تعالی درمی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اشکال را نادیده می‌گیرد، اما قاضی عبدالجبار تلاش می کند پاسخی درخور برای آن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این است که قدرت به چیزی تعلق می گیرد که به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ممکن الحصول باشد، نه چیزی که فی نفسه محال است؛ بنابراین برای قادر عجز و ناتوانی به شمار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سید مرتضی در الذخیرۀ فی علم الکلام تصریح می کند که مکان‌مندی از اعراض باقی است و جز از راه ضدش از بین نمی رود و احتمال قوی می دهد که اکوان و تألیف جزء اعراض پایدار باشند، حمصی رازی، در المنقذ من التقلید، به او نسبت می دهد که گرچه مانند پیروان ابوهاشم جبایی، مکان‌مندی را معنا و عرض می‌دانست، اما برخلاف آن‌ها یقین به بقای آن نداشت و فراتر از آن، حتی در این‌که فنا معنایی ضد جوهر باشد هم دچار تردید شد و احتمال داد که خدای تعالی جوهر را با نیافریدن عرض مکان‌مندی در آن نابود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سید مرتضی، اعادۀ عین مکان‌مندی را ضروری</w:t>
      </w:r>
    </w:p>
    <w:p>
      <w:pPr>
        <w:pStyle w:val="BookText"/>
        <w:rPr/>
      </w:pPr>
      <w:r>
        <w:rPr>
          <w:rFonts w:ascii="IRNazanin" w:hAnsi="IRNazanin" w:eastAsia="IRNazanin"/>
          <w:color w:val="111111"/>
          <w:sz w:val="28"/>
          <w:sz w:val="28"/>
          <w:szCs w:val="28"/>
          <w:rtl w:val="true"/>
          <w:lang w:bidi="fa-IR"/>
        </w:rPr>
        <w:t xml:space="preserve">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درست باشد، سید مرتضی در مقطعی از حیات فکری و علمی اش، در مسئله بقای مکان‌مندی و چگونگی فنای اجسام و جواهر، به مخالفت با جباییان برخاست؛ شاید به دلیل اشکال هایی که آن‌ها را بی پاسخ گذاشته بود</w:t>
      </w:r>
      <w:r>
        <w:rPr>
          <w:rFonts w:eastAsia="IRNazanin" w:cs="IRNazanin"/>
          <w:color w:val="111111"/>
          <w:sz w:val="28"/>
          <w:szCs w:val="28"/>
          <w:rtl w:val="true"/>
          <w:lang w:bidi="fa-IR"/>
        </w:rPr>
        <w:t>.</w:t>
      </w:r>
    </w:p>
    <w:p>
      <w:pPr>
        <w:pStyle w:val="Heading3"/>
        <w:numPr>
          <w:ilvl w:val="2"/>
          <w:numId w:val="1"/>
        </w:numPr>
        <w:rPr/>
      </w:pPr>
      <w:bookmarkStart w:id="310" w:name="__RefHeading___Toc794963_1395250215"/>
      <w:bookmarkStart w:id="311" w:name="_Toc123"/>
      <w:bookmarkEnd w:id="310"/>
      <w:r>
        <w:rPr>
          <w:rtl w:val="true"/>
        </w:rPr>
        <w:t>ماهیت مرگ از دیدگاه سید مرتضی</w:t>
      </w:r>
      <w:bookmarkEnd w:id="311"/>
    </w:p>
    <w:p>
      <w:pPr>
        <w:pStyle w:val="BookText"/>
        <w:rPr/>
      </w:pPr>
      <w:r>
        <w:rPr>
          <w:rFonts w:ascii="IRNazanin" w:hAnsi="IRNazanin" w:eastAsia="IRNazanin"/>
          <w:color w:val="111111"/>
          <w:sz w:val="28"/>
          <w:sz w:val="28"/>
          <w:szCs w:val="28"/>
          <w:rtl w:val="true"/>
          <w:lang w:bidi="fa-IR"/>
        </w:rPr>
        <w:t>از دیدگاه سید مرتضی مرگ، فنا و نابودی است که بنا بر تبیین او در الذخیرۀ فی علم الکلام، طی فرایندی تدریجی، در دو مرحله،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نخست، مرحله نابودی تألیف و ترکیب اجزاست که با توقف یا اختلال در عملکرد اندام های حیاتی انسان ـ مانند قطع سر یا از کار افتادن قلب ـ آغاز می شود و مرحلۀ دوم، مرحلۀ نابودی اجزای سازنده انسان، همراه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فنای دیگر جوهرهای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می توان از آن‌جا دریافت که سید مرتضی از سویی، در پاسخ به شبهۀ آکل و مأکول، در انسان دو دسته اجزای اصلی و زاید را از یک‌دیگر باز می شناسد و بر این باور است که اجزای اصلی انسان، جذب بدن موجود زندۀ دیگری نمی‌شوند، برخلاف اجزای زاید که چه بسا جزء ـ و حتی شاید جزء اصلی ـ بدن موجود زندۀ دیگری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نظر ابوهاشم جبایی مبنی بر</w:t>
      </w:r>
      <w:bookmarkStart w:id="312" w:name="pg2673_18004"/>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نابودی یک باره و هم زمان همۀ جوهرهای فرد از راه خلق، تنها یک عرض فنا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سید مرتضی در رساله الحدود و الحقائق، تعریفی از فنا به دست می دهد که تاب آن را دارد تفسیر دیگری از ماهیت مرگ از آن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 عبارت است از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اجزای جسم، به گونه‌ای که به کار گرفتن آن دیگر ممکن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با دیدگاهی دربارۀ مرگ سازگار است که متکلمان متأخر از سید مرتضی، همچون سدیدالدین محمود حمصی رازی و رکن الدین بن ملاحمی خوارزمی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به ضمیمه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مرحلۀ دوم فنا و نابودی را که در بالا ذکر شد، مردود شناختند و به این باور رسیدند که برخلاف نظر ابوعلی و ابوهاشم جبایی، چنین نیست که جوهرهای فرد نابود شوند، نه هر یک جداگانه ـ چنان‌که ابوعلی می اندیشید ـ و نه هم زمان و یک باره ـ چنان‌که ابوهاشم فکر می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تفسیر دیگری از آیاتی که در تأیید امکان فنای جواهر و اجسام شاهد آورده می شد، به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نظریۀ جاحظ دربارۀ فنا را پذیرفتند که فنا و اعاده را میراندن و پراکندن اجزای جان‌داران و سپس بازگرداندن آن‌ها به حیات می دانست، نه بازآفرینی پس از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از مرگ، جوهرهای فرد گرچه ازلی نیستند، اما ابدی اند و تنها تألیف و ترکیب آن‌ها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خدا گرچه بر نابودی جوهرهای فرد قدرت دارد، اما قدرت خویش را اعمال نمی کند و در نتیجه، هرچند نابودی جوهرهای فرد ممکن است، این امکان هرگز به وقوع نمی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 در تأیید نظر خویش، آیاتی از قرآن را شاهد</w:t>
      </w:r>
    </w:p>
    <w:p>
      <w:pPr>
        <w:pStyle w:val="BookText"/>
        <w:rPr/>
      </w:pPr>
      <w:r>
        <w:rPr>
          <w:rFonts w:ascii="IRNazanin" w:hAnsi="IRNazanin" w:eastAsia="IRNazanin"/>
          <w:color w:val="111111"/>
          <w:sz w:val="28"/>
          <w:sz w:val="28"/>
          <w:szCs w:val="28"/>
          <w:rtl w:val="true"/>
          <w:lang w:bidi="fa-IR"/>
        </w:rPr>
        <w:t xml:space="preserve">می آورد که زندگی پس از مرگ را به زنده کردن زمین با رویاندن گیاهان تشبیه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داستان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از خدا درخواست کرد چگونگی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 مردگان را به او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313" w:name="__RefHeading___Toc794965_1395250215"/>
      <w:bookmarkStart w:id="314" w:name="_Toc124"/>
      <w:bookmarkEnd w:id="313"/>
      <w:r>
        <w:rPr>
          <w:rtl w:val="true"/>
        </w:rPr>
        <w:t>نتیجه</w:t>
      </w:r>
      <w:bookmarkEnd w:id="3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سید مرتضی دربارۀ حقیقت انسان و مرگ، دارای نتایج بسیار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همین بدن با ساختار ویژه اش باشد، ناگزیر برزخ و معاد صرفاً جسمانی خواهند بود و</w:t>
      </w:r>
      <w:bookmarkStart w:id="315" w:name="pg2673_18005"/>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بنابراین لذات و آلامی که انسان در زندگی پسادنیوی اش به آن‌ها می رسد، مادی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سید مرتضی دربارۀ ماهیت مرگ، برای زندگی برزخی کافی است خدای تعالی، ترکیب و تألیف اجزای انسان را که با مرگ از بین رفته بود، از نو بسازد، اما زندگی اخروی بستگی دارد به این‌که در آستانۀ قیامت، فنای کلی عالم روی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حشر مردگان، اجزای بدن آن‌ها نیز نابود شوند، برای دوباره زنده کردن آن‌ها باید ابتدا اجزای بدن آن‌ها از نو آفریده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دیگری که از آرای سید مرتضی برمی آید این است که انسان، پدیدآورندۀ افعال خودش است و خدای تعالی، در حدوث آن‌ها نقشی ندارد، مگر در این حد که قدرت انجام آن‌ها را به او بخشیده است</w:t>
      </w:r>
      <w:r>
        <w:rPr>
          <w:rFonts w:eastAsia="IRNazanin" w:cs="IRNazanin"/>
          <w:color w:val="111111"/>
          <w:sz w:val="28"/>
          <w:szCs w:val="28"/>
          <w:rtl w:val="true"/>
          <w:lang w:bidi="fa-IR"/>
        </w:rPr>
        <w:t>.</w:t>
      </w:r>
    </w:p>
    <w:p>
      <w:pPr>
        <w:pStyle w:val="Heading3"/>
        <w:numPr>
          <w:ilvl w:val="2"/>
          <w:numId w:val="1"/>
        </w:numPr>
        <w:rPr/>
      </w:pPr>
      <w:bookmarkStart w:id="316" w:name="__RefHeading___Toc794967_1395250215"/>
      <w:bookmarkStart w:id="317" w:name="_Toc125"/>
      <w:bookmarkEnd w:id="316"/>
      <w:r>
        <w:rPr>
          <w:rtl w:val="true"/>
        </w:rPr>
        <w:t>منابع</w:t>
      </w:r>
      <w:bookmarkEnd w:id="31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الإسلامیین و اختلاف المصلین، بی 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رمضان، بیروت، دار و مکتبۀ الهلال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الدین، بیروت، دارالکتب العلمیه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الفرق بین الفرق و بیان الفرقه الناجیۀ منهم، بیروت، دارالجیل و دارالآفاق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 نصری، بیروت، دارالمشرق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حمصی رازی، شیخ سدیدالدین محمود،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المنقذ من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نشر اسلامی وابسته به جامعه مدرسین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المنقذ من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نشر اسلامی وابسته به جامعه مدرسین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ابوالحسین عبدالرحیم بن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الإنتصار و الرد علی بن الراوندی الملحد، مقدمه و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حجازی، قاهره، مکتبۀ الثقافه الدینیه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دغیم، سمیح،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موسوعۀ مصطلحات الکلام، بیروت، مکتبۀ لبنان ناشرون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علی بن حسین موسوی،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أمالی السید المرتضی، المجلد الاول، قم، کتاب‌خانه آیۀالله‌العظمی مرعشی نجفی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الأنبیاء، قم، منشورات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مؤسسه نشر اسلامی وابسته به جامعه مدرسین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تقدیم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و اعداد سیدمهدی رجائی، قم، 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جمل العلم و العمل،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یعقوب جعفری مراغه ای، بی جا، دار‌الأسوه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الملخص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انصاری‌قمی، تهران، مرکز نشر دانشگاهی و کتاب‌خانه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انصاری، قم، کنگره جهانی هزاره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قم، کنگره جهانی هزاره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بغدادی المسائل السرویه،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عبدالحمید، قم، کنگره جهانی هزاره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القضاۀ عبدالجبار بن احمد،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نجار و عبدالحلیم نجار،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مدکور،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طه حسین، بی جا، دارالکتب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ملاحمی خوارزمی، رکن الدین محمود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تحفۀ المتکلمین فی الرد علی الفلاسفه،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انصاری و ویلفرد مادلونگ، زیر نظر زابینه اشمیتکه و دیگران، تهران و برلین، مؤسسه پژوهشی حکمت و فلسفه ایران و مؤسسه مطالعات اسلامی دانشگاه آزاد برلین ـ آلمان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فی اصول الدین،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و مارتین مکدرموت، تهران، مؤسسه پژوهشی حکمت و فلسفه ایران و مؤسسه مطالعات اسلامی دانشگاه آزاد برلین ـ آلمان</w:t>
      </w:r>
      <w:r>
        <w:rPr>
          <w:rFonts w:eastAsia="IRNazanin" w:cs="IRNazanin"/>
          <w:color w:val="111111"/>
          <w:sz w:val="28"/>
          <w:szCs w:val="28"/>
          <w:rtl w:val="true"/>
          <w:lang w:bidi="fa-IR"/>
        </w:rPr>
        <w:t>.</w:t>
      </w:r>
      <w:bookmarkStart w:id="318" w:name="pg2673_18007"/>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2"/>
        <w:numPr>
          <w:ilvl w:val="1"/>
          <w:numId w:val="1"/>
        </w:numPr>
        <w:rPr/>
      </w:pPr>
      <w:bookmarkStart w:id="319" w:name="__RefHeading___Toc794969_1395250215"/>
      <w:bookmarkStart w:id="320" w:name="_Toc126"/>
      <w:bookmarkEnd w:id="319"/>
      <w:r>
        <w:rPr>
          <w:rtl w:val="true"/>
        </w:rPr>
        <w:t>گسترۀ مسئولیت انسان از دیدگاه قاضی عبدالجبار همدانی</w:t>
      </w:r>
      <w:bookmarkEnd w:id="320"/>
    </w:p>
    <w:p>
      <w:pPr>
        <w:pStyle w:val="Heading3"/>
        <w:numPr>
          <w:ilvl w:val="2"/>
          <w:numId w:val="1"/>
        </w:numPr>
        <w:rPr/>
      </w:pPr>
      <w:bookmarkStart w:id="321" w:name="__RefHeading___Toc794971_1395250215"/>
      <w:bookmarkStart w:id="322" w:name="_Toc12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جنان ایزدی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مرضیه هراتیان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1394/04/23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1394/05/31</w:t>
      </w:r>
    </w:p>
    <w:p>
      <w:pPr>
        <w:pStyle w:val="Heading3"/>
        <w:numPr>
          <w:ilvl w:val="2"/>
          <w:numId w:val="1"/>
        </w:numPr>
        <w:rPr/>
      </w:pPr>
      <w:bookmarkStart w:id="323" w:name="__RefHeading___Toc794973_1395250215"/>
      <w:bookmarkStart w:id="324" w:name="_Toc128"/>
      <w:bookmarkEnd w:id="323"/>
      <w:r>
        <w:rPr>
          <w:rtl w:val="true"/>
        </w:rPr>
        <w:t>چکیده</w:t>
      </w:r>
      <w:bookmarkEnd w:id="324"/>
    </w:p>
    <w:p>
      <w:pPr>
        <w:pStyle w:val="BookText"/>
        <w:rPr/>
      </w:pPr>
      <w:r>
        <w:rPr>
          <w:rFonts w:ascii="IRNazanin" w:hAnsi="IRNazanin" w:eastAsia="IRNazanin"/>
          <w:color w:val="111111"/>
          <w:sz w:val="28"/>
          <w:sz w:val="28"/>
          <w:szCs w:val="28"/>
          <w:rtl w:val="true"/>
          <w:lang w:bidi="fa-IR"/>
        </w:rPr>
        <w:t>در نگاه متکلمان معتزلی، عدالت خداوند و اختیار انسان، مسئولیت انسان در قبال افعال وی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اساسی این است که چه افعالی به انسان منتسب هستند و انسان فاعلِ آن‌ها به شمار می‌رود؟ ضرورت تحقیق در این مسئله، در نسبتِ مستقیمِ فاعلیت انسان با گسترۀ مسئولیت‌های حقوقی و اخلاقی اوست که از مسائل فلسفی و اخلاقی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قاضی عبدالجبار به طور مستقیم به این مسئله نپرداخته است، در این مقاله با روش تحلیلی ـ منطقی به استنباط آن از آرای وی در مسائل مرتبط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انسان را مسئول افعالی می داند که قدرت، علم و اختیار بر انجام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باطل دانستن نظریۀ کسب و نظریۀ طبع، انسان را فاعل افعال مباشر و متولد خویش می شمارد</w:t>
      </w:r>
      <w:r>
        <w:rPr>
          <w:rFonts w:eastAsia="IRNazanin" w:cs="IRNazanin"/>
          <w:color w:val="111111"/>
          <w:sz w:val="28"/>
          <w:szCs w:val="28"/>
          <w:rtl w:val="true"/>
          <w:lang w:bidi="fa-IR"/>
        </w:rPr>
        <w:t>.</w:t>
      </w:r>
    </w:p>
    <w:p>
      <w:pPr>
        <w:pStyle w:val="Heading3"/>
        <w:numPr>
          <w:ilvl w:val="2"/>
          <w:numId w:val="1"/>
        </w:numPr>
        <w:rPr/>
      </w:pPr>
      <w:bookmarkStart w:id="325" w:name="__RefHeading___Toc794975_1395250215"/>
      <w:bookmarkStart w:id="326" w:name="_Toc129"/>
      <w:bookmarkEnd w:id="325"/>
      <w:r>
        <w:rPr>
          <w:rtl w:val="true"/>
        </w:rPr>
        <w:t>واژگان کلیدی</w:t>
      </w:r>
      <w:bookmarkEnd w:id="3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فعل مباشر، فعل متولد، قاضی عبدالجبار</w:t>
      </w:r>
      <w:r>
        <w:rPr>
          <w:rFonts w:eastAsia="IRNazanin" w:cs="IRNazanin"/>
          <w:color w:val="111111"/>
          <w:sz w:val="28"/>
          <w:szCs w:val="28"/>
          <w:rtl w:val="true"/>
          <w:lang w:bidi="fa-IR"/>
        </w:rPr>
        <w:t>.</w:t>
      </w:r>
      <w:bookmarkStart w:id="327" w:name="pg2673_18008"/>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328" w:name="__RefHeading___Toc794977_1395250215"/>
      <w:bookmarkStart w:id="329" w:name="_Toc130"/>
      <w:bookmarkEnd w:id="328"/>
      <w:r>
        <w:rPr>
          <w:rtl w:val="true"/>
        </w:rPr>
        <w:t>مقدمه</w:t>
      </w:r>
      <w:bookmarkEnd w:id="329"/>
    </w:p>
    <w:p>
      <w:pPr>
        <w:pStyle w:val="BookText"/>
        <w:rPr/>
      </w:pPr>
      <w:r>
        <w:rPr>
          <w:rFonts w:ascii="IRNazanin" w:hAnsi="IRNazanin" w:eastAsia="IRNazanin"/>
          <w:color w:val="111111"/>
          <w:sz w:val="28"/>
          <w:sz w:val="28"/>
          <w:szCs w:val="28"/>
          <w:rtl w:val="true"/>
          <w:lang w:bidi="fa-IR"/>
        </w:rPr>
        <w:t>یکی از آموزه های حقوقی، اخلاقی و آخرت شناسی ادیان این است که انسان‌ها باید در قبال افعال خود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عدلیه، به همین دلیل است که انسان مکلف شده و در جهان آخرت به تناسب اعمالی که در دنیا انجام داده است، مستحق پاداش یا شایستۀ عذاب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خداوند عادل و انسان در انجام افعال خود، مختار است و با اختیار خویش اعمالش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مورد بررسی واقع شود این است که انسان در قبال چه کارهایی مسئول است و در قبال چه اموری مسئول نیست تا بتواند اعمال اختیاری خود را به گونه ای جهت دهد که بیشترین پاداش الهی را به دست آورده و هرچه بیشتر از عذاب و سخط خداوند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سعی دارد آرای قاضی عبدالجبار، یکی از بزرگان متأخر معتزله را دربارۀ محدودۀ مسئولیت انسان بیان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گسترۀ مسئولیت انسان این است که آیا انسان، فاعل افعال بی‌واسطه و باواسطۀ خویش است یا خیر؟ و این‌که افعال متولد تا کجا فعل انسان به حساب می‌آیند؟ و انسان تا کجا مسئولیت اخلاقی و حقوقی تبعات افعال خویش است؟ در این مقاله بر آنیم که برای ترسیم نظر قاضی دربارۀ گسترۀ مسئولیت انسان به مسائل زیر پاسخ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به چند دسته قابل تقسیم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هر قسم از افعال چه کسی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در قبال تبعات افعال اختیاری خود که خارج از حیطۀ اختیار هستند نیز مسئول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تعیین این مسئولیت از دیدگاه قاضی عبدالجبار چیست؟</w:t>
      </w:r>
    </w:p>
    <w:p>
      <w:pPr>
        <w:pStyle w:val="BookText"/>
        <w:rPr/>
      </w:pPr>
      <w:r>
        <w:rPr>
          <w:rFonts w:ascii="IRNazanin" w:hAnsi="IRNazanin" w:eastAsia="IRNazanin"/>
          <w:color w:val="111111"/>
          <w:sz w:val="28"/>
          <w:sz w:val="28"/>
          <w:szCs w:val="28"/>
          <w:rtl w:val="true"/>
          <w:lang w:bidi="fa-IR"/>
        </w:rPr>
        <w:t>با بررسی های انجام‌شده، مطلبی که به طور ویژه به موضوع مسئولیت انسان و محدودۀ آن از دیدگاه معتزلیان پرداخته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قاضی عبدالجبار از متأخرین معتزله بوده و اهتمام خاصی به جمع آوری آرای بزرگان هم‌مکتب خود داشته است، بررسی نظریات وی</w:t>
      </w:r>
    </w:p>
    <w:p>
      <w:pPr>
        <w:pStyle w:val="BookText"/>
        <w:rPr/>
      </w:pPr>
      <w:r>
        <w:rPr>
          <w:rFonts w:ascii="IRNazanin" w:hAnsi="IRNazanin" w:eastAsia="IRNazanin"/>
          <w:color w:val="111111"/>
          <w:sz w:val="28"/>
          <w:sz w:val="28"/>
          <w:szCs w:val="28"/>
          <w:rtl w:val="true"/>
          <w:lang w:bidi="fa-IR"/>
        </w:rPr>
        <w:t>می تواند به دست یابی نمایی کلی از عقاید معتزله کمک شایانی کند</w:t>
      </w:r>
      <w:r>
        <w:rPr>
          <w:rFonts w:eastAsia="IRNazanin" w:cs="IRNazanin"/>
          <w:color w:val="111111"/>
          <w:sz w:val="28"/>
          <w:szCs w:val="28"/>
          <w:rtl w:val="true"/>
          <w:lang w:bidi="fa-IR"/>
        </w:rPr>
        <w:t>.</w:t>
      </w:r>
    </w:p>
    <w:p>
      <w:pPr>
        <w:pStyle w:val="Heading3"/>
        <w:numPr>
          <w:ilvl w:val="2"/>
          <w:numId w:val="1"/>
        </w:numPr>
        <w:rPr/>
      </w:pPr>
      <w:bookmarkStart w:id="330" w:name="__RefHeading___Toc794979_1395250215"/>
      <w:bookmarkStart w:id="331" w:name="_Toc131"/>
      <w:bookmarkEnd w:id="330"/>
      <w:r>
        <w:rPr>
          <w:rtl w:val="true"/>
        </w:rPr>
        <w:t>مسئولیت و شرایط تحقق آن</w:t>
      </w:r>
      <w:bookmarkEnd w:id="331"/>
    </w:p>
    <w:p>
      <w:pPr>
        <w:pStyle w:val="Heading4"/>
        <w:numPr>
          <w:ilvl w:val="3"/>
          <w:numId w:val="1"/>
        </w:numPr>
        <w:rPr/>
      </w:pPr>
      <w:bookmarkStart w:id="332" w:name="__RefHeading___Toc794981_1395250215"/>
      <w:bookmarkStart w:id="333" w:name="_Toc132"/>
      <w:bookmarkEnd w:id="332"/>
      <w:r>
        <w:rPr>
          <w:rtl w:val="true"/>
        </w:rPr>
        <w:t>اشاره</w:t>
      </w:r>
      <w:bookmarkEnd w:id="3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کردن چیزی از کسی است که آن چیز یا خبر است، یا مال یا علم یا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چیزی است که مورد طلب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است که مورد سؤال قرار گرفته است</w:t>
      </w:r>
      <w:r>
        <w:rPr>
          <w:rFonts w:eastAsia="IRNazanin" w:cs="IRNazanin"/>
          <w:color w:val="111111"/>
          <w:sz w:val="28"/>
          <w:szCs w:val="28"/>
          <w:rtl w:val="true"/>
          <w:lang w:bidi="fa-IR"/>
        </w:rPr>
        <w:t>.</w:t>
      </w:r>
      <w:bookmarkStart w:id="334" w:name="pg2673_18009"/>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این بخش به بررسی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قاضی عبدالجبار و سپس شرایط مسئولیت از دیدگاه وی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مقدمه ای خواهد بود بر بررسی گسترۀ مسئولیت انسان از دیدگاه قاضی عبدالجبار</w:t>
      </w:r>
      <w:r>
        <w:rPr>
          <w:rFonts w:eastAsia="IRNazanin" w:cs="IRNazanin"/>
          <w:color w:val="111111"/>
          <w:sz w:val="28"/>
          <w:szCs w:val="28"/>
          <w:rtl w:val="true"/>
          <w:lang w:bidi="fa-IR"/>
        </w:rPr>
        <w:t>.</w:t>
      </w:r>
    </w:p>
    <w:p>
      <w:pPr>
        <w:pStyle w:val="Heading4"/>
        <w:numPr>
          <w:ilvl w:val="3"/>
          <w:numId w:val="1"/>
        </w:numPr>
        <w:rPr/>
      </w:pPr>
      <w:bookmarkStart w:id="335" w:name="__RefHeading___Toc794983_1395250215"/>
      <w:bookmarkStart w:id="336" w:name="_Toc133"/>
      <w:bookmarkEnd w:id="335"/>
      <w:r>
        <w:rPr>
          <w:rtl w:val="true"/>
        </w:rPr>
        <w:t>الف</w:t>
      </w:r>
      <w:r>
        <w:rPr>
          <w:rtl w:val="true"/>
        </w:rPr>
        <w:t xml:space="preserve">) </w:t>
      </w:r>
      <w:r>
        <w:rPr>
          <w:rtl w:val="true"/>
        </w:rPr>
        <w:t>تعریف مسئولیت</w:t>
      </w:r>
      <w:bookmarkEnd w:id="336"/>
    </w:p>
    <w:p>
      <w:pPr>
        <w:pStyle w:val="BookText"/>
        <w:rPr/>
      </w:pPr>
      <w:r>
        <w:rPr>
          <w:rFonts w:ascii="IRNazanin" w:hAnsi="IRNazanin" w:eastAsia="IRNazanin"/>
          <w:color w:val="111111"/>
          <w:sz w:val="28"/>
          <w:sz w:val="28"/>
          <w:szCs w:val="28"/>
          <w:rtl w:val="true"/>
          <w:lang w:bidi="fa-IR"/>
        </w:rPr>
        <w:t xml:space="preserve">در کتب قاضی عبدالجبار،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 بلکه این امر را تحت عنوان تکلیف و مستحق مدح یا ذم بودن، آن هم به طور کاملاً تبعی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قاضی، تکلیف را به معنای مسئولیت به کار نمی‌برد و ما برای استنباط نظر او دربارۀ مسئولیت انسان به بحث تکلیف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هیچ گاه به طور مستقل به موضوع مسئولیت انسان نپرداخته است، بلکه آنچه دغدغۀ اصلی وی بوده، موضوع توحید و عدل الهی است؛ حتی وقتی که از تکلیف سخن می گوید، برای این است که بیان کند یکی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خداوند فضل خود را شامل حال بندگان می کند، از طریق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المغنی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منافع دو صورت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و غیرمستحق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غیرمستحق همان تفضل است و مستحق دارای دو قسم است؛ یکی به صورتی است که مستحق مدح است و این مورد به واسطۀ فعل شامل حال انسان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چیزی است که به واسطۀ بدل هایی مستحق آن می شویم و آن به دلیل فعل دیگری است و از خداوند تعالی بعید است که موجود زنده را بیافریند، ولی یکی از این وجوه منفعت را شامل حال او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معلوم است که درد و رنج انسان به خاطر مصلحت او یا دیگری است، لازم است خداوند به او منفعت دهد به واسطۀ عوض، و برخورداری از عوض تابع مکلف بودن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تکلیف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تابعی از عدل الهی و استحقاق انسان برای دریافت عوض در نزد قاضی مطرح است</w:t>
      </w:r>
      <w:r>
        <w:rPr>
          <w:rFonts w:eastAsia="IRNazanin" w:cs="IRNazanin"/>
          <w:color w:val="111111"/>
          <w:sz w:val="28"/>
          <w:szCs w:val="28"/>
          <w:rtl w:val="true"/>
          <w:lang w:bidi="fa-IR"/>
        </w:rPr>
        <w:t>.</w:t>
      </w:r>
    </w:p>
    <w:p>
      <w:pPr>
        <w:pStyle w:val="Heading4"/>
        <w:numPr>
          <w:ilvl w:val="3"/>
          <w:numId w:val="1"/>
        </w:numPr>
        <w:rPr/>
      </w:pPr>
      <w:bookmarkStart w:id="337" w:name="__RefHeading___Toc794985_1395250215"/>
      <w:bookmarkStart w:id="338" w:name="_Toc134"/>
      <w:bookmarkEnd w:id="337"/>
      <w:r>
        <w:rPr>
          <w:rtl w:val="true"/>
        </w:rPr>
        <w:t>ب</w:t>
      </w:r>
      <w:r>
        <w:rPr>
          <w:rtl w:val="true"/>
        </w:rPr>
        <w:t xml:space="preserve">) </w:t>
      </w:r>
      <w:r>
        <w:rPr>
          <w:rtl w:val="true"/>
        </w:rPr>
        <w:t>شرایط مسئولیت</w:t>
      </w:r>
      <w:bookmarkEnd w:id="338"/>
    </w:p>
    <w:p>
      <w:pPr>
        <w:pStyle w:val="Heading5"/>
        <w:numPr>
          <w:ilvl w:val="4"/>
          <w:numId w:val="1"/>
        </w:numPr>
        <w:rPr/>
      </w:pPr>
      <w:bookmarkStart w:id="339" w:name="__RefHeading___Toc794987_1395250215"/>
      <w:bookmarkStart w:id="340" w:name="_Toc135"/>
      <w:bookmarkEnd w:id="339"/>
      <w:r>
        <w:rPr>
          <w:rtl w:val="true"/>
        </w:rPr>
        <w:t>اشاره</w:t>
      </w:r>
      <w:bookmarkEnd w:id="3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قاضی عبدالجبار مستقیماً از مسئولیت و شرایط 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قاضی برای مکلف بودن انسان بیان می 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اراده، قدرت، علم و اراده که اکنون به شرح و توضیح آن‌ها می پردازیم تا منظور از مسئول بودن انسان نیز واضح شود</w:t>
      </w:r>
      <w:r>
        <w:rPr>
          <w:rFonts w:eastAsia="IRNazanin" w:cs="IRNazanin"/>
          <w:color w:val="111111"/>
          <w:sz w:val="28"/>
          <w:szCs w:val="28"/>
          <w:rtl w:val="true"/>
          <w:lang w:bidi="fa-IR"/>
        </w:rPr>
        <w:t>.</w:t>
      </w:r>
      <w:bookmarkStart w:id="341" w:name="pg2673_18010"/>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5"/>
        <w:numPr>
          <w:ilvl w:val="4"/>
          <w:numId w:val="1"/>
        </w:numPr>
        <w:rPr/>
      </w:pPr>
      <w:bookmarkStart w:id="342" w:name="__RefHeading___Toc794989_1395250215"/>
      <w:bookmarkStart w:id="343" w:name="_Toc136"/>
      <w:bookmarkEnd w:id="342"/>
      <w:r>
        <w:rPr/>
        <w:t>1</w:t>
      </w:r>
      <w:r>
        <w:rPr>
          <w:rtl w:val="true"/>
        </w:rPr>
        <w:t xml:space="preserve">. </w:t>
      </w:r>
      <w:r>
        <w:rPr>
          <w:rtl w:val="true"/>
        </w:rPr>
        <w:t>اختیار یا آزادی اراده</w:t>
      </w:r>
      <w:r>
        <w:rPr>
          <w:rtl w:val="true"/>
        </w:rPr>
        <w:t>:</w:t>
      </w:r>
      <w:bookmarkEnd w:id="343"/>
    </w:p>
    <w:p>
      <w:pPr>
        <w:pStyle w:val="BookText"/>
        <w:rPr/>
      </w:pPr>
      <w:r>
        <w:rPr>
          <w:rFonts w:ascii="IRNazanin" w:hAnsi="IRNazanin" w:eastAsia="IRNazanin"/>
          <w:color w:val="111111"/>
          <w:sz w:val="28"/>
          <w:sz w:val="28"/>
          <w:szCs w:val="28"/>
          <w:rtl w:val="true"/>
          <w:lang w:bidi="fa-IR"/>
        </w:rPr>
        <w:t>معنای لغوی اختیار با آنچه در اصطلاح متکلمان رایج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اختیار عبارت از برگزیدن و گرفتن چیزی است که برگزیننده آن را خیر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متکلمان به طور واضح به معنای اختیار نپرداخته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ولی از میان مباحث آن‌ها چنین برداشت می‌شود که اختیار در نظر آن‌ها همان چیزی است که در عرف از اختیار فهمیده می شود و آن انتخاب آزاد میان دو یا چند چیز است، خیر باشند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معمولاً به این صورت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جبرِ غیر و عمل به اقتضای طبیعت و ماهیت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قسمتِ اول این تعریف در تصور از آزادی رایج است و افراد غالباً آزادی را رهایی از جبرِ غیر می دانند، اما به نظر می رسد این نیمی از حقیقتِ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واقع، یک بخش سلبی و یک بخش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سلبی آن رهایی از جبرِ غیر است که بنا بر این بخش، هر عملی که در اثر قوانین طبیعت یا قانون‌مندی جامعه و میل و ارادۀ دیگران و یا به حکم طبیعت جسمانی و حیوانی خود انسان ـ که آن هم جزئی از طبیعت اوست ـ در انسان حاصل و یا بر او تحمیل شده باشد، رفتاری آزادانه نیست، اما صرف رهایی از جبرِ غیر برای تحقق معنای آزادی کافی نیست، بلکه برای آن‌که انسان بتواند عملی را آزادانه بنامد، باید عملِ خود فاعل عمل باشد؛ یعنی خود فاعل، علت آن باشد تا بتواند آن را به خود منسوب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از آزادی با همین عنوان در سخن متکلمان مشاهده نمی شود، بلکه آن‌ها از این موضوع تحت عنوان اختیار بحث کرده اند و هم‌چنین این امر به طور مستقیم مد نظر آن‌ها نبوده است، بلکه در بحث تکلیف تحت اصل عدل و توحید، موضوع اختیار و آزادی نیز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نحو که انسان به واسطۀ اتصالش به خداوند، مکلف به تکالیف شرعی و اخلاقی است و از آن‌جا که واجب است خداوند با بندگان خود عادلانه رفتار کند، لازم است که انسان در انجام افعالی که دربارۀ آن‌ها مسئول است،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همۀ ادیان و فلسفه ها، انسان زمانی مسئول شناخته می شود که با آزادی و اختیار فعل از او صادر شود و زمانی شخص به خاطر انجام فعل قبیح مستحق ذم است که بین انجام یا ترک آن مخیر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شرط دیگری را نیز به قاضی منسوب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عبدالجبار شرط دیگری را نیز برای این امر بیان می کند که آن شرط قبیح بودن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واقع قاضی چنین شرطی را قائل نیست و شاید علت این نوع برداشت این باشد</w:t>
      </w:r>
      <w:bookmarkStart w:id="344" w:name="pg2673_18011"/>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که قاضی برای اثبات فاعلیت انسان در افعالی که از او صادر می‌شود، به افعال قبیح صادره از انسان استدلال می کند و با اضافه کردن این مقدمه که خداوند قبیح انجام نمی‌دهد، اتصاف افعال انسانی به خداوند را رد می کند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می توان برای چنین برداشتی بیان کرد این است که از نظر قاضی، شرایط ذمّ به خاطر فعل قبیح ساده تر فراهم می شوند تا شرایط مدح به علت ترک آن؛ یعنی اگر فاعل با علم و اختیار خود فعل قبیح را انجام دهد، مستحق ذم است، ولی تارک فعل قبیح در صورتی مستحق مدح است که علاوه بر ترک اختیاری، الزاماً فعل را به واسطۀ قبیح بودنش ترک کرده باشد، نه به خاطر دلایل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احتمال دوم بسیار ضعیف است</w:t>
      </w:r>
      <w:r>
        <w:rPr>
          <w:rFonts w:eastAsia="IRNazanin" w:cs="IRNazanin"/>
          <w:color w:val="111111"/>
          <w:sz w:val="28"/>
          <w:szCs w:val="28"/>
          <w:rtl w:val="true"/>
          <w:lang w:bidi="fa-IR"/>
        </w:rPr>
        <w:t>.</w:t>
      </w:r>
    </w:p>
    <w:p>
      <w:pPr>
        <w:pStyle w:val="Heading5"/>
        <w:numPr>
          <w:ilvl w:val="4"/>
          <w:numId w:val="1"/>
        </w:numPr>
        <w:rPr/>
      </w:pPr>
      <w:bookmarkStart w:id="345" w:name="__RefHeading___Toc794991_1395250215"/>
      <w:bookmarkStart w:id="346" w:name="_Toc137"/>
      <w:bookmarkEnd w:id="345"/>
      <w:r>
        <w:rPr/>
        <w:t>2</w:t>
      </w:r>
      <w:r>
        <w:rPr>
          <w:rtl w:val="true"/>
        </w:rPr>
        <w:t xml:space="preserve">. </w:t>
      </w:r>
      <w:r>
        <w:rPr>
          <w:rtl w:val="true"/>
        </w:rPr>
        <w:t>اراده</w:t>
      </w:r>
      <w:r>
        <w:rPr>
          <w:rtl w:val="true"/>
        </w:rPr>
        <w:t>:</w:t>
      </w:r>
      <w:bookmarkEnd w:id="346"/>
    </w:p>
    <w:p>
      <w:pPr>
        <w:pStyle w:val="BookText"/>
        <w:rPr/>
      </w:pPr>
      <w:r>
        <w:rPr>
          <w:rFonts w:ascii="IRNazanin" w:hAnsi="IRNazanin" w:eastAsia="IRNazanin"/>
          <w:color w:val="111111"/>
          <w:sz w:val="28"/>
          <w:sz w:val="28"/>
          <w:szCs w:val="28"/>
          <w:rtl w:val="true"/>
          <w:lang w:bidi="fa-IR"/>
        </w:rPr>
        <w:t xml:space="preserve">اراده در لغت به معنای طلب کردن و اختیار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رفت و آمد با مدارا در طلب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اراده صفتی است در موجود زنده که حالتی را در او ایجاد می کند که به خاطر آن، فعل به صورتی خاص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اراده صفتی در موجود زنده است که وقوع بعضی از افعال را نسبت به بعضی دیگر و در بعضی از زمان‌ها نسبت به زمان‌های دیگر، مخصص می کند، به شرط این‌که قدرت فاعل در هر زمان و نسبت به هر یک از افعال موجود، به صورت مساوی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انجام دادن هر یک از آن افعال در هر زمانی برای او علی‌السویه باشد و آنچه باعث می شود که یکی انجام شود و دیگری انجام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بالضروره خودش را مرید می یابد، همان طور که دربارۀ خودش می داند که به چیزی اعتقاد دارد، به سوی چیزی میل دارد، به چیزی ظن دارد و یا این‌که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اراده برای انسان نیازمند دلیل نیست، بلکه صرفاً با کمی توجه و تأمل فهمیده می شود و هیچ انسان عاقلی منکر این نمی شود که به سوی چیزی قصد می کند و آن را اراده می کند و دقیقاً بین این حالت و حالتی که از چیزی روی گردان است و هم‌چنین بین آن چیزی که خودش می خواهد و آن چیزی که از غیر خودش می خواهد، تفاوت قائل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این است که شخص منفعتی در چیزی می داند و به همین علت به سوی او حرکت کند و در این صورت به اراده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47" w:name="pg2673_18012"/>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پاسخ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زمان‌های زیادی به منفعت چیزی علم دارد، ولی همیشه آن را اراده نمی کند؛ بنابراین بین اراده و علم به منفعت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که</w:t>
      </w:r>
    </w:p>
    <w:p>
      <w:pPr>
        <w:pStyle w:val="BookText"/>
        <w:rPr/>
      </w:pPr>
      <w:r>
        <w:rPr>
          <w:rFonts w:ascii="IRNazanin" w:hAnsi="IRNazanin" w:eastAsia="IRNazanin"/>
          <w:color w:val="111111"/>
          <w:sz w:val="28"/>
          <w:sz w:val="28"/>
          <w:szCs w:val="28"/>
          <w:rtl w:val="true"/>
          <w:lang w:bidi="fa-IR"/>
        </w:rPr>
        <w:t>می داند در چیزی ضرر وجود دارد، ولی از آن روی گردان نیست؛ به علاوه این‌که حالت انسان در مورد علم و ظن و اعتقاد متفاوت است، ولی در مورد مرید بودنش چنین نیست و گاهی اتفاق می‌افتد که انگیزه هایش متفاوت است، ولی او هم‌چنان مرید باقی می ماند؛ حال یا به خاطر منفعت بعدی یا نفع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نمی توان اراده را با میل داشتن یکی دانست، زیرا گاهی انسان به خاطر اعتقادش چیزی را اراده می کند که در آن زمان مضرّ به حال اوست و میل و طبعش به سوی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صفتی است در انسان که با خواست و میل و علم و آگاهی و امر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زمینه‌ساز اراده هستند و امر نشان دهندۀ ارادۀ انجام فعل توسط دیگری است</w:t>
      </w:r>
      <w:r>
        <w:rPr>
          <w:rFonts w:eastAsia="IRNazanin" w:cs="IRNazanin"/>
          <w:color w:val="111111"/>
          <w:sz w:val="28"/>
          <w:szCs w:val="28"/>
          <w:rtl w:val="true"/>
          <w:lang w:bidi="fa-IR"/>
        </w:rPr>
        <w:t>.</w:t>
      </w:r>
    </w:p>
    <w:p>
      <w:pPr>
        <w:pStyle w:val="Heading5"/>
        <w:numPr>
          <w:ilvl w:val="4"/>
          <w:numId w:val="1"/>
        </w:numPr>
        <w:rPr/>
      </w:pPr>
      <w:bookmarkStart w:id="348" w:name="__RefHeading___Toc794993_1395250215"/>
      <w:bookmarkStart w:id="349" w:name="_Toc138"/>
      <w:bookmarkEnd w:id="348"/>
      <w:r>
        <w:rPr/>
        <w:t>3</w:t>
      </w:r>
      <w:r>
        <w:rPr>
          <w:rtl w:val="true"/>
        </w:rPr>
        <w:t xml:space="preserve">. </w:t>
      </w:r>
      <w:r>
        <w:rPr>
          <w:rtl w:val="true"/>
        </w:rPr>
        <w:t>قدرت</w:t>
      </w:r>
      <w:r>
        <w:rPr>
          <w:rtl w:val="true"/>
        </w:rPr>
        <w:t>:</w:t>
      </w:r>
      <w:bookmarkEnd w:id="349"/>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 و خدا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متصف به آن شود، قدرت عبارت می شود از اسم هیئت و حالتی که انسان به وسیلۀ آن، امکان انجام کاری را می یابد و اگر وصفی برای خداوند باشد، یعنی عجز و ناتوانی را از خداوند نفی می کند، و هیچ کس غیر از خدا به قدرت مطلق موصوف نمی‌شود، هرچند لفظاً قدرت به صورت مطلق دربارۀ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قدرت بر انجام آن فعل داشته باشد، زیرا تکلیف مالایطاق قبیح است و لازم است مکلف قبل از انجام فعل، قدرت بر انجام آن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ابزار و وسایلی که برای انجام فعل نیاز دارد در اختیارش باشد، زیرا گاهی شخص برای انجام فعل نیازمند ابزار و لوازمی است که بدون آن‌ها انجام فعل برایش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ابزار و وسایل یا به گونه ای هستند که فقط خداوند قادر به ایجاد آن‌هاست که در این صورت، واجب است خداوند این ابزار را در اختیار شخص بگذارد و گاهی نیز خود مکلف قادر به تهیۀ آن ابزار هست؛ بنابراین خداوند او را مکلف می کند که آن وسیله را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پذیرفتن آزادی و ارادۀ انسان، واجب است در جهت تحقق عملی فعل، موضوع قدرت را بپذیریم، زیرا همان طور که فعل نیازمند اراده است تا به جهت خاصی تخصیص پیدا کند، این فعل نیازمند قدرتی است که آن را محقق کرده و آن را از عدم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به منزلۀ اداتی است که به واسطۀ آن اراده و اختیار انسان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 و صفتی است که انسان می تواند به وسیلۀ آن فعلی انجام دهد یا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معنای صحت و سلامت نیست، بلکه معنایی زاید بر آن است و قول به این‌که انسان قادر است، به این معنا</w:t>
      </w:r>
      <w:bookmarkStart w:id="350" w:name="pg2673_18013"/>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نیست که او فقط صحت کامل دارد، بلکه یعنی او توانایی انجام فعل را دارد و این حالتی وجودی است که انسان را مقتدر و توانا قرار می دهد، زیرا فعل در هیچ حالتی از مقدور بودن خارج نمی شود، هرچند به واسطۀ مانعی خارجی محقق نشود و محقق شدن فعل در خارج، نشان‌دهندۀ این است که حالت و نیرویی خاص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و قاضی عبدالجبار نیز این امر را پذیرفته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عرضی است که با سلامت و صحت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کسی است که در صورت عدم مانع صدور فعل از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مطلب را مدنظر داشت که قدرت ابزاری است که اختیار به وسیلۀ آن محقق می شود و این امر در مرحلۀ وجود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فاعل نمی تواند پس از حادث شدن آن را ترک کند و نه قادر است که فعلش را پس از وقوع معدوم کند و این یعنی قدرت متعلق فعل نیست، مگر در جهت حادث کردن فعل، ولی بعد از حادث شدن فاعل، قادر بر ترک فعل یا معدوم کردن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5"/>
        <w:numPr>
          <w:ilvl w:val="4"/>
          <w:numId w:val="1"/>
        </w:numPr>
        <w:rPr/>
      </w:pPr>
      <w:bookmarkStart w:id="351" w:name="__RefHeading___Toc794995_1395250215"/>
      <w:bookmarkStart w:id="352" w:name="_Toc139"/>
      <w:bookmarkEnd w:id="351"/>
      <w:r>
        <w:rPr/>
        <w:t>4</w:t>
      </w:r>
      <w:r>
        <w:rPr>
          <w:rtl w:val="true"/>
        </w:rPr>
        <w:t xml:space="preserve">. </w:t>
      </w:r>
      <w:r>
        <w:rPr>
          <w:rtl w:val="true"/>
        </w:rPr>
        <w:t>عقل و علم</w:t>
      </w:r>
      <w:r>
        <w:rPr>
          <w:rtl w:val="true"/>
        </w:rPr>
        <w:t>:</w:t>
      </w:r>
      <w:bookmarkEnd w:id="352"/>
    </w:p>
    <w:p>
      <w:pPr>
        <w:pStyle w:val="BookText"/>
        <w:rPr/>
      </w:pPr>
      <w:r>
        <w:rPr>
          <w:rFonts w:ascii="IRNazanin" w:hAnsi="IRNazanin" w:eastAsia="IRNazanin"/>
          <w:color w:val="111111"/>
          <w:sz w:val="28"/>
          <w:sz w:val="28"/>
          <w:szCs w:val="28"/>
          <w:rtl w:val="true"/>
          <w:lang w:bidi="fa-IR"/>
        </w:rPr>
        <w:t xml:space="preserve">عقل عبارت است از یک‌سری علوم مخصوص، و زمانی استدلال و قیام به ادای تکلیف برای مکلف صحیح است که این علوم در او حاصل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علوم مخصوص این است که این علوم به واسطۀ صفت خاصی محصور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و عدد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شود که منظور از عقل خود عقل بنفسه نیست، بلکه برای دست‌یابی به علوم و اقدام به تکالیف به آن متصل می شویم، چراکه عاقل ناچار است علومی را که باعث کسب معارف لازم در شناخت او از تکالیف و واجبات می شوند کسب کند؛ حال این علوم گاهی واضح هستند و گاهی مخفی، گاهی اصل هستند و گاهی فرع، به نحوی که تا علوم آشکار و اصل برای فرد حاصل نشود، دسترسی به علوم مخفی و فرع نیز برای او ممکن نیست و تا زمانی که تمام این علوم برای مکلف حاصل نشود، ادای تکلیف از او صحیح نیست و زمانی فرد علم به مدرکات خود پیدا می کند که آن مدرَکات باعث کمال عقل شوند؛ در غیر این صورت، وجود و عدم وجود چنین علمی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کمال عقل این است که مقبحات، محسنات و واجبات را بشناسد و مثلاً بداند که ظلم قبیح است و احسان و تفضل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این علوم واجب است، چراکه اگر چنین علومی برای شخص حاصل نشود، در مکلف ترس از عدم انجام تحقیق و بررسی حاصل نمی شود و بنابراین به تکالیف هم دسترسی پیدا نمی کند، زیرا هنگامی که او نتواند بین حسن و قبیح تفاوت قائل شود، نمی‌تواند خداوند را منزه از قبایح بداند و نیز</w:t>
      </w:r>
      <w:bookmarkStart w:id="353" w:name="pg2673_18014"/>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نمی تواند افعال حسن را انجام داده و از قبایح پرهیز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مکلف قبل از فعل به آن علم داشته باشد، زیرا بدون علم قصد ادای آن برایش حاصل نمی‌شود؛ پس این علم لازم است، هرچند یک لحظه قبل از تکلیف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نیاز دارد که در هنگام انجام فعل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354" w:name="__RefHeading___Toc794997_1395250215"/>
      <w:bookmarkStart w:id="355" w:name="_Toc140"/>
      <w:bookmarkEnd w:id="354"/>
      <w:r>
        <w:rPr>
          <w:rtl w:val="true"/>
        </w:rPr>
        <w:t>انواع فعل</w:t>
      </w:r>
      <w:bookmarkEnd w:id="355"/>
    </w:p>
    <w:p>
      <w:pPr>
        <w:pStyle w:val="Heading4"/>
        <w:numPr>
          <w:ilvl w:val="3"/>
          <w:numId w:val="1"/>
        </w:numPr>
        <w:rPr/>
      </w:pPr>
      <w:bookmarkStart w:id="356" w:name="__RefHeading___Toc794999_1395250215"/>
      <w:bookmarkStart w:id="357" w:name="_Toc141"/>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فعل را به گونه های مختلف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دو تقسیم می پردازیم؛ تقسیم اول ناظر به نحوۀ انجام فعل است و تقسیم دوم ناظر به احکام افعال است</w:t>
      </w:r>
      <w:r>
        <w:rPr>
          <w:rFonts w:eastAsia="IRNazanin" w:cs="IRNazanin"/>
          <w:color w:val="111111"/>
          <w:sz w:val="28"/>
          <w:szCs w:val="28"/>
          <w:rtl w:val="true"/>
          <w:lang w:bidi="fa-IR"/>
        </w:rPr>
        <w:t>.</w:t>
      </w:r>
    </w:p>
    <w:p>
      <w:pPr>
        <w:pStyle w:val="Heading4"/>
        <w:numPr>
          <w:ilvl w:val="3"/>
          <w:numId w:val="1"/>
        </w:numPr>
        <w:rPr/>
      </w:pPr>
      <w:bookmarkStart w:id="358" w:name="__RefHeading___Toc795001_1395250215"/>
      <w:bookmarkStart w:id="359" w:name="_Toc142"/>
      <w:bookmarkEnd w:id="358"/>
      <w:r>
        <w:rPr>
          <w:rtl w:val="true"/>
        </w:rPr>
        <w:t>الف</w:t>
      </w:r>
      <w:r>
        <w:rPr>
          <w:rtl w:val="true"/>
        </w:rPr>
        <w:t xml:space="preserve">) </w:t>
      </w:r>
      <w:r>
        <w:rPr>
          <w:rtl w:val="true"/>
        </w:rPr>
        <w:t>تقسیم فعل با توجه به نحوه انجام فعل</w:t>
      </w:r>
      <w:bookmarkEnd w:id="359"/>
    </w:p>
    <w:p>
      <w:pPr>
        <w:pStyle w:val="Heading5"/>
        <w:numPr>
          <w:ilvl w:val="4"/>
          <w:numId w:val="1"/>
        </w:numPr>
        <w:rPr/>
      </w:pPr>
      <w:bookmarkStart w:id="360" w:name="__RefHeading___Toc795003_1395250215"/>
      <w:bookmarkStart w:id="361" w:name="_Toc143"/>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یکی از تقسیمات رایج برای فعل در آثار متکلمان، تقسیم آن به فعل مخترع، مباشر و متولد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مبنای بحث های آینده دربارۀ مسئولیت انسان است</w:t>
      </w:r>
      <w:r>
        <w:rPr>
          <w:rFonts w:eastAsia="IRNazanin" w:cs="IRNazanin"/>
          <w:color w:val="111111"/>
          <w:sz w:val="28"/>
          <w:szCs w:val="28"/>
          <w:rtl w:val="true"/>
          <w:lang w:bidi="fa-IR"/>
        </w:rPr>
        <w:t>.</w:t>
      </w:r>
    </w:p>
    <w:p>
      <w:pPr>
        <w:pStyle w:val="Heading5"/>
        <w:numPr>
          <w:ilvl w:val="4"/>
          <w:numId w:val="1"/>
        </w:numPr>
        <w:rPr/>
      </w:pPr>
      <w:bookmarkStart w:id="362" w:name="__RefHeading___Toc795005_1395250215"/>
      <w:bookmarkStart w:id="363" w:name="_Toc144"/>
      <w:bookmarkEnd w:id="362"/>
      <w:r>
        <w:rPr/>
        <w:t>1</w:t>
      </w:r>
      <w:r>
        <w:rPr>
          <w:rtl w:val="true"/>
        </w:rPr>
        <w:t xml:space="preserve">. </w:t>
      </w:r>
      <w:r>
        <w:rPr>
          <w:rtl w:val="true"/>
        </w:rPr>
        <w:t>فعل مخترع</w:t>
      </w:r>
      <w:bookmarkEnd w:id="363"/>
    </w:p>
    <w:p>
      <w:pPr>
        <w:pStyle w:val="BookText"/>
        <w:rPr/>
      </w:pPr>
      <w:r>
        <w:rPr>
          <w:rFonts w:ascii="IRNazanin" w:hAnsi="IRNazanin" w:eastAsia="IRNazanin"/>
          <w:color w:val="111111"/>
          <w:sz w:val="28"/>
          <w:sz w:val="28"/>
          <w:szCs w:val="28"/>
          <w:rtl w:val="true"/>
          <w:lang w:bidi="fa-IR"/>
        </w:rPr>
        <w:t xml:space="preserve">فعلی که در هیچ محلّی واقع نشده است، بلکه از کتم عدم به وجود می‌آید و پیش از عمل هیچ‌گونه محل و موضوعی در کار نیست، فعل مخترع است؛ مثل ایجاد فرشتگان و خلق عوالم وجود که سابقۀ عدم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بنا بر اتفاق آرای متکلمان، مخصوص خداوند است و دیگری در آن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عبدالجبار در یک موضع، این قول را می پذیرد و صراحتاً بیان می کند که خداوند هم به صورت اختراعی فعل را انجام می دهد و هم به واسطۀ سبب و نیز بیان می کند که افعال اختراعی خداوند اجناس افعال هستند که در محل های آن‌ها اختراع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جایی دیگر ضمن بحث از مخلوق بودن قرآن، تعریفی کاملاً متفاوت از تعریف فوق ارائه می کند که بر طبق آن، استناد فعل مخترَع به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وی میان فعل و خلق تفاوت قائل شده و فعل را اعم از خلق می داند؛ به این معنا که هر خَلقی فعل است، ولی هر فعلی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به این معناست که فاعل، فعلی را با اراده و قدرت خویش انجام دهد و فعل مخترع فعلی است که بدون اراده و علم انجام شود؛ مانند فعلی که از ساهی </w:t>
      </w:r>
      <w:r>
        <w:rPr>
          <w:rStyle w:val="FootnoteAnchor"/>
          <w:rtl w:val="true"/>
        </w:rPr>
        <w:footnoteReference w:id="40"/>
      </w:r>
      <w:r>
        <w:rPr>
          <w:rFonts w:ascii="IRNazanin" w:hAnsi="IRNazanin" w:eastAsia="IRNazanin"/>
          <w:color w:val="111111"/>
          <w:sz w:val="28"/>
          <w:sz w:val="28"/>
          <w:szCs w:val="28"/>
          <w:rtl w:val="true"/>
          <w:lang w:bidi="fa-IR"/>
        </w:rPr>
        <w:t>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که متصف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تواند فاعل</w:t>
      </w:r>
      <w:bookmarkStart w:id="364" w:name="pg2673_18015"/>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فعل مخترع باشد، چراکه صدور فعل بدون علم و اراده از خداوند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5"/>
        <w:numPr>
          <w:ilvl w:val="4"/>
          <w:numId w:val="1"/>
        </w:numPr>
        <w:rPr/>
      </w:pPr>
      <w:bookmarkStart w:id="365" w:name="__RefHeading___Toc795007_1395250215"/>
      <w:bookmarkStart w:id="366" w:name="_Toc145"/>
      <w:bookmarkEnd w:id="365"/>
      <w:r>
        <w:rPr/>
        <w:t>2</w:t>
      </w:r>
      <w:r>
        <w:rPr>
          <w:rtl w:val="true"/>
        </w:rPr>
        <w:t xml:space="preserve">. </w:t>
      </w:r>
      <w:r>
        <w:rPr>
          <w:rtl w:val="true"/>
        </w:rPr>
        <w:t>فعل مباشر</w:t>
      </w:r>
      <w:bookmarkEnd w:id="366"/>
    </w:p>
    <w:p>
      <w:pPr>
        <w:pStyle w:val="BookText"/>
        <w:rPr/>
      </w:pPr>
      <w:r>
        <w:rPr>
          <w:rFonts w:ascii="IRNazanin" w:hAnsi="IRNazanin" w:eastAsia="IRNazanin"/>
          <w:color w:val="111111"/>
          <w:sz w:val="28"/>
          <w:sz w:val="28"/>
          <w:szCs w:val="28"/>
          <w:rtl w:val="true"/>
          <w:lang w:bidi="fa-IR"/>
        </w:rPr>
        <w:t>فعل مباشر فعلی است که ابتدائاً و به واسطۀ قدرت در محلش</w:t>
      </w:r>
      <w:r>
        <w:rPr>
          <w:rStyle w:val="FootnoteAnchor"/>
          <w:rtl w:val="true"/>
        </w:rPr>
        <w:footnoteReference w:id="41"/>
      </w:r>
      <w:r>
        <w:rPr>
          <w:rFonts w:ascii="IRNazanin" w:hAnsi="IRNazanin" w:eastAsia="IRNazanin"/>
          <w:color w:val="111111"/>
          <w:sz w:val="28"/>
          <w:sz w:val="28"/>
          <w:szCs w:val="28"/>
          <w:rtl w:val="true"/>
          <w:lang w:bidi="fa-IR"/>
        </w:rPr>
        <w:t xml:space="preserve">حادث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تعریف فعل مباشر گفته اند که در اصطلاح، فعل مباشر فعلی است که بی‌واسطه و ناگهان از فاعل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دو صورت می تواند</w:t>
      </w:r>
    </w:p>
    <w:p>
      <w:pPr>
        <w:pStyle w:val="BookText"/>
        <w:rPr/>
      </w:pPr>
      <w:r>
        <w:rPr>
          <w:rFonts w:ascii="IRNazanin" w:hAnsi="IRNazanin" w:eastAsia="IRNazanin"/>
          <w:color w:val="111111"/>
          <w:sz w:val="28"/>
          <w:sz w:val="28"/>
          <w:szCs w:val="28"/>
          <w:rtl w:val="true"/>
          <w:lang w:bidi="fa-IR"/>
        </w:rPr>
        <w:t xml:space="preserve">فعل را انجام دهد؛ یکی این‌که با قدرتِ خود آن را در محل قدرت ابتدائاً انجام دهد و دیگر این‌که مقدورش را به وسیلۀ واسطه ای که مناسب آن است انجام دهد، که به فعل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مباشر بودن فعل</w:t>
      </w:r>
    </w:p>
    <w:p>
      <w:pPr>
        <w:pStyle w:val="BookText"/>
        <w:rPr/>
      </w:pPr>
      <w:r>
        <w:rPr>
          <w:rFonts w:ascii="IRNazanin" w:hAnsi="IRNazanin" w:eastAsia="IRNazanin"/>
          <w:color w:val="111111"/>
          <w:sz w:val="28"/>
          <w:sz w:val="28"/>
          <w:szCs w:val="28"/>
          <w:rtl w:val="true"/>
          <w:lang w:bidi="fa-IR"/>
        </w:rPr>
        <w:t xml:space="preserve">این است که ابتدایی واقع شدن آن فعل ممتنع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مسئولیت انسان در افعال مباشر، معتزله و اشاعره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اشاعره فعل مباشر، فعل خداوند است؛ به این صورت که افعال اختیاری بنده، مخلوق خداوند متعال و مفعول</w:t>
      </w:r>
    </w:p>
    <w:p>
      <w:pPr>
        <w:pStyle w:val="BookText"/>
        <w:rPr/>
      </w:pPr>
      <w:r>
        <w:rPr>
          <w:rFonts w:ascii="IRNazanin" w:hAnsi="IRNazanin" w:eastAsia="IRNazanin"/>
          <w:color w:val="111111"/>
          <w:sz w:val="28"/>
          <w:sz w:val="28"/>
          <w:szCs w:val="28"/>
          <w:rtl w:val="true"/>
          <w:lang w:bidi="fa-IR"/>
        </w:rPr>
        <w:t xml:space="preserve">بنده است؛ یعنی بنده فاعل و کاسب فعل است و خداوند خالق و مبدع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معتزله و به طور کلی، عدلیه عقیده دارند که فعل مباشر فعل خود بنده بوده و</w:t>
      </w:r>
    </w:p>
    <w:p>
      <w:pPr>
        <w:pStyle w:val="BookText"/>
        <w:rPr/>
      </w:pPr>
      <w:r>
        <w:rPr>
          <w:rFonts w:ascii="IRNazanin" w:hAnsi="IRNazanin" w:eastAsia="IRNazanin"/>
          <w:color w:val="111111"/>
          <w:sz w:val="28"/>
          <w:sz w:val="28"/>
          <w:szCs w:val="28"/>
          <w:rtl w:val="true"/>
          <w:lang w:bidi="fa-IR"/>
        </w:rPr>
        <w:t xml:space="preserve">فاعل آن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آن‌جایی که یکی از شرایط مسئولیت، فاعلیتِ خود انسان است، می توان نتیجه گرفت که معتزله در افعال مباشر انسان را مسئول</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Heading5"/>
        <w:numPr>
          <w:ilvl w:val="4"/>
          <w:numId w:val="1"/>
        </w:numPr>
        <w:rPr/>
      </w:pPr>
      <w:bookmarkStart w:id="367" w:name="__RefHeading___Toc795009_1395250215"/>
      <w:bookmarkStart w:id="368" w:name="_Toc146"/>
      <w:bookmarkEnd w:id="367"/>
      <w:r>
        <w:rPr/>
        <w:t>3</w:t>
      </w:r>
      <w:r>
        <w:rPr>
          <w:rtl w:val="true"/>
        </w:rPr>
        <w:t xml:space="preserve">. </w:t>
      </w:r>
      <w:r>
        <w:rPr>
          <w:rtl w:val="true"/>
        </w:rPr>
        <w:t>فعل متولد</w:t>
      </w:r>
      <w:bookmarkEnd w:id="3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متولد، فعلی است که به واسطۀ فعل دیگری ایجاد می شود و در محل است؛ حال این محل یا وجود خود فاعل است یا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متولد ممکن است متصل به فعل مباشر باشد و یا واسطه‌های زیادی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حسینی‌طهرانی،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فعل متولد، محلّ شدیدترین اختلافات بین متکلمان است و از این جهت، بحث مفصلی در این زمینه در این نوشتار خواهیم آورد</w:t>
      </w:r>
      <w:r>
        <w:rPr>
          <w:rFonts w:eastAsia="IRNazanin" w:cs="IRNazanin"/>
          <w:color w:val="111111"/>
          <w:sz w:val="28"/>
          <w:szCs w:val="28"/>
          <w:rtl w:val="true"/>
          <w:lang w:bidi="fa-IR"/>
        </w:rPr>
        <w:t>.</w:t>
      </w:r>
      <w:bookmarkStart w:id="369" w:name="pg2673_18016"/>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4"/>
        <w:numPr>
          <w:ilvl w:val="3"/>
          <w:numId w:val="1"/>
        </w:numPr>
        <w:rPr/>
      </w:pPr>
      <w:bookmarkStart w:id="370" w:name="__RefHeading___Toc795011_1395250215"/>
      <w:bookmarkStart w:id="371" w:name="_Toc147"/>
      <w:bookmarkEnd w:id="370"/>
      <w:r>
        <w:rPr>
          <w:rtl w:val="true"/>
        </w:rPr>
        <w:t>ب</w:t>
      </w:r>
      <w:r>
        <w:rPr>
          <w:rtl w:val="true"/>
        </w:rPr>
        <w:t xml:space="preserve">) </w:t>
      </w:r>
      <w:r>
        <w:rPr>
          <w:rtl w:val="true"/>
        </w:rPr>
        <w:t>تقسیم فعل با بوجه به احکام آنها</w:t>
      </w:r>
      <w:bookmarkEnd w:id="3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در این تقسیم، ابتدا افعال را از نظر حکم به دو دستۀ کلی تقسیم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صفتی زاید بر وجود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فعل متصف به حسن و قبح نمی شود؛ مانند فعل ساهی و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صفت زاید بر وجودش هست که در این صورت، متصف به حسن و قبح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نیز خود به دو قسم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فعلی که انجامش مستحق ذم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و فعلی که انجامش مستحق ذم نیست که یا انجامش مستحق مدح نیز نیست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یا انجامش مستحق مدح است که در این صورت، یا ترکش مستحق ذمّ نیست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یا ترکش مستحق ذمّ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واجب نیز به واجب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حتماً عین فعل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مخیّر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چند فعل در انجام مساوی هستند و عمل به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w:t>
      </w:r>
      <w:bookmarkStart w:id="372" w:name="pg2673_18017"/>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373" w:name="__RefHeading___Toc795013_1395250215"/>
      <w:bookmarkStart w:id="374" w:name="_Toc148"/>
      <w:bookmarkEnd w:id="373"/>
      <w:r>
        <w:rPr>
          <w:rtl w:val="true"/>
        </w:rPr>
        <w:t>آرای گوناگوندرباره میزان فاعلیت انسان نسبت به افعال مختلف</w:t>
      </w:r>
      <w:bookmarkEnd w:id="374"/>
    </w:p>
    <w:p>
      <w:pPr>
        <w:pStyle w:val="Heading4"/>
        <w:numPr>
          <w:ilvl w:val="3"/>
          <w:numId w:val="1"/>
        </w:numPr>
        <w:rPr/>
      </w:pPr>
      <w:bookmarkStart w:id="375" w:name="__RefHeading___Toc795015_1395250215"/>
      <w:bookmarkStart w:id="376" w:name="_Toc14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آرای گوناگون دربارۀ میزان فاعلیت انسان نسبت به افعال مختلف</w:t>
      </w:r>
    </w:p>
    <w:p>
      <w:pPr>
        <w:pStyle w:val="BookText"/>
        <w:rPr/>
      </w:pPr>
      <w:r>
        <w:rPr>
          <w:rFonts w:ascii="IRNazanin" w:hAnsi="IRNazanin" w:eastAsia="IRNazanin"/>
          <w:color w:val="111111"/>
          <w:sz w:val="28"/>
          <w:sz w:val="28"/>
          <w:szCs w:val="28"/>
          <w:rtl w:val="true"/>
          <w:lang w:bidi="fa-IR"/>
        </w:rPr>
        <w:t>در گزارش و تحلیل قاضی عبدالجبار، نظریات گوناگون دربارۀ فاعلیت انسان به دو دستۀ کلی تقسیم می شوند</w:t>
      </w:r>
      <w:r>
        <w:rPr>
          <w:rFonts w:eastAsia="IRNazanin" w:cs="IRNazanin"/>
          <w:color w:val="111111"/>
          <w:sz w:val="28"/>
          <w:szCs w:val="28"/>
          <w:rtl w:val="true"/>
          <w:lang w:bidi="fa-IR"/>
        </w:rPr>
        <w:t>:</w:t>
      </w:r>
    </w:p>
    <w:p>
      <w:pPr>
        <w:pStyle w:val="Heading4"/>
        <w:numPr>
          <w:ilvl w:val="3"/>
          <w:numId w:val="1"/>
        </w:numPr>
        <w:rPr/>
      </w:pPr>
      <w:bookmarkStart w:id="377" w:name="__RefHeading___Toc795017_1395250215"/>
      <w:bookmarkStart w:id="378" w:name="_Toc150"/>
      <w:bookmarkEnd w:id="377"/>
      <w:r>
        <w:rPr>
          <w:rtl w:val="true"/>
        </w:rPr>
        <w:t>الف</w:t>
      </w:r>
      <w:r>
        <w:rPr>
          <w:rtl w:val="true"/>
        </w:rPr>
        <w:t xml:space="preserve">) </w:t>
      </w:r>
      <w:r>
        <w:rPr>
          <w:rtl w:val="true"/>
        </w:rPr>
        <w:t>کسانی که فاعلیتی برای انسان قائل نیستند</w:t>
      </w:r>
      <w:bookmarkEnd w:id="3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خود به چند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پیروان جهم بن صفوان هستند که عقیده دارند تمامی افعال، مخلوق خداوندند و به هیچ عنوان تعلقی به ما ندارند؛ نه از جهت کسب و نه از جهت حدوث و در واقع ما برای افعال، نقش ظرف برای مظروف را داریم که این افعال توسط خداوند در ما قرار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فعلی به بندگان نسبت داده می‌شود، اسناد مجازی است؛ چنان‌که گفته می شود خورشید طلوع کرد، در حالی که خداوند آن را ظاهر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استدلال کرده‌اند که اگر فاعلِ دیگری جز خدا داشته باشیم، شبیه و همتای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ناشیء،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در ردّ این سخن به نکته ای اشاره می کند که اگر افعالِ جوارح فعل خداوند باشند، در حالی که ما می‌دانیم در میان این افعال دروغ نیز هست؛ پس واجب است خداوند به واسطۀ هر دروغی که در عالم واقع می‌شود، دروغ‌گو باشد، و اگر ما چنین چیزی را بر خدا جایز بدانیم، هیچ یک از سخنان و دلایل او مورد اعتماد و وثوق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دومِ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بدون این‌که نامی از آن‌ها ببرد، مطرح می کند که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نوعی تعلق فعل به انسان را می پذیرند، ولی به صورت کسب</w:t>
      </w:r>
      <w:r>
        <w:rPr>
          <w:rStyle w:val="FootnoteAnchor"/>
          <w:rtl w:val="true"/>
        </w:rPr>
        <w:footnoteReference w:id="42"/>
      </w:r>
      <w:r>
        <w:rPr>
          <w:rFonts w:ascii="IRNazanin" w:hAnsi="IRNazanin" w:eastAsia="IRNazanin"/>
          <w:color w:val="111111"/>
          <w:sz w:val="28"/>
          <w:sz w:val="28"/>
          <w:szCs w:val="28"/>
          <w:rtl w:val="true"/>
          <w:lang w:bidi="fa-IR"/>
        </w:rPr>
        <w:t xml:space="preserve">؛ به این نحو که افعال، مخلوق خداوند در وجود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چنین بیان می‌کنند که عقیدۀ اهل‌سنت و جماعت این است که خداوند، خالق یکتاست و جایز نیست خالقی جز او باشد؛ بنابراین تمامی موجودات اعم از افراد و افعالشان و حرکات حیوانات کم یا زیاد، حسن یا قبیح، مخلوق خدا هستند و خالقی جز خداوند ندارند؛ بنابراین خلق از جانب خداست و بندگان آن را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هر یک از ما به عنوان فاعل شناخته می‌شویم، به این معناست که ما مکتسب هستیم نه خالق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برای این رأی و نظر خود دلیل نیز اقامه می کنند،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بنده در هنگام انجام فعل یا می تواند آن را ترک کند یا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نظر معتزله</w:t>
      </w:r>
    </w:p>
    <w:p>
      <w:pPr>
        <w:pStyle w:val="BookText"/>
        <w:rPr/>
      </w:pPr>
      <w:r>
        <w:rPr>
          <w:rFonts w:ascii="IRNazanin" w:hAnsi="IRNazanin" w:eastAsia="IRNazanin"/>
          <w:color w:val="111111"/>
          <w:sz w:val="28"/>
          <w:sz w:val="28"/>
          <w:szCs w:val="28"/>
          <w:rtl w:val="true"/>
          <w:lang w:bidi="fa-IR"/>
        </w:rPr>
        <w:t>ـ که قائل به فاعلیت بنده هستند ـ باطل می شود، و اگر بتواند در این صورت، وقوع فعل ترجیح بلامرجح است، زیرا هم می توانسته انجام دهد و هم ترک کند که این هم باطل است؛ پس نیازمند مرجحی است و اگر آن مرجح خودش فعلی باشد، این امر در مورد آن هم مطرح است و به تسلسل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ناچاریم مرجحی داشته باشیم که فعل خود 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بنده خودش ایجاد‌کنندۀ افعالش باشد، باید جزئیات آن‌ها را بداند، زیرا اگر ایجاد کردن بدون علم جایز باشد، اثبات عالم بودن خداوند با مشکل مواجه می شود، در حالی که انسان به تمامی جزئیات افعال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هنگامی که بنده بخواهد جسمی ساکن باشد و خداوند بخواهد آن حرکت کند، در این صورت یا هیچ یک اتفاق نمی افتد که این امر محال است یا یکی از آن‌ها واقع می شود که این هم باطل است، زیرا فرض این است که قدرتِ هر دو مقدور بر انجام آن مساوی است و هر دو به یک اندازه مؤثرند و وقوع هر یک، ترجیح بلامرجح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سخن شما این است که خداوند ستمگرتر از هر ظالمی باشد، زیرا در ما گناهی می‌آفریند که در آن تأثیری نداریم، سپس ما را به سبب آن گناه شکنجه می‌کند و این نهایت بیدادگری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مذهبی که حاصل آن ظالم دانستن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ظالم است، پس عادل کیست؟ جز او، منصف و رحیم چه کسی است؟ آیا ما را به گناهی که از او سر زده مجازات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مالک در ملک خودش به هر صورتی که باشد، ظلم نیست و همه‌چیز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هر طور که خواست اوست، در ملکش تصرف کند، بدون این‌که متصف به ظلم شود و مجازات گناه‌کار صرفاً به دلیل این است که او محلّ فعلی است که موجب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گروه اظهار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نظر، بهتر از نظر دیگرانی است که خلق را به بندگان نسبت می دهند و ادعا می‌کنند که بنده نیز مانند خدا خالق است و به این صورت، به شرک نزدیک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هم فراتر رفته و عدلیه را مورد اتهام قرار می دهند که آن‌ها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برای خدا جعل کرده اند که قدرت خداوند بر افعال بندگان و خلق و مشیّت افعال خلایق را مورد انکار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نیز عقیده دارند فعل مباشر برگرفته از طبع جسم است، که این نظر نیز به این امر بازمی گردد که به نوعی خدا را فاعل فعل مباشر می دانند؛ به این نحو که خداوند طبع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اجسام خلق می کند و این طبع باعث می شود فعل حادث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با ذکر دلایلی، این نظر را باطل شمرده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فاعل افعال خویش است، پس صحیح نیست که گفته شود فعل به واسطۀ طبع، محل واقع شده است، زیرا اگر فعل به واسطه طبع، محل واقع شود، از آن‌جا که واجب است که هر فعلی به محلش رجوع کند، در افعال جوارحی صحیح نبود که فعل به واسطۀ قصد و انگیزه و علم و ادراک فرد واقع شود و این امور نباید مدخلیتی در وقوع فعل داشته باشند، در حالی که خلاف این امر را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وی می توان استنباط کرد که دغدغۀ اصلی قاضی عبدالجبار، مانند سایر معتزله فاعلیت انسان نسبت به افعال خویش و مسئولیت وی در قبال این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به دلیل اهمیتی که برای ردّ نظریه فاعلیت طبع قائل است، با دسته‌بندی و بیان حالات مختلفی که ممکن است فعلِ حاصل از طبع داشته باشد، به ردّ و ابطال تمامی شقوق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بیان می کند که طبعی که به فعل اسناد داده می شود، دارای یکی از این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صفتی برای محل است یا معنایی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برای محل باشد،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می تواند از آن محل خارج شود و طبع هم‌چنان باقی باشد؛ در این صورت ممتنع نیست که انسان قصد و اراده داشته باشد و محل نیز سالم و صحیح باشد، ولی مراد انسان بدون هیچ مانعی واقع نشود و در این صورت، اصل فعل و طبع منهدم می شود و این فرض قابل پذیرش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با خروج این صفت، محل باقی بماند؛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واجب است که فعل واقع شود، چه انسان قصد کند و چه قصد نکند و چه انگیزه ای برای آن داشته باشد و چه نداشته باشد و این امر نیز از اموری است که بطلان و فساد آن واضح و روشن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طبع معنایی در محل باشد، در این صورت واجب است که وقوع مراد خللی به آن معنا از جهت قدیم یا حادث بودن وارد نکند؛ به دیگر سخن، دو حالت برای طبع متصور است؛ اگر طبع قدیم باشد، واجب است چیزی که از آن صادر می شود نیز قدیم باشد و یا صرفاً یک لحظه میان آن‌ها فاصله باشد که هر دو حالت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 باشد، یا حادث توسط انسان است یا ابتدائاً فعل خداست یا این‌که به واسطۀ طبع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یعنی اگر فعل انسان باشد، در این صورت واجب است چیزهای دیگری هم که در محل هستند، فعل انسان باشند و به این صورت عقیده به طبع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یعنی اگر به واسطۀ طبع دیگری واقع شده باشند، نقل کلام می کنیم به آن طبع دیگر و به همین صورت تا بی‌نهایت ادامه می یابد و هرگز فعلی واقع نخواهد شد، زیرا وجودش متعلق به وجودی است که</w:t>
      </w:r>
      <w:bookmarkStart w:id="379" w:name="pg2673_18020"/>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وجودش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صراحتاً دربارۀ شق سوم، یعنی این‌که طبع فعل خداوند باشد سخنی نمی گوید، ولی از آن‌جا که دلیل استدلال قاضی بر ردّ طبع این است که منسوب دانستن طبع به خداوند، یعنی منسوب دانستن فعل به خدا و این امر از نظر قاضی مردود است، می توان پی برد که وی به هیچ عنوان حدوث طبع از خداوند را</w:t>
      </w:r>
    </w:p>
    <w:p>
      <w:pPr>
        <w:pStyle w:val="BookText"/>
        <w:rPr/>
      </w:pP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برای بطلان این نظر ارائه می شود این است که اگر حرکت به واسطۀ طبع باشد، این طبع یا فقط می تواند در یک جهت حرکت کند یا حرکت در همۀ جهات شش‌گانه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امکان حرکت در یک جهت را دارد، پس حرکت باید دائماً در همان جهت باشد و تغییر مسیر ندهد و اگر امکان حرکت در همۀ جهات باشد، چه دلیلی برای حرکت در یک جهت خاص وجود دارد و چه دلیلی برای تغییر مسیر دارد؟ بنابراین باید در زمان واحد در همۀ جهات حرکت کند و این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طبع علت حرکتش نیست، بلکه اراده و قدرتِ قادر مرید است که باعث ایجاد این حرکت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جبایی هم دلیلی برای بطلان این نظر ارائه کرده است،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به طبع را بپذیریم، نتیجه اش این است که شناخت پیامبران صحیح نباشد، زیرا اکثر معجزات آن‌ها اعراضی هستند که حالّ در اجسامند و به نظر این گروه محل، فاعل است و طبق این رأی، این‌که خداوند جز حسن انجام نمی دهد، ثابت نمی شود؛ پس چطور می توان به پیامبران اعتماد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بحث از مسئولیت انسان در خلال بحث از نحوۀ فاعلیت وی روشن خواهد شد و طبیعتاً این بحث زمانی معقول خواهد بود که فرد فاعلیت انسان را ـ حداقل در بعضی از افعال ـ بپذیرد و بنابراین افراد فوق الذکر که خدا را فاعل همۀ افعال می دانند، در این مورد سخنی برای گفتن ندارند</w:t>
      </w:r>
      <w:r>
        <w:rPr>
          <w:rFonts w:eastAsia="IRNazanin" w:cs="IRNazanin"/>
          <w:color w:val="111111"/>
          <w:sz w:val="28"/>
          <w:szCs w:val="28"/>
          <w:rtl w:val="true"/>
          <w:lang w:bidi="fa-IR"/>
        </w:rPr>
        <w:t>.</w:t>
      </w:r>
    </w:p>
    <w:p>
      <w:pPr>
        <w:pStyle w:val="Heading4"/>
        <w:numPr>
          <w:ilvl w:val="3"/>
          <w:numId w:val="1"/>
        </w:numPr>
        <w:rPr/>
      </w:pPr>
      <w:bookmarkStart w:id="380" w:name="__RefHeading___Toc795019_1395250215"/>
      <w:bookmarkStart w:id="381" w:name="_Toc151"/>
      <w:bookmarkEnd w:id="380"/>
      <w:r>
        <w:rPr>
          <w:rtl w:val="true"/>
        </w:rPr>
        <w:t>ب</w:t>
      </w:r>
      <w:r>
        <w:rPr>
          <w:rtl w:val="true"/>
        </w:rPr>
        <w:t xml:space="preserve">) </w:t>
      </w:r>
      <w:r>
        <w:rPr>
          <w:rtl w:val="true"/>
        </w:rPr>
        <w:t>کسانی که قائل به فاعلیت انسان هستند</w:t>
      </w:r>
      <w:bookmarkEnd w:id="3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عدلیه بالاجماع می پذیرند که فعل مباشر، فعل بنده است و فاعل آن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است که این فعل، فعل خداوند باشد، زیرا خداوند منزه از این است که محل برای شیئی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در میان این گروه نیز مشاهده می شود که ناظر به این امر است که کدام افعال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گزارشی از اختلاف نظر معتزله بر سر فاعلیت انسان و میزان آن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ـ برخی معتقدند انسان صرفاً فاعل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فکر را نوعی از اراده می دانند و تأکید می کنند که مراد جزء افعال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جاحظ و ثمامه بیان می کنند انسان صرفاً فاعل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دربارۀ افعال غیر از اراده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ابوعثمان جاحظ و ابوالقاسم بلخی عقیده دارند افعال انسان به‌جز ارادۀ او، به واسطۀ طبع صورت می گیرد و منظور آن‌ها از به واسطۀ طبع بودن، عدم اختیار انسان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بلخی دربارۀ خود اراده هم می گوید گاهی به واسطۀ طبع حاصل می شود و گاهی به واسطۀ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ثمامه دربارۀ افعال غیر از اراده گاهی می گوید فعلی است که فاعلی ندارد و گاهی می گوید فعل خداوند است، به واسطۀ قرار دادن طبع در آن و گاهی هم می گوید فعل جسم است به واسطۀ طبعش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هم بیان می کنند انسان علاوه بر اراده، افعال دیگری را هم با اختیار خود انجام</w:t>
      </w:r>
    </w:p>
    <w:p>
      <w:pPr>
        <w:pStyle w:val="BookText"/>
        <w:rPr/>
      </w:pPr>
      <w:r>
        <w:rPr>
          <w:rFonts w:ascii="IRNazanin" w:hAnsi="IRNazanin" w:eastAsia="IRNazanin"/>
          <w:color w:val="111111"/>
          <w:sz w:val="28"/>
          <w:sz w:val="28"/>
          <w:szCs w:val="28"/>
          <w:rtl w:val="true"/>
          <w:lang w:bidi="fa-IR"/>
        </w:rPr>
        <w:t>می دهد، ولی این‌که این افعال چه چیزهایی هستند،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محدودۀ قدرت انسان یافت می شود، فعل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ابوالهذیل و جبّائیان می گویند انسان اراده، مراد و هر چیزی را که در جوارح جای می گیرد، از اکوان و اعتمادات و غیر این دو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جبایی در این راستا می گوید، حدوث جسم دلیل بر قادر و عالم بودن فاعلش است، و اگر بگوییم فعل انسان از جهت قصد و انگیزه هایش متعلق به او نیست، برای آن فعل فاعلی غیر از انسان ثابت می کنیم و اگر چنین چیزی را بپذیریم، این امر به فساد اصلی که به وسیلۀ آن وجود خداوند و صفات او را ثابت می کنیم، منجر می شود و این اتفاق باطل بودن قول این گروه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مانند ابوالهذیل و جبائیان، قائل به فاعلیت تامّ انسان است و برای این امر دلیل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امر از روش نقضی استفاده کرده و با باطل کردن عقاید دیگران، عقیدۀ خود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پاسخ به کسانی که قائلند انسان فقط فاعل اراده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این‌که افعال جوارح فعل شخص است، قوی تر است از اثبات این امر دربارۀ اراده، زیرا ما فقط به این دلیل می توانیم بگوییم که اراده فعل شخص است که در آن چیزی که به سوی انجامش دعوت می کند، تابع مراد است و هر چیزی که از مراد انصراف دارد، از اراده هم انصراف دارد؛ پس اگر مراد فعل انسان نباشد، اثبات این‌که اراده فعل انسان است،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عبدالجبار، تنها راه برای اثبات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این‌که اراده فعل انسان است این است که بپذیریم مراد،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را قاضی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بگوییم اراده از قبل موجب است، زیرا اگر موجب باشد صحیح نیست که مراد به صورتی که اراده به آن تعلق گرفته است واجب شود، و اگر چنین چیزی جایز باشد، یعنی فرد قادر بر افعال جوارح نباشد، وقوع فعل به واسطۀ قصدش واجب نیست، همان طور که وقوع فعل از زید به واسطۀ قصد عمرو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ادامۀ استدلال هایش، به سراغ قول کسانی می رود که افعال را فعل خدا می دانند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افعال انسان، افعال قبیحی مانند ظلم، دروغ، امر به قبیح و چیزهایی از این قبیل وجود دارد و ثابت شده است که جایز نیست خداوند فعل قبیح انجام دهد، زیرا به قبح آن علم دارد و از آن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 که وقوع فعل به واسطۀ طبع صحیح نیست و بطلان حدوث فعل بدون محدث نیز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واجب و ضروری است که بپذیریم و حکم کنیم که فاعل افعال انسان،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قاضی برای این امر اقامه می کند این است که ما می دانیم افعال ما به واسطۀ قدرت حالّ در عضو انجام می شوند و دلیل آن هم این است که احوال شخص قادر در اوقات گوناگون، متفاوت است و گاهی به راحتی چیز سنگینی را با دستش حمل می کند و زمانی دیگر قادر به انجام آن نیست و از سوی دیگر می دانیم که احتمال محل برای حمل آن در هر دو وقت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 در هر دو زمان سالم است و نیز اراده نیز در هر دو حالت یکسان است؛ بنابراین فهمیده می شود دلیل این اختلاف چیز دیگری غیر از موارد ذکرشده است که همان قدرت موجود در عضو است که گاهی وجود دارد و 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برای اثبات وجود قدرت، تفاوت حالت دو قادر است، در حالی که از نظر وسیله و اراده، تفاوتی میان آن‌ها نیست، ولی یکی قادر است فعلی را انجام دهد و دیگری قادر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فاعلیت، به آیات قرآن نیز تمسک جسته است؛ 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اللَّهُ لِیَظْلِمَهُمْ وَ 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صورت که خداوند در این آیه، نسبتِ ظلم را به بندگان داده و این خود نشانۀ این است که افعال، فعل بندگان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دربارۀ فاعلیت انسان باید به آن توجه کرد، مسئله اسباب و مسببات است، و توجه شدید معتزله به این امر، به علت ارتباط آن با موضوع جبر و اختیار و چگونگی نسبت افعال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اسباب را به اسباب اولی و ثانوی تقسیم کرده اند و دربارۀ افعال انسانی عقیده دارند که این افعال نمی توانند به واسطۀ سببی غیر از فاعل انسانی باشند و</w:t>
      </w:r>
      <w:bookmarkStart w:id="382" w:name="pg2673_18023"/>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این امر اقتضا می کند فاعل دارای صحت کامل بوده و انگیزه و اختیار در او کامل شده باشد و موانع برطرف شده باشند؛ در این صورت، فعل ضرورتاً از فاعل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دربارۀ افعال مباشر است که بدون شک فعل انسان هستند، ولی دربارۀ افعال متولد این امر که سبب حاصل شود، ولی مسبب ایجاد نشود ممتنع نیست، زیرا ممکن است مانعی وجود داشته باشد که از ایجاد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معتزله بین ذات سبب و مسبب تفاوت قائل شده اند و دربارۀ افعال متولد می گویند که وقوع مسبب به واسطۀ سبب ضرروی نیست، مگر در صورتی که موانع برطرف شده باشند که در این صورت، وضعیتش مانند افعال مباشر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نظر به افعال متولد نگریسته شود، فهمیده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در افعال متولد هم اختیار مدخلیت دارد؛ به این نحو که فعل متولد به واسطۀ آن چیزی که فاعل آن را اختیار کرده است، واقع می شود و اگر فاعل واسطه را اختیار نکرده باشد، واقع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ثابت شود احوال ما در فعل متولد اثر می گذارد، به صورتی که فعل متولد، متوقف بر قصد و انگیزه های ماست، بنابراین مدح و ذم برای فعل متولد ثابت می شود، همان طور که برای فعل مباشر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نظر قاضی عبدالجبار در این مسئله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متولد، مسببی است که از سبب دیگر نتیجه شده است که آن سبب فعل خود فاعل است، یعنی مسبب مباشر، و فعل متولد، یعنی مسبب متولد؛ پس تعلقش به ذات فاعل واجب است، نه به ذات مسببِ نتیجه‌شده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قاضی سبب را به سوی ذات فاعل بازمی‌گرداند و وقوع آن به واسطۀ اسباب را حکماً واجب نمی داند و همان طور که سبب به فاعل اضافه می شود، مسبب هم به فاعل اضافه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الحریثی،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83" w:name="__RefHeading___Toc795021_1395250215"/>
      <w:bookmarkStart w:id="384" w:name="_Toc152"/>
      <w:bookmarkEnd w:id="383"/>
      <w:r>
        <w:rPr>
          <w:rtl w:val="true"/>
        </w:rPr>
        <w:t>مصادیق هر قسم از افعال</w:t>
      </w:r>
      <w:bookmarkEnd w:id="384"/>
    </w:p>
    <w:p>
      <w:pPr>
        <w:pStyle w:val="Heading4"/>
        <w:numPr>
          <w:ilvl w:val="3"/>
          <w:numId w:val="1"/>
        </w:numPr>
        <w:rPr/>
      </w:pPr>
      <w:bookmarkStart w:id="385" w:name="__RefHeading___Toc795023_1395250215"/>
      <w:bookmarkStart w:id="386" w:name="_Toc153"/>
      <w:bookmarkEnd w:id="385"/>
      <w:r>
        <w:rPr>
          <w:rtl w:val="true"/>
        </w:rPr>
        <w:t>اشاره</w:t>
      </w:r>
      <w:bookmarkEnd w:id="3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تقسیم کلی برای افعال انجام می دهد و افعال را به دو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تحت قدرت انسان واقع نمی شود و آنچه تحت قدرتش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 این تقسیم را برای بازشناساندن افعال اختیاری و غیراختیاری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افعالی که خارج از قدرت ما هستند و جنس آن‌ها تحت قدرت ما قرار نمی گیرد، سیزده نوعند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رنگ ها، مزه ها، بوها، گرمی، سردی، تری، خشکی، حیات، قدرت، میل و شهوت، نفرت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انواع با استدلال به خدا منسوب می شوند، به‌جز فنا که از طریق نقل و سمع شناخته می شود</w:t>
      </w:r>
      <w:bookmarkStart w:id="387" w:name="pg2673_18024"/>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که جنس آن‌ها داخل در قدرت ما می شود، ده نوعند؛ پنج نوع از افعال جوارح و پنج نوع دیگر از افعال قلوب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جوارح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اکوان، اعتمادات، تألیفات، صداها و دردها، و افعال قلوب شامل اعتقادات، خواست ها، کراهت ها، ظن ها و نظرهاست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موضوع مدنظر این مقاله، افعال انسانی است و از سوی دیگر، با توجه به این‌که از نظر جمیع متکلمان، فاعل فعل مخترَع انحصاراً خداست، در این بخش به بیان مصادیق فعل مباشر و فعل متولد پرداخته و از بیان مصادیق فعل مخترع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قاضی عبدالجبار، افعال صادرشده از انسان را در سه گروه می توان جای داد</w:t>
      </w:r>
      <w:r>
        <w:rPr>
          <w:rFonts w:eastAsia="IRNazanin" w:cs="IRNazanin"/>
          <w:color w:val="111111"/>
          <w:sz w:val="28"/>
          <w:szCs w:val="28"/>
          <w:rtl w:val="true"/>
          <w:lang w:bidi="fa-IR"/>
        </w:rPr>
        <w:t>:</w:t>
      </w:r>
    </w:p>
    <w:p>
      <w:pPr>
        <w:pStyle w:val="Heading4"/>
        <w:numPr>
          <w:ilvl w:val="3"/>
          <w:numId w:val="1"/>
        </w:numPr>
        <w:rPr/>
      </w:pPr>
      <w:bookmarkStart w:id="388" w:name="__RefHeading___Toc795025_1395250215"/>
      <w:bookmarkStart w:id="389" w:name="_Toc154"/>
      <w:bookmarkEnd w:id="388"/>
      <w:r>
        <w:rPr>
          <w:rtl w:val="true"/>
        </w:rPr>
        <w:t>افعال صادر شده از انسان از نظر قاضی عبد الجبار</w:t>
      </w:r>
      <w:bookmarkEnd w:id="389"/>
    </w:p>
    <w:p>
      <w:pPr>
        <w:pStyle w:val="Heading5"/>
        <w:numPr>
          <w:ilvl w:val="4"/>
          <w:numId w:val="1"/>
        </w:numPr>
        <w:rPr/>
      </w:pPr>
      <w:bookmarkStart w:id="390" w:name="__RefHeading___Toc795027_1395250215"/>
      <w:bookmarkStart w:id="391" w:name="_Toc155"/>
      <w:bookmarkEnd w:id="390"/>
      <w:r>
        <w:rPr>
          <w:rtl w:val="true"/>
        </w:rPr>
        <w:t>الف</w:t>
      </w:r>
      <w:r>
        <w:rPr>
          <w:rtl w:val="true"/>
        </w:rPr>
        <w:t xml:space="preserve">) </w:t>
      </w:r>
      <w:r>
        <w:rPr>
          <w:rtl w:val="true"/>
        </w:rPr>
        <w:t>افعالی که فقط به صورت مباشر از انسان صادر می شوند</w:t>
      </w:r>
      <w:r>
        <w:rPr>
          <w:rtl w:val="true"/>
        </w:rPr>
        <w:t>:</w:t>
      </w:r>
      <w:bookmarkEnd w:id="3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فقط به صورت مباشر از انسان صادر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تمامی افعال قلوب به صورت مباشر حادث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 چیزی که ابتدائاً باعث حرکت محل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392" w:name="__RefHeading___Toc795029_1395250215"/>
      <w:bookmarkStart w:id="393" w:name="_Toc156"/>
      <w:bookmarkEnd w:id="392"/>
      <w:r>
        <w:rPr>
          <w:rtl w:val="true"/>
        </w:rPr>
        <w:t>ب</w:t>
      </w:r>
      <w:r>
        <w:rPr>
          <w:rtl w:val="true"/>
        </w:rPr>
        <w:t xml:space="preserve">) </w:t>
      </w:r>
      <w:r>
        <w:rPr>
          <w:rtl w:val="true"/>
        </w:rPr>
        <w:t>افعالی که فقط به صورت متولد از انسان صادر می شوند</w:t>
      </w:r>
      <w:r>
        <w:rPr>
          <w:rtl w:val="true"/>
        </w:rPr>
        <w:t>:</w:t>
      </w:r>
      <w:bookmarkEnd w:id="393"/>
    </w:p>
    <w:p>
      <w:pPr>
        <w:pStyle w:val="Heading6"/>
        <w:numPr>
          <w:ilvl w:val="5"/>
          <w:numId w:val="1"/>
        </w:numPr>
        <w:rPr/>
      </w:pPr>
      <w:bookmarkStart w:id="394" w:name="__RefHeading___Toc795031_1395250215"/>
      <w:bookmarkStart w:id="395" w:name="_Toc157"/>
      <w:bookmarkEnd w:id="394"/>
      <w:r>
        <w:rPr>
          <w:rtl w:val="true"/>
        </w:rPr>
        <w:t>دردها</w:t>
      </w:r>
      <w:r>
        <w:rPr>
          <w:rtl w:val="true"/>
        </w:rPr>
        <w:t>:</w:t>
      </w:r>
      <w:bookmarkEnd w:id="395"/>
    </w:p>
    <w:p>
      <w:pPr>
        <w:pStyle w:val="BookText"/>
        <w:rPr/>
      </w:pPr>
      <w:r>
        <w:rPr>
          <w:rFonts w:ascii="IRNazanin" w:hAnsi="IRNazanin" w:eastAsia="IRNazanin"/>
          <w:color w:val="111111"/>
          <w:sz w:val="28"/>
          <w:sz w:val="28"/>
          <w:szCs w:val="28"/>
          <w:rtl w:val="true"/>
          <w:lang w:bidi="fa-IR"/>
        </w:rPr>
        <w:t>درد فقط به صورت متولد انجام می شود، زیرا ایجاد آن بدون سببی که به واسطۀ آن واقع شود، غیرممکن است و هم‌چنین است محدودیت ما از ایجاد آن، مگر به واسطۀ اعتمادی که به حسب آن واقع شود و به آن نیاز دارد و وجه این نیاز این است که اعتماد،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اعتماد ایجادکنندۀ درد نیست، بلکه ایجادکنندۀ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است و این وهی است که عامل ایجاد درد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6"/>
        <w:numPr>
          <w:ilvl w:val="5"/>
          <w:numId w:val="1"/>
        </w:numPr>
        <w:rPr/>
      </w:pPr>
      <w:bookmarkStart w:id="396" w:name="__RefHeading___Toc795033_1395250215"/>
      <w:bookmarkStart w:id="397" w:name="_Toc158"/>
      <w:bookmarkEnd w:id="396"/>
      <w:r>
        <w:rPr>
          <w:rtl w:val="true"/>
        </w:rPr>
        <w:t>اصوات</w:t>
      </w:r>
      <w:r>
        <w:rPr>
          <w:rtl w:val="true"/>
        </w:rPr>
        <w:t>:</w:t>
      </w:r>
      <w:bookmarkEnd w:id="397"/>
    </w:p>
    <w:p>
      <w:pPr>
        <w:pStyle w:val="BookText"/>
        <w:rPr/>
      </w:pPr>
      <w:r>
        <w:rPr>
          <w:rFonts w:ascii="IRNazanin" w:hAnsi="IRNazanin" w:eastAsia="IRNazanin"/>
          <w:color w:val="111111"/>
          <w:sz w:val="28"/>
          <w:sz w:val="28"/>
          <w:szCs w:val="28"/>
          <w:rtl w:val="true"/>
          <w:lang w:bidi="fa-IR"/>
        </w:rPr>
        <w:t xml:space="preserve">ما نمی توانیم بدون وسیله، صوت ایجاد کنیم و هر چیزی که در انجامش به وسیله نیاز داریم و بدون وسیله راهی برای انجام آن برای ما وجود ندارد، متولد است و چون ایجاد صوت توسط ما در محل قدرت ناممکن است و ناگزیریم از وجود اعتماد در محل آن، بنابراین صوت واجب است متولد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6"/>
        <w:numPr>
          <w:ilvl w:val="5"/>
          <w:numId w:val="1"/>
        </w:numPr>
        <w:rPr/>
      </w:pPr>
      <w:bookmarkStart w:id="398" w:name="__RefHeading___Toc795035_1395250215"/>
      <w:bookmarkStart w:id="399" w:name="_Toc159"/>
      <w:bookmarkEnd w:id="398"/>
      <w:r>
        <w:rPr>
          <w:rtl w:val="true"/>
        </w:rPr>
        <w:t>اکوان</w:t>
      </w:r>
      <w:r>
        <w:rPr>
          <w:rtl w:val="true"/>
        </w:rPr>
        <w:t>:</w:t>
      </w:r>
      <w:bookmarkEnd w:id="3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اکوان، اجتماع، افتراق، حرکت و سکون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اکوان اموری ثبوتی و غیر از جسمند؛ به این معنا که حرکت یعنی بودن جسم در مکانی بعد از این‌که در مکان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یعنی بودن جسم در همان مکان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یعنی</w:t>
      </w:r>
      <w:bookmarkStart w:id="400" w:name="pg2673_18025"/>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وجود دو جسم در دو مکان به صورتی که جوهری نتواند میان آن‌ها قرار بگیرد و افتراق یعنی بودن دو جسم در دو مکان به نحوی که امکان قرار گرفتن جوهری در میان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سکون و حرکت محل قابل انفکاک از اعتماد نیست، بنابراین واجب است که کون فعل فقط به صورت متولد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6"/>
        <w:numPr>
          <w:ilvl w:val="5"/>
          <w:numId w:val="1"/>
        </w:numPr>
        <w:rPr/>
      </w:pPr>
      <w:bookmarkStart w:id="401" w:name="__RefHeading___Toc795037_1395250215"/>
      <w:bookmarkStart w:id="402" w:name="_Toc160"/>
      <w:bookmarkEnd w:id="401"/>
      <w:r>
        <w:rPr>
          <w:rtl w:val="true"/>
        </w:rPr>
        <w:t>تالیف</w:t>
      </w:r>
      <w:r>
        <w:rPr>
          <w:rtl w:val="true"/>
        </w:rPr>
        <w:t>:</w:t>
      </w:r>
      <w:bookmarkEnd w:id="402"/>
    </w:p>
    <w:p>
      <w:pPr>
        <w:pStyle w:val="BookText"/>
        <w:rPr/>
      </w:pPr>
      <w:r>
        <w:rPr>
          <w:rFonts w:ascii="IRNazanin" w:hAnsi="IRNazanin" w:eastAsia="IRNazanin"/>
          <w:color w:val="111111"/>
          <w:sz w:val="28"/>
          <w:sz w:val="28"/>
          <w:szCs w:val="28"/>
          <w:rtl w:val="true"/>
          <w:lang w:bidi="fa-IR"/>
        </w:rPr>
        <w:t xml:space="preserve">قاضی عبدالجبار معتقد است، تألیف فقط به صورت متولد از فرد قادر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حق تألیف این است که از محل قدرتش تعدی کند، زیرا برای وجود به دو محل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نیز عقیده دارد که تألیف فقط به صورت متولد ایجاد می شود، زیرا هیچ قادری از ما بدون وساطت مجاورت و اعتماد، قادر به انجام تألیف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6"/>
        <w:numPr>
          <w:ilvl w:val="5"/>
          <w:numId w:val="1"/>
        </w:numPr>
        <w:rPr/>
      </w:pPr>
      <w:bookmarkStart w:id="403" w:name="__RefHeading___Toc795039_1395250215"/>
      <w:bookmarkStart w:id="404" w:name="_Toc161"/>
      <w:bookmarkEnd w:id="403"/>
      <w:r>
        <w:rPr>
          <w:rtl w:val="true"/>
        </w:rPr>
        <w:t xml:space="preserve">رنگ،طعم، بو </w:t>
      </w:r>
      <w:r>
        <w:rPr>
          <w:rtl w:val="true"/>
        </w:rPr>
        <w:t>:</w:t>
      </w:r>
      <w:bookmarkEnd w:id="404"/>
    </w:p>
    <w:p>
      <w:pPr>
        <w:pStyle w:val="BookText"/>
        <w:rPr/>
      </w:pPr>
      <w:r>
        <w:rPr>
          <w:rFonts w:ascii="IRNazanin" w:hAnsi="IRNazanin" w:eastAsia="IRNazanin"/>
          <w:color w:val="111111"/>
          <w:sz w:val="28"/>
          <w:sz w:val="28"/>
          <w:szCs w:val="28"/>
          <w:rtl w:val="true"/>
          <w:lang w:bidi="fa-IR"/>
        </w:rPr>
        <w:t xml:space="preserve">بشر بن معتمر و جعفر بن مبشر عقیده دارند که رنگ، طعم و بو از افعالی هستند که انسان به طور متولد انجام می دهد و به طور کلی، ادراک را از افعال بنده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405" w:name="__RefHeading___Toc795041_1395250215"/>
      <w:bookmarkStart w:id="406" w:name="_Toc162"/>
      <w:bookmarkEnd w:id="405"/>
      <w:r>
        <w:rPr>
          <w:rtl w:val="true"/>
        </w:rPr>
        <w:t>ج</w:t>
      </w:r>
      <w:r>
        <w:rPr>
          <w:rtl w:val="true"/>
        </w:rPr>
        <w:t xml:space="preserve">) </w:t>
      </w:r>
      <w:r>
        <w:rPr>
          <w:rtl w:val="true"/>
        </w:rPr>
        <w:t>افعالی که هم به صورت مباشر و هم به صورت متولد امکان وقوع دارند</w:t>
      </w:r>
      <w:r>
        <w:rPr>
          <w:rtl w:val="true"/>
        </w:rPr>
        <w:t>:</w:t>
      </w:r>
      <w:bookmarkEnd w:id="406"/>
    </w:p>
    <w:p>
      <w:pPr>
        <w:pStyle w:val="Heading6"/>
        <w:numPr>
          <w:ilvl w:val="5"/>
          <w:numId w:val="1"/>
        </w:numPr>
        <w:rPr/>
      </w:pPr>
      <w:bookmarkStart w:id="407" w:name="__RefHeading___Toc795043_1395250215"/>
      <w:bookmarkStart w:id="408" w:name="_Toc163"/>
      <w:bookmarkEnd w:id="407"/>
      <w:r>
        <w:rPr>
          <w:rtl w:val="true"/>
        </w:rPr>
        <w:t>اعتماد</w:t>
      </w:r>
      <w:r>
        <w:rPr>
          <w:rtl w:val="true"/>
        </w:rPr>
        <w:t>:</w:t>
      </w:r>
      <w:bookmarkEnd w:id="408"/>
    </w:p>
    <w:p>
      <w:pPr>
        <w:pStyle w:val="BookText"/>
        <w:rPr/>
      </w:pPr>
      <w:r>
        <w:rPr>
          <w:rFonts w:ascii="IRNazanin" w:hAnsi="IRNazanin" w:eastAsia="IRNazanin"/>
          <w:color w:val="111111"/>
          <w:sz w:val="28"/>
          <w:sz w:val="28"/>
          <w:szCs w:val="28"/>
          <w:rtl w:val="true"/>
          <w:lang w:bidi="fa-IR"/>
        </w:rPr>
        <w:t>اعتماد نزد متکلمان، نوعی عَرَض است و کیفیتی است که حصول جسم را در جهتی از جهات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چیزی است که طبیعی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سنگینی سنگ که آن را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اعتماد غیرلازم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قسری مانند سنگِ پرتاب‌شده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مانند حرکت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اعتماد هم مبتدأ باشد و هم به صورت متولد، چراکه اگر اعتماد فقط متولد باشد، لازم می آید که چیز دیگری علت اولیۀ فعل باشد و به همین صورت تا بی‌نهایت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یک اعتماد ابتدایی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شروع کنندۀ حرکات خود متولد باشد، زیرا حرکت به واسطۀ آنچه ما اراده کرده ایم متولد نمی شود؛ در نتیجه واجب است اعتماد دارای دو قسمِ متولد و مباشر باشد، به این نحو که انسان گاهی ابتدائاً در محل قدرتش اعتمادی را ایجاد می کند، به وسیلۀ آن میل و کشش در چیزهای دیگر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6"/>
        <w:numPr>
          <w:ilvl w:val="5"/>
          <w:numId w:val="1"/>
        </w:numPr>
        <w:rPr/>
      </w:pPr>
      <w:bookmarkStart w:id="409" w:name="__RefHeading___Toc795045_1395250215"/>
      <w:bookmarkStart w:id="410" w:name="_Toc164"/>
      <w:bookmarkEnd w:id="409"/>
      <w:r>
        <w:rPr>
          <w:rtl w:val="true"/>
        </w:rPr>
        <w:t>علم</w:t>
      </w:r>
      <w:r>
        <w:rPr>
          <w:rtl w:val="true"/>
        </w:rPr>
        <w:t>:</w:t>
      </w:r>
      <w:bookmarkEnd w:id="4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متولد از نظر و دقت است و گاهی نیز جایز است که ابتدائاً واقع شود، زیرا ممکن است شخص توسط استدلال متذکر شود و در این صورت بدون نیاز به نظر صاحب علم شود و</w:t>
      </w:r>
      <w:bookmarkStart w:id="411" w:name="pg2673_18026"/>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چنین علمی متولد از استدلال است نه متولد از نظر، و دلیل متولد بودن آن این است که اگر شبهه ای بر استدلال وارد شود، علم هم‌چنان باقی است، زیرا شبهه، قدرت این را ندارد که محل را از محتمل بودن خارج کند و هم‌چنین شبهه متعلق به دلیل است و ذکر استدلال به آنچه از او حاصل می شود، تعلق دارد و هنگامی که متعلق ها متفاوت باشند، اثر کردن یکی در دیگری صحیح نیست، و اعتقاد که از جنس علم است، حاصل نظر نیست و مباشراً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ثابت می شود که جنس علم می تواند هم به صورت متولد باشد و هم به صورت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عبدالجبار و ابوهاشم، ابوعلی عقیده دارد که بعضی از تألیفات مباشرند و آن چیزی است که ما آن را بین دو محل قدرت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متولدند و آن چیزی است که نقیض او نیست و مسدود شده است در آنچه در محل قدرت و غیرمحل قدرت انجامش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412" w:name="__RefHeading___Toc795047_1395250215"/>
      <w:bookmarkStart w:id="413" w:name="_Toc165"/>
      <w:bookmarkEnd w:id="412"/>
      <w:r>
        <w:rPr>
          <w:rtl w:val="true"/>
        </w:rPr>
        <w:t>نتیجه</w:t>
      </w:r>
      <w:bookmarkEnd w:id="413"/>
    </w:p>
    <w:p>
      <w:pPr>
        <w:pStyle w:val="BookText"/>
        <w:rPr/>
      </w:pPr>
      <w:r>
        <w:rPr>
          <w:rFonts w:ascii="IRNazanin" w:hAnsi="IRNazanin" w:eastAsia="IRNazanin"/>
          <w:color w:val="111111"/>
          <w:sz w:val="28"/>
          <w:sz w:val="28"/>
          <w:szCs w:val="28"/>
          <w:rtl w:val="true"/>
          <w:lang w:bidi="fa-IR"/>
        </w:rPr>
        <w:t>در اندیشۀ قاضی عبدالجبار، انسان زمانی در مقابل فعلی که انجام می دهد مسئول است که تمامی شرایط ذیل حاصل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قدرت بر انجام فعل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خود فعل و احکام آن فعل داشته باشد و با توجه به آن‌ها اقدام به انجام فعل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حصول به نتیجه ای از که حکم آن فعل حاصل می شود، فعل را انجام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اختیار خودش کار را انجام دهد و عاملی بیرونی یا درونی، او را مجبور به انجام آن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حتی یکی از این شرایط محقق نشده باشد، فرد مسئول نیست، و تفاوتی در این‌که فعل مباشر باشد یا متولد وجود ندارد؛ مثلاً اگر کسی بدون قصد تیری را پرتاب کند، ولی تیر به انسانی اصابت کند و او کشته شود، این شخص مسئولیتی در قبال مرگ او ندارد و مستحق ذم نیست، زیرا قصدی بر انجام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مشخص شود که مقتول دشمن خطرناکی بوده و با کشته شدن او شرّ بزرگی از جامعه دفع شد است، باز هم شخص مستحق مدح نیست، زیرا قصد انجام آن را نداشته است، با این‌که قدرت داشته و فعل نیز از او صادر شده است و به همین صورت، کسی که مجبور به انجام عمل قبیح یا حسنی شود، مستحق عقاب یا پاداش نیست و یا کسی که بدون علم به قبح فعلی آن را ترک می کند، به خاطر چنین ترکی استحقاق مدح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بتوان از قصد و اراده به عنوان مهم ترین شرط یاد کرد، زیرا زمانی که فعل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وقوع آن دلیل بر قادر بودن فاعل بر آن است، حتی اگر از انسان خوابیده سر زده باشد،</w:t>
      </w:r>
      <w:bookmarkStart w:id="414" w:name="pg2673_18027"/>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ولی قصد و اراده حالات درونی هستند که تحت جبر واقع نمی شوند و به همین علت در مسئول بودن شخص تأثیر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ظاهراً مجبور به کشتن دیگری شود، ولی در دل به آن رضایت داشته باشد، چنین کسی مسئول است و اگر به عواقب این کشتن علم داشته باشد، مثلاً بداند با مرگ او فرزندانش به راه فساد رفته و بزه کار خواهند شد، در مقابل بزه کاری آن‌ها نیز مسئول است، زیرا با علم به این موضوع، قصد انجام فعل را کرده است</w:t>
      </w:r>
      <w:r>
        <w:rPr>
          <w:rFonts w:eastAsia="IRNazanin" w:cs="IRNazanin"/>
          <w:color w:val="111111"/>
          <w:sz w:val="28"/>
          <w:szCs w:val="28"/>
          <w:rtl w:val="true"/>
          <w:lang w:bidi="fa-IR"/>
        </w:rPr>
        <w:t>.</w:t>
      </w:r>
    </w:p>
    <w:p>
      <w:pPr>
        <w:pStyle w:val="Heading3"/>
        <w:numPr>
          <w:ilvl w:val="2"/>
          <w:numId w:val="1"/>
        </w:numPr>
        <w:rPr/>
      </w:pPr>
      <w:bookmarkStart w:id="415" w:name="__RefHeading___Toc795049_1395250215"/>
      <w:bookmarkStart w:id="416" w:name="_Toc166"/>
      <w:bookmarkEnd w:id="415"/>
      <w:r>
        <w:rPr>
          <w:rtl w:val="true"/>
        </w:rPr>
        <w:t>منابع</w:t>
      </w:r>
      <w:bookmarkEnd w:id="41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باقلانی، ابوبکر،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الانصاف فیما یجب اعتقاده، لایجوز اعتقاده، لایجوز الجهل به،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جوزیه، ابن‌قیم،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الصواعق المرسله علی الجهمیه المعطله،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حدادعادل، غلامعلی،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آزادی 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های اجتماعی اسلامی،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الحریثی، احمد،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المعتزله و الاحکام العقلیه و مبادی القانون الطبیعی، بغداد، دارالوراق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حسینی‌طهرانی، سیدهاشم،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المراد، تهران،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قم، منشورات 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علم کلام، تهران،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جلال‌الدین محمد اسعد،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تهلیلیه، تهران، 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عمان، دارالرازی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المراد، قم، 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ابوالحسن،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فارسی تجرید الاعتقاد، تهران،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خواجه نصیرالدین طوسی، بیروت، دارالاضواء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ابی الحسن،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القرآن عن المطاعن، بیروت، دارالنهضۀ الحدیثه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الأصول الخمسه، بیروت، دار 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دارالمصریه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کهنسال، مشهد،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الفیومی، احمد بن محمد بن علی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بی جا، مؤسسه تحقیقات و نشر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کشف المراد، قم،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مرعشی،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و إزهاق الباطل، قم، مکتبه آیۀالله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الصدق،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 تهران،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ناشیء، اکبر،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فرقه‌های اسلامی و مسئله امامت،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ایمانی، قم، مرکز مطالعات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نگری، عبدالنبی احمد،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العلوم فی اصطلاحات الفنون الملقب بدستور العلماء، بیروت،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bookmarkStart w:id="417" w:name="pg2673_18029"/>
    </w:p>
    <w:p>
      <w:pPr>
        <w:pStyle w:val="BookText"/>
        <w:rPr/>
      </w:pPr>
      <w:bookmarkEnd w:id="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2"/>
        <w:numPr>
          <w:ilvl w:val="1"/>
          <w:numId w:val="1"/>
        </w:numPr>
        <w:rPr/>
      </w:pPr>
      <w:bookmarkStart w:id="418" w:name="__RefHeading___Toc795051_1395250215"/>
      <w:bookmarkStart w:id="419" w:name="_Toc167"/>
      <w:bookmarkEnd w:id="418"/>
      <w:r>
        <w:rPr>
          <w:rtl w:val="true"/>
        </w:rPr>
        <w:t>نقد ادلۀ قرآنی برقعی دربارۀ برزخ از دیدگاه علمای شیعه</w:t>
      </w:r>
      <w:bookmarkEnd w:id="419"/>
    </w:p>
    <w:p>
      <w:pPr>
        <w:pStyle w:val="Heading3"/>
        <w:numPr>
          <w:ilvl w:val="2"/>
          <w:numId w:val="1"/>
        </w:numPr>
        <w:rPr/>
      </w:pPr>
      <w:bookmarkStart w:id="420" w:name="__RefHeading___Toc795053_1395250215"/>
      <w:bookmarkStart w:id="421" w:name="_Toc168"/>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پروین نبیان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مهدی تیموری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سیدمحمدعلی میردامادی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1394/02/13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1394/03/15</w:t>
      </w:r>
    </w:p>
    <w:p>
      <w:pPr>
        <w:pStyle w:val="Heading3"/>
        <w:numPr>
          <w:ilvl w:val="2"/>
          <w:numId w:val="1"/>
        </w:numPr>
        <w:rPr/>
      </w:pPr>
      <w:bookmarkStart w:id="422" w:name="__RefHeading___Toc795055_1395250215"/>
      <w:bookmarkStart w:id="423" w:name="_Toc169"/>
      <w:bookmarkEnd w:id="422"/>
      <w:r>
        <w:rPr>
          <w:rtl w:val="true"/>
        </w:rPr>
        <w:t>چکیده</w:t>
      </w:r>
      <w:bookmarkEnd w:id="423"/>
    </w:p>
    <w:p>
      <w:pPr>
        <w:pStyle w:val="BookText"/>
        <w:rPr/>
      </w:pPr>
      <w:r>
        <w:rPr>
          <w:rFonts w:ascii="IRNazanin" w:hAnsi="IRNazanin" w:eastAsia="IRNazanin"/>
          <w:color w:val="111111"/>
          <w:sz w:val="28"/>
          <w:sz w:val="28"/>
          <w:szCs w:val="28"/>
          <w:rtl w:val="true"/>
          <w:lang w:bidi="fa-IR"/>
        </w:rPr>
        <w:t xml:space="preserve">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وفور در زیارات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نقد اعتقاد به زیارت و توسل به اولیای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آیات قرآن مدعی می‌شود که در عالم برزخ، حیات کامل وجود ندارد و برزخ تنها شبه‌حیاتی است که فاقد بسیاری از صفات حیاتی از قبیل بینایی، شنوایی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عبارتی، برزخ را دالانی برای رسیدن به قیامت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اثبات این مطلب است که ارتباط ارواح در عالم برزخ با دنیا به طور کامل قطع می‌شود؛ پس اعتقاد شیعه به 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آن‌ها، بی‌اساس بوده و اعتقادی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 و نظریات شیعه دربارۀ حقیقت روح و عالم برزخ، به خوبی می‌تواند بطلان سخنان برقعی را آشکار کند</w:t>
      </w:r>
      <w:r>
        <w:rPr>
          <w:rFonts w:eastAsia="IRNazanin" w:cs="IRNazanin"/>
          <w:color w:val="111111"/>
          <w:sz w:val="28"/>
          <w:szCs w:val="28"/>
          <w:rtl w:val="true"/>
          <w:lang w:bidi="fa-IR"/>
        </w:rPr>
        <w:t>.</w:t>
      </w:r>
    </w:p>
    <w:p>
      <w:pPr>
        <w:pStyle w:val="Heading3"/>
        <w:numPr>
          <w:ilvl w:val="2"/>
          <w:numId w:val="1"/>
        </w:numPr>
        <w:rPr/>
      </w:pPr>
      <w:bookmarkStart w:id="424" w:name="__RefHeading___Toc795057_1395250215"/>
      <w:bookmarkStart w:id="425" w:name="_Toc170"/>
      <w:bookmarkEnd w:id="424"/>
      <w:r>
        <w:rPr>
          <w:rtl w:val="true"/>
        </w:rPr>
        <w:t>واژگان کلیدی</w:t>
      </w:r>
      <w:bookmarkEnd w:id="4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روح، توسل، زیارت، برقعی</w:t>
      </w:r>
      <w:r>
        <w:rPr>
          <w:rFonts w:eastAsia="IRNazanin" w:cs="IRNazanin"/>
          <w:color w:val="111111"/>
          <w:sz w:val="28"/>
          <w:szCs w:val="28"/>
          <w:rtl w:val="true"/>
          <w:lang w:bidi="fa-IR"/>
        </w:rPr>
        <w:t>.</w:t>
      </w:r>
      <w:bookmarkStart w:id="426" w:name="pg2673_18030"/>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427" w:name="__RefHeading___Toc795059_1395250215"/>
      <w:bookmarkStart w:id="428" w:name="_Toc171"/>
      <w:bookmarkEnd w:id="427"/>
      <w:r>
        <w:rPr>
          <w:rtl w:val="true"/>
        </w:rPr>
        <w:t>مقدمه</w:t>
      </w:r>
      <w:bookmarkEnd w:id="428"/>
    </w:p>
    <w:p>
      <w:pPr>
        <w:pStyle w:val="Heading3"/>
        <w:numPr>
          <w:ilvl w:val="2"/>
          <w:numId w:val="1"/>
        </w:numPr>
        <w:rPr/>
      </w:pPr>
      <w:bookmarkStart w:id="429" w:name="__RefHeading___Toc795061_1395250215"/>
      <w:bookmarkStart w:id="430" w:name="_Toc172"/>
      <w:bookmarkEnd w:id="429"/>
      <w:r>
        <w:rPr>
          <w:rtl w:val="true"/>
        </w:rPr>
        <w:t>آرای برقعی</w:t>
      </w:r>
      <w:bookmarkEnd w:id="430"/>
    </w:p>
    <w:p>
      <w:pPr>
        <w:pStyle w:val="Heading4"/>
        <w:numPr>
          <w:ilvl w:val="3"/>
          <w:numId w:val="1"/>
        </w:numPr>
        <w:rPr/>
      </w:pPr>
      <w:bookmarkStart w:id="431" w:name="__RefHeading___Toc795063_1395250215"/>
      <w:bookmarkStart w:id="432" w:name="_Toc173"/>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سیدابوالفضل برقعی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شیخ‌عبدالکریم حائری در قم و از شاگردان سیدابوالحسن اصفهانی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تصدیق اجتهاد را از سیدابوالحسن اصفهانی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تحقیقات و مطالعاتی در علوم دینی، در سنّ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سالگی مدعی شد در مذهب شیعه، خرافات زیادی وجود دارد که خلاف متون دینی است و بر اساس گفتۀ خودش، سعی کرد تا با این خرافات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وی اصلاحاتی در ایده و نظرهای خود ایجاد کرد؛ از جمله مخالفت با بزرگ نمایی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زیر سؤال بردن توسل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کردن موارد تعلق خمس به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برقعی خود را یکی از مجتهدان شیعی معرفی کرده است و از سوی دیگر، آرا و عقاید وی بسیار نزدیک به وهابیت است، لذا این گروه از این فرصت استفاده کرده و با انتشار کتب ایشان به زبان عربی و فارسی با تیراژ بالا، مُهر تأییدی بر افکار باطل خود زده است و طبق بررسی‌های انجام‌شده، امروزه کتب وی در سایت‌های انحرافی وهابیت در صدر بازدید و دانلود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 برقعی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وفور در زیارات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تلاش کرده است به واسطۀ ادله قرآنی، روایی و عقلی، به نفی حیات کامل برزخی پرداخته و مسئله زیارت قبور و در رأس آن، زیارت انبیا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آن را امری خرافی و بدعت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نقد آثار برقعی، تا به حال کار چندانی صورت نگرفته است، درحالی که سوء‌استفادۀ وهابیت از عقاید انحرافی وی، نگاشتن مقالات و کتاب هایی در نقد و ردّ آن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نقد دیدگاه برقعی دربارۀ برزخ و نفی توسل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ادعاهای وی در چند بند خلاصه شده و سپس به دلیل تکیۀ زیاد او روی آیات قرآن، ادلۀ قرآنی او در این زمینه مورد نقد و بررسی قرار گرفته است</w:t>
      </w:r>
      <w:r>
        <w:rPr>
          <w:rFonts w:eastAsia="IRNazanin" w:cs="IRNazanin"/>
          <w:color w:val="111111"/>
          <w:sz w:val="28"/>
          <w:szCs w:val="28"/>
          <w:rtl w:val="true"/>
          <w:lang w:bidi="fa-IR"/>
        </w:rPr>
        <w:t>.</w:t>
      </w:r>
    </w:p>
    <w:p>
      <w:pPr>
        <w:pStyle w:val="Heading4"/>
        <w:numPr>
          <w:ilvl w:val="3"/>
          <w:numId w:val="1"/>
        </w:numPr>
        <w:rPr/>
      </w:pPr>
      <w:bookmarkStart w:id="433" w:name="__RefHeading___Toc795065_1395250215"/>
      <w:bookmarkStart w:id="434" w:name="_Toc174"/>
      <w:bookmarkEnd w:id="433"/>
      <w:r>
        <w:rPr/>
        <w:t>1</w:t>
      </w:r>
      <w:r>
        <w:rPr>
          <w:rtl w:val="true"/>
        </w:rPr>
        <w:t xml:space="preserve">. </w:t>
      </w:r>
      <w:r>
        <w:rPr>
          <w:rtl w:val="true"/>
        </w:rPr>
        <w:t>قطع ارتباط با عالم دنیا پس از مرگ و عدم آگاهی از آن</w:t>
      </w:r>
      <w:bookmarkEnd w:id="4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برقعی ذیل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آیات دیگری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مقرّبان الهی پس از آن‌که از جهان فانی رفتند، نزد خدا به نعمت‌هایی که کیفیت آن را جز خدا نمی‌داند، نایل می‌شوند و کفار و فجار نیز دچار آلام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آنان نزد پروردگارشان هستند، نه نزد مخلوقان و نه نزد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نزد خود در بهشت خانه‌ای بنا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غیر از دنیای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خدا همه‌جا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همه‌جاست، می‌گویم اگر چنین باشد، هر کافر، منافق و ظالمی که بمیرد، نزد خداست و اگرچه در عذاب باشد، زیرا خدا هم به بهشت و هم به دوزخ احاطه دارد؛ پس اختصاص شهدا به مقام عند الرب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 غیر از نزد مخلوق و غیر از نزد قبر و یا دنیاست،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رزقی که می‌خورند، رزق و طعام دنیایی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که نزد پروردگارشان کجاست؟ در سورۀ انعام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دَارُ السَّلَامِ عِندَ رَبهِّمْ وَ هُوَ وَلِیُّهُم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w:t>
      </w:r>
    </w:p>
    <w:p>
      <w:pPr>
        <w:pStyle w:val="BookText"/>
        <w:rPr/>
      </w:pPr>
      <w:r>
        <w:rPr>
          <w:rFonts w:ascii="IRNazanin" w:hAnsi="IRNazanin" w:eastAsia="IRNazanin"/>
          <w:color w:val="111111"/>
          <w:sz w:val="28"/>
          <w:sz w:val="28"/>
          <w:szCs w:val="28"/>
          <w:rtl w:val="true"/>
          <w:lang w:bidi="fa-IR"/>
        </w:rPr>
        <w:t>إِلیَ دَارِ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رزقی که خدا وعده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رزق عالم باقی است، نه رزق دنیای فانی،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آیات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ءَاتَئهُمُ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از فضلش داده، دنیا نیست، زیرا آن را داشتند و از ایشان گرفته و جای وسیع‌تر و بهتری به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شهدا به عالمی می‌روند که بازماندگانشان از آنان دورند و به ایشان ملحق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شهدا در همین دنیا بوده و نزد کسان خود راه داشتند، این جمله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در آخر آیات، همۀ مؤمنان را مشمول چنین نعمت‌های دانستـه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یُضِیعُ أَجْرَ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خرافاتیان می‌گویند شهدا زنده‌اند، ولی در عالمی دیگر و در عین حال از ما آگاهند، قول صحیحی نیست، زیرا زنده بودن ربطی به آگاهی و علم به احوال ما ندارد، زیرا لازم نیست هر کس دارای حیات باشد، به همه‌چیز و از همه‌جا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w:t>
      </w:r>
      <w:bookmarkStart w:id="435" w:name="pg2673_18032"/>
    </w:p>
    <w:p>
      <w:pPr>
        <w:pStyle w:val="BookText"/>
        <w:rPr/>
      </w:pPr>
      <w:bookmarkEnd w:id="4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خبر از همسایگانش نداشت، مگر وقتی که خدا و یا مردم به او خبر می‌دادند؛ چنان‌که عدۀ بسیاری از اصحابش در معرکۀ بئر معونه کشته شدند و او خبر نداشت؛ عیالش عایشه در سفر بنی‌مصطلق از قافله عقب ماند و میان بیابان ماند و او خبر نداشت؛ شترش گم شده بود و او از جای شتر بی‌اطلاع بود؛ در جنگ احد که سنگ به پیشانی و لب و دندان آن حضرت خورد، اگر حضرتش علم به آمدن چنان سنگی داشت، سر خود را عقب می‌برد و منحرف می‌کرد که مورد اصابت سنگ قرار نگیرد، در حالی که مورد اصابت قرار گرفت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حیاتش از همه‌چیز خبر ندارد، شهدا نیز در حیات برزخی خود، لازم نیست از همه‌جا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حیات دنیوی مستلزم علم نیست و اطلاع و آگاهی مردگان از احوال زندگان، احتیاج به دلیل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436" w:name="__RefHeading___Toc795067_1395250215"/>
      <w:bookmarkStart w:id="437" w:name="_Toc175"/>
      <w:bookmarkEnd w:id="436"/>
      <w:r>
        <w:rPr/>
        <w:t>2</w:t>
      </w:r>
      <w:r>
        <w:rPr>
          <w:rtl w:val="true"/>
        </w:rPr>
        <w:t xml:space="preserve">. </w:t>
      </w:r>
      <w:r>
        <w:rPr>
          <w:rtl w:val="true"/>
        </w:rPr>
        <w:t>عالم برزخ؛ عالم مدهوشی</w:t>
      </w:r>
      <w:bookmarkEnd w:id="4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برقعی، از قرآن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چه مؤمن و چه کافر، دو حیات کامل بیشتر وجود ندارد، اما عالم برزخ، عالم خاموشی، مدهوش و بی‌خبری از دنیا و حیاتی غیرکامل، بی‌جنبش و در واقع سالن انتظار قیامت و برزخ و فاصلۀ میان دو حیات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برای اهل محشر پس از بعث، چنان جلوه می‌کند که انگار اصلاً وجود نداشته؛ یعنی این فاصله برای محشورشدگان کاملاً مفهوم نشده و پس از زنده شدن مجدد، چونان رؤیایی به نظر می‌رسد و گویی حشرشان بلافاصله و یا اندکی پس از مرگ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اختصاص به صالحان و شهدا ندارد و شامل مجرمان و کفار هم می گردد و در عدم ارتباط با دنیا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مجرمان از دنیا بی‌اطلاع نیستند، بلکه شهدا و صالحین نیز هیچ توجه، اطلاع و خبری از دنیا و اهل دنیا ندارند و تنها اخباری که ممکن است انبیا، صلحا و شهدا بعد از وفات از دنیا دریافت کنند، از طریق وفات پاکان دیگر و ملحق شدن روح ایشان به آنان است، زیرا عالم برزخ تنها شبه‌حیات یا نیمه‌حیاتی است که فاقد بسیاری از صفات حیاتی از قبیل بینایی، شنوایی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یک کلام، عالم بی‌هوشی و بی‌خبری است و بشر در آن عالم، چه صالح و چه طالح، فاقد شنوایی است و در قرآن فرموده اموات تا مبعوث و محشور نگردند، شنوایی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یَسْتَجِیبُ الَّذِینَ یَسْمَعُونَ وَ الْمَوْتیَ یَبْعَثهُمُ اللَّهُ ثُمَّ إِلَیْهِ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کفار را به مردگانی که چیزی نمی‌شنونـد، تشبیـه فرمـوده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تو مردگان را نمی‌شنوانی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بِمُسْمِعٍ مَنْ فِی</w:t>
      </w:r>
      <w:bookmarkStart w:id="438" w:name="pg2673_18033"/>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شنوانندۀ آنان که در قبرند،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شخصیتی مثل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مردگان چیزی را بگوید و یا بشنواند، چگونه دیگران می‌توانند با مردگان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مردگان قادر نیستند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دهند، چگونه از دیگران می‌توانند بشنوند و پاسخ‌شان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مخلوقی را پس از مرگ، فاقد حیات کامل خوانده و او را از دنیا بی‌خبر دانسته و هیچ فرقی بین انبیا، اولیا و دیگران نگذاشته است؛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یَدْعُونَ مِنْ دُونِ اللَّهِ لا یَخْلُقُونَ شَیْئاً وَ هُمْ یُخْلَقُون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را که غیر از خدا به دعا می‌خوانند، آنان چیزی نمی‌آفرینند و خودشان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مردگانِ فاقد حیات بوده و نمی‌دانند که چه وقت برانگیخته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انبیا و اولیا نیز مشمول این آیاتند، زیرا چیزی نمی‌آفرینند و خودشان آفریده شدند و چنان‌که در قرآن آمده، از روز بعث و رستاخیز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خداوند زنده شدن قیامت و خروج از قبر را به زنده شدن نباتات در دنیا تشبیه فرموده است؛ درست مانند آن‌که تمام درختان و گیاهان در زمستان بی‌هوش و خاموشند و تا آغاز بهار هیچ جنبشی ندارند، مردگان نیز در عالم برزخ مدهوش و در سالن انتظار و در زهدان قیامت هستند تا این‌که ناگهان اجسادشان به حرکت درآمده و به سوی دادگاه عدل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 الْأَرْضَ بَعْدَ مَوْتِها وَ 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را پس از مرگش زنده می‌کند و هم‌چنان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أَحْیَیْنا بِهِ بَلْدَةً مَیْتاً کَذلِکَ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مُرده را زنده ساختیم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دانستیم ارواح در عالمی دیگرند، حال می‌گوییم بر فرض محال که از حاجات زوّار مطلع شوند، آیا فوری حاضر شده و به این دنیا برگشته و به عرض زوّار می‌رسند یا خیر؟ روشن است که قرآن و عقل می‌گویند انبیا و اولیا به کلّی از دنیا بی‌خبرند و حتی از بدن خود اطلاعی ندارند، چه رسد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439" w:name="__RefHeading___Toc795069_1395250215"/>
      <w:bookmarkStart w:id="440" w:name="_Toc176"/>
      <w:bookmarkEnd w:id="439"/>
      <w:r>
        <w:rPr/>
        <w:t>3</w:t>
      </w:r>
      <w:r>
        <w:rPr>
          <w:rtl w:val="true"/>
        </w:rPr>
        <w:t xml:space="preserve">. </w:t>
      </w:r>
      <w:r>
        <w:rPr>
          <w:rtl w:val="true"/>
        </w:rPr>
        <w:t>عدم آگاهی انبیا</w:t>
      </w:r>
      <w:r>
        <w:rPr/>
        <w:t></w:t>
      </w:r>
      <w:r>
        <w:rPr>
          <w:rtl w:val="true"/>
        </w:rPr>
        <w:t xml:space="preserve"> از امت خود پس از وفات</w:t>
      </w:r>
      <w:bookmarkEnd w:id="4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دلالت دارد بر این‌که رسولان خدا پس از وفات، به کلـی از دنیـا بی‌خبر بوده و از امت خود کاملاً بی اطلاعند؛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أُجِبْتُمْ قالُوا لا عِلْمَ لَنا إِنَّکَ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که خدا رسولان خود را جمع کرده و از آن‌ها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شما را اجابت 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که تو خود دانای غیب‌هایی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bookmarkStart w:id="441" w:name="pg2673_18034"/>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 که در روز قیامت به عیسی خطاب می‌شود،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من و مادرم را به عنوان دو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من حق ندارم چیزی را به ناحق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چیزی نگفتم مگر آنچه تو مرا به آن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وقتی که میان ایشان بودم، شاهد و ناظرشان بودم و وقتی که جان مرا گرفتی، این تو بودی که مراقب و ناظرشان بودی و تو بر همه‌چیز نظارت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آیات،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از پیامبران بزرگ است، پس از وفات به کلّی از امتِ خود بی‌خبر بوده، حال چگونه ممکن است که امام و امام‌زاده پس از مرگش، از دنیا و پیروانش باخبر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442" w:name="__RefHeading___Toc795071_1395250215"/>
      <w:bookmarkStart w:id="443" w:name="_Toc177"/>
      <w:bookmarkEnd w:id="442"/>
      <w:r>
        <w:rPr>
          <w:rtl w:val="true"/>
        </w:rPr>
        <w:t>نقد و برسی آرای برقعی</w:t>
      </w:r>
      <w:bookmarkEnd w:id="443"/>
    </w:p>
    <w:p>
      <w:pPr>
        <w:pStyle w:val="Heading4"/>
        <w:numPr>
          <w:ilvl w:val="3"/>
          <w:numId w:val="1"/>
        </w:numPr>
        <w:rPr/>
      </w:pPr>
      <w:bookmarkStart w:id="444" w:name="__RefHeading___Toc795073_1395250215"/>
      <w:bookmarkStart w:id="445" w:name="_Toc178"/>
      <w:bookmarkEnd w:id="444"/>
      <w:r>
        <w:rPr>
          <w:rtl w:val="true"/>
        </w:rPr>
        <w:t xml:space="preserve">تعبیر </w:t>
      </w:r>
      <w:r>
        <w:rPr>
          <w:rtl w:val="true"/>
        </w:rPr>
        <w:t>«</w:t>
      </w:r>
      <w:r>
        <w:rPr>
          <w:rtl w:val="true"/>
        </w:rPr>
        <w:t>عند ربهم</w:t>
      </w:r>
      <w:r>
        <w:rPr>
          <w:rtl w:val="true"/>
        </w:rPr>
        <w:t xml:space="preserve">» </w:t>
      </w:r>
      <w:r>
        <w:rPr>
          <w:rtl w:val="true"/>
        </w:rPr>
        <w:t>به قرب معنوی اشاره دارد، نه قرب مکانی</w:t>
      </w:r>
      <w:bookmarkEnd w:id="445"/>
    </w:p>
    <w:p>
      <w:pPr>
        <w:pStyle w:val="BookText"/>
        <w:rPr/>
      </w:pPr>
      <w:r>
        <w:rPr>
          <w:rFonts w:ascii="IRNazanin" w:hAnsi="IRNazanin" w:eastAsia="IRNazanin"/>
          <w:color w:val="111111"/>
          <w:sz w:val="28"/>
          <w:sz w:val="28"/>
          <w:szCs w:val="28"/>
          <w:rtl w:val="true"/>
          <w:lang w:bidi="fa-IR"/>
        </w:rPr>
        <w:t>در بند اول، برقعی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آنان نزد پروردگارشان هستند، نه نزد مخلوقان و نه نزد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 غیر از نزد مخلوق و غیر از نزد قبر و یا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اشکال باید توجه داشت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معنوی اشاره دارد، نه مکانی؛ همان قربی که اهل تقوا از آن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فِی السَّماوات و الأرض و مَن عِندَهُ لایَستَکبِرونَ عَن عِبادَتِهِ و لایَستَحسِرون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ذات اقدس خداوندی از مکان و مانند آن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أینَما کُنتُم واللهُ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برقعی این مطلب را به ذهن متبادر می‌کند که خداوند دارای مکان است، در حالی که ادلۀ عقلیه و نقلیه، غیرمادی بودن خدا را ثابت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4"/>
        <w:numPr>
          <w:ilvl w:val="3"/>
          <w:numId w:val="1"/>
        </w:numPr>
        <w:rPr/>
      </w:pPr>
      <w:bookmarkStart w:id="446" w:name="__RefHeading___Toc795075_1395250215"/>
      <w:bookmarkStart w:id="447" w:name="_Toc179"/>
      <w:bookmarkEnd w:id="446"/>
      <w:r>
        <w:rPr>
          <w:rtl w:val="true"/>
        </w:rPr>
        <w:t>عالم برزخ، عالم حیات و شعور است، نه بی‌هوشی</w:t>
      </w:r>
      <w:bookmarkEnd w:id="447"/>
    </w:p>
    <w:p>
      <w:pPr>
        <w:pStyle w:val="BookText"/>
        <w:rPr/>
      </w:pPr>
      <w:r>
        <w:rPr>
          <w:rFonts w:ascii="IRNazanin" w:hAnsi="IRNazanin" w:eastAsia="IRNazanin"/>
          <w:color w:val="111111"/>
          <w:sz w:val="28"/>
          <w:sz w:val="28"/>
          <w:szCs w:val="28"/>
          <w:rtl w:val="true"/>
          <w:lang w:bidi="fa-IR"/>
        </w:rPr>
        <w:t xml:space="preserve">برقعی در ادامۀ بند اول،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شهدا در همین دنیا بودند و نزد کسان خود راه داشتند، این جمله صحیح نبود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باطل شدن شعور و فعل است؛ لذا در توضیح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دو، نمونه‌ای آورده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زنده‌اند و روزی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می‌خورند و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خوردن نمونۀ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اثری از شعور است، زیرا خوش‌حال شدن، فرع داشتن شعور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طلبِ این باشی که با رسیدن خیری و بُشرایی، خرسندی کنی، چون از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آیه این است که کشته‌شدگان در راه خدا، هم از نظر رسیدن خودشان به فضل خدا و دیدن آن فضل، خوش‌حالی می‌کنند و هم در طلب این خبرِ خوش هستند که رفقای عقب‌مانده‌شان نیز به این فضل الهی رسیده‌اند و آن‌ها نیز خوف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دو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کشته‌شدگانِ در راه خدا از وضع مؤمنان برجسته که هنوز در دنیا باقی مانده‌اند خبر دارند؛ و دوم این‌که، منظور از این بشارت، همان ثواب اعمال مؤمنان است که عبارت است از نداشتن خوف و اندوه و این بشارت به ایشان دست نمی‌دهد، مگر با مشاهدۀ ثواب نام‌برده در آن عالمی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نیست که خواسته باشند با موفق شدن به شهادت، استدلال کنند بر این‌که در قیامت خوف و اندوهی نخواهند داشت، چون آیه در مقام این است که بفرماید پاداش خود را می‌گیرند، نه این‌که بعد از شهادت تازه استدلال کنند که در قیامت چنین و چنان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توضیحات که دربارۀ این آیه مطرح شد، آشکار می‌شود که عالم برزخ، عالمِ بی‌هوشی و شبیه خواب نیست، بلکه در آن عالم شهدا و در رأس آن‌ها انبیا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 و از حال مؤمنان باخبرند؛ به عبارت دیگر، آیۀ شریفه برخلاف گفتۀ برقعی، آگاهی، شعور و حتی نوعی حیات برتر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هم در قرآن وجود دارد که حیات، شعور و ادراک را در عالم برزخ اثبات می‌کند که در ادامه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وَلاتَقُولُوا لِمَنْ یُقْتَلُ فی سَبیلِ اللَّهِ أَمْواتٌ بَلْ أَحْیاءٌ وَ لکِنْ لاتَشْعُرُون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آن‌ها که در راه خدا کشته می‌شوند، مرده نگویید، بلکه آنان زنده‌اند، ولی شما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عدم ذی‌حیات بودن کشته‌شدگان در راه خدا را نفی می‌کند و در مقابل، کسانی را که آن‌ها را مرده می‌پندارند، فاقد شعور می‌داند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گناهان خود اعتراف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برای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آیه، گفتار کافران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تصور دو بار مرگ و دو بار حیات، بدون تصور وجود عالم برزخ بی‌معناست</w:t>
      </w:r>
      <w:r>
        <w:rPr>
          <w:rFonts w:eastAsia="IRNazanin" w:cs="IRNazanin"/>
          <w:color w:val="111111"/>
          <w:sz w:val="28"/>
          <w:szCs w:val="28"/>
          <w:rtl w:val="true"/>
          <w:lang w:bidi="fa-IR"/>
        </w:rPr>
        <w:t>.</w:t>
      </w:r>
      <w:bookmarkStart w:id="448" w:name="pg2673_18036"/>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این دو بار مردن و دو بار زنده شدن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دنیا، زنده شدن در برزخ، مردن در برزخ و زنده شدن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منافقون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مِنْ ما رَزَقْناکُمْ مِنْ قَبْلِ أَنْ یَأْتِیَ أَحَدَکُمُ الْمَوْتُ فَیَقُولَ رَبِّ لَوْ لا أَخَّرْتَنی إِلی أَجَلٍ قَریبٍ فَأَصَّدَّقَ وَ أَکُنْ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شما روزی داده‌ایم انفاق کنید، پیش از آن‌که مرگ یکی از شما فرارسد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مدت کمی به تأخیر نینداختی تا صدقه دهم و انفاق کنم و از صالحان باشم؟ این آیه نیز به این نکته اشاره دارد که عالم برزخ، عالمی پس از مرگ و پیش از قیامت است که گنه‌کاران در آن درخواست و آرزوی بازگشت و جبران کاستی‌ها در دین می‌کنند، اما به آن‌ها پاسخ داده می‌شود که هیچ بازگشتی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فرد گنه‌کار و پاسخی که به او داده می‌شود، همگی نشان‌دهندۀ حیات و ذی‌شعور بودن او در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 لَعَلِّی أَعْمَلُ صالِحاً فیما تَرَکْتُ کَلاَّ انّها کَلِمَةٌ هُوَ قائِلُها وَ مِنْ وَرائِهِمْ بَرْزَخٌ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مرگ یکی از آنان فرارسد،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فرد گنه‌کار در برزخ و آگاهی او از حقیقتِ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نحل</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نشان‌دهندۀ ذی‌حیات و ذی‌شعور بودن او در برزخ است؛ البته حیاتی به مراتب برتر و والاتر از حیات دنیایی، چراکه توانسته است به حقایقی عالم شود که در دنیا از آن‌ها بی‌خبر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 گذشته روشن شد، انسان نه تنها در عالم برزخ دارای حیات و شعور است، بلکه شعور در عالم برزخ نسبت به عالم دنیا کامل‌تر است، چراکه در برزخ، برخلاف دنیا انسان‌ها به درک سخن ملائکه و گفت‌وگو با آن‌ها و حتی گفت‌وگو با خداوند نایل می‌شوند و به چیزهایی آگاهی دارند که اهل دنیا از آن بی‌خبرند</w:t>
      </w:r>
      <w:r>
        <w:rPr>
          <w:rFonts w:eastAsia="IRNazanin" w:cs="IRNazanin"/>
          <w:color w:val="111111"/>
          <w:sz w:val="28"/>
          <w:szCs w:val="28"/>
          <w:rtl w:val="true"/>
          <w:lang w:bidi="fa-IR"/>
        </w:rPr>
        <w:t>.</w:t>
      </w:r>
    </w:p>
    <w:p>
      <w:pPr>
        <w:pStyle w:val="Heading4"/>
        <w:numPr>
          <w:ilvl w:val="3"/>
          <w:numId w:val="1"/>
        </w:numPr>
        <w:rPr/>
      </w:pPr>
      <w:bookmarkStart w:id="449" w:name="__RefHeading___Toc795077_1395250215"/>
      <w:bookmarkStart w:id="450" w:name="_Toc180"/>
      <w:bookmarkEnd w:id="449"/>
      <w:r>
        <w:rPr>
          <w:rtl w:val="true"/>
        </w:rPr>
        <w:t>اثبات وجود رابطه بین برزخ با دنیا</w:t>
      </w:r>
      <w:bookmarkEnd w:id="450"/>
    </w:p>
    <w:p>
      <w:pPr>
        <w:pStyle w:val="Heading5"/>
        <w:numPr>
          <w:ilvl w:val="4"/>
          <w:numId w:val="1"/>
        </w:numPr>
        <w:rPr/>
      </w:pPr>
      <w:bookmarkStart w:id="451" w:name="__RefHeading___Toc795079_1395250215"/>
      <w:bookmarkStart w:id="452" w:name="_Toc181"/>
      <w:bookmarkEnd w:id="451"/>
      <w:r>
        <w:rPr/>
        <w:t>1</w:t>
      </w:r>
      <w:r>
        <w:rPr>
          <w:rtl w:val="true"/>
        </w:rPr>
        <w:t xml:space="preserve">. </w:t>
      </w:r>
      <w:r>
        <w:rPr>
          <w:rtl w:val="true"/>
        </w:rPr>
        <w:t>صالح</w:t>
      </w:r>
      <w:r>
        <w:rPr/>
        <w:t></w:t>
      </w:r>
      <w:r>
        <w:rPr>
          <w:rtl w:val="true"/>
        </w:rPr>
        <w:t xml:space="preserve"> با ارواح قوم خود سخن می‌گوید</w:t>
      </w:r>
      <w:bookmarkEnd w:id="452"/>
    </w:p>
    <w:p>
      <w:pPr>
        <w:pStyle w:val="BookText"/>
        <w:rPr/>
      </w:pPr>
      <w:r>
        <w:rPr>
          <w:rFonts w:ascii="IRNazanin" w:hAnsi="IRNazanin" w:eastAsia="IRNazanin"/>
          <w:color w:val="111111"/>
          <w:sz w:val="28"/>
          <w:sz w:val="28"/>
          <w:szCs w:val="28"/>
          <w:rtl w:val="true"/>
          <w:lang w:bidi="fa-IR"/>
        </w:rPr>
        <w:t>از آیاتی که گواهی می دهد ارتباط بشر با گذشتگان، باقی و برقرار است، آیۀ مربوط به مذاکرۀ صالح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هلاک‌شدگان از قوم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فَعَقَرُوا النَّاقَةَ وَ عَتَوْا عَنْ أَمْرِ رَبِّهِمْ وَ قالُوا یا صالِحُ ائْتِنا بِما تَعِدُنا إِنْ کُنْتَ مِنَ الْمُرْسَلینَ فَأَخَذَتْهُمُ الرَّجْفَةُ فَأَصْبَحُوا فی دارِهِمْ جاثِمینَ فَتَوَلَّی عَنْهُمْ وَ قالَ یا قَوْمِ لَقَدْ أَبْلَغْتُکُمْ رِسالَةَ رَبِّی وَ نَصَحْتُ لَکُمْ وَ لکِنْ لا تُحِبُّونَ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معجزۀ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و از دستور پروردگار خود سرپیچیدند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هستی، عذابی که به ما وعده می‌دهی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زلزله‌ای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صیحۀ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و در خانه‌های خویش بی‌جان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دوری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خداوند را به شما رسانیدم و شما را اندرز دادم، ولی شما ناصحان را دوست نمی‌دارید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آیات سه‌گانه نشان می‌دهد،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ترتیب است و گویای آن است که حضرت صالح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نابودی آنان، از آن‌ها روی برتافت و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پیام‌های پروردگارم را به شما 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اگر این قومِ هلاک‌شده، سخن حضرت صالح را نمی‌توانستند بشنوند، خطاب کردن آنان خلاف حکمت است و ساحت پیامبران الهی از این‌که کار عبث انجام دهند، پاک و منزه است</w:t>
      </w:r>
      <w:r>
        <w:rPr>
          <w:rFonts w:eastAsia="IRNazanin" w:cs="IRNazanin"/>
          <w:color w:val="111111"/>
          <w:sz w:val="28"/>
          <w:szCs w:val="28"/>
          <w:rtl w:val="true"/>
          <w:lang w:bidi="fa-IR"/>
        </w:rPr>
        <w:t>.</w:t>
      </w:r>
    </w:p>
    <w:p>
      <w:pPr>
        <w:pStyle w:val="Heading5"/>
        <w:numPr>
          <w:ilvl w:val="4"/>
          <w:numId w:val="1"/>
        </w:numPr>
        <w:rPr/>
      </w:pPr>
      <w:bookmarkStart w:id="453" w:name="__RefHeading___Toc795081_1395250215"/>
      <w:bookmarkStart w:id="454" w:name="_Toc182"/>
      <w:bookmarkEnd w:id="453"/>
      <w:r>
        <w:rPr/>
        <w:t>2</w:t>
      </w:r>
      <w:r>
        <w:rPr>
          <w:rtl w:val="true"/>
        </w:rPr>
        <w:t xml:space="preserve">. </w:t>
      </w:r>
      <w:r>
        <w:rPr>
          <w:rtl w:val="true"/>
        </w:rPr>
        <w:t>شعیب</w:t>
      </w:r>
      <w:r>
        <w:rPr/>
        <w:t></w:t>
      </w:r>
      <w:r>
        <w:rPr>
          <w:rtl w:val="true"/>
        </w:rPr>
        <w:t xml:space="preserve"> با ارواح قوم خود سخن می‌گوید</w:t>
      </w:r>
      <w:bookmarkEnd w:id="454"/>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 فَأَصْبَحُوا فی دارِهِمْ جاثِمینَ الَّذینَ کَذَّبُوا شُعَیْباً کَأَنْ لَمْ یَغْنَوْا فیهَا الَّذینَ کَذَّبُوا شُعَیْباً کانُوا هُمُ الْخاسِرینَ فَتَوَلَّی عَنْهُمْ وَ قالَ یا قَوْمِ لَقَدْ أَبْلَغْتُکُمْ رِسالاتِ رَبِّی وَ نَصَحْتُ لَکُمْ فَکَیْفَ آسی عَلی قَوْمٍ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زمین‌لرزه آنان را فرا گرفت و در خانه‌های خود هلاک شدند؛ گروهی که شعیب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آن دیار نبودند، گروهی که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زیان‌کار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پیام‌های خدایم را به شما رسانیدم و شما را نصیحت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گروهی که کافرند، اندوه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شیوۀ استدلال در این آیات، مانند آیات مربوط به قوم صالح است</w:t>
      </w:r>
      <w:r>
        <w:rPr>
          <w:rFonts w:eastAsia="IRNazanin" w:cs="IRNazanin"/>
          <w:color w:val="111111"/>
          <w:sz w:val="28"/>
          <w:szCs w:val="28"/>
          <w:rtl w:val="true"/>
          <w:lang w:bidi="fa-IR"/>
        </w:rPr>
        <w:t>.</w:t>
      </w:r>
    </w:p>
    <w:p>
      <w:pPr>
        <w:pStyle w:val="Heading5"/>
        <w:numPr>
          <w:ilvl w:val="4"/>
          <w:numId w:val="1"/>
        </w:numPr>
        <w:rPr/>
      </w:pPr>
      <w:bookmarkStart w:id="455" w:name="__RefHeading___Toc795083_1395250215"/>
      <w:bookmarkStart w:id="456" w:name="_Toc183"/>
      <w:bookmarkEnd w:id="455"/>
      <w:r>
        <w:rPr/>
        <w:t>3</w:t>
      </w:r>
      <w:r>
        <w:rPr>
          <w:rtl w:val="true"/>
        </w:rPr>
        <w:t xml:space="preserve">. </w:t>
      </w:r>
      <w:r>
        <w:rPr>
          <w:rtl w:val="true"/>
        </w:rPr>
        <w:t>پیامبر</w:t>
      </w:r>
      <w:r>
        <w:rPr/>
        <w:t></w:t>
      </w:r>
      <w:r>
        <w:rPr>
          <w:rtl w:val="true"/>
        </w:rPr>
        <w:t xml:space="preserve"> با ارواح انبیا سخن می‌گوید</w:t>
      </w:r>
      <w:bookmarkEnd w:id="4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أَجَعَلْنا مِنْ دُونِ الرَّحْمنِ آلِهَةً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پیشین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خدای رحمان، خدایی قرار دادیم که مورد</w:t>
      </w:r>
      <w:bookmarkStart w:id="457" w:name="pg2673_18037"/>
    </w:p>
    <w:p>
      <w:pPr>
        <w:pStyle w:val="BookText"/>
        <w:rPr/>
      </w:pPr>
      <w:bookmarkEnd w:id="457"/>
      <w:r>
        <w:rPr>
          <w:rFonts w:ascii="IRNazanin" w:hAnsi="IRNazanin" w:eastAsia="IRNazanin"/>
          <w:color w:val="111111"/>
          <w:sz w:val="28"/>
          <w:sz w:val="28"/>
          <w:szCs w:val="28"/>
          <w:rtl w:val="true"/>
          <w:lang w:bidi="fa-IR"/>
        </w:rPr>
        <w:t xml:space="preserve">پرستش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آیه بر این حقیقت دلالت دارد که پیامبر می‌تواند با پیامبران گذشته، که در جهان دیگر به سر می‌برند، تماس گرفته و از آنان موضوع وارد در آیه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458" w:name="__RefHeading___Toc795085_1395250215"/>
      <w:bookmarkStart w:id="459" w:name="_Toc184"/>
      <w:bookmarkEnd w:id="458"/>
      <w:r>
        <w:rPr/>
        <w:t>4</w:t>
      </w:r>
      <w:r>
        <w:rPr>
          <w:rtl w:val="true"/>
        </w:rPr>
        <w:t xml:space="preserve">. </w:t>
      </w:r>
      <w:r>
        <w:rPr>
          <w:rtl w:val="true"/>
        </w:rPr>
        <w:t>آیاتی که بر انبیای گذشته درود می‌فرستد</w:t>
      </w:r>
      <w:bookmarkEnd w:id="459"/>
    </w:p>
    <w:p>
      <w:pPr>
        <w:pStyle w:val="BookText"/>
        <w:rPr/>
      </w:pPr>
      <w:r>
        <w:rPr>
          <w:rFonts w:ascii="IRNazanin" w:hAnsi="IRNazanin" w:eastAsia="IRNazanin"/>
          <w:color w:val="111111"/>
          <w:sz w:val="28"/>
          <w:sz w:val="28"/>
          <w:szCs w:val="28"/>
          <w:rtl w:val="true"/>
          <w:lang w:bidi="fa-IR"/>
        </w:rPr>
        <w:t>هم‌چنین در آیاتی بر انبیای گذشته، سلام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 سلام علی ابراهیم، سلام علی موسی و هارون، سلام علی ال‌یاسین،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خوبی دانسته می‌شود که میان عالم مادی و عالم برزخ ارتباط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دلایل قرآنیِ ذکر‌شده مبنی بر امکان ارتباط با عالم برزخ، در تأیید این مطلب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عموم مسلمانان، اعم از شیعه و سنی، در نمازهای خود آن را قرائت می‌کنند؛ حال اگر طبق گفتۀ برقعی، اموات از جمله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عالم برزخ ارتباطشان کاملاً با دنیا قطع شود، سلام به ایشان در نماز، کاری عبث و بیهوده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بهره‌مندی انسان از دعای خیر دیگران، داشتن فرزندان شایسته و خلف صالح، برخورداری انسان در عالم برزخ از آثار سوء یا آثار خیرِ سنت‌های به‌جا‌مانده و مانند آن، همگی دلیل بر وجود عالم برزخ و حیات برزخی است و این‌گونه روایات به طور گسترده در منابع روایی فریقین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کشته‌شدگان کفار در جنگ بدر نیز از مسلمات تاریخی و حدیثی است که اهل‌سنت هم در کتاب‌های خود همچون صحیح بخاری، صحیح مسلم، مسند احمد و سیرۀ ابن‌هشام بدان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جنگ بدر، پیامبر دستور داد کشته های مشرکان را در چاهی بریزند؛ وقتی اجساد آنان در میان چاه ریخته شد، پیامبر آنان را یک یک به نام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خود به مقتولان و کشته‌شدگان کفار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بستگان بدی برای پیامبر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کردید، در حالی که دیگران مرا تصدیق کردند؛ مرا از زادگاهم بیرون کردید، در حالی که مردم دیگر پناهم دادند؛ با من به جنگ برخاستید، ولی دیگران مرا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پروردگار وعده کرده بود، حق و پابرجا یافتید؟ من آنچه پروردگارم وعده کرده بود، حق و حقیقت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گروهی از مسلمانان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مرده‌اند، صدا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لکن آنان قدرت بر پاسخ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بخاری،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وقتی از جنگ صفّین برگشتند و به قبرستان پشت دروازۀ کوفه رسیدند، رو به مردگان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ساکنان خانه‌های وحشت‌زا و محلّه‌های خالی و گورهای تاریک، ای خفتگان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 دیگران در آن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زنانتان؛ با دیگران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اموال شما؛ 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ما داریم، حال شما چه خبری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اجازۀ سخن گفتن داشتند، شما را خبر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مضمون این روایت، می‌توان گفت‌وگوی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ارواح مؤمنان را دلیلی روشن بر شعور و آگاهی آنان پس از مرگ نسبت به دنیا و افراد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سرگذشت جنگ جمل نیز می‌خوانیم که بعد از شکست اصحاب جمل،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میان کشتگان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داشتی، اما برای تو سودی نداشت و شیطان تو را گمراه کرد و به آتش دوزخ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آیات مزبور و روایت مذکور ـ که نمونه ای از روایات مختلف در این زمینه است ـ معلوم می گردد که در جایی که گنه‌کاران امت پیامبران دارای حیات و شعورند، اولیای الهی که برخلاف گنه‌کاران روحشان آزاد است، به طریق اولی با اهل دنیا ارتباط داشته و سخن آنان را می‌شنوند و فعل و تأثیر لازم را با توجه به احراز شرایط افراد در عالم دنیا از خود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اللهوردیخانی،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در ادامۀ بند اول، با ذکر مثال‌هایی ناظر بر عدم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دنیایی، مدعی می‌شود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حیاتش از همه‌چیز خبر ندارد، شهدا نیز در حیات برزخی خود، لازم نیست از همه‌جا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شبهه در گرو ادراک علم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است، از آن جهت که دارای مقام امامت و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علم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از راه های عادی به دست می‌آید و علومی که از راه های غیرعادی و غیرمتعارف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روایاتی که در جوامع حدیث شیعه، مانند کتاب کافی و بصائر و کتب صدوق و بحارالانوار ضبط شده است و به حد و حصر نمی‌آید،</w:t>
      </w:r>
    </w:p>
    <w:p>
      <w:pPr>
        <w:pStyle w:val="BookText"/>
        <w:rPr/>
      </w:pPr>
      <w:r>
        <w:rPr>
          <w:rFonts w:ascii="IRNazanin" w:hAnsi="IRNazanin" w:eastAsia="IRNazanin"/>
          <w:color w:val="111111"/>
          <w:sz w:val="28"/>
          <w:sz w:val="28"/>
          <w:szCs w:val="28"/>
          <w:rtl w:val="true"/>
          <w:lang w:bidi="fa-IR"/>
        </w:rPr>
        <w:t>امام از راه موهبت الهی و نه از راه اکتساب، به همه‌چیز واقف و از همه‌چیز آگاه است و هرچه را بخواهد، به اذن خدا، به کوچک‌ترین توجهی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کریم آیاتی داریم که علم غیب را مخصوص ذات خدای متعال و منحصر در ساحت مقدس او قرار می‌دهد، ولی استثنایی که در آیۀ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نشان می‌دهد اختصاصِ علم غیب به خدای متعال به این معناست که غیب را مستقلاً بالذات کسی جز خدا نمی داند، ولی ممکن است پیامبرانی پسندیده به تعلیم خدایی بدانند و ممکن است پسندیدگان دیگر نیز به تعلیم پیغمبران آن را بدانند؛ چنان‌که در بسیاری از این روایات وارد شده است که پیغمبر و نیز هر امامی در آخرین لحظات زندگی خود، علمِ امامت را به امام پس از خود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در زمینۀ این نوع علم،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بخواهند، می‌دانند و هرگاه نخواهند،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فهمیده می‌شود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w:t>
      </w:r>
    </w:p>
    <w:p>
      <w:pPr>
        <w:pStyle w:val="BookText"/>
        <w:rPr/>
      </w:pPr>
      <w:r>
        <w:rPr>
          <w:rFonts w:ascii="IRNazanin" w:hAnsi="IRNazanin" w:eastAsia="IRNazanin"/>
          <w:color w:val="111111"/>
          <w:sz w:val="28"/>
          <w:sz w:val="28"/>
          <w:szCs w:val="28"/>
          <w:rtl w:val="true"/>
          <w:lang w:bidi="fa-IR"/>
        </w:rPr>
        <w:t xml:space="preserve">می خواستند چیزی بدانند،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توجه کرده و آن را می دانستند، ولی همیشه به آن مقام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شایان توجه این‌که علم الهی استقلالی بوده، مرتبط با جای دیگری نیست، اما علم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و عرضی است و به منبع لایزال علم الهی مرتبط است و اساساً اگر تعلیم الهی و اتصال به علمِ بی‌پایان او نباشد،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مساوی دیگران خواهند بود؛ لذا 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بخواهد چیزی را بداند، خدا آن را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علم عادی آنان از آن جهت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کریم و 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اعمالی که در مسیر زندگی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سایر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اختیار و بر اساس علم عادی قرار دارد و این‌که امام به اذن خدا به جزئیات همۀ حوادث واقف است، تأثیری در این اعمال اختیاریۀ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مانند سایر افراد انسانی، بندۀ خدا و به تکالیف و مقررات دینی مکلف و موظف است و طبق سرپرستی و پیشوایی که از جانب خدا دارد، با موازین عادی انسانی باید انجام دهد و آخرین تلاش و کوشش را در احیای کلمۀ حق و سرپا نگه داشتن دین و آیین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که خداوند به آن‌ها اجازه می داد، از علوم غیرعادی برای اعجاز و اثبات حق بودن دعوت یا دعوی استفاده می‌کردند و چون آن پیشوایان در تمام ابعاد علمی و عملی، معصوم و مصون بودند و ارادۀ آنان تابع ارادۀ الهی بود، هرگز در استفاده از علوم غیرعادی، از امر خداوند سرپیچی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bookmarkStart w:id="460" w:name="pg2673_18040"/>
    </w:p>
    <w:p>
      <w:pPr>
        <w:pStyle w:val="BookText"/>
        <w:rPr/>
      </w:pPr>
      <w:bookmarkEnd w:id="460"/>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تبوک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منافقان از ماجرا استفادۀ سوء کردند و این زمزمه را سر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پیامبری است و چگونه ادعای اِخبار از آسمان را دارد که جای شتر گم‌شدۀ خود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جز آنچه خدا به من می‌آموزد،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مرا راهنمایی کرده که شتر من در این صحرا در فلان درّه است و زمام آن به درختی پیچیده و از رفتن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آزادش کنید و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الهی، همۀ اعمال امّت را می‌دید، چنان‌که هم‌اکنون نیز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چنین علم ملکوتی، حجتی برای تشریع نیست؛ از این رو، آن حضرت در محکمۀ قضا جز به سوگند و شاهد، داوری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اقدام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اقدام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زهر نوشیدن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رفتن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کربلا، همگی از این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دوم، برقعی تلاش می‌کند ادعای خود را مبنی بر این‌که حیات در عالم برزخ به صورت ناقص و در دنیا و آخرت به صورت کامل است، اثبات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عالم برزخ برای اهل محشر پس از بعث، چنان جلوه می‌کند که انگار اصلاً وجود نداشته؛ گویی حشرشان بلافاصله و یا اندکی پس از مرگ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ادعا باید به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کَمْ لَبِثْتُمْ فِی الْأَرْضِ عَدَدَ سِنینَ، قالُوا لَبِثْنا یَوْماً أَوْ بَعْضَ یَوْمٍ فَسْئَلِ الْعادِّینَ، قالَ إِنْ لَبِثْتُمْ إِلَّا قَلیلاً لَوْ أَنَّکُمْ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از اهل محشر دربارۀ مدت اقامتشان در روی زمین سؤال می کند و آنان با توجه به کوتاه بودن زندگی در دنیا نسبت به آخرت، این‌گونه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یک روز و یا نیم روز روی زمین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آیات روشن می‌کند که برداشت برقعی از آیات، اشتباه بوده و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 یا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مدت زندگی دنیایی و برزخی، ناچیز بودن زندگانی در این عوالم نسبت به زندگی جاودان آخرت است و اشاره‌ای به ناقص یا کامل بودن زندگی در این عوالم ندارد</w:t>
      </w:r>
      <w:r>
        <w:rPr>
          <w:rFonts w:eastAsia="IRNazanin" w:cs="IRNazanin"/>
          <w:color w:val="111111"/>
          <w:sz w:val="28"/>
          <w:szCs w:val="28"/>
          <w:rtl w:val="true"/>
          <w:lang w:bidi="fa-IR"/>
        </w:rPr>
        <w:t>.</w:t>
      </w:r>
    </w:p>
    <w:p>
      <w:pPr>
        <w:pStyle w:val="Heading3"/>
        <w:numPr>
          <w:ilvl w:val="2"/>
          <w:numId w:val="1"/>
        </w:numPr>
        <w:rPr/>
      </w:pPr>
      <w:bookmarkStart w:id="461" w:name="__RefHeading___Toc795087_1395250215"/>
      <w:bookmarkStart w:id="462" w:name="_Toc185"/>
      <w:bookmarkEnd w:id="461"/>
      <w:r>
        <w:rPr>
          <w:rtl w:val="true"/>
        </w:rPr>
        <w:t>برسی آیات مورد استناد برقعی در تفسیر خاصش از حیات برزخی</w:t>
      </w:r>
      <w:bookmarkEnd w:id="4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برقعی در تفسیر خاصش از حیات برزخی، به این آیه استناد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الْأَعْمَی وَ الْبَصِیرُ وَ لَاالظُّلُمَاتُ وَ لَاالنُّورُ وَ لَا الظِّلُّ وَ لَا الحَرُورُ وَ مَا یَسْتَوِی الْأَحْیَاءُ وَ لَاالْأَمْوَاتُ إِنَّ اللَّهَ یُسْمِعُ مَن یَشَاءُ وَ مَا أَنتَ بِمُسْمِعٍ مَّن فیِ الْقُبُورِ إِنْ أَنتَ إِلَّا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پاسخ به شبهاتی که برقعی ذیل این آیات وارد کرده است، باید ابتدا به توضیح و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برزخ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جز روایات معدودی، در بقیۀ روایات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برزخی اشاره شده و اکثر مسائل مربوط به قبر، در حقیقت مسائل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برزخ و یا قبر خاکی، در این‌جا، به دو گونه می‌توان شبهۀ وارده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قبر خاکی و مادی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اجساد مردگان اطلاق دارد و منظور از این شنوایی، قوۀ شنوایی ظاهری و جسمی انسان‌هاست و روشن است که پس از مرگ، اجساد قوه درک و شنوایی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نمی‌رساند که مردگان نهفته در قبور، قابل اسماع نیستند و هرگز نمی‌توان آن‌ها را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مشرکان لجوج، به سان نهفتگان در دل خاک هستند، پس نمی‌توان آن‌ها را هدایت کرد و تفهیم و اسماع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جز این نمی‌شود که اجساد نهفته در دل خاک، چنین شأن و شایستگی را ندارند و هر جسدی که روح از آن جدا شد، از قلمرو درک و فهم بیرون می‌رود و به صورت جمادی درمی‌آید و دیگر نمی‌توان با آن سخن گفت، ولی باید توجه داشت که طرف خطابِ ما اجساد نهفته در دل خاک نیستند، بلکه ما با آن ارواح پاک و زنده‌ای که با اجساد برزخی در جهان برزخ به سر می‌برند و به تصریح قرآن زنده‌اند سخن می‌گوییم، نه با بدن‌های نهفته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و اجساد پنهان‌شده در دل خاک از قلمرو تفهیم دور و کنار روند، دلیل بر آن نیست که ارواح و نفوس طیب و پاکیزۀ آنان که به نصّ قرآن در جهان دیگر زنده‌اند و روزی می‌خورند، قابل تفهیم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سلام می‌گوییم، یا طلب شفاعت می‌کنیم و یا سخن می‌گوییم، سر و کار ما با آن ارواح پاک و زنده است، نه با اجساد نهفته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زیارت قبر و خاک و خانه و کاشانۀ آنان می‌رویم، به خاطر این است که از این راه می‌خواهیم در خود آمادگی ایجاد کنیم تا با آنان ارتباط برقرار کنیم؛ حتی اگر بدانیم که جسد آنان مبدل به خاک شده ـ هرچند روایات اسلامی برخلاف این گواهی می‌دهند ـ باز این نوع صحنه‌ها را به وجود می‌آوریم تا از این راه، برای ارتباط با ارواح پاک آمادگی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تفسیر دومی هم وجود دارد که به نظر عمیق‌تر می‌رسد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همان‌طور که پیش‌تر ذکر 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مشابه آن، قوۀ شنوایی ظاهری نیست، بلکه قوۀ شنوایی قلب است و</w:t>
      </w:r>
    </w:p>
    <w:p>
      <w:pPr>
        <w:pStyle w:val="BookText"/>
        <w:rPr/>
      </w:pPr>
      <w:r>
        <w:rPr>
          <w:rFonts w:ascii="IRNazanin" w:hAnsi="IRNazanin" w:eastAsia="IRNazanin"/>
          <w:color w:val="111111"/>
          <w:sz w:val="28"/>
          <w:sz w:val="28"/>
          <w:szCs w:val="28"/>
          <w:rtl w:val="true"/>
          <w:lang w:bidi="fa-IR"/>
        </w:rPr>
        <w:t>مراد از اهل قبور، ارواح مشرکان در عالم برزخ است؛ یعنی این مشرکان با وجود کَری باطنی، در جهان برزخ هم نمی‌شنوند؛ یعنی نمی‌خواهند که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آیاتی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 وَ أَعْمی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مشرکانی است که شنوایی ظاهری دارند، اما گوش باطنی آن‌ها کَر است و در آیاتی نیز خطاب به پیامبر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نذیر هستی و نمی‌توانی کسی را که خود نمی‌خواهد بشنود، مجبور به شنیدن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کفاری هستند که خاصیت پذیرفتن هدایت را ندارند، چون دل‌هایشان مهر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مؤید این مطلب،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لَاتُسْمِعُ الْمَوْتیَ وَ لَا تُسْمِعُ الصُّمَّ الدُّعَاءَ إِذَا وَلَّوْاْ مُدْبِرِینَ وَ مَا أَنتَ بهَادِی الْعُمْیِ عَن ضَلَالَتِهِمْ إِن تُسْمِعُ إِلَّا مَن یُؤْمِنُ بَایَاتِنَا 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در آیات مورد استناد برقعی نیز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بیشتر مشهود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و آیات مشابه، نه مردگان ظاهری که مردگان قلبی و روحی است؛ همان‌ها که می‌توانستند با استجابت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استجیبوا لله و لرسول اذا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آیۀ پیشین و هم‌چنین آیات مشابه آن، سمع قلبی و باطنی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ناشنوایان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کَرَند و نمی‌شنوند و کورند و گمراه، و تو نمی‌توانی دعوتت را به گوش کَران برسانی و نیز تو نمی‌توانی کور را از گمراهی‌اش رهانیده و هدایتش کنی؛ تنها قدرتی که تو داری این است که دعوتت و آیات ما را که بر ما دلالت می‌کند، به گوش مؤمنان برسانی، چون مؤمنان به خاطر اذعان و ایمانی که به این حجت‌های حقه دارند، تسلیم ما هستند و تو را در آنچه دلالت می‌کنی، تصدیق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برقعی با استفاده از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یَدْعُونَ مِن دُونِ اللَّهِ لَایخْلُقُونَ شَیًا وَ هُمْ یخْلَقُونَ أَمْوَاتٌ غَیرُ أَحْیَاءٍ 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ردّ مسئله توسل و زیارت می‌پردازد، در حالی که اولاً، مفاد آیه بیان‌کنندۀ نفی پرستش است، در حالی که توسل و زیارت به هیچ وجه جنبۀ پرستش نداشته، بلکه در حقیقت واسطه قرار دادن واسطه‌های معتبر بین بنده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آیه و نفی پرستش آن دربارۀ بت‌های چوبی و سنگی مشرکان مکه است و نه ارواح اولیا، انبیا و شهیدان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برقعی هم‌چنین به آیاتی که در آن به تشابه حیات نباتات و انسان می‌پردازد، استناد کرده تا از این طریق به مدعای خود، یعنی وجود یک دورۀ مدهوشی و بیهوشی بین عالم دنیا و بعث</w:t>
      </w:r>
      <w:bookmarkStart w:id="463" w:name="pg2673_18043"/>
    </w:p>
    <w:p>
      <w:pPr>
        <w:pStyle w:val="BookText"/>
        <w:rPr/>
      </w:pPr>
      <w:bookmarkEnd w:id="463"/>
      <w:r>
        <w:rPr>
          <w:rFonts w:ascii="IRNazanin" w:hAnsi="IRNazanin" w:eastAsia="IRNazanin"/>
          <w:color w:val="111111"/>
          <w:sz w:val="28"/>
          <w:sz w:val="28"/>
          <w:szCs w:val="28"/>
          <w:rtl w:val="true"/>
          <w:lang w:bidi="fa-IR"/>
        </w:rPr>
        <w:t>برسد، در حالی که با تأمل در این آیات روشن می‌شود که وجه شبه در این آیات، تنها حیات مجدد انسان و بعث او در قیامت است؛ یعنی آیات در پی تبیین امکان برانگیخته شدن و حیات مجدد در قیامت است، چنان‌که در پایان این قبیل آیات، همواره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کفار در جهنم ـ به طوری که مفسران گفته‌اند ـ میراندن در آخرین روز زندگی دنیا و زنده کردن در برزخ است و سپس میراندن از برزخ و زنده کردن در قیامت برای حساب، چون هم میراندن باید بعد از زندگی باشد و هم احیا باید بعد از مردن، و هر یک از این دو باید مسبوق به خلافش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464" w:name="__RefHeading___Toc795089_1395250215"/>
      <w:bookmarkStart w:id="465" w:name="_Toc186"/>
      <w:bookmarkEnd w:id="464"/>
      <w:r>
        <w:rPr>
          <w:rtl w:val="true"/>
        </w:rPr>
        <w:t>ردّ استناد برقعی به قرآن، مبنی بر عدم اطلاع رسولان خدا از امت خود پس از وفات</w:t>
      </w:r>
      <w:bookmarkEnd w:id="465"/>
    </w:p>
    <w:p>
      <w:pPr>
        <w:pStyle w:val="BookText"/>
        <w:rPr/>
      </w:pPr>
      <w:r>
        <w:rPr>
          <w:rFonts w:ascii="IRNazanin" w:hAnsi="IRNazanin" w:eastAsia="IRNazanin"/>
          <w:color w:val="111111"/>
          <w:sz w:val="28"/>
          <w:sz w:val="28"/>
          <w:szCs w:val="28"/>
          <w:rtl w:val="true"/>
          <w:lang w:bidi="fa-IR"/>
        </w:rPr>
        <w:t xml:space="preserve">در بند سوم، برقعی با استناد به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بیان می‌کند که آیات قرآن دلالت می‌کند بر این‌که رسولان خدا پس از وفات، به کلی از دنیا بی‌خبرند و از امت خود کاملاً بی‌اطلاع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 قَالُواْ لَاعِلْمَ لَنَا إِنَّکَ 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حقیقتِ علم جز نزد خداوند سبحان یافت نمی‌شود؛ لذا پاسخی هم که در آیۀ مورد بحث در روز قیامت،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نفی علم غیب مطلق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ذاتی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علم غیب مطلق و ذاتی به خدا اختصاص دارد، نه اصل علم یا علم غیب نسبی، زیرا پیامبران، بی‌تردید دارای علم غیبند، ولی ـ طبق بیان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نشئه قیامت به چیزی جز خدا توجه ندارند؛ از این رو، از خودشان علم را نفی می‌کنند و پاسخ خدا را به علم الهی وامی‌گذارند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حقیقتاً از خود نفی کرده و برای پروردگار سبحان اثبات می‌کنند، و این پاسخشان نوعی خضوع است در برابر عظمت و کبریایی پروردگار و اعتراف به احتیاج ذاتی و بطلان حقیقی خود در برابر مولای حقیقی‌شان و رعایت آداب حضور و اظهار حقیقت امر، نه پاسخ نهایی که بعد از آن پاسخ دیگری نباشد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انبیا را شهدای بر امت قرار داده،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وَ جِی‌ءَ بِالنَّبِیِّینَ وَ الشهدا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شاهد بودن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جز این تصور نمی‌شود که در قیامت</w:t>
      </w:r>
      <w:bookmarkStart w:id="466" w:name="pg2673_18044"/>
    </w:p>
    <w:p>
      <w:pPr>
        <w:pStyle w:val="BookText"/>
        <w:rPr/>
      </w:pPr>
      <w:bookmarkEnd w:id="466"/>
      <w:r>
        <w:rPr>
          <w:rFonts w:ascii="IRNazanin" w:hAnsi="IRNazanin" w:eastAsia="IRNazanin"/>
          <w:color w:val="111111"/>
          <w:sz w:val="28"/>
          <w:sz w:val="28"/>
          <w:szCs w:val="28"/>
          <w:rtl w:val="true"/>
          <w:lang w:bidi="fa-IR"/>
        </w:rPr>
        <w:t>دربارۀ امت‌های خود شهادت به حق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خداوند سبحان علم را برای طایفه‌ای از بندگان خود که در روز قیامت مقرب درگاه اویند، اثبات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 فَهذا یَوْمُ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لایَمْلِکُ الَّذِینَ یَدْعُونَ مِنْ دُونِهِ الشَّفاعَةَ إِلَّا مَنْ شَهِدَ بِالْحَقِّ وَ هُمْ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جمله کسانی است که آیه شامل او می‌شود، و او رسول خدا و از کسانی است که از روی علم، به حق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رسول خداست و به مهجور ماندن قرآن در میان امتش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کریم هم پرسش از پیغمبران را ذکر فرموده و هم پرسش از مردمی را که آن بزرگواران به سوی ایشان مبعوث بوده‌اند؛ هم‌چنان‌که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سوی امت‌ها، پاسخ های متعددی در مقابل پرسش‌های زیادی که از آنان می‌شود ذکر فرموده، و معلوم است که این پاسخ‌ها مستلزم علم و اطلاع آنان است، چنان که سؤال هم، خود اشاره به علم آنان دارد، چون اگر آنان فاقد علم بودند، پرسش از ایشان معنا نداشت، و نیز دربارۀ آن امت‌ها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 عِنْدَ رَبِّهِمْ رَبَّنا أَبْصَرْنا وَ سَمِعْنا فَارْجِعْنا نَعْمَلْ صالِحاً إِنَّا مُوقِنُونَ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نیز بر این معنا دلالت دارند، و وقتی امت‌ها و مخصوصاً مجرمان آنان در قیامت به این پایه از علم و اطلاع برسند که مورد مؤاخذه و پرسش پروردگار قرار گیرند، چطور ممکن است این علم را از پیغمبران گرامی سلب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467" w:name="__RefHeading___Toc795091_1395250215"/>
      <w:bookmarkStart w:id="468" w:name="_Toc187"/>
      <w:bookmarkEnd w:id="467"/>
      <w:r>
        <w:rPr>
          <w:rtl w:val="true"/>
        </w:rPr>
        <w:t>اشکالِ اساسی برقعی</w:t>
      </w:r>
      <w:bookmarkEnd w:id="4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برقعی به آیات قرآنی، نگاهی یک‌بعدی و در اصل کاملاً ظاهرگرایانه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عقل جزئی و ناقص انسان را ملاک فهم آیات قرار داده است، در حالی که تا این عقل جزئی و ناقص از طریق محبت، اطاعت و شاگردی به عقلِ کل و کامل ـ که همانا وجود مقدس اولیای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متصل نشود، حقیقت را از زاویۀ محدود و تاریک خود خواهد دید و هرگز به ادراک حق، آن‌گونه که در واقع و نفس‌الامر است، نایل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کتاب الهی بدون قیّم نیست و حقایق نزول‌یافته در کتاب الهی برای قیّمِ کتاب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bookmarkStart w:id="469" w:name="pg2673_18045"/>
    </w:p>
    <w:p>
      <w:pPr>
        <w:pStyle w:val="BookText"/>
        <w:rPr/>
      </w:pPr>
      <w:bookmarkEnd w:id="469"/>
      <w:r>
        <w:rPr>
          <w:rFonts w:ascii="IRNazanin" w:hAnsi="IRNazanin" w:eastAsia="IRNazanin"/>
          <w:color w:val="111111"/>
          <w:sz w:val="28"/>
          <w:sz w:val="28"/>
          <w:szCs w:val="28"/>
          <w:rtl w:val="true"/>
          <w:lang w:bidi="fa-IR"/>
        </w:rPr>
        <w:t>که بدون توجه به حجت بالغۀ حق و قیّم کتاب، در پی فهم کلام خدا برمی‌آیند، جز به مرحلۀ قشر و ظاهر به چیز دیگری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 توانند به حقیقت قرآن نایل شوند که مظهر تامّ صفات خدا و در نتیجه مظهر علم خداوند بوده و به ظاهر و باطن امور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همان حجج الهی و قیّم 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ابراهیمی‌دینانی،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انسان‌ها نیز به نسبت نزدیکی به آنان و محبت و اطاعت ایشان می‌توانند به فهم حقیقت قرآن نزدیک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470" w:name="__RefHeading___Toc795093_1395250215"/>
      <w:bookmarkStart w:id="471" w:name="_Toc188"/>
      <w:bookmarkEnd w:id="470"/>
      <w:r>
        <w:rPr>
          <w:rtl w:val="true"/>
        </w:rPr>
        <w:t>نتیجه گیری</w:t>
      </w:r>
      <w:bookmarkEnd w:id="471"/>
    </w:p>
    <w:p>
      <w:pPr>
        <w:pStyle w:val="BookText"/>
        <w:rPr/>
      </w:pPr>
      <w:r>
        <w:rPr>
          <w:rFonts w:ascii="IRNazanin" w:hAnsi="IRNazanin" w:eastAsia="IRNazanin"/>
          <w:color w:val="111111"/>
          <w:sz w:val="28"/>
          <w:sz w:val="28"/>
          <w:szCs w:val="28"/>
          <w:rtl w:val="true"/>
          <w:lang w:bidi="fa-IR"/>
        </w:rPr>
        <w:t>از آنچه گذشت روشن می‌شود که عالم برزخ، عالمی مابین دنیا و آخرت است و این عالم به گونه‌ای نیست که افرادی که به آن داخل می‌شوند، به طور کلی ارتباطشان با عالم دنیا و افراد آن قطع شود، بلکه طبق آیات قرآن می‌توان ادعا کرد، دست‌کم عده‌ای مانند شهیدان و انبیا از عالم دنیا و افراد آن باخبرند و آنچه منکرانِ توسل و زیارت به آن استناد می‌کنند مبنی بر این‌که عالم برزخ، عالمی است که حیات در آن کامل نیست و مانند عالم بی‌هوشی است، سخنی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اشتباه امثال برقعی شده است این است که بین موقعیت انسان‌ها در برزخ، تمایز قائل نشده و همه را در یک ردیف و موقعیت قرار داده است، در حالی که انسان‌ها در برزخ در شرایط واحدی نیستند؛ برخی از آن‌ها از حیات کاملی برخوردارند و هرچند بنا بر بعضی روایات، عده‌ای از این حیات کامل بی‌بهره‌اند، اما توسل و زیارت ما شیعیان ناظر به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مدعی شد که ریشۀ اختلاف عقایدی شیعه با افرادی چون برقعی، در مبنای انسان شناسی آن‌هاست که از ظاهرگرایی آنان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این‌که، امثال برقعی به جای عمل بر مبنای حدیث ثقلین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موجبات تفرقه و دشمنی در اسلام و در این زمان، نسل‌کشی شیعیان را فراهم کرده‌اند</w:t>
      </w:r>
      <w:r>
        <w:rPr>
          <w:rFonts w:eastAsia="IRNazanin" w:cs="IRNazanin"/>
          <w:color w:val="111111"/>
          <w:sz w:val="28"/>
          <w:szCs w:val="28"/>
          <w:rtl w:val="true"/>
          <w:lang w:bidi="fa-IR"/>
        </w:rPr>
        <w:t>!</w:t>
      </w:r>
    </w:p>
    <w:p>
      <w:pPr>
        <w:pStyle w:val="Heading3"/>
        <w:numPr>
          <w:ilvl w:val="2"/>
          <w:numId w:val="1"/>
        </w:numPr>
        <w:rPr/>
      </w:pPr>
      <w:bookmarkStart w:id="472" w:name="__RefHeading___Toc795095_1395250215"/>
      <w:bookmarkStart w:id="473" w:name="_Toc189"/>
      <w:bookmarkEnd w:id="472"/>
      <w:r>
        <w:rPr>
          <w:rtl w:val="true"/>
        </w:rPr>
        <w:t>منابع</w:t>
      </w:r>
      <w:bookmarkEnd w:id="47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ابراهیمی‌دینانی، غلامحسین،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فکر فلسفی در جهان اسلام، تهران، طرح نو،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عبدالحمید بن هبۀ‌الله،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اول، قم، مکتبۀ الاسلامیۀ آیۀ الله المرعشی النجفی، چاپ اول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ابن‌هاشم، عبدالمالک بن هشام،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سیرۀ النبویه، بیروت، دارالمعرفه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اللهوردیخانی،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 معاد، مشهد، آستان قدس رضوی،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بی جا، لطباعه و النشر و التوزیع،</w:t>
      </w:r>
    </w:p>
    <w:p>
      <w:pPr>
        <w:pStyle w:val="BookText"/>
        <w:rPr/>
      </w:pPr>
      <w:r>
        <w:rPr>
          <w:rFonts w:ascii="IRNazanin" w:hAnsi="IRNazanin" w:eastAsia="IRNazanin"/>
          <w:color w:val="111111"/>
          <w:sz w:val="28"/>
          <w:sz w:val="28"/>
          <w:szCs w:val="28"/>
          <w:rtl w:val="true"/>
          <w:lang w:bidi="fa-IR"/>
        </w:rPr>
        <w:t xml:space="preserve">برقعی قمی، سیدابوالفضل بن الرضا،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خرافات وفور در زیارات قبور، بی جا،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تابشی از قرآن، بی جا،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 مفاتیح‌الجنان با قرآن، بی جا،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فنا، قم، اسراء،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قم، اسراء،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همتایی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اسراء،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پاسداری از مرقد پیامبران و امامان، تهران، مشعر،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حقیقت، تهران، مشعر،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روح از منظر قرآن، قم، مؤسسه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محمد بن حسین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 دفتر تبلیغات 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یا بازگشت به سوی خدا، تهران، چاپخانه حیدری،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موسوی‌همدانی، قم، دفتر انتشارات اسلامی،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بررسی‌های اسلامی، قم، دفتر انتشارات اسلامی، چاپ دوم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بن 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احیاء التراث العربی، چاپ دوم</w:t>
      </w:r>
      <w:r>
        <w:rPr>
          <w:rFonts w:eastAsia="IRNazanin" w:cs="IRNazanin"/>
          <w:color w:val="111111"/>
          <w:sz w:val="28"/>
          <w:szCs w:val="28"/>
          <w:rtl w:val="true"/>
          <w:lang w:bidi="fa-IR"/>
        </w:rPr>
        <w:t>.</w:t>
      </w:r>
      <w:bookmarkStart w:id="474" w:name="pg2673_18047"/>
    </w:p>
    <w:p>
      <w:pPr>
        <w:pStyle w:val="Heading2"/>
        <w:numPr>
          <w:ilvl w:val="1"/>
          <w:numId w:val="1"/>
        </w:numPr>
        <w:rPr/>
      </w:pPr>
      <w:bookmarkStart w:id="475" w:name="__RefHeading___Toc795097_1395250215"/>
      <w:bookmarkStart w:id="476" w:name="_Toc190"/>
      <w:bookmarkEnd w:id="474"/>
      <w:bookmarkEnd w:id="475"/>
      <w:r>
        <w:rPr>
          <w:rtl w:val="true"/>
        </w:rPr>
        <w:t>چکیده عربی مقالات</w:t>
      </w:r>
      <w:bookmarkEnd w:id="476"/>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دراسة نقدیة لمتطلبات معرفة الأدلة المثبتة لوجود الله من منظار سوین برن</w:t>
      </w:r>
    </w:p>
    <w:p>
      <w:pPr>
        <w:pStyle w:val="BookText"/>
        <w:rPr/>
      </w:pPr>
      <w:r>
        <w:rPr>
          <w:rFonts w:ascii="IRNazanin" w:hAnsi="IRNazanin" w:eastAsia="IRNazanin"/>
          <w:color w:val="111111"/>
          <w:sz w:val="28"/>
          <w:sz w:val="28"/>
          <w:szCs w:val="28"/>
          <w:rtl w:val="true"/>
          <w:lang w:bidi="fa-IR"/>
        </w:rPr>
        <w:t>محمدجواد اصغری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السیدمحمود الموسوی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حاول سوین برن ـ الفیلسوف الدینی المعاصر ـ فی مؤلفاته أن یبین تقریراً جدیداً لبراهین إثبات وجود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هذا المجال متطلبات معرفیة خاصة فیما یتعلق بهذه الادلة،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مقنعة، دائمة، و عن استقراء، و متراکمة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حاولنا فی هذا المقال أن نبین هذا النهج بأدلته، ثم ندرسه و نقیمه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سوین برن، براهین اثبات وجود الله، منطق الاستقراء،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متکلمو الامامیة فی عصر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مسألة صفات الله</w:t>
      </w:r>
    </w:p>
    <w:p>
      <w:pPr>
        <w:pStyle w:val="BookText"/>
        <w:rPr/>
      </w:pPr>
      <w:r>
        <w:rPr>
          <w:rFonts w:ascii="IRNazanin" w:hAnsi="IRNazanin" w:eastAsia="IRNazanin"/>
          <w:color w:val="111111"/>
          <w:sz w:val="28"/>
          <w:sz w:val="28"/>
          <w:szCs w:val="28"/>
          <w:rtl w:val="true"/>
          <w:lang w:bidi="fa-IR"/>
        </w:rPr>
        <w:t>السیداحسان الموسوی الخلخالی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نعمة الله الصفری الفروشانی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إن صفات الله، و العلقة بین صفات والله و ذاته، و حدوث الصفات و قدمها، و التشبیه و التجسیم هی من أهم و أقدم المسائل فی تاریخ علم الکلام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نظریة فی هذا المجال ترجع الی النصف الأول من القرن الثانی، و بالتحدید فی حلقات متکلمی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تقسیم هذه النظریات الی أربع طوائف أساسیة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الأولی هی نظریة زرارة بن أعین و من یتصل به، حیث نسب الیه القول بحدوث بعض 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الثانیة هی نظریة مؤمن الطاق حیث کان یری أن العلم صفة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الثالثة هی نظریة هشام بن سالم حیث عُدّ من أهل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الرابعة هی نظریة هشام بن الحکم المتهم بالتجسیم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یدرس الروایات المتوفرة فی مصادر الإمامیة مضافاً لما ورد فی کتب الفرق و المذاهب و یحاول أن یحلل ما نسب الی متکلمی الإمامیة فی عصر الامام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ضوء هذه المعلومات و وفقاً للبنیة الفکریة و الثقافیة الحاکمة فی ذلک العصر، و بالتالی فإن بالامکان عرض نظریة منقحة من خلال الروایات المرویة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الله، اصحاب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التشبیه، التجسیم، متکلمو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المنهجیة الکلامیة للشیخ الحر العاملی فی مقام الدفاع و رد شبهات المخالفین</w:t>
      </w:r>
    </w:p>
    <w:p>
      <w:pPr>
        <w:pStyle w:val="BookText"/>
        <w:rPr/>
      </w:pPr>
      <w:r>
        <w:rPr>
          <w:rFonts w:ascii="IRNazanin" w:hAnsi="IRNazanin" w:eastAsia="IRNazanin"/>
          <w:color w:val="111111"/>
          <w:sz w:val="28"/>
          <w:sz w:val="28"/>
          <w:szCs w:val="28"/>
          <w:rtl w:val="true"/>
          <w:lang w:bidi="fa-IR"/>
        </w:rPr>
        <w:t>محمد غفوری نجاد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 ا‌لبنین خالقیان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التعرف علی منهجیة علم الکلام هو بدراسة الأسالیب التی تعیننا علی استنباط العقائد و 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 عند استنباط العقائد یتوصل الی فهم صحیح للمعارف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مقام عنها یبین هذه المعارف و یحاول إثباتها و الرد علی عقائد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 فی المقال الحاضر المرحلتین الأخیرتین من بین المراحل الخمس للدفاع و ذلک من خلال ملاحظة المؤلفات الکلامیة العدیدة للشیخ الحر و أسالیبه المستخدمة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استخدم الشیخ الحر فی مقام الدفاع و رد الشبهات أسالیب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شکل و مضمون الدلیل، و بیان التضاد فی رأی المستشکل، و رد مبانی أو ملازمات رأی الخصم، و بیان المثال، و بیان المفردات، و التنبیه علی الاستثناء أو القرائن الحالیة الموجودة، و الارجاع الی البدیهیات، و طرح الأسئلة و مطالبة الخصم ببیان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المنهجیة الکلامیة، الحر العاملی، الاجابة علی الشبهات، المناظرة، ردّ المدارس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نزول أول وحی و آثاره الکلامیة</w:t>
      </w:r>
    </w:p>
    <w:p>
      <w:pPr>
        <w:pStyle w:val="BookText"/>
        <w:rPr/>
      </w:pPr>
      <w:r>
        <w:rPr>
          <w:rFonts w:ascii="IRNazanin" w:hAnsi="IRNazanin" w:eastAsia="IRNazanin"/>
          <w:color w:val="111111"/>
          <w:sz w:val="28"/>
          <w:sz w:val="28"/>
          <w:szCs w:val="28"/>
          <w:rtl w:val="true"/>
          <w:lang w:bidi="fa-IR"/>
        </w:rPr>
        <w:t>رسول الرضوی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محمدحسین افراخته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توجد طائفتان من الروایات بشأن أول وحی 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 الطائفة الأولی غار حراء باعتباره محلاً لأول وحی نزل علی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بینما ذکرت الطائفة الثانیة منطقة الأبطح باعتبارها أول محل لنزول الوحی علی النبی الأعظم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أن یدرس أسانید و متون الروایات و الآثار الکلامیة المترتبة علی الطائفة الأولی و یبین کیفیة استناد بعض المستشرقین بهذه الطائفة لإثبات تأثر الإسلام بالمسیحیة و عدم أصالة المعارف الإسلامیة، و البحث عن النقل الآخر و الوارد فی مصادر الشیعة و الذی یذکر الأبطح باعتباره محلاً لنزول أول وحی علی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فإن هذا النقل قوی من الناحیة السندیة، مضافاً لعدم استتباعه للآثار السیئة المترتبة علی النقل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وحی، غار حراء، الأبطح، المستشرقون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حقیقة الانسان و الموت من منظار السیدالمرتضی</w:t>
      </w:r>
    </w:p>
    <w:p>
      <w:pPr>
        <w:pStyle w:val="BookText"/>
        <w:rPr/>
      </w:pPr>
      <w:r>
        <w:rPr>
          <w:rFonts w:ascii="IRNazanin" w:hAnsi="IRNazanin" w:eastAsia="IRNazanin"/>
          <w:color w:val="111111"/>
          <w:sz w:val="28"/>
          <w:sz w:val="28"/>
          <w:szCs w:val="28"/>
          <w:rtl w:val="true"/>
          <w:lang w:bidi="fa-IR"/>
        </w:rPr>
        <w:t>عسکر دیرباز</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محمدتقی السبحانی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سعیدة السادات النبوی</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S.nabavi2014@gmail.com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حقیقة الموت وکیف یتحقق، و ما هو مصیر الانسان بعد موته؟ الإجابة علی هذه الأسئلة</w:t>
      </w:r>
    </w:p>
    <w:p>
      <w:pPr>
        <w:pStyle w:val="BookText"/>
        <w:rPr/>
      </w:pPr>
      <w:r>
        <w:rPr>
          <w:rFonts w:ascii="IRNazanin" w:hAnsi="IRNazanin" w:eastAsia="IRNazanin"/>
          <w:color w:val="111111"/>
          <w:sz w:val="28"/>
          <w:sz w:val="28"/>
          <w:szCs w:val="28"/>
          <w:rtl w:val="true"/>
          <w:lang w:bidi="fa-IR"/>
        </w:rPr>
        <w:t>ـ التی هی من أقدم الأسئلة الفلسفیة و الدینیة، و هی ممتزجة بمعنی الحیاة ـ تتوقف علی بیان ماهیة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ـ الذی هو من المتکلمین ـ علی الرغم من اختیاره تفسیراً مادیاً للانسان، و یری الموت عدماً، إلا أنه یعتقد بالحیاة بعد الموت اعتقاداً راسخاً، و یحاول أن یبین کیفیة البرزخ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أن یبین رأیه فی حقیقة الإنسان و الموت بدقة و تفصیل، لیکون مدخلاً لدراسة الحیاة بعد الموت من منظاره و الذی یستدعی مقالاً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 البنیة، الروح، الموت، العدم،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نطاق مسؤولیة الانسان من منظار القاضی عبدالجبار الهمدانی</w:t>
      </w:r>
    </w:p>
    <w:p>
      <w:pPr>
        <w:pStyle w:val="BookText"/>
        <w:rPr/>
      </w:pPr>
      <w:r>
        <w:rPr>
          <w:rFonts w:ascii="IRNazanin" w:hAnsi="IRNazanin" w:eastAsia="IRNazanin"/>
          <w:color w:val="111111"/>
          <w:sz w:val="28"/>
          <w:sz w:val="28"/>
          <w:szCs w:val="28"/>
          <w:rtl w:val="true"/>
          <w:lang w:bidi="fa-IR"/>
        </w:rPr>
        <w:t xml:space="preserve">جنان الایزدی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مرضیة هراتیان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إن عدالة الله و اختیار الانسان یستتبعان مسؤولیة الانسان تجاه افعاله، من منظار متکلمی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السؤال الأساسی المطروح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الأفعال التی تنسب للإنسان و یعد الفاعل لها؟ و تبرز أهمیة البحث فی هذا الموضوع فی نسبة الفاعلیة للانسان مع سعة نطاق مسؤلیاته الحقوقیة و الاخلاقیة و هما من المسائل الفلسفیة و الأخلاقیة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القاضی عبد الجبار لم یتعرض لهذه المسألة بشکل مباشر فإننا سنتعرض فی هذا المقال ـ و بأسلوب تحلیلی منطقی ـ لاستنباط رأیه فی هذا المجال من خلال آرائه فی المسائل ذات الصلة بهذا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القاضی عبد الجبار أن الإنسان مسؤول عن أفعاله التی له قدرة علیها و علم و اختیار للإتیان بها، و یری بطلان نظریة الکسب و نظریة الطبع، و یعتقد أن الإنسان فاعل مباشر لها و أنها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المسؤولیة، الفعل المباشر، الفعل المتولد، القاضی عبدالجبار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الأدلة القرآنیة للبرقعی بشأن البرزخ من منظار علماء الشیعة</w:t>
      </w:r>
    </w:p>
    <w:p>
      <w:pPr>
        <w:pStyle w:val="BookText"/>
        <w:rPr/>
      </w:pPr>
      <w:r>
        <w:rPr>
          <w:rFonts w:ascii="IRNazanin" w:hAnsi="IRNazanin" w:eastAsia="IRNazanin"/>
          <w:color w:val="111111"/>
          <w:sz w:val="28"/>
          <w:sz w:val="28"/>
          <w:szCs w:val="28"/>
          <w:rtl w:val="true"/>
          <w:lang w:bidi="fa-IR"/>
        </w:rPr>
        <w:t>پروین نبیان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مهدی التیموری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السیدمحمد علی المیردامادی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تعرض البرقعی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الوفور فی زیارات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لنقد زیارة القبور و التوسل بأولیاء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ـ من خلال الاعتماد علی بعض آیات القرآن ـ عدم وجود حیاة کاملة فی البرزخ، و أن البرزخ شبیه بالحیاة مع أنه فاقد للکثیر من أوصاف الحیاة؛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و السمع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 فإنه یری أن البرزخ ممر للقیامة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یحاول من خلال ذلک إثبات إنقطاع صلة الأرواح فی عالم البرزخ بعالم الدنیا بالمرة، و بالتالی فإن عقیدة الشیعة بزیارة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التوسل بهم لا أساس لها من الصحة و هی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دراسة آراء الشیعة و نظریاتهم فیما یتعلق بحقیقة الروح و عالم البرزخ بإمکانها أن توضح بطلان ما ذکره البرقعی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البرزخ، الروح، التوسل، الزیارة، البرقعی</w:t>
      </w:r>
      <w:r>
        <w:rPr>
          <w:rFonts w:eastAsia="IRNazanin" w:cs="IRNazanin"/>
          <w:color w:val="111111"/>
          <w:sz w:val="28"/>
          <w:szCs w:val="28"/>
          <w:rtl w:val="true"/>
          <w:lang w:bidi="fa-IR"/>
        </w:rPr>
        <w:t>.</w:t>
      </w:r>
      <w:bookmarkStart w:id="477" w:name="pg2673_18054"/>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795099_1395250215"/>
      <w:bookmarkStart w:id="479" w:name="_Toc191"/>
      <w:bookmarkEnd w:id="478"/>
      <w:r>
        <w:rPr>
          <w:rtl w:val="true"/>
        </w:rPr>
        <w:t>چکیده انگلیسی مقالات</w:t>
      </w:r>
      <w:bookmarkEnd w:id="479"/>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Vol.3, No.10, October-November 2015</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pStyle w:val="BookText"/>
        <w:rPr/>
      </w:pPr>
      <w:r>
        <w:rPr>
          <w:rFonts w:eastAsia="Times New Roman" w:cs="Times New Roman" w:ascii="Times New Roman" w:hAnsi="Times New Roman"/>
          <w:color w:val="111111"/>
          <w:sz w:val="28"/>
          <w:szCs w:val="28"/>
          <w:lang w:val="en-US" w:bidi="en-US"/>
        </w:rPr>
        <w:t>Email: Info@Tkalam.ir / Info@Ikq.ir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Price: 80000 Rials</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Critical Examination of Knowledge Necessities</w:t>
      </w:r>
    </w:p>
    <w:p>
      <w:pPr>
        <w:pStyle w:val="BookText"/>
        <w:rPr/>
      </w:pPr>
      <w:r>
        <w:rPr>
          <w:rFonts w:eastAsia="Times New Roman" w:cs="Times New Roman" w:ascii="Times New Roman" w:hAnsi="Times New Roman"/>
          <w:color w:val="111111"/>
          <w:sz w:val="28"/>
          <w:szCs w:val="28"/>
          <w:lang w:val="en-US" w:bidi="en-US"/>
        </w:rPr>
        <w:t>of the Arguments for the Existence of God</w:t>
      </w:r>
    </w:p>
    <w:p>
      <w:pPr>
        <w:pStyle w:val="BookText"/>
        <w:rPr/>
      </w:pPr>
      <w:r>
        <w:rPr>
          <w:rFonts w:eastAsia="Times New Roman" w:cs="Times New Roman" w:ascii="Times New Roman" w:hAnsi="Times New Roman"/>
          <w:color w:val="111111"/>
          <w:sz w:val="28"/>
          <w:szCs w:val="28"/>
          <w:lang w:val="en-US" w:bidi="en-US"/>
        </w:rPr>
        <w:t>from the Viewpoint of Swinburne</w:t>
      </w:r>
    </w:p>
    <w:p>
      <w:pPr>
        <w:pStyle w:val="BookText"/>
        <w:rPr/>
      </w:pPr>
      <w:r>
        <w:rPr>
          <w:rStyle w:val="FootnoteAnchor"/>
        </w:rPr>
        <w:footnoteReference w:id="63"/>
      </w:r>
      <w:r>
        <w:rPr>
          <w:rFonts w:eastAsia="Times New Roman" w:cs="Times New Roman" w:ascii="Times New Roman" w:hAnsi="Times New Roman"/>
          <w:color w:val="111111"/>
          <w:sz w:val="28"/>
          <w:szCs w:val="28"/>
          <w:lang w:val="en-US" w:bidi="en-US"/>
        </w:rPr>
        <w:t>MohammadJawad Asghari Sayyed Mahmood Mosavi</w:t>
      </w:r>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Richard Swinburne – the contemporary philosopher of religion – tried in his works to offer a new explanation of the arguments for the existence of God. Thus he explains especial knowledge necessities about these arguments from among them one can refer to characteristics like being convincing, being posteriori, being inductive and being collective. In this research, it had been tried to explain and then to examine and criticize that approaches to the arguments</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Swinburne, the arguments for the existence of God, inductive logic, certitude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The Imami Theologians of the Imam al-Sadeq era</w:t>
      </w:r>
    </w:p>
    <w:p>
      <w:pPr>
        <w:pStyle w:val="BookText"/>
        <w:rPr/>
      </w:pPr>
      <w:r>
        <w:rPr>
          <w:rFonts w:eastAsia="Times New Roman" w:cs="Times New Roman" w:ascii="Times New Roman" w:hAnsi="Times New Roman"/>
          <w:color w:val="111111"/>
          <w:sz w:val="28"/>
          <w:szCs w:val="28"/>
          <w:lang w:val="en-US" w:bidi="en-US"/>
        </w:rPr>
        <w:t>and the Issue of God's Attributes</w:t>
      </w:r>
    </w:p>
    <w:p>
      <w:pPr>
        <w:pStyle w:val="BookText"/>
        <w:rPr/>
      </w:pPr>
      <w:r>
        <w:rPr>
          <w:rFonts w:eastAsia="Times New Roman" w:cs="Times New Roman" w:ascii="Times New Roman" w:hAnsi="Times New Roman"/>
          <w:color w:val="111111"/>
          <w:sz w:val="28"/>
          <w:szCs w:val="28"/>
          <w:lang w:val="en-US" w:bidi="en-US"/>
        </w:rPr>
        <w:t>Sayyid Ehsan MusaviKhalkhali</w:t>
      </w:r>
    </w:p>
    <w:p>
      <w:pPr>
        <w:pStyle w:val="BookText"/>
        <w:rPr/>
      </w:pP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Ne'matulllah SafariFroshani</w:t>
      </w:r>
    </w:p>
    <w:p>
      <w:pPr>
        <w:pStyle w:val="BookText"/>
        <w:rPr/>
      </w:pP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issues of God's attributes, the relationship of the Nature of God with His attributes, the attributes' creation and eternity, anthropomorphism and materiality are the most important and oldest issues in the history of Islamic Kalam. The earliest theories in these regards arose in the first part of the second century especially in the Imami theologians' circles. One can categorize these theories into four essential groups: the theory of Zorarah ibn A'yen and his family which the theory of created-ness of some attributes attributed to him; the view of Mu'men al-Taq that considered knowledge as a created attribute; the view of Hesham ibn Salem that regarded as anthropomorphic; and the theory of HeshaminbHakam that is accused of materiality. In this speech, with the simultaneous study of the existent narrations in the Imami sources as well as the heresiographers' reports, we try to analyze the propositions attributed to these Imami theologians of the Imam al-Sadeq (p.b.u.h.) era in the theoretical and cultural context of that time. Finally, one can see the Imams' enlightenments and attempts to offer a purified theory in this regard in the narrations narrated of them</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DivineAttributes, Imam al-Sadeq (p.b.u.h.) companions, anthropomorphism, materiality, Imami theologians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The Theological Methodology of Sheikh Hurr al-'Ameli</w:t>
      </w:r>
    </w:p>
    <w:p>
      <w:pPr>
        <w:pStyle w:val="BookText"/>
        <w:rPr/>
      </w:pPr>
      <w:r>
        <w:rPr>
          <w:rFonts w:eastAsia="Times New Roman" w:cs="Times New Roman" w:ascii="Times New Roman" w:hAnsi="Times New Roman"/>
          <w:color w:val="111111"/>
          <w:sz w:val="28"/>
          <w:szCs w:val="28"/>
          <w:lang w:val="en-US" w:bidi="en-US"/>
        </w:rPr>
        <w:t>in Defense Position in the Fields of Refutation</w:t>
      </w:r>
    </w:p>
    <w:p>
      <w:pPr>
        <w:pStyle w:val="BookText"/>
        <w:rPr/>
      </w:pPr>
      <w:r>
        <w:rPr>
          <w:rFonts w:eastAsia="Times New Roman" w:cs="Times New Roman" w:ascii="Times New Roman" w:hAnsi="Times New Roman"/>
          <w:color w:val="111111"/>
          <w:sz w:val="28"/>
          <w:szCs w:val="28"/>
          <w:lang w:val="en-US" w:bidi="en-US"/>
        </w:rPr>
        <w:t>of Misgivings and the Opponent Schools</w:t>
      </w:r>
    </w:p>
    <w:p>
      <w:pPr>
        <w:pStyle w:val="BookText"/>
        <w:rPr/>
      </w:pPr>
      <w:r>
        <w:rPr>
          <w:rFonts w:eastAsia="Times New Roman" w:cs="Times New Roman" w:ascii="Times New Roman" w:hAnsi="Times New Roman"/>
          <w:color w:val="111111"/>
          <w:sz w:val="28"/>
          <w:szCs w:val="28"/>
          <w:lang w:val="en-US" w:bidi="en-US"/>
        </w:rPr>
        <w:t>Muhammad Ghaforinejad</w:t>
      </w:r>
    </w:p>
    <w:p>
      <w:pPr>
        <w:pStyle w:val="BookText"/>
        <w:rPr/>
      </w:pP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Umm al-Banin Khaleghian</w:t>
      </w:r>
    </w:p>
    <w:p>
      <w:pPr>
        <w:pStyle w:val="BookText"/>
        <w:rPr/>
      </w:pP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The methodology of Kalam Science is the examination of the ways that lead us in the Kalam Science to the inference of beliefs and to defend them. In the inference place, the theologian gains an accurate knowledge of the teachings of religion and, in the defense place, he explains, regulates and proves that knowledge and proceeds to refute the misgivings and the opponent beliefs. In this writing, with a review on the numerous theological works of Sheikh Hurr al-'Ameli, from among the five steps in the defense place, the methods he used in the two last steps are examined. Sheik Hurr in refuting the misgivings and the opponent schools has used the methods like: falsification of the form and content of argument, explaining the contradiction in the doubt-caster point of view, rejecting the bases or the implications of the opponent's views, mentioning some examples and narrations, explaining the component of the argument, remaindering the exceptions or lateral evidences, referring to self-evident truths, asking questions and demanding the reason of the opponent</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methodology of Kalam Science, Sheikh Hurr al-'Ameli, refuting the misgiving, debate, refuting the opponent schools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The Place of the Descent of First Revelation</w:t>
      </w:r>
    </w:p>
    <w:p>
      <w:pPr>
        <w:pStyle w:val="BookText"/>
        <w:rPr/>
      </w:pPr>
      <w:r>
        <w:rPr>
          <w:rFonts w:eastAsia="Times New Roman" w:cs="Times New Roman" w:ascii="Times New Roman" w:hAnsi="Times New Roman"/>
          <w:color w:val="111111"/>
          <w:sz w:val="28"/>
          <w:szCs w:val="28"/>
          <w:lang w:val="en-US" w:bidi="en-US"/>
        </w:rPr>
        <w:t>and its Theological Consequences</w:t>
      </w:r>
    </w:p>
    <w:p>
      <w:pPr>
        <w:pStyle w:val="BookText"/>
        <w:rPr/>
      </w:pPr>
      <w:r>
        <w:rPr>
          <w:rFonts w:eastAsia="Times New Roman" w:cs="Times New Roman" w:ascii="Times New Roman" w:hAnsi="Times New Roman"/>
          <w:color w:val="111111"/>
          <w:sz w:val="28"/>
          <w:szCs w:val="28"/>
          <w:lang w:val="en-US" w:bidi="en-US"/>
        </w:rPr>
        <w:t>Rasul Razavi</w:t>
      </w:r>
    </w:p>
    <w:p>
      <w:pPr>
        <w:pStyle w:val="BookText"/>
        <w:rPr/>
      </w:pP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MohammadHosein Afrakhteh</w:t>
      </w:r>
    </w:p>
    <w:p>
      <w:pPr>
        <w:pStyle w:val="BookText"/>
        <w:rPr/>
      </w:pP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There are two groups of reports about the first revealed down revelation on the Prophet (p.b.u.h.). The first group introduces the Hara cave as the place of the descent of the first revealed down revelation, and the second group introduce the region of Abtah. By studying the document, text and the theological and historical consequences of the famous report which regard the Hera cave as the place of the descent of the first revelation, and by showing how some Orientalists on the basis of this report tried to prove that Islam is barrowed from Christianity and its teachings are not authentic, the present essay tried to express another report which has been narrated in the Shi'i sources and considers Abtah as the place of the descent of the first revelation. In addition to strength of the document, this report does not have the undesirable consequences of the first one</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first revelation, Hera cave, Abtah land, the Orientalists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The Reality of Man and Death from the Viewpoint</w:t>
      </w:r>
    </w:p>
    <w:p>
      <w:pPr>
        <w:pStyle w:val="BookText"/>
        <w:rPr/>
      </w:pPr>
      <w:r>
        <w:rPr>
          <w:rFonts w:eastAsia="Times New Roman" w:cs="Times New Roman" w:ascii="Times New Roman" w:hAnsi="Times New Roman"/>
          <w:color w:val="111111"/>
          <w:sz w:val="28"/>
          <w:szCs w:val="28"/>
          <w:lang w:val="en-US" w:bidi="en-US"/>
        </w:rPr>
        <w:t>of Sayyed al-Murtaza</w:t>
      </w:r>
    </w:p>
    <w:p>
      <w:pPr>
        <w:pStyle w:val="BookText"/>
        <w:rPr/>
      </w:pPr>
      <w:r>
        <w:rPr>
          <w:rFonts w:eastAsia="Times New Roman" w:cs="Times New Roman" w:ascii="Times New Roman" w:hAnsi="Times New Roman"/>
          <w:color w:val="111111"/>
          <w:sz w:val="28"/>
          <w:szCs w:val="28"/>
          <w:lang w:val="en-US" w:bidi="en-US"/>
        </w:rPr>
        <w:t>Asgar Dirbaz</w:t>
      </w:r>
    </w:p>
    <w:p>
      <w:pPr>
        <w:pStyle w:val="BookText"/>
        <w:rPr/>
      </w:pP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MuhammadTaghi Subhani</w:t>
      </w:r>
    </w:p>
    <w:p>
      <w:pPr>
        <w:pStyle w:val="BookText"/>
        <w:rPr/>
      </w:pP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SaeidahSadat Nabavi</w:t>
      </w:r>
    </w:p>
    <w:p>
      <w:pPr>
        <w:pStyle w:val="BookText"/>
        <w:rPr/>
      </w:pP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What is Death and how it occurs and what would be the final destiny of man? The answer to these questions, that are amongst the oldest and the most long-lasting philosophical-religious questions of man and mended to the meaning of life, depends on the nature of man. Sayyed al-Murtaza is one of the theologians that although had chosen a materialistic interpretation of man and regarded death as annihilation, strongly believes in life after death and tries to explain the state of purgatory (barzakh) and resurrection. In this paper it is tried to interpret his view on the nature of man and the nature of death in detail to be an introduction for his view on the quality of life after death which requires an independent chance</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man, stamina, spirit, death, annihilation, Sayyed al-Murtaza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The Realm of Man's Responsibility from the Viewpoint</w:t>
      </w:r>
    </w:p>
    <w:p>
      <w:pPr>
        <w:pStyle w:val="BookText"/>
        <w:rPr/>
      </w:pPr>
      <w:r>
        <w:rPr>
          <w:rFonts w:eastAsia="Times New Roman" w:cs="Times New Roman" w:ascii="Times New Roman" w:hAnsi="Times New Roman"/>
          <w:color w:val="111111"/>
          <w:sz w:val="28"/>
          <w:szCs w:val="28"/>
          <w:lang w:val="en-US" w:bidi="en-US"/>
        </w:rPr>
        <w:t>of QaziAbdul-JabbarHamadani</w:t>
      </w:r>
    </w:p>
    <w:p>
      <w:pPr>
        <w:pStyle w:val="BookText"/>
        <w:rPr/>
      </w:pPr>
      <w:r>
        <w:rPr>
          <w:rFonts w:eastAsia="Times New Roman" w:cs="Times New Roman" w:ascii="Times New Roman" w:hAnsi="Times New Roman"/>
          <w:color w:val="111111"/>
          <w:sz w:val="28"/>
          <w:szCs w:val="28"/>
          <w:lang w:val="en-US" w:bidi="en-US"/>
        </w:rPr>
        <w:t>Jenan Eizadi</w:t>
      </w:r>
    </w:p>
    <w:p>
      <w:pPr>
        <w:pStyle w:val="BookText"/>
        <w:rPr/>
      </w:pP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Marziyyah Haratian</w:t>
      </w:r>
    </w:p>
    <w:p>
      <w:pPr>
        <w:pStyle w:val="BookText"/>
        <w:rPr/>
      </w:pP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According to the Mu'atazilite theologians the justice of God and the free will of man lead to the responsibility of man towards his deeds. The main issue is that what deeds are attributed to man and man is their doer. The research necessity in this issue consists in the direct relationship of man's activeness with the realm of his legal and moral responsibilities, which is one of the contemporary philosophical and ethical issues. Because QaziAbdul-JabbarHamadani did not discussed this issue directly, in this article, we infer that from his other theories in related issues by an analytic-logical method. Qazi Abdu l-Jabbar regards man responsible for the acts that he has the power, knowledge and free will to do. While rejecting the theory of Kasb and the theory of Tab', he considers man as the doer of his direct (Mubasher) and indirect (Mutawallad) deeds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responsibility, direct (Mubasher) deed, indirect (Mutawallad) deed, Qazi Abdul-Jabbar</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The Criticism of the Qur'anic Arguments of Borqa'i on</w:t>
      </w:r>
    </w:p>
    <w:p>
      <w:pPr>
        <w:pStyle w:val="BookText"/>
        <w:rPr/>
      </w:pPr>
      <w:r>
        <w:rPr>
          <w:rFonts w:eastAsia="Times New Roman" w:cs="Times New Roman" w:ascii="Times New Roman" w:hAnsi="Times New Roman"/>
          <w:color w:val="111111"/>
          <w:sz w:val="28"/>
          <w:szCs w:val="28"/>
          <w:lang w:val="en-US" w:bidi="en-US"/>
        </w:rPr>
        <w:t>Purgatory from the Viewpoint of Shi'a Scholars</w:t>
      </w:r>
    </w:p>
    <w:p>
      <w:pPr>
        <w:pStyle w:val="BookText"/>
        <w:rPr/>
      </w:pPr>
      <w:r>
        <w:rPr>
          <w:rFonts w:eastAsia="Times New Roman" w:cs="Times New Roman" w:ascii="Times New Roman" w:hAnsi="Times New Roman"/>
          <w:color w:val="111111"/>
          <w:sz w:val="28"/>
          <w:szCs w:val="28"/>
          <w:lang w:val="en-US" w:bidi="en-US"/>
        </w:rPr>
        <w:t>Parvin Nabiyan</w:t>
      </w:r>
    </w:p>
    <w:p>
      <w:pPr>
        <w:pStyle w:val="BookText"/>
        <w:rPr/>
      </w:pP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Mehdi Teimouri</w:t>
      </w:r>
    </w:p>
    <w:p>
      <w:pPr>
        <w:pStyle w:val="BookText"/>
        <w:rPr/>
      </w:pP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SayyedMohammadAli Mirdamad</w:t>
      </w:r>
    </w:p>
    <w:p>
      <w:pPr>
        <w:pStyle w:val="BookText"/>
        <w:rPr/>
      </w:pP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his Numerous Superstitions in the Graves Pilgrimages, Borqa'i criticized the belief in the pilgrimage and appeal to the divine saints. By referring to the Qur'anic verses, he claimed that there is not a perfect life in the purgatory universe and the purgatory is a semi-life that lacks many life specifics such as vision, hearing etc. and, in other words, he considers purgatory as a corridor to resurrection. He wants to prove that the relation between spirits in the purgatory universe with this world is completely cut off. So the Shi'i belief in the pilgrimage of the Imams (p.b.u.t.) graves and the appeal to them are baseless and superstitious. The examination of the Shi'a opinions and views on the reality of spirit and the purgatory universe well can reveal the falsehood of Borqa'i speeches</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purgatory, appeal, pilgrimage, Borqa'i</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معارف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باقرالعلوم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عضو انجمن کلام اسلامی حوزه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cosmological argument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teleological arguments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arguments from consciousness and morality</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from providence</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arguments from history and miracles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from religious experience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 there a God</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from evil</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from hiddenness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priori arguments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posteriori arguments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deductive logic</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inductive logic</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confirmation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probabilistic</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categorical</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اندیشمندان اسلامی با معیارهای گوناگون، تقسیمات مختلفی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که تقسیم مزبور در متن، یکی از انواع آن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آیۀالله شهید محمدباقر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الاسس المنطقیه للاستقراء از یقین بالمعنی الاخص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منطقی و ریاضی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یقین بالمعنی الاعم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اولین شخصی که از اصطلاح یقین بالمعنی الاخص و یقین بالمعنی الاعم استفاده کرده، مرحوم مظفر در کتاب المنطق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مطالعات تاریخ تشیع دانشگاه ادیان و مذاهب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جامعۀ المصطفی العالمیه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دستور به جدال احسن و مناظره با مخالفان بر اساس ضوابط عقلی و شرعی را به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صادر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جادلهم بالتی هی احسن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خود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نیز به برخی از یاران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خاصموهم و بیّنوا لهم الهدی الذی أنتم علیه و بیّنوا لهم ضلالتهم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 و عضو انجمن کلام اسلامی حوزه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اسلام، دانشگاه تهران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نشان می‌دهد، خود قاضی عیاض در صحت این روایات تردید داشته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 و عضو انجمن کلام اسلامی حوزه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گرایش فلسفه دین و مسائل جدید کلامی، تربیت مدرس دانشگاه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S.nabavi2014@gmail.com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سید مرتضی، ذات برخوردار از حیات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هرچند ذات حیّ دیگر موجودهای زنده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دیگری چون ملک، جن، بهیمه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متکلمان متقدم، از ماهیت انسان و معاد در بخش تکلیف بحث می کردند، از این جهت که انسان مخاطب تکلیف است و باید فرجام زندگی او را دانست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معاد از دیدگاه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و نظر،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علی نقی خدایاری،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های نفس‌شناسی متکلمان امامی سده های میانه و کارکرد آن‌ها در تبیین آموزه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و نظر،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حسن یوسفیان و مرتضی خوش صحبت،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انسان و تأثیر آن در تبیین حیات پس از مرگ، از نگاه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معرفت کلامی،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متکلمان 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قالب و پیکر انسان اطلاق می کردند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مهمی که نباید فرو گذاشت این است که تعبیر قاضی عبدالجبار، در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مرتضی در الذخیره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با جزء واحد از فنا،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می روند، نه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فلسفه و کلام اسلامی، دانشگاه اصفهان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کارشناسی‌ارشد کلام اسلامی، دانشگاه اصفهان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فاعلیت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بیان خواهد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سهواً فعلی را انجام دهد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در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فعل به واسطه قدرت مخصوص فاعل مختار حادث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حسینی‌طهرانی،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این‌که بنده فعل را کسب می‌کند، این است که فعل با قدرت و اراده بنده ـ بدون این‌که بنده تأثیر یا مدخلیتی در وجود فعل، غیر از محل بودن برای آن داشته باشد ـ مقارن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 عبارت است از تعلق قدرت و اراده عبد به فعل مقدوری که از جانب خداوند حادث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ضعف و از‌هم‌گسستگی دلالت می کند؛ مانند پاره شدن چرم و پارچه و یا پراکنده شدن ابرهای آسمان و در بدن به معنای از بین رفتن نظم و قدرت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واحدی است که به حسب موضوع خود، معنا می شود و به طور کلی به معنای ضعف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مصطفوی،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فلسفه و کلام دانشگاه اصفهان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کارشناسی‌ارشد فلسفه و کلام اسلامی دانشگاه اصفهان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و کلام اسلامی دانشگاه اصفهان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جامعة باقرالعلوم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باقرالعلوم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دراسة تاریخ التشیع، جامعة الادیان و المذاهب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جامعة المصطفی العالمیة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الادیان و المذاهب، قسم التعرف علی الشیعة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معهد الادیان و المذاهب و معید فی قسم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الزهراء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المسؤول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القرآن و الحدیث و عضو مجمع الکلام الاسلامی للحوزة العلمیة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التاریخ الاسلامی، جامعة طهران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قم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معهد العلوم و الثقافة الاسلامیة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دکتوراه فی علم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تخصص فلسفة الدین و المسائل الکلامیة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جامعة قم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 و الکلام الاسلامی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 فی الکلام الاسلامی، جامعة اصفهان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 و الکلام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الفلسفه و الکلام الاسلامی، جامعة اصفهان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الفلسفه و الکلام اسلامی، جامعة اصفهان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Phd student of maaref university</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Associate professor of the Baqer al-Urlum (p.b.u.h.) University, and a member of the Islamic Kalam Association in Qom Islamic Seminary</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educated of Tashayyu' Historical Studies, the University of Religions and Denominations</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Faculty member of the Al-Mustafa International University</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Shi'ite Studies in the University of Religions and Denominations</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Religions and Denominations Research Centre, educator for the Knowledge Department. of Al-Zahra University (the responsible author)</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University of Qur'an and Hadith, and a member of the Islamic Kalam Association in Qom Islamic Seminary</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educated of the Islamic History, Tehran University</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Associate professor of Qom University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Islamic Sciences and Culture Academyand a member of the KalamIslami Association in Qom Islamic Seminary</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Kalam (with an emphasis on Philosophy of Religion and New Theological Issues), TarbaitModarresse Qom University (S.nabavi2014@gmail.com)</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Department of Islamic Philosophy and Kalam, Isfahan University</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Student of Islamic Kalam, Isfahan University</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Department of Islamic Philosophy and Kalam, Isfahan University</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educated of Islamic philosophy and Kalam, Isfahan University</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Islamic philosophy and Kalam, Isfahan University</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56062</Words>
  <Characters>228931</Characters>
  <CharactersWithSpaces>283437</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2026-08-17T12:52:48Z</dcterms:created>
  <dc:creator>ghaemiyeh.com</dc:creator>
  <dc:description/>
  <dc:language>en-US</dc:language>
  <cp:lastModifiedBy/>
  <dcterms:modified xsi:type="dcterms:W3CDTF">2026-08-17T16:22:53Z</dcterms:modified>
  <cp:revision>1</cp:revision>
  <dc:subject/>
  <dc:title>فصلنامه تحقیقات کلامی شماره 10</dc:title>
</cp:coreProperties>
</file>

<file path=docProps/custom.xml><?xml version="1.0" encoding="utf-8"?>
<Properties xmlns="http://schemas.openxmlformats.org/officeDocument/2006/custom-properties" xmlns:vt="http://schemas.openxmlformats.org/officeDocument/2006/docPropsVTypes"/>
</file>