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ذریعة الاستغناء فی تحقیق الغناء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97934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297936_365066874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297938_3650668749">
            <w:r>
              <w:rPr>
                <w:webHidden/>
                <w:rStyle w:val="IndexLink"/>
                <w:rtl w:val="true"/>
              </w:rPr>
              <w:t>مقدمة التحقيق</w:t>
            </w:r>
            <w:r>
              <w:rPr>
                <w:rStyle w:val="IndexLink"/>
                <w:rtl w:val="true"/>
              </w:rPr>
              <w:tab/>
            </w:r>
            <w:r>
              <w:rPr>
                <w:rStyle w:val="IndexLink"/>
              </w:rPr>
              <w:t>6</w:t>
            </w:r>
          </w:hyperlink>
        </w:p>
        <w:p>
          <w:pPr>
            <w:pStyle w:val="Contents3"/>
            <w:tabs>
              <w:tab w:val="clear" w:pos="8459"/>
              <w:tab w:val="right" w:pos="9026" w:leader="dot"/>
            </w:tabs>
            <w:rPr/>
          </w:pPr>
          <w:hyperlink w:anchor="__RefHeading___Toc3297940_3650668749">
            <w:r>
              <w:rPr>
                <w:webHidden/>
                <w:rStyle w:val="IndexLink"/>
                <w:rtl w:val="true"/>
              </w:rPr>
              <w:t>تقديم</w:t>
            </w:r>
            <w:r>
              <w:rPr>
                <w:rStyle w:val="IndexLink"/>
                <w:rtl w:val="true"/>
              </w:rPr>
              <w:tab/>
            </w:r>
            <w:r>
              <w:rPr>
                <w:rStyle w:val="IndexLink"/>
              </w:rPr>
              <w:t>6</w:t>
            </w:r>
          </w:hyperlink>
        </w:p>
        <w:p>
          <w:pPr>
            <w:pStyle w:val="Contents3"/>
            <w:tabs>
              <w:tab w:val="clear" w:pos="8459"/>
              <w:tab w:val="right" w:pos="9026" w:leader="dot"/>
            </w:tabs>
            <w:rPr/>
          </w:pPr>
          <w:hyperlink w:anchor="__RefHeading___Toc3297942_3650668749">
            <w:r>
              <w:rPr>
                <w:webHidden/>
                <w:rStyle w:val="IndexLink"/>
                <w:rtl w:val="true"/>
              </w:rPr>
              <w:t>ترجمة المؤلّف بقلمه الشريف</w:t>
            </w:r>
            <w:r>
              <w:rPr>
                <w:rStyle w:val="IndexLink"/>
                <w:rtl w:val="true"/>
              </w:rPr>
              <w:tab/>
            </w:r>
            <w:r>
              <w:rPr>
                <w:rStyle w:val="IndexLink"/>
              </w:rPr>
              <w:t>8</w:t>
            </w:r>
          </w:hyperlink>
        </w:p>
        <w:p>
          <w:pPr>
            <w:pStyle w:val="Contents4"/>
            <w:tabs>
              <w:tab w:val="clear" w:pos="8176"/>
              <w:tab w:val="right" w:pos="9026" w:leader="dot"/>
            </w:tabs>
            <w:rPr/>
          </w:pPr>
          <w:hyperlink w:anchor="__RefHeading___Toc3297944_3650668749">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3297946_3650668749">
            <w:r>
              <w:rPr>
                <w:webHidden/>
                <w:rStyle w:val="IndexLink"/>
                <w:rtl w:val="true"/>
              </w:rPr>
              <w:t>أما هذا الكتاب</w:t>
            </w:r>
            <w:r>
              <w:rPr>
                <w:rStyle w:val="IndexLink"/>
                <w:rtl w:val="true"/>
              </w:rPr>
              <w:tab/>
            </w:r>
            <w:r>
              <w:rPr>
                <w:rStyle w:val="IndexLink"/>
              </w:rPr>
              <w:t>8</w:t>
            </w:r>
          </w:hyperlink>
        </w:p>
        <w:p>
          <w:pPr>
            <w:pStyle w:val="Contents4"/>
            <w:tabs>
              <w:tab w:val="clear" w:pos="8176"/>
              <w:tab w:val="right" w:pos="9026" w:leader="dot"/>
            </w:tabs>
            <w:rPr/>
          </w:pPr>
          <w:hyperlink w:anchor="__RefHeading___Toc3297948_3650668749">
            <w:r>
              <w:rPr>
                <w:webHidden/>
                <w:rStyle w:val="IndexLink"/>
                <w:rtl w:val="true"/>
              </w:rPr>
              <w:t>«</w:t>
            </w:r>
            <w:r>
              <w:rPr>
                <w:rStyle w:val="IndexLink"/>
                <w:rtl w:val="true"/>
              </w:rPr>
              <w:t>فلنرجع الى ذكر مؤلّفاتي و مصنّفاتي</w:t>
            </w:r>
            <w:r>
              <w:rPr>
                <w:rStyle w:val="IndexLink"/>
                <w:rtl w:val="true"/>
              </w:rPr>
              <w:tab/>
            </w:r>
            <w:r>
              <w:rPr>
                <w:rStyle w:val="IndexLink"/>
              </w:rPr>
              <w:t>14</w:t>
            </w:r>
          </w:hyperlink>
        </w:p>
        <w:p>
          <w:pPr>
            <w:pStyle w:val="Contents5"/>
            <w:tabs>
              <w:tab w:val="clear" w:pos="7892"/>
              <w:tab w:val="right" w:pos="9026" w:leader="dot"/>
            </w:tabs>
            <w:rPr/>
          </w:pPr>
          <w:hyperlink w:anchor="__RefHeading___Toc3297950_3650668749">
            <w:r>
              <w:rPr>
                <w:webHidden/>
                <w:rStyle w:val="IndexLink"/>
                <w:rtl w:val="true"/>
              </w:rPr>
              <w:t>اشارة</w:t>
            </w:r>
            <w:r>
              <w:rPr>
                <w:rStyle w:val="IndexLink"/>
                <w:rtl w:val="true"/>
              </w:rPr>
              <w:tab/>
            </w:r>
            <w:r>
              <w:rPr>
                <w:rStyle w:val="IndexLink"/>
              </w:rPr>
              <w:t>14</w:t>
            </w:r>
          </w:hyperlink>
        </w:p>
        <w:p>
          <w:pPr>
            <w:pStyle w:val="Contents5"/>
            <w:tabs>
              <w:tab w:val="clear" w:pos="7892"/>
              <w:tab w:val="right" w:pos="9026" w:leader="dot"/>
            </w:tabs>
            <w:rPr/>
          </w:pPr>
          <w:hyperlink w:anchor="__RefHeading___Toc3297952_3650668749">
            <w:r>
              <w:rPr>
                <w:webHidden/>
                <w:rStyle w:val="IndexLink"/>
                <w:rtl w:val="true"/>
              </w:rPr>
              <w:t>أولا</w:t>
            </w:r>
            <w:r>
              <w:rPr>
                <w:rStyle w:val="IndexLink"/>
                <w:rtl w:val="true"/>
              </w:rPr>
              <w:t xml:space="preserve">: </w:t>
            </w:r>
            <w:r>
              <w:rPr>
                <w:rStyle w:val="IndexLink"/>
                <w:rtl w:val="true"/>
              </w:rPr>
              <w:t>علوم العربيّة</w:t>
            </w:r>
            <w:r>
              <w:rPr>
                <w:rStyle w:val="IndexLink"/>
                <w:rtl w:val="true"/>
              </w:rPr>
              <w:tab/>
            </w:r>
            <w:r>
              <w:rPr>
                <w:rStyle w:val="IndexLink"/>
              </w:rPr>
              <w:t>15</w:t>
            </w:r>
          </w:hyperlink>
        </w:p>
        <w:p>
          <w:pPr>
            <w:pStyle w:val="Contents5"/>
            <w:tabs>
              <w:tab w:val="clear" w:pos="7892"/>
              <w:tab w:val="right" w:pos="9026" w:leader="dot"/>
            </w:tabs>
            <w:rPr/>
          </w:pPr>
          <w:hyperlink w:anchor="__RefHeading___Toc3297954_3650668749">
            <w:r>
              <w:rPr>
                <w:webHidden/>
                <w:rStyle w:val="IndexLink"/>
                <w:rtl w:val="true"/>
              </w:rPr>
              <w:t>ثانيا</w:t>
            </w:r>
            <w:r>
              <w:rPr>
                <w:rStyle w:val="IndexLink"/>
                <w:rtl w:val="true"/>
              </w:rPr>
              <w:t xml:space="preserve">: </w:t>
            </w:r>
            <w:r>
              <w:rPr>
                <w:rStyle w:val="IndexLink"/>
                <w:rtl w:val="true"/>
              </w:rPr>
              <w:t>علوم القرآن</w:t>
            </w:r>
            <w:r>
              <w:rPr>
                <w:rStyle w:val="IndexLink"/>
                <w:rtl w:val="true"/>
              </w:rPr>
              <w:tab/>
            </w:r>
            <w:r>
              <w:rPr>
                <w:rStyle w:val="IndexLink"/>
              </w:rPr>
              <w:t>18</w:t>
            </w:r>
          </w:hyperlink>
        </w:p>
        <w:p>
          <w:pPr>
            <w:pStyle w:val="Contents5"/>
            <w:tabs>
              <w:tab w:val="clear" w:pos="7892"/>
              <w:tab w:val="right" w:pos="9026" w:leader="dot"/>
            </w:tabs>
            <w:rPr/>
          </w:pPr>
          <w:hyperlink w:anchor="__RefHeading___Toc3297956_3650668749">
            <w:r>
              <w:rPr>
                <w:webHidden/>
                <w:rStyle w:val="IndexLink"/>
                <w:rtl w:val="true"/>
              </w:rPr>
              <w:t>ثالثا</w:t>
            </w:r>
            <w:r>
              <w:rPr>
                <w:rStyle w:val="IndexLink"/>
                <w:rtl w:val="true"/>
              </w:rPr>
              <w:t xml:space="preserve">: </w:t>
            </w:r>
            <w:r>
              <w:rPr>
                <w:rStyle w:val="IndexLink"/>
                <w:rtl w:val="true"/>
              </w:rPr>
              <w:t>علوم الحديث</w:t>
            </w:r>
            <w:r>
              <w:rPr>
                <w:rStyle w:val="IndexLink"/>
                <w:rtl w:val="true"/>
              </w:rPr>
              <w:tab/>
            </w:r>
            <w:r>
              <w:rPr>
                <w:rStyle w:val="IndexLink"/>
              </w:rPr>
              <w:t>19</w:t>
            </w:r>
          </w:hyperlink>
        </w:p>
        <w:p>
          <w:pPr>
            <w:pStyle w:val="Contents5"/>
            <w:tabs>
              <w:tab w:val="clear" w:pos="7892"/>
              <w:tab w:val="right" w:pos="9026" w:leader="dot"/>
            </w:tabs>
            <w:rPr/>
          </w:pPr>
          <w:hyperlink w:anchor="__RefHeading___Toc3297958_3650668749">
            <w:r>
              <w:rPr>
                <w:webHidden/>
                <w:rStyle w:val="IndexLink"/>
                <w:rtl w:val="true"/>
              </w:rPr>
              <w:t>رابعا علم الكلام</w:t>
            </w:r>
            <w:r>
              <w:rPr>
                <w:rStyle w:val="IndexLink"/>
                <w:rtl w:val="true"/>
              </w:rPr>
              <w:tab/>
            </w:r>
            <w:r>
              <w:rPr>
                <w:rStyle w:val="IndexLink"/>
              </w:rPr>
              <w:t>21</w:t>
            </w:r>
          </w:hyperlink>
        </w:p>
        <w:p>
          <w:pPr>
            <w:pStyle w:val="Contents5"/>
            <w:tabs>
              <w:tab w:val="clear" w:pos="7892"/>
              <w:tab w:val="right" w:pos="9026" w:leader="dot"/>
            </w:tabs>
            <w:rPr/>
          </w:pPr>
          <w:hyperlink w:anchor="__RefHeading___Toc3297960_3650668749">
            <w:r>
              <w:rPr>
                <w:webHidden/>
                <w:rStyle w:val="IndexLink"/>
                <w:rtl w:val="true"/>
              </w:rPr>
              <w:t>خامسا</w:t>
            </w:r>
            <w:r>
              <w:rPr>
                <w:rStyle w:val="IndexLink"/>
                <w:rtl w:val="true"/>
              </w:rPr>
              <w:t xml:space="preserve">: </w:t>
            </w:r>
            <w:r>
              <w:rPr>
                <w:rStyle w:val="IndexLink"/>
                <w:rtl w:val="true"/>
              </w:rPr>
              <w:t>علم أصول الفقه</w:t>
            </w:r>
            <w:r>
              <w:rPr>
                <w:rStyle w:val="IndexLink"/>
                <w:rtl w:val="true"/>
              </w:rPr>
              <w:tab/>
            </w:r>
            <w:r>
              <w:rPr>
                <w:rStyle w:val="IndexLink"/>
              </w:rPr>
              <w:t>22</w:t>
            </w:r>
          </w:hyperlink>
        </w:p>
        <w:p>
          <w:pPr>
            <w:pStyle w:val="Contents5"/>
            <w:tabs>
              <w:tab w:val="clear" w:pos="7892"/>
              <w:tab w:val="right" w:pos="9026" w:leader="dot"/>
            </w:tabs>
            <w:rPr/>
          </w:pPr>
          <w:hyperlink w:anchor="__RefHeading___Toc3297962_3650668749">
            <w:r>
              <w:rPr>
                <w:webHidden/>
                <w:rStyle w:val="IndexLink"/>
                <w:rtl w:val="true"/>
              </w:rPr>
              <w:t>سادسا</w:t>
            </w:r>
            <w:r>
              <w:rPr>
                <w:rStyle w:val="IndexLink"/>
                <w:rtl w:val="true"/>
              </w:rPr>
              <w:t xml:space="preserve">: </w:t>
            </w:r>
            <w:r>
              <w:rPr>
                <w:rStyle w:val="IndexLink"/>
                <w:rtl w:val="true"/>
              </w:rPr>
              <w:t>علم الفقه</w:t>
            </w:r>
            <w:r>
              <w:rPr>
                <w:rStyle w:val="IndexLink"/>
                <w:rtl w:val="true"/>
              </w:rPr>
              <w:tab/>
            </w:r>
            <w:r>
              <w:rPr>
                <w:rStyle w:val="IndexLink"/>
              </w:rPr>
              <w:t>23</w:t>
            </w:r>
          </w:hyperlink>
        </w:p>
        <w:p>
          <w:pPr>
            <w:pStyle w:val="Contents5"/>
            <w:tabs>
              <w:tab w:val="clear" w:pos="7892"/>
              <w:tab w:val="right" w:pos="9026" w:leader="dot"/>
            </w:tabs>
            <w:rPr/>
          </w:pPr>
          <w:hyperlink w:anchor="__RefHeading___Toc3297964_3650668749">
            <w:r>
              <w:rPr>
                <w:webHidden/>
                <w:rStyle w:val="IndexLink"/>
                <w:rtl w:val="true"/>
              </w:rPr>
              <w:t>سابعا</w:t>
            </w:r>
            <w:r>
              <w:rPr>
                <w:rStyle w:val="IndexLink"/>
                <w:rtl w:val="true"/>
              </w:rPr>
              <w:t xml:space="preserve">: </w:t>
            </w:r>
            <w:r>
              <w:rPr>
                <w:rStyle w:val="IndexLink"/>
                <w:rtl w:val="true"/>
              </w:rPr>
              <w:t>علم التاريخ</w:t>
            </w:r>
            <w:r>
              <w:rPr>
                <w:rStyle w:val="IndexLink"/>
                <w:rtl w:val="true"/>
              </w:rPr>
              <w:tab/>
            </w:r>
            <w:r>
              <w:rPr>
                <w:rStyle w:val="IndexLink"/>
              </w:rPr>
              <w:t>27</w:t>
            </w:r>
          </w:hyperlink>
        </w:p>
        <w:p>
          <w:pPr>
            <w:pStyle w:val="Contents5"/>
            <w:tabs>
              <w:tab w:val="clear" w:pos="7892"/>
              <w:tab w:val="right" w:pos="9026" w:leader="dot"/>
            </w:tabs>
            <w:rPr/>
          </w:pPr>
          <w:hyperlink w:anchor="__RefHeading___Toc3297966_3650668749">
            <w:r>
              <w:rPr>
                <w:webHidden/>
                <w:rStyle w:val="IndexLink"/>
                <w:rtl w:val="true"/>
              </w:rPr>
              <w:t>ثامنا</w:t>
            </w:r>
            <w:r>
              <w:rPr>
                <w:rStyle w:val="IndexLink"/>
                <w:rtl w:val="true"/>
              </w:rPr>
              <w:t xml:space="preserve">: </w:t>
            </w:r>
            <w:r>
              <w:rPr>
                <w:rStyle w:val="IndexLink"/>
                <w:rtl w:val="true"/>
              </w:rPr>
              <w:t>الأخلاق و العرفان</w:t>
            </w:r>
            <w:r>
              <w:rPr>
                <w:rStyle w:val="IndexLink"/>
                <w:rtl w:val="true"/>
              </w:rPr>
              <w:tab/>
            </w:r>
            <w:r>
              <w:rPr>
                <w:rStyle w:val="IndexLink"/>
              </w:rPr>
              <w:t>28</w:t>
            </w:r>
          </w:hyperlink>
        </w:p>
        <w:p>
          <w:pPr>
            <w:pStyle w:val="Contents5"/>
            <w:tabs>
              <w:tab w:val="clear" w:pos="7892"/>
              <w:tab w:val="right" w:pos="9026" w:leader="dot"/>
            </w:tabs>
            <w:rPr/>
          </w:pPr>
          <w:hyperlink w:anchor="__RefHeading___Toc3297968_3650668749">
            <w:r>
              <w:rPr>
                <w:webHidden/>
                <w:rStyle w:val="IndexLink"/>
                <w:rtl w:val="true"/>
              </w:rPr>
              <w:t>تاسعا</w:t>
            </w:r>
            <w:r>
              <w:rPr>
                <w:rStyle w:val="IndexLink"/>
                <w:rtl w:val="true"/>
              </w:rPr>
              <w:t xml:space="preserve">: </w:t>
            </w:r>
            <w:r>
              <w:rPr>
                <w:rStyle w:val="IndexLink"/>
                <w:rtl w:val="true"/>
              </w:rPr>
              <w:t>العلوم العقلية</w:t>
            </w:r>
            <w:r>
              <w:rPr>
                <w:rStyle w:val="IndexLink"/>
                <w:rtl w:val="true"/>
              </w:rPr>
              <w:tab/>
            </w:r>
            <w:r>
              <w:rPr>
                <w:rStyle w:val="IndexLink"/>
              </w:rPr>
              <w:t>29</w:t>
            </w:r>
          </w:hyperlink>
        </w:p>
        <w:p>
          <w:pPr>
            <w:pStyle w:val="Contents5"/>
            <w:tabs>
              <w:tab w:val="clear" w:pos="7892"/>
              <w:tab w:val="right" w:pos="9026" w:leader="dot"/>
            </w:tabs>
            <w:rPr/>
          </w:pPr>
          <w:hyperlink w:anchor="__RefHeading___Toc3297970_3650668749">
            <w:r>
              <w:rPr>
                <w:webHidden/>
                <w:rStyle w:val="IndexLink"/>
                <w:rtl w:val="true"/>
              </w:rPr>
              <w:t>عاشرا</w:t>
            </w:r>
            <w:r>
              <w:rPr>
                <w:rStyle w:val="IndexLink"/>
                <w:rtl w:val="true"/>
              </w:rPr>
              <w:t xml:space="preserve">: </w:t>
            </w:r>
            <w:r>
              <w:rPr>
                <w:rStyle w:val="IndexLink"/>
                <w:rtl w:val="true"/>
              </w:rPr>
              <w:t>علوم غريبة</w:t>
            </w:r>
            <w:r>
              <w:rPr>
                <w:rStyle w:val="IndexLink"/>
                <w:rtl w:val="true"/>
              </w:rPr>
              <w:tab/>
            </w:r>
            <w:r>
              <w:rPr>
                <w:rStyle w:val="IndexLink"/>
              </w:rPr>
              <w:t>30</w:t>
            </w:r>
          </w:hyperlink>
        </w:p>
        <w:p>
          <w:pPr>
            <w:pStyle w:val="Contents5"/>
            <w:tabs>
              <w:tab w:val="clear" w:pos="7892"/>
              <w:tab w:val="right" w:pos="9026" w:leader="dot"/>
            </w:tabs>
            <w:rPr/>
          </w:pPr>
          <w:hyperlink w:anchor="__RefHeading___Toc3297972_3650668749">
            <w:r>
              <w:rPr>
                <w:webHidden/>
                <w:rStyle w:val="IndexLink"/>
                <w:rtl w:val="true"/>
              </w:rPr>
              <w:t>حادي عشر</w:t>
            </w:r>
            <w:r>
              <w:rPr>
                <w:rStyle w:val="IndexLink"/>
                <w:rtl w:val="true"/>
              </w:rPr>
              <w:t xml:space="preserve">: </w:t>
            </w:r>
            <w:r>
              <w:rPr>
                <w:rStyle w:val="IndexLink"/>
                <w:rtl w:val="true"/>
              </w:rPr>
              <w:t>المتفرّقات</w:t>
            </w:r>
            <w:r>
              <w:rPr>
                <w:rStyle w:val="IndexLink"/>
                <w:rtl w:val="true"/>
              </w:rPr>
              <w:tab/>
            </w:r>
            <w:r>
              <w:rPr>
                <w:rStyle w:val="IndexLink"/>
              </w:rPr>
              <w:t>30</w:t>
            </w:r>
          </w:hyperlink>
        </w:p>
        <w:p>
          <w:pPr>
            <w:pStyle w:val="Contents4"/>
            <w:tabs>
              <w:tab w:val="clear" w:pos="8176"/>
              <w:tab w:val="right" w:pos="9026" w:leader="dot"/>
            </w:tabs>
            <w:rPr/>
          </w:pPr>
          <w:hyperlink w:anchor="__RefHeading___Toc3297974_3650668749">
            <w:r>
              <w:rPr>
                <w:webHidden/>
                <w:rStyle w:val="IndexLink"/>
                <w:rtl w:val="true"/>
              </w:rPr>
              <w:t>وفاة المؤلّف</w:t>
            </w:r>
            <w:r>
              <w:rPr>
                <w:rStyle w:val="IndexLink"/>
                <w:rtl w:val="true"/>
              </w:rPr>
              <w:t>:</w:t>
              <w:tab/>
            </w:r>
            <w:r>
              <w:rPr>
                <w:rStyle w:val="IndexLink"/>
              </w:rPr>
              <w:t>31</w:t>
            </w:r>
          </w:hyperlink>
        </w:p>
        <w:p>
          <w:pPr>
            <w:pStyle w:val="Contents2"/>
            <w:tabs>
              <w:tab w:val="clear" w:pos="8743"/>
              <w:tab w:val="right" w:pos="9026" w:leader="dot"/>
            </w:tabs>
            <w:rPr/>
          </w:pPr>
          <w:hyperlink w:anchor="__RefHeading___Toc3297976_3650668749">
            <w:r>
              <w:rPr>
                <w:webHidden/>
                <w:rStyle w:val="IndexLink"/>
                <w:rtl w:val="true"/>
              </w:rPr>
              <w:t>[</w:t>
            </w:r>
            <w:r>
              <w:rPr>
                <w:rStyle w:val="IndexLink"/>
                <w:rtl w:val="true"/>
              </w:rPr>
              <w:t>مقدّمة المؤلّف</w:t>
            </w:r>
            <w:r>
              <w:rPr>
                <w:rStyle w:val="IndexLink"/>
                <w:rtl w:val="true"/>
              </w:rPr>
              <w:t>]</w:t>
              <w:tab/>
            </w:r>
            <w:r>
              <w:rPr>
                <w:rStyle w:val="IndexLink"/>
              </w:rPr>
              <w:t>32</w:t>
            </w:r>
          </w:hyperlink>
        </w:p>
        <w:p>
          <w:pPr>
            <w:pStyle w:val="Contents2"/>
            <w:tabs>
              <w:tab w:val="clear" w:pos="8743"/>
              <w:tab w:val="right" w:pos="9026" w:leader="dot"/>
            </w:tabs>
            <w:rPr/>
          </w:pPr>
          <w:hyperlink w:anchor="__RefHeading___Toc3297978_3650668749">
            <w:r>
              <w:rPr>
                <w:webHidden/>
                <w:rStyle w:val="IndexLink"/>
                <w:rtl w:val="true"/>
              </w:rPr>
              <w:t>أمّا المقدّمات فعشر</w:t>
            </w:r>
            <w:r>
              <w:rPr>
                <w:rStyle w:val="IndexLink"/>
                <w:rtl w:val="true"/>
              </w:rPr>
              <w:tab/>
            </w:r>
            <w:r>
              <w:rPr>
                <w:rStyle w:val="IndexLink"/>
              </w:rPr>
              <w:t>33</w:t>
            </w:r>
          </w:hyperlink>
        </w:p>
        <w:p>
          <w:pPr>
            <w:pStyle w:val="Contents3"/>
            <w:tabs>
              <w:tab w:val="clear" w:pos="8459"/>
              <w:tab w:val="right" w:pos="9026" w:leader="dot"/>
            </w:tabs>
            <w:rPr/>
          </w:pPr>
          <w:hyperlink w:anchor="__RefHeading___Toc3297980_3650668749">
            <w:r>
              <w:rPr>
                <w:webHidden/>
                <w:rStyle w:val="IndexLink"/>
                <w:rtl w:val="true"/>
              </w:rPr>
              <w:t>الاولى</w:t>
            </w:r>
            <w:r>
              <w:rPr>
                <w:rStyle w:val="IndexLink"/>
                <w:rtl w:val="true"/>
              </w:rPr>
              <w:t>:</w:t>
              <w:tab/>
            </w:r>
            <w:r>
              <w:rPr>
                <w:rStyle w:val="IndexLink"/>
              </w:rPr>
              <w:t>33</w:t>
            </w:r>
          </w:hyperlink>
        </w:p>
        <w:p>
          <w:pPr>
            <w:pStyle w:val="Contents3"/>
            <w:tabs>
              <w:tab w:val="clear" w:pos="8459"/>
              <w:tab w:val="right" w:pos="9026" w:leader="dot"/>
            </w:tabs>
            <w:rPr/>
          </w:pPr>
          <w:hyperlink w:anchor="__RefHeading___Toc3297982_3650668749">
            <w:r>
              <w:rPr>
                <w:webHidden/>
                <w:rStyle w:val="IndexLink"/>
                <w:rtl w:val="true"/>
              </w:rPr>
              <w:t>المقدّمة الثانية</w:t>
            </w:r>
            <w:r>
              <w:rPr>
                <w:rStyle w:val="IndexLink"/>
                <w:rtl w:val="true"/>
              </w:rPr>
              <w:t>:</w:t>
              <w:tab/>
            </w:r>
            <w:r>
              <w:rPr>
                <w:rStyle w:val="IndexLink"/>
              </w:rPr>
              <w:t>36</w:t>
            </w:r>
          </w:hyperlink>
        </w:p>
        <w:p>
          <w:pPr>
            <w:pStyle w:val="Contents3"/>
            <w:tabs>
              <w:tab w:val="clear" w:pos="8459"/>
              <w:tab w:val="right" w:pos="9026" w:leader="dot"/>
            </w:tabs>
            <w:rPr/>
          </w:pPr>
          <w:hyperlink w:anchor="__RefHeading___Toc3297984_3650668749">
            <w:r>
              <w:rPr>
                <w:webHidden/>
                <w:rStyle w:val="IndexLink"/>
                <w:rtl w:val="true"/>
              </w:rPr>
              <w:t>المقدّمة الثالثة</w:t>
            </w:r>
            <w:r>
              <w:rPr>
                <w:rStyle w:val="IndexLink"/>
                <w:rtl w:val="true"/>
              </w:rPr>
              <w:t>:</w:t>
              <w:tab/>
            </w:r>
            <w:r>
              <w:rPr>
                <w:rStyle w:val="IndexLink"/>
              </w:rPr>
              <w:t>40</w:t>
            </w:r>
          </w:hyperlink>
        </w:p>
        <w:p>
          <w:pPr>
            <w:pStyle w:val="Contents4"/>
            <w:tabs>
              <w:tab w:val="clear" w:pos="8176"/>
              <w:tab w:val="right" w:pos="9026" w:leader="dot"/>
            </w:tabs>
            <w:rPr/>
          </w:pPr>
          <w:hyperlink w:anchor="__RefHeading___Toc3297986_3650668749">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3297988_3650668749">
            <w:r>
              <w:rPr>
                <w:webHidden/>
                <w:rStyle w:val="IndexLink"/>
                <w:rtl w:val="true"/>
              </w:rPr>
              <w:t>تذنيبات</w:t>
            </w:r>
            <w:r>
              <w:rPr>
                <w:rStyle w:val="IndexLink"/>
                <w:rtl w:val="true"/>
              </w:rPr>
              <w:tab/>
            </w:r>
            <w:r>
              <w:rPr>
                <w:rStyle w:val="IndexLink"/>
              </w:rPr>
              <w:t>45</w:t>
            </w:r>
          </w:hyperlink>
        </w:p>
        <w:p>
          <w:pPr>
            <w:pStyle w:val="Contents5"/>
            <w:tabs>
              <w:tab w:val="clear" w:pos="7892"/>
              <w:tab w:val="right" w:pos="9026" w:leader="dot"/>
            </w:tabs>
            <w:rPr/>
          </w:pPr>
          <w:hyperlink w:anchor="__RefHeading___Toc3297990_3650668749">
            <w:r>
              <w:rPr>
                <w:webHidden/>
                <w:rStyle w:val="IndexLink"/>
                <w:rtl w:val="true"/>
              </w:rPr>
              <w:t>الأوّل</w:t>
            </w:r>
            <w:r>
              <w:rPr>
                <w:rStyle w:val="IndexLink"/>
                <w:rtl w:val="true"/>
              </w:rPr>
              <w:t>:</w:t>
              <w:tab/>
            </w:r>
            <w:r>
              <w:rPr>
                <w:rStyle w:val="IndexLink"/>
              </w:rPr>
              <w:t>45</w:t>
            </w:r>
          </w:hyperlink>
        </w:p>
        <w:p>
          <w:pPr>
            <w:pStyle w:val="Contents5"/>
            <w:tabs>
              <w:tab w:val="clear" w:pos="7892"/>
              <w:tab w:val="right" w:pos="9026" w:leader="dot"/>
            </w:tabs>
            <w:rPr/>
          </w:pPr>
          <w:hyperlink w:anchor="__RefHeading___Toc3297992_3650668749">
            <w:r>
              <w:rPr>
                <w:webHidden/>
                <w:rStyle w:val="IndexLink"/>
                <w:rtl w:val="true"/>
              </w:rPr>
              <w:t>الثاني</w:t>
            </w:r>
            <w:r>
              <w:rPr>
                <w:rStyle w:val="IndexLink"/>
                <w:rtl w:val="true"/>
              </w:rPr>
              <w:t>:</w:t>
              <w:tab/>
            </w:r>
            <w:r>
              <w:rPr>
                <w:rStyle w:val="IndexLink"/>
              </w:rPr>
              <w:t>46</w:t>
            </w:r>
          </w:hyperlink>
        </w:p>
        <w:p>
          <w:pPr>
            <w:pStyle w:val="Contents5"/>
            <w:tabs>
              <w:tab w:val="clear" w:pos="7892"/>
              <w:tab w:val="right" w:pos="9026" w:leader="dot"/>
            </w:tabs>
            <w:rPr/>
          </w:pPr>
          <w:hyperlink w:anchor="__RefHeading___Toc3297994_3650668749">
            <w:r>
              <w:rPr>
                <w:webHidden/>
                <w:rStyle w:val="IndexLink"/>
                <w:rtl w:val="true"/>
              </w:rPr>
              <w:t>الثالث</w:t>
            </w:r>
            <w:r>
              <w:rPr>
                <w:rStyle w:val="IndexLink"/>
                <w:rtl w:val="true"/>
              </w:rPr>
              <w:t>:</w:t>
              <w:tab/>
            </w:r>
            <w:r>
              <w:rPr>
                <w:rStyle w:val="IndexLink"/>
              </w:rPr>
              <w:t>47</w:t>
            </w:r>
          </w:hyperlink>
        </w:p>
        <w:p>
          <w:pPr>
            <w:pStyle w:val="Contents5"/>
            <w:tabs>
              <w:tab w:val="clear" w:pos="7892"/>
              <w:tab w:val="right" w:pos="9026" w:leader="dot"/>
            </w:tabs>
            <w:rPr/>
          </w:pPr>
          <w:hyperlink w:anchor="__RefHeading___Toc3297996_3650668749">
            <w:r>
              <w:rPr>
                <w:webHidden/>
                <w:rStyle w:val="IndexLink"/>
                <w:rtl w:val="true"/>
              </w:rPr>
              <w:t>الرابع</w:t>
            </w:r>
            <w:r>
              <w:rPr>
                <w:rStyle w:val="IndexLink"/>
                <w:rtl w:val="true"/>
              </w:rPr>
              <w:t>:</w:t>
              <w:tab/>
            </w:r>
            <w:r>
              <w:rPr>
                <w:rStyle w:val="IndexLink"/>
              </w:rPr>
              <w:t>47</w:t>
            </w:r>
          </w:hyperlink>
        </w:p>
        <w:p>
          <w:pPr>
            <w:pStyle w:val="Contents5"/>
            <w:tabs>
              <w:tab w:val="clear" w:pos="7892"/>
              <w:tab w:val="right" w:pos="9026" w:leader="dot"/>
            </w:tabs>
            <w:rPr/>
          </w:pPr>
          <w:hyperlink w:anchor="__RefHeading___Toc3297998_3650668749">
            <w:r>
              <w:rPr>
                <w:webHidden/>
                <w:rStyle w:val="IndexLink"/>
                <w:rtl w:val="true"/>
              </w:rPr>
              <w:t>الخامس</w:t>
            </w:r>
            <w:r>
              <w:rPr>
                <w:rStyle w:val="IndexLink"/>
                <w:rtl w:val="true"/>
              </w:rPr>
              <w:t>:</w:t>
              <w:tab/>
            </w:r>
            <w:r>
              <w:rPr>
                <w:rStyle w:val="IndexLink"/>
              </w:rPr>
              <w:t>47</w:t>
            </w:r>
          </w:hyperlink>
        </w:p>
        <w:p>
          <w:pPr>
            <w:pStyle w:val="Contents5"/>
            <w:tabs>
              <w:tab w:val="clear" w:pos="7892"/>
              <w:tab w:val="right" w:pos="9026" w:leader="dot"/>
            </w:tabs>
            <w:rPr/>
          </w:pPr>
          <w:hyperlink w:anchor="__RefHeading___Toc3298000_3650668749">
            <w:r>
              <w:rPr>
                <w:webHidden/>
                <w:rStyle w:val="IndexLink"/>
                <w:rtl w:val="true"/>
              </w:rPr>
              <w:t>السادس</w:t>
            </w:r>
            <w:r>
              <w:rPr>
                <w:rStyle w:val="IndexLink"/>
                <w:rtl w:val="true"/>
              </w:rPr>
              <w:t>:</w:t>
              <w:tab/>
            </w:r>
            <w:r>
              <w:rPr>
                <w:rStyle w:val="IndexLink"/>
              </w:rPr>
              <w:t>48</w:t>
            </w:r>
          </w:hyperlink>
        </w:p>
        <w:p>
          <w:pPr>
            <w:pStyle w:val="Contents3"/>
            <w:tabs>
              <w:tab w:val="clear" w:pos="8459"/>
              <w:tab w:val="right" w:pos="9026" w:leader="dot"/>
            </w:tabs>
            <w:rPr/>
          </w:pPr>
          <w:hyperlink w:anchor="__RefHeading___Toc3298002_3650668749">
            <w:r>
              <w:rPr>
                <w:webHidden/>
                <w:rStyle w:val="IndexLink"/>
                <w:rtl w:val="true"/>
              </w:rPr>
              <w:t>المقدّمة الرابعة</w:t>
            </w:r>
            <w:r>
              <w:rPr>
                <w:rStyle w:val="IndexLink"/>
                <w:rtl w:val="true"/>
              </w:rPr>
              <w:t>:</w:t>
              <w:tab/>
            </w:r>
            <w:r>
              <w:rPr>
                <w:rStyle w:val="IndexLink"/>
              </w:rPr>
              <w:t>49</w:t>
            </w:r>
          </w:hyperlink>
        </w:p>
        <w:p>
          <w:pPr>
            <w:pStyle w:val="Contents3"/>
            <w:tabs>
              <w:tab w:val="clear" w:pos="8459"/>
              <w:tab w:val="right" w:pos="9026" w:leader="dot"/>
            </w:tabs>
            <w:rPr/>
          </w:pPr>
          <w:hyperlink w:anchor="__RefHeading___Toc3298004_3650668749">
            <w:r>
              <w:rPr>
                <w:webHidden/>
                <w:rStyle w:val="IndexLink"/>
                <w:rtl w:val="true"/>
              </w:rPr>
              <w:t>المقدّمة الخامسة</w:t>
            </w:r>
            <w:r>
              <w:rPr>
                <w:rStyle w:val="IndexLink"/>
                <w:rtl w:val="true"/>
              </w:rPr>
              <w:t>:</w:t>
              <w:tab/>
            </w:r>
            <w:r>
              <w:rPr>
                <w:rStyle w:val="IndexLink"/>
              </w:rPr>
              <w:t>50</w:t>
            </w:r>
          </w:hyperlink>
        </w:p>
        <w:p>
          <w:pPr>
            <w:pStyle w:val="Contents3"/>
            <w:tabs>
              <w:tab w:val="clear" w:pos="8459"/>
              <w:tab w:val="right" w:pos="9026" w:leader="dot"/>
            </w:tabs>
            <w:rPr/>
          </w:pPr>
          <w:hyperlink w:anchor="__RefHeading___Toc3298006_3650668749">
            <w:r>
              <w:rPr>
                <w:webHidden/>
                <w:rStyle w:val="IndexLink"/>
                <w:rtl w:val="true"/>
              </w:rPr>
              <w:t>المقدّمة السادسة</w:t>
            </w:r>
            <w:r>
              <w:rPr>
                <w:rStyle w:val="IndexLink"/>
                <w:rtl w:val="true"/>
              </w:rPr>
              <w:t>:</w:t>
              <w:tab/>
            </w:r>
            <w:r>
              <w:rPr>
                <w:rStyle w:val="IndexLink"/>
              </w:rPr>
              <w:t>51</w:t>
            </w:r>
          </w:hyperlink>
        </w:p>
        <w:p>
          <w:pPr>
            <w:pStyle w:val="Contents3"/>
            <w:tabs>
              <w:tab w:val="clear" w:pos="8459"/>
              <w:tab w:val="right" w:pos="9026" w:leader="dot"/>
            </w:tabs>
            <w:rPr/>
          </w:pPr>
          <w:hyperlink w:anchor="__RefHeading___Toc3298008_3650668749">
            <w:r>
              <w:rPr>
                <w:webHidden/>
                <w:rStyle w:val="IndexLink"/>
                <w:rtl w:val="true"/>
              </w:rPr>
              <w:t>المقدّمة السابعة</w:t>
            </w:r>
            <w:r>
              <w:rPr>
                <w:rStyle w:val="IndexLink"/>
                <w:rtl w:val="true"/>
              </w:rPr>
              <w:t>:</w:t>
              <w:tab/>
            </w:r>
            <w:r>
              <w:rPr>
                <w:rStyle w:val="IndexLink"/>
              </w:rPr>
              <w:t>52</w:t>
            </w:r>
          </w:hyperlink>
        </w:p>
        <w:p>
          <w:pPr>
            <w:pStyle w:val="Contents3"/>
            <w:tabs>
              <w:tab w:val="clear" w:pos="8459"/>
              <w:tab w:val="right" w:pos="9026" w:leader="dot"/>
            </w:tabs>
            <w:rPr/>
          </w:pPr>
          <w:hyperlink w:anchor="__RefHeading___Toc3298010_3650668749">
            <w:r>
              <w:rPr>
                <w:webHidden/>
                <w:rStyle w:val="IndexLink"/>
                <w:rtl w:val="true"/>
              </w:rPr>
              <w:t>المقدّمة الثامنة</w:t>
            </w:r>
            <w:r>
              <w:rPr>
                <w:rStyle w:val="IndexLink"/>
                <w:rtl w:val="true"/>
              </w:rPr>
              <w:t>:</w:t>
              <w:tab/>
            </w:r>
            <w:r>
              <w:rPr>
                <w:rStyle w:val="IndexLink"/>
              </w:rPr>
              <w:t>53</w:t>
            </w:r>
          </w:hyperlink>
        </w:p>
        <w:p>
          <w:pPr>
            <w:pStyle w:val="Contents3"/>
            <w:tabs>
              <w:tab w:val="clear" w:pos="8459"/>
              <w:tab w:val="right" w:pos="9026" w:leader="dot"/>
            </w:tabs>
            <w:rPr/>
          </w:pPr>
          <w:hyperlink w:anchor="__RefHeading___Toc3298012_3650668749">
            <w:r>
              <w:rPr>
                <w:webHidden/>
                <w:rStyle w:val="IndexLink"/>
                <w:rtl w:val="true"/>
              </w:rPr>
              <w:t>المقدّمة التاسعة</w:t>
            </w:r>
            <w:r>
              <w:rPr>
                <w:rStyle w:val="IndexLink"/>
                <w:rtl w:val="true"/>
              </w:rPr>
              <w:t>:</w:t>
              <w:tab/>
            </w:r>
            <w:r>
              <w:rPr>
                <w:rStyle w:val="IndexLink"/>
              </w:rPr>
              <w:t>55</w:t>
            </w:r>
          </w:hyperlink>
        </w:p>
        <w:p>
          <w:pPr>
            <w:pStyle w:val="Contents3"/>
            <w:tabs>
              <w:tab w:val="clear" w:pos="8459"/>
              <w:tab w:val="right" w:pos="9026" w:leader="dot"/>
            </w:tabs>
            <w:rPr/>
          </w:pPr>
          <w:hyperlink w:anchor="__RefHeading___Toc3298014_3650668749">
            <w:r>
              <w:rPr>
                <w:webHidden/>
                <w:rStyle w:val="IndexLink"/>
                <w:rtl w:val="true"/>
              </w:rPr>
              <w:t>المقدّمة العاشرة</w:t>
            </w:r>
            <w:r>
              <w:rPr>
                <w:rStyle w:val="IndexLink"/>
                <w:rtl w:val="true"/>
              </w:rPr>
              <w:t>:</w:t>
              <w:tab/>
            </w:r>
            <w:r>
              <w:rPr>
                <w:rStyle w:val="IndexLink"/>
              </w:rPr>
              <w:t>60</w:t>
            </w:r>
          </w:hyperlink>
        </w:p>
        <w:p>
          <w:pPr>
            <w:pStyle w:val="Contents2"/>
            <w:tabs>
              <w:tab w:val="clear" w:pos="8743"/>
              <w:tab w:val="right" w:pos="9026" w:leader="dot"/>
            </w:tabs>
            <w:rPr/>
          </w:pPr>
          <w:hyperlink w:anchor="__RefHeading___Toc3298016_3650668749">
            <w:r>
              <w:rPr>
                <w:webHidden/>
                <w:rStyle w:val="IndexLink"/>
                <w:rtl w:val="true"/>
              </w:rPr>
              <w:t>و أمّا المقاصد</w:t>
            </w:r>
            <w:r>
              <w:rPr>
                <w:rStyle w:val="IndexLink"/>
                <w:rtl w:val="true"/>
              </w:rPr>
              <w:t xml:space="preserve">: </w:t>
            </w:r>
            <w:r>
              <w:rPr>
                <w:rStyle w:val="IndexLink"/>
                <w:rtl w:val="true"/>
              </w:rPr>
              <w:t>فثلاثة</w:t>
            </w:r>
            <w:r>
              <w:rPr>
                <w:rStyle w:val="IndexLink"/>
                <w:rtl w:val="true"/>
              </w:rPr>
              <w:tab/>
            </w:r>
            <w:r>
              <w:rPr>
                <w:rStyle w:val="IndexLink"/>
              </w:rPr>
              <w:t>64</w:t>
            </w:r>
          </w:hyperlink>
        </w:p>
        <w:p>
          <w:pPr>
            <w:pStyle w:val="Contents3"/>
            <w:tabs>
              <w:tab w:val="clear" w:pos="8459"/>
              <w:tab w:val="right" w:pos="9026" w:leader="dot"/>
            </w:tabs>
            <w:rPr/>
          </w:pPr>
          <w:hyperlink w:anchor="__RefHeading___Toc3298018_3650668749">
            <w:r>
              <w:rPr>
                <w:webHidden/>
                <w:rStyle w:val="IndexLink"/>
                <w:rtl w:val="true"/>
              </w:rPr>
              <w:t>المقصد الأوّل في بيان ماهيّة الغناء لغة و عرفا</w:t>
            </w:r>
            <w:r>
              <w:rPr>
                <w:rStyle w:val="IndexLink"/>
                <w:rtl w:val="true"/>
              </w:rPr>
              <w:t>:</w:t>
              <w:tab/>
            </w:r>
            <w:r>
              <w:rPr>
                <w:rStyle w:val="IndexLink"/>
              </w:rPr>
              <w:t>64</w:t>
            </w:r>
          </w:hyperlink>
        </w:p>
        <w:p>
          <w:pPr>
            <w:pStyle w:val="Contents3"/>
            <w:tabs>
              <w:tab w:val="clear" w:pos="8459"/>
              <w:tab w:val="right" w:pos="9026" w:leader="dot"/>
            </w:tabs>
            <w:rPr/>
          </w:pPr>
          <w:hyperlink w:anchor="__RefHeading___Toc3298020_3650668749">
            <w:r>
              <w:rPr>
                <w:webHidden/>
                <w:rStyle w:val="IndexLink"/>
                <w:rtl w:val="true"/>
              </w:rPr>
              <w:t>المقصد الثاني في حكم الغناء شرعا</w:t>
            </w:r>
            <w:r>
              <w:rPr>
                <w:rStyle w:val="IndexLink"/>
                <w:rtl w:val="true"/>
              </w:rPr>
              <w:tab/>
            </w:r>
            <w:r>
              <w:rPr>
                <w:rStyle w:val="IndexLink"/>
              </w:rPr>
              <w:t>76</w:t>
            </w:r>
          </w:hyperlink>
        </w:p>
        <w:p>
          <w:pPr>
            <w:pStyle w:val="Contents4"/>
            <w:tabs>
              <w:tab w:val="clear" w:pos="8176"/>
              <w:tab w:val="right" w:pos="9026" w:leader="dot"/>
            </w:tabs>
            <w:rPr/>
          </w:pPr>
          <w:hyperlink w:anchor="__RefHeading___Toc3298022_365066874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3298024_3650668749">
            <w:r>
              <w:rPr>
                <w:webHidden/>
                <w:rStyle w:val="IndexLink"/>
                <w:rtl w:val="true"/>
              </w:rPr>
              <w:t>تذنيبات</w:t>
            </w:r>
            <w:r>
              <w:rPr>
                <w:rStyle w:val="IndexLink"/>
                <w:rtl w:val="true"/>
              </w:rPr>
              <w:tab/>
            </w:r>
            <w:r>
              <w:rPr>
                <w:rStyle w:val="IndexLink"/>
              </w:rPr>
              <w:t>128</w:t>
            </w:r>
          </w:hyperlink>
        </w:p>
        <w:p>
          <w:pPr>
            <w:pStyle w:val="Contents5"/>
            <w:tabs>
              <w:tab w:val="clear" w:pos="7892"/>
              <w:tab w:val="right" w:pos="9026" w:leader="dot"/>
            </w:tabs>
            <w:rPr/>
          </w:pPr>
          <w:hyperlink w:anchor="__RefHeading___Toc3298026_3650668749">
            <w:r>
              <w:rPr>
                <w:webHidden/>
                <w:rStyle w:val="IndexLink"/>
                <w:rtl w:val="true"/>
              </w:rPr>
              <w:t>الأوّل</w:t>
            </w:r>
            <w:r>
              <w:rPr>
                <w:rStyle w:val="IndexLink"/>
                <w:rtl w:val="true"/>
              </w:rPr>
              <w:t>:</w:t>
              <w:tab/>
            </w:r>
            <w:r>
              <w:rPr>
                <w:rStyle w:val="IndexLink"/>
              </w:rPr>
              <w:t>128</w:t>
            </w:r>
          </w:hyperlink>
        </w:p>
        <w:p>
          <w:pPr>
            <w:pStyle w:val="Contents5"/>
            <w:tabs>
              <w:tab w:val="clear" w:pos="7892"/>
              <w:tab w:val="right" w:pos="9026" w:leader="dot"/>
            </w:tabs>
            <w:rPr/>
          </w:pPr>
          <w:hyperlink w:anchor="__RefHeading___Toc3298028_3650668749">
            <w:r>
              <w:rPr>
                <w:webHidden/>
                <w:rStyle w:val="IndexLink"/>
                <w:rtl w:val="true"/>
              </w:rPr>
              <w:t>الثاني</w:t>
            </w:r>
            <w:r>
              <w:rPr>
                <w:rStyle w:val="IndexLink"/>
                <w:rtl w:val="true"/>
              </w:rPr>
              <w:t>:</w:t>
              <w:tab/>
            </w:r>
            <w:r>
              <w:rPr>
                <w:rStyle w:val="IndexLink"/>
              </w:rPr>
              <w:t>128</w:t>
            </w:r>
          </w:hyperlink>
        </w:p>
        <w:p>
          <w:pPr>
            <w:pStyle w:val="Contents5"/>
            <w:tabs>
              <w:tab w:val="clear" w:pos="7892"/>
              <w:tab w:val="right" w:pos="9026" w:leader="dot"/>
            </w:tabs>
            <w:rPr/>
          </w:pPr>
          <w:hyperlink w:anchor="__RefHeading___Toc3298030_3650668749">
            <w:r>
              <w:rPr>
                <w:webHidden/>
                <w:rStyle w:val="IndexLink"/>
                <w:rtl w:val="true"/>
              </w:rPr>
              <w:t>الثالث</w:t>
            </w:r>
            <w:r>
              <w:rPr>
                <w:rStyle w:val="IndexLink"/>
                <w:rtl w:val="true"/>
              </w:rPr>
              <w:t>:</w:t>
              <w:tab/>
            </w:r>
            <w:r>
              <w:rPr>
                <w:rStyle w:val="IndexLink"/>
              </w:rPr>
              <w:t>128</w:t>
            </w:r>
          </w:hyperlink>
        </w:p>
        <w:p>
          <w:pPr>
            <w:pStyle w:val="Contents5"/>
            <w:tabs>
              <w:tab w:val="clear" w:pos="7892"/>
              <w:tab w:val="right" w:pos="9026" w:leader="dot"/>
            </w:tabs>
            <w:rPr/>
          </w:pPr>
          <w:hyperlink w:anchor="__RefHeading___Toc3298032_3650668749">
            <w:r>
              <w:rPr>
                <w:webHidden/>
                <w:rStyle w:val="IndexLink"/>
                <w:rtl w:val="true"/>
              </w:rPr>
              <w:t>الرابع</w:t>
            </w:r>
            <w:r>
              <w:rPr>
                <w:rStyle w:val="IndexLink"/>
                <w:rtl w:val="true"/>
              </w:rPr>
              <w:t>:</w:t>
              <w:tab/>
            </w:r>
            <w:r>
              <w:rPr>
                <w:rStyle w:val="IndexLink"/>
              </w:rPr>
              <w:t>128</w:t>
            </w:r>
          </w:hyperlink>
        </w:p>
        <w:p>
          <w:pPr>
            <w:pStyle w:val="Contents3"/>
            <w:tabs>
              <w:tab w:val="clear" w:pos="8459"/>
              <w:tab w:val="right" w:pos="9026" w:leader="dot"/>
            </w:tabs>
            <w:rPr/>
          </w:pPr>
          <w:hyperlink w:anchor="__RefHeading___Toc3298034_3650668749">
            <w:r>
              <w:rPr>
                <w:webHidden/>
                <w:rStyle w:val="IndexLink"/>
                <w:rtl w:val="true"/>
              </w:rPr>
              <w:t>المقصد الثالث</w:t>
            </w:r>
            <w:r>
              <w:rPr>
                <w:rStyle w:val="IndexLink"/>
                <w:rtl w:val="true"/>
              </w:rPr>
              <w:t xml:space="preserve">: </w:t>
            </w:r>
            <w:r>
              <w:rPr>
                <w:rStyle w:val="IndexLink"/>
                <w:rtl w:val="true"/>
              </w:rPr>
              <w:t>في ما يستثني من حكم الغناء على القول بالحرمة</w:t>
            </w:r>
            <w:r>
              <w:rPr>
                <w:rStyle w:val="IndexLink"/>
                <w:rtl w:val="true"/>
              </w:rPr>
              <w:tab/>
            </w:r>
            <w:r>
              <w:rPr>
                <w:rStyle w:val="IndexLink"/>
              </w:rPr>
              <w:t>129</w:t>
            </w:r>
          </w:hyperlink>
        </w:p>
        <w:p>
          <w:pPr>
            <w:pStyle w:val="Contents4"/>
            <w:tabs>
              <w:tab w:val="clear" w:pos="8176"/>
              <w:tab w:val="right" w:pos="9026" w:leader="dot"/>
            </w:tabs>
            <w:rPr/>
          </w:pPr>
          <w:hyperlink w:anchor="__RefHeading___Toc3298036_3650668749">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3298038_3650668749">
            <w:r>
              <w:rPr>
                <w:webHidden/>
                <w:rStyle w:val="IndexLink"/>
                <w:rtl w:val="true"/>
              </w:rPr>
              <w:t>منها قراءة القرآن</w:t>
            </w:r>
            <w:r>
              <w:rPr>
                <w:rStyle w:val="IndexLink"/>
                <w:rtl w:val="true"/>
              </w:rPr>
              <w:t>:</w:t>
              <w:tab/>
            </w:r>
            <w:r>
              <w:rPr>
                <w:rStyle w:val="IndexLink"/>
              </w:rPr>
              <w:t>129</w:t>
            </w:r>
          </w:hyperlink>
        </w:p>
        <w:p>
          <w:pPr>
            <w:pStyle w:val="Contents4"/>
            <w:tabs>
              <w:tab w:val="clear" w:pos="8176"/>
              <w:tab w:val="right" w:pos="9026" w:leader="dot"/>
            </w:tabs>
            <w:rPr/>
          </w:pPr>
          <w:hyperlink w:anchor="__RefHeading___Toc3298040_3650668749">
            <w:r>
              <w:rPr>
                <w:webHidden/>
                <w:rStyle w:val="IndexLink"/>
                <w:rtl w:val="true"/>
              </w:rPr>
              <w:t>و منها الحداء بضمّ الحاء المهملة و هو</w:t>
            </w:r>
            <w:r>
              <w:rPr>
                <w:rStyle w:val="IndexLink"/>
                <w:rtl w:val="true"/>
              </w:rPr>
              <w:t xml:space="preserve">: </w:t>
            </w:r>
            <w:r>
              <w:rPr>
                <w:rStyle w:val="IndexLink"/>
                <w:rtl w:val="true"/>
              </w:rPr>
              <w:t>سوق الإبل بالغناء لها</w:t>
            </w:r>
            <w:r>
              <w:rPr>
                <w:rStyle w:val="IndexLink"/>
                <w:rtl w:val="true"/>
              </w:rPr>
              <w:t>:</w:t>
              <w:tab/>
            </w:r>
            <w:r>
              <w:rPr>
                <w:rStyle w:val="IndexLink"/>
              </w:rPr>
              <w:t>130</w:t>
            </w:r>
          </w:hyperlink>
        </w:p>
        <w:p>
          <w:pPr>
            <w:pStyle w:val="Contents4"/>
            <w:tabs>
              <w:tab w:val="clear" w:pos="8176"/>
              <w:tab w:val="right" w:pos="9026" w:leader="dot"/>
            </w:tabs>
            <w:rPr/>
          </w:pPr>
          <w:hyperlink w:anchor="__RefHeading___Toc3298042_3650668749">
            <w:r>
              <w:rPr>
                <w:webHidden/>
                <w:rStyle w:val="IndexLink"/>
                <w:rtl w:val="true"/>
              </w:rPr>
              <w:t>و منها</w:t>
            </w:r>
            <w:r>
              <w:rPr>
                <w:rStyle w:val="IndexLink"/>
                <w:rtl w:val="true"/>
              </w:rPr>
              <w:t xml:space="preserve">: </w:t>
            </w:r>
            <w:r>
              <w:rPr>
                <w:rStyle w:val="IndexLink"/>
                <w:rtl w:val="true"/>
              </w:rPr>
              <w:t>غناء المرأة في زفّ العرائس</w:t>
            </w:r>
            <w:r>
              <w:rPr>
                <w:rStyle w:val="IndexLink"/>
                <w:rtl w:val="true"/>
              </w:rPr>
              <w:t>:</w:t>
              <w:tab/>
            </w:r>
            <w:r>
              <w:rPr>
                <w:rStyle w:val="IndexLink"/>
              </w:rPr>
              <w:t>131</w:t>
            </w:r>
          </w:hyperlink>
        </w:p>
        <w:p>
          <w:pPr>
            <w:pStyle w:val="Contents4"/>
            <w:tabs>
              <w:tab w:val="clear" w:pos="8176"/>
              <w:tab w:val="right" w:pos="9026" w:leader="dot"/>
            </w:tabs>
            <w:rPr/>
          </w:pPr>
          <w:hyperlink w:anchor="__RefHeading___Toc3298044_3650668749">
            <w:r>
              <w:rPr>
                <w:webHidden/>
                <w:rStyle w:val="IndexLink"/>
                <w:rtl w:val="true"/>
              </w:rPr>
              <w:t>و منها غناء الحجيج</w:t>
            </w:r>
            <w:r>
              <w:rPr>
                <w:rStyle w:val="IndexLink"/>
                <w:rtl w:val="true"/>
              </w:rPr>
              <w:t>:</w:t>
              <w:tab/>
            </w:r>
            <w:r>
              <w:rPr>
                <w:rStyle w:val="IndexLink"/>
              </w:rPr>
              <w:t>132</w:t>
            </w:r>
          </w:hyperlink>
        </w:p>
        <w:p>
          <w:pPr>
            <w:pStyle w:val="Contents4"/>
            <w:tabs>
              <w:tab w:val="clear" w:pos="8176"/>
              <w:tab w:val="right" w:pos="9026" w:leader="dot"/>
            </w:tabs>
            <w:rPr/>
          </w:pPr>
          <w:hyperlink w:anchor="__RefHeading___Toc3298046_3650668749">
            <w:r>
              <w:rPr>
                <w:webHidden/>
                <w:rStyle w:val="IndexLink"/>
                <w:rtl w:val="true"/>
              </w:rPr>
              <w:t>و منها غناء الغزاة لتحريض الناس على الغزو</w:t>
            </w:r>
            <w:r>
              <w:rPr>
                <w:rStyle w:val="IndexLink"/>
                <w:rtl w:val="true"/>
              </w:rPr>
              <w:t>:</w:t>
              <w:tab/>
            </w:r>
            <w:r>
              <w:rPr>
                <w:rStyle w:val="IndexLink"/>
              </w:rPr>
              <w:t>132</w:t>
            </w:r>
          </w:hyperlink>
        </w:p>
        <w:p>
          <w:pPr>
            <w:pStyle w:val="Contents4"/>
            <w:tabs>
              <w:tab w:val="clear" w:pos="8176"/>
              <w:tab w:val="right" w:pos="9026" w:leader="dot"/>
            </w:tabs>
            <w:rPr/>
          </w:pPr>
          <w:hyperlink w:anchor="__RefHeading___Toc3298048_3650668749">
            <w:r>
              <w:rPr>
                <w:webHidden/>
                <w:rStyle w:val="IndexLink"/>
                <w:rtl w:val="true"/>
              </w:rPr>
              <w:t>و منها التغنّي في أيام العيد و إبّان الفرح من قدوم الغائب و ولادة الولد</w:t>
            </w:r>
            <w:r>
              <w:rPr>
                <w:rStyle w:val="IndexLink"/>
                <w:rtl w:val="true"/>
              </w:rPr>
              <w:t>:</w:t>
              <w:tab/>
            </w:r>
            <w:r>
              <w:rPr>
                <w:rStyle w:val="IndexLink"/>
              </w:rPr>
              <w:t>133</w:t>
            </w:r>
          </w:hyperlink>
        </w:p>
        <w:p>
          <w:pPr>
            <w:pStyle w:val="Contents4"/>
            <w:tabs>
              <w:tab w:val="clear" w:pos="8176"/>
              <w:tab w:val="right" w:pos="9026" w:leader="dot"/>
            </w:tabs>
            <w:rPr/>
          </w:pPr>
          <w:hyperlink w:anchor="__RefHeading___Toc3298050_3650668749">
            <w:r>
              <w:rPr>
                <w:webHidden/>
                <w:rStyle w:val="IndexLink"/>
                <w:rtl w:val="true"/>
              </w:rPr>
              <w:t>و منها الغناء في الخطب و المناجاة و الدعاء و غيرها مما يقصد به الترغيب إلى اللّه و الشوق إلى الجنة</w:t>
            </w:r>
            <w:r>
              <w:rPr>
                <w:rStyle w:val="IndexLink"/>
                <w:rtl w:val="true"/>
              </w:rPr>
              <w:t>:</w:t>
              <w:tab/>
            </w:r>
            <w:r>
              <w:rPr>
                <w:rStyle w:val="IndexLink"/>
              </w:rPr>
              <w:t>134</w:t>
            </w:r>
          </w:hyperlink>
        </w:p>
        <w:p>
          <w:pPr>
            <w:pStyle w:val="Contents4"/>
            <w:tabs>
              <w:tab w:val="clear" w:pos="8176"/>
              <w:tab w:val="right" w:pos="9026" w:leader="dot"/>
            </w:tabs>
            <w:rPr/>
          </w:pPr>
          <w:hyperlink w:anchor="__RefHeading___Toc3298052_3650668749">
            <w:r>
              <w:rPr>
                <w:webHidden/>
                <w:rStyle w:val="IndexLink"/>
                <w:rtl w:val="true"/>
              </w:rPr>
              <w:t>و منها الغناء في المراثي</w:t>
            </w:r>
            <w:r>
              <w:rPr>
                <w:rStyle w:val="IndexLink"/>
                <w:rtl w:val="true"/>
              </w:rPr>
              <w:t>:</w:t>
              <w:tab/>
            </w:r>
            <w:r>
              <w:rPr>
                <w:rStyle w:val="IndexLink"/>
              </w:rPr>
              <w:t>134</w:t>
            </w:r>
          </w:hyperlink>
        </w:p>
        <w:p>
          <w:pPr>
            <w:pStyle w:val="Contents3"/>
            <w:tabs>
              <w:tab w:val="clear" w:pos="8459"/>
              <w:tab w:val="right" w:pos="9026" w:leader="dot"/>
            </w:tabs>
            <w:rPr/>
          </w:pPr>
          <w:hyperlink w:anchor="__RefHeading___Toc3298054_3650668749">
            <w:r>
              <w:rPr>
                <w:webHidden/>
                <w:rStyle w:val="IndexLink"/>
                <w:rtl w:val="true"/>
              </w:rPr>
              <w:t>و أمّا الخاتمة ففي بيان حكم النياحة</w:t>
            </w:r>
            <w:r>
              <w:rPr>
                <w:rStyle w:val="IndexLink"/>
                <w:rtl w:val="true"/>
              </w:rPr>
              <w:tab/>
            </w:r>
            <w:r>
              <w:rPr>
                <w:rStyle w:val="IndexLink"/>
              </w:rPr>
              <w:t>146</w:t>
            </w:r>
          </w:hyperlink>
        </w:p>
        <w:p>
          <w:pPr>
            <w:pStyle w:val="Contents4"/>
            <w:tabs>
              <w:tab w:val="clear" w:pos="8176"/>
              <w:tab w:val="right" w:pos="9026" w:leader="dot"/>
            </w:tabs>
            <w:rPr/>
          </w:pPr>
          <w:hyperlink w:anchor="__RefHeading___Toc3298056_3650668749">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3298058_3650668749">
            <w:r>
              <w:rPr>
                <w:webHidden/>
                <w:rStyle w:val="IndexLink"/>
                <w:rtl w:val="true"/>
              </w:rPr>
              <w:t>تذنيبات</w:t>
            </w:r>
            <w:r>
              <w:rPr>
                <w:rStyle w:val="IndexLink"/>
                <w:rtl w:val="true"/>
              </w:rPr>
              <w:t>:</w:t>
              <w:tab/>
            </w:r>
            <w:r>
              <w:rPr>
                <w:rStyle w:val="IndexLink"/>
              </w:rPr>
              <w:t>151</w:t>
            </w:r>
          </w:hyperlink>
        </w:p>
        <w:p>
          <w:pPr>
            <w:pStyle w:val="Contents5"/>
            <w:tabs>
              <w:tab w:val="clear" w:pos="7892"/>
              <w:tab w:val="right" w:pos="9026" w:leader="dot"/>
            </w:tabs>
            <w:rPr/>
          </w:pPr>
          <w:hyperlink w:anchor="__RefHeading___Toc3298060_3650668749">
            <w:r>
              <w:rPr>
                <w:webHidden/>
                <w:rStyle w:val="IndexLink"/>
                <w:rtl w:val="true"/>
              </w:rPr>
              <w:t>الأوّل</w:t>
            </w:r>
            <w:r>
              <w:rPr>
                <w:rStyle w:val="IndexLink"/>
                <w:rtl w:val="true"/>
              </w:rPr>
              <w:t>:</w:t>
              <w:tab/>
            </w:r>
            <w:r>
              <w:rPr>
                <w:rStyle w:val="IndexLink"/>
              </w:rPr>
              <w:t>151</w:t>
            </w:r>
          </w:hyperlink>
        </w:p>
        <w:p>
          <w:pPr>
            <w:pStyle w:val="Contents5"/>
            <w:tabs>
              <w:tab w:val="clear" w:pos="7892"/>
              <w:tab w:val="right" w:pos="9026" w:leader="dot"/>
            </w:tabs>
            <w:rPr/>
          </w:pPr>
          <w:hyperlink w:anchor="__RefHeading___Toc3298062_3650668749">
            <w:r>
              <w:rPr>
                <w:webHidden/>
                <w:rStyle w:val="IndexLink"/>
                <w:rtl w:val="true"/>
              </w:rPr>
              <w:t>الثاني</w:t>
            </w:r>
            <w:r>
              <w:rPr>
                <w:rStyle w:val="IndexLink"/>
                <w:rtl w:val="true"/>
              </w:rPr>
              <w:t>:</w:t>
              <w:tab/>
            </w:r>
            <w:r>
              <w:rPr>
                <w:rStyle w:val="IndexLink"/>
              </w:rPr>
              <w:t>151</w:t>
            </w:r>
          </w:hyperlink>
        </w:p>
        <w:p>
          <w:pPr>
            <w:pStyle w:val="Contents5"/>
            <w:tabs>
              <w:tab w:val="clear" w:pos="7892"/>
              <w:tab w:val="right" w:pos="9026" w:leader="dot"/>
            </w:tabs>
            <w:rPr/>
          </w:pPr>
          <w:hyperlink w:anchor="__RefHeading___Toc3298064_3650668749">
            <w:r>
              <w:rPr>
                <w:webHidden/>
                <w:rStyle w:val="IndexLink"/>
                <w:rtl w:val="true"/>
              </w:rPr>
              <w:t>الثالث</w:t>
            </w:r>
            <w:r>
              <w:rPr>
                <w:rStyle w:val="IndexLink"/>
                <w:rtl w:val="true"/>
              </w:rPr>
              <w:t>:</w:t>
              <w:tab/>
            </w:r>
            <w:r>
              <w:rPr>
                <w:rStyle w:val="IndexLink"/>
              </w:rPr>
              <w:t>151</w:t>
            </w:r>
          </w:hyperlink>
        </w:p>
        <w:p>
          <w:pPr>
            <w:pStyle w:val="Contents2"/>
            <w:tabs>
              <w:tab w:val="clear" w:pos="8743"/>
              <w:tab w:val="right" w:pos="9026" w:leader="dot"/>
            </w:tabs>
            <w:rPr/>
          </w:pPr>
          <w:hyperlink w:anchor="__RefHeading___Toc3298066_3650668749">
            <w:r>
              <w:rPr>
                <w:webHidden/>
                <w:rStyle w:val="IndexLink"/>
                <w:rtl w:val="true"/>
              </w:rPr>
              <w:t>فهرس مصادر التحقيق</w:t>
            </w:r>
            <w:r>
              <w:rPr>
                <w:rStyle w:val="IndexLink"/>
                <w:rtl w:val="true"/>
              </w:rPr>
              <w:tab/>
            </w:r>
            <w:r>
              <w:rPr>
                <w:rStyle w:val="IndexLink"/>
              </w:rPr>
              <w:t>153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3_17547"/>
      <w:bookmarkStart w:id="1" w:name="pg1913_17547"/>
      <w:bookmarkEnd w:id="1"/>
    </w:p>
    <w:p>
      <w:pPr>
        <w:pStyle w:val="Heading2"/>
        <w:numPr>
          <w:ilvl w:val="1"/>
          <w:numId w:val="1"/>
        </w:numPr>
        <w:rPr/>
      </w:pPr>
      <w:bookmarkStart w:id="2" w:name="pg1913_17547"/>
      <w:bookmarkStart w:id="3" w:name="__RefHeading___Toc3297934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ذريعة الاستغناء في تحقيق الغناء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كاشانى، ملا حبيب الله شريف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إحياء آثار الملا حبيب الله الشريف الكاشاني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كاشان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كتاب شرح حال مؤلف به قلم شريفش 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97936_3650668749"/>
      <w:bookmarkStart w:id="6" w:name="_Toc2"/>
      <w:bookmarkEnd w:id="5"/>
      <w:r>
        <w:rPr>
          <w:rtl w:val="true"/>
        </w:rPr>
        <w:t>اشارة</w:t>
      </w:r>
      <w:bookmarkStart w:id="7" w:name="pg1913_17557"/>
      <w:bookmarkEnd w:id="6"/>
    </w:p>
    <w:p>
      <w:pPr>
        <w:pStyle w:val="Heading2"/>
        <w:numPr>
          <w:ilvl w:val="1"/>
          <w:numId w:val="1"/>
        </w:numPr>
        <w:rPr/>
      </w:pPr>
      <w:bookmarkStart w:id="8" w:name="__RefHeading___Toc3297938_3650668749"/>
      <w:bookmarkStart w:id="9" w:name="_Toc3"/>
      <w:bookmarkEnd w:id="7"/>
      <w:bookmarkEnd w:id="8"/>
      <w:r>
        <w:rPr>
          <w:rtl w:val="true"/>
        </w:rPr>
        <w:t>مقدمة التحقيق</w:t>
      </w:r>
      <w:bookmarkEnd w:id="9"/>
    </w:p>
    <w:p>
      <w:pPr>
        <w:pStyle w:val="Heading3"/>
        <w:numPr>
          <w:ilvl w:val="2"/>
          <w:numId w:val="1"/>
        </w:numPr>
        <w:rPr/>
      </w:pPr>
      <w:bookmarkStart w:id="10" w:name="__RefHeading___Toc3297940_3650668749"/>
      <w:bookmarkStart w:id="11" w:name="_Toc4"/>
      <w:bookmarkEnd w:id="10"/>
      <w:r>
        <w:rPr>
          <w:rtl w:val="true"/>
        </w:rPr>
        <w:t>تقديم</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إنّ التراث العلمي الذي خلّفه علماؤنا الأبرار هو من الكنوز الثمينة التي تتمثّل بها ثقافة الأمة، و تتكوّن منها حضارتها المتواصلة الحلقات، و المتتابعة العقود طوال السنوات، على مدى القرون في التاريخ المجيد، و هي مفخرة للأجيال المتعاقبة، حيث تعتزّ بعظمائها، و تستفيد من جهودهم المعطاءة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أولئك العلماء العظماء الذين خلّدوا تراثا علميا باهرا بالجمع و الشرح و البلورة و النظم هو آية اللّه العظمى الفقيه الشيخ المولى حبيب اللّه بن علي مدد الشريف 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خلّف ما يناهز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من المؤلّفات في مختلف الفنون و العلوم الإسلامية، باللغتين العربية و الفارسية، طبع القليل منها في حياته و بعد وفاته، و بقي الأكثر مخطوطا، و فيها موسوعته الفقهية الكبرى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منتقد المنافع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ضخما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سهّل اللّه، بحسن توفيقه، و عونه تعالى، و ببركة إمام العصر و الزمان الحجة ابن الحسن العسكري عليه السّلام، القيام بمشروع خاص بإحياء آثار هذا الفقيه العالم، على أثر تشجيع عدّة من العلماء الأعلام و المراجع العظام، الذين اطّلعوا عن كثب على عظمة ذلك التراث و أهميته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المشروع تحت رعاية السيّد ولى أمر المسلمين القائد السيّد الخامنئي المعظّم، و رعاية الشيخ الهاشمي الرفسنجاني رئيس الجمهورية الإسلامية المحترم، و رئيس شورى الثورة الثقافية العليا، جزاهم اللّه خير الجزاء و انجزت منه خطوات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أوّل ما قمنا به هو جمع ما وجد من هذا التراث موزّعا بين أفراد عائلته الكريمة في كاشان، و في المكتبات الخاصة و العامة من المدن المجاورة، من مخطوط و مطبوع، و إحصاءها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نستمدّ من كلّ الذوات الخيّرة ممّن له اطّلاع على وجود نسخة مخطوطة من بعض كتب الشيخ المؤلّف أن يخبرنا بذلك، كي نحصّل صورة منها، بغرض إعدادها، و تنظيمها، مرقمة، مبوّبة حسب المواضيع و العلوم، كي تتحددّ كمّا و كيفا، لتسهيل المراجعة إليها عند الحاجة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مرحلة ثانية قمنا بتصوير جميع تلك الآثار على الميكروفلم، لصيانتها و حفظها عن</w:t>
      </w:r>
    </w:p>
    <w:p>
      <w:pPr>
        <w:pStyle w:val="BookText"/>
        <w:rPr/>
      </w:pPr>
      <w:r>
        <w:rPr>
          <w:rFonts w:ascii="Amiri" w:hAnsi="Amiri" w:eastAsia="Amiri" w:cs="Amiri"/>
          <w:color w:val="111111"/>
          <w:sz w:val="28"/>
          <w:sz w:val="28"/>
          <w:szCs w:val="28"/>
          <w:rtl w:val="true"/>
          <w:lang w:bidi="ar-SA"/>
        </w:rPr>
        <w:t xml:space="preserve">الطواري، و قد قامت بهذه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إدارة مركز إسناد و مدارك انقلاب 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وزارة الثقافة و الإعلام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فإنّا نهيب بكلّ العلماء و المحققين الذين يرومون العمل في أيّ من هذه الكتب أن يتّصلوا بمركزنا لتزويدهم بما يلزم من أدوات العمل من أجل تقويمه و تسهيله، بعون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مرحلة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الاتفاق على العمل في الموسوعة الفقهية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منتقد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فالتزمت إدارة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الأبحاث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لمركز الاعلام الإسلامي في الحوزة العلمية في قم، بالعمل فيه، و قد بدأوا بذلك و نأمل أن يتمّ في القريب العاجل لتتحقّق بذلك أمنية العلماء و المحققين الذين طالما تشوّقوا لرؤية هذا العمل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 الاستغناء في تحقيق مسألة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نقدّمها محققة الى المجامع العلمية، هي باكورة أعمال مشروعنا، التي نرجو أن تتواصل، و هي دليل على عزمنا المؤكد على المضي قدما إلى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نرى لزاما علينا أن نقدّر الجهود التي بذلت من قبل، لإحياء مجموعة من مؤلّفات الشيخ، مثل ما قام به سماحة حجة الإسلام و المسلمين الحاج آقا محمّد شريف ابن الشيخ، الذي بذل غاية و سعة في إصدار عدد كبير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حضرة آية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الختام نشكر جميع الذين قدّموا لنا العون في تحقيق مشروعنا التراثي هذا، و لم يبخلوا علينا بالتوجيه و الإرشاد أو العون و العمل العلمي، سواء من الشخصيات العلمية أم المؤسسات الثقافية في الجمهورية الإسلامية، في كاشان و قم و طهران، راجين لهم التوفيق و الازدهار، و نخصّ بالذكر سماحة حجة الإسلام و المسلمين الأستاذ الحاج الشيخ عبد اللّه موحدي بيدگلي الذي تحمل أعباء العمل في هذه الرسالة القيمة مقابلة و تخريجا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عمادة جامعة كاشان التي تكفّلت تحقيقه، و أنفقت على إصداره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الذين لهم إسهام في إنجازه من قريب أو بعيد، و كان اللّه في عون كلّ مخلص أمين مركز إحياء آثار الشيخ الملّا حبيب اللّه الشريف الكاشاني قدسّ سرّه قم المقدسة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738283</w:t>
      </w:r>
      <w:bookmarkStart w:id="12" w:name="pg1913_17561"/>
    </w:p>
    <w:p>
      <w:pPr>
        <w:pStyle w:val="Heading3"/>
        <w:numPr>
          <w:ilvl w:val="2"/>
          <w:numId w:val="1"/>
        </w:numPr>
        <w:rPr/>
      </w:pPr>
      <w:bookmarkStart w:id="13" w:name="__RefHeading___Toc3297942_3650668749"/>
      <w:bookmarkStart w:id="14" w:name="_Toc5"/>
      <w:bookmarkEnd w:id="12"/>
      <w:bookmarkEnd w:id="13"/>
      <w:r>
        <w:rPr>
          <w:rtl w:val="true"/>
        </w:rPr>
        <w:t>ترجمة المؤلّف بقلمه الشريف</w:t>
      </w:r>
      <w:bookmarkEnd w:id="14"/>
    </w:p>
    <w:p>
      <w:pPr>
        <w:pStyle w:val="Heading4"/>
        <w:numPr>
          <w:ilvl w:val="3"/>
          <w:numId w:val="1"/>
        </w:numPr>
        <w:rPr/>
      </w:pPr>
      <w:bookmarkStart w:id="15" w:name="__RefHeading___Toc3297944_3650668749"/>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 الحمد لوليه و الصلاة على النبي و أوصيائه الطاهرين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المؤلف قدسّ سرّه لنفسه ترجمة ذاتية في خاتمة كتاب لباب الألقاب </w:t>
      </w:r>
      <w:r>
        <w:rPr>
          <w:rStyle w:val="FootnoteAnchor"/>
          <w:rtl w:val="true"/>
        </w:rPr>
        <w:footnoteReference w:id="2"/>
      </w:r>
      <w:r>
        <w:rPr>
          <w:rFonts w:ascii="Amiri" w:hAnsi="Amiri" w:eastAsia="Amiri" w:cs="Amiri"/>
          <w:color w:val="111111"/>
          <w:sz w:val="28"/>
          <w:sz w:val="28"/>
          <w:szCs w:val="28"/>
          <w:rtl w:val="true"/>
          <w:lang w:bidi="ar-SA"/>
        </w:rPr>
        <w:t xml:space="preserve">الذي هو في تراجم مجموعة من العلماء المعروفين بألقاب خاصة،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فيها قائمة بأسماء مؤلّفاته، و قد عزمنا على أن نقدّم هنا تلك القائمة مع إضافة ما ألّفه المؤلّف بعد تلك الترجمة، مصنفة حسب الموضوعات مكتفين بذلك في تقديم كتابنا الذي نقدّمه محقّقا</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297946_3650668749"/>
      <w:bookmarkStart w:id="18" w:name="_Toc7"/>
      <w:bookmarkEnd w:id="17"/>
      <w:r>
        <w:rPr>
          <w:rtl w:val="true"/>
        </w:rPr>
        <w:t>أما هذا الكتاب</w:t>
      </w:r>
      <w:bookmarkEnd w:id="18"/>
    </w:p>
    <w:p>
      <w:pPr>
        <w:pStyle w:val="BookText"/>
        <w:rPr/>
      </w:pPr>
      <w:r>
        <w:rPr>
          <w:rFonts w:ascii="Amiri" w:hAnsi="Amiri" w:eastAsia="Amiri" w:cs="Amiri"/>
          <w:color w:val="111111"/>
          <w:sz w:val="28"/>
          <w:sz w:val="28"/>
          <w:szCs w:val="28"/>
          <w:rtl w:val="true"/>
          <w:lang w:bidi="ar-SA"/>
        </w:rPr>
        <w:t xml:space="preserve">فاسمه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 الاستغناء في تحقيق مسألة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أورده المؤلف قدسّ سرّه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صنّفه بعد تأليف موسوعته الكبرى في الفقه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منتقد المنافع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كتابه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البراءة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الكتاب منحصر في نسخة بخطّ المؤلّف، تقع في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بالقطع الصغير، محفوظة عند بعض أحفاده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نصّ الترجمة قال رحمه اللّه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بيان جملة من أحوال المؤلف الفقير الحقير الراجي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الملا علي مدد الساوجي</w:t>
      </w:r>
    </w:p>
    <w:p>
      <w:pPr>
        <w:pStyle w:val="BookText"/>
        <w:rPr/>
      </w:pPr>
      <w:r>
        <w:rPr>
          <w:rFonts w:ascii="Amiri" w:hAnsi="Amiri" w:eastAsia="Amiri" w:cs="Amiri"/>
          <w:color w:val="111111"/>
          <w:sz w:val="28"/>
          <w:sz w:val="28"/>
          <w:szCs w:val="28"/>
          <w:rtl w:val="true"/>
          <w:lang w:bidi="ar-SA"/>
        </w:rPr>
        <w:t xml:space="preserve">المتقدّم له الذكر </w:t>
      </w:r>
      <w:r>
        <w:rPr>
          <w:rStyle w:val="FootnoteAnchor"/>
          <w:rtl w:val="true"/>
        </w:rPr>
        <w:footnoteReference w:id="3"/>
      </w:r>
      <w:r>
        <w:rPr>
          <w:rFonts w:ascii="Amiri" w:hAnsi="Amiri" w:eastAsia="Amiri" w:cs="Amiri"/>
          <w:color w:val="111111"/>
          <w:sz w:val="28"/>
          <w:sz w:val="28"/>
          <w:szCs w:val="28"/>
          <w:rtl w:val="true"/>
          <w:lang w:bidi="ar-SA"/>
        </w:rPr>
        <w:t>حبيب اللّه الشريف الكاشاني أيده اللّه بلطفه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إن التزمت بأن لا أذكر في هذا المختصر أحدا من الأحياء و المعاصرين من العلماء و الأفاضل لنكات عديدة و ما اجترأت عل يأن أعدّ نفسي في عداد من سمّيتهم من العلماء الماضين الذين هم ورثة الأئمة الهادين من ذرية خاتم المرسلين صلّى اللّه عليه و آله و سلّم، إلّا ان حبّي لهم و رجائي لشفاعتهم، و التماس جماعة من الإخلاء الإلهيين بيان حالي، قد حداني الى ذكر نبذة من أحوالي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الصالحين و لست منهم لعلّي أن أنال بهم شفاعة</w:t>
      </w:r>
    </w:p>
    <w:p>
      <w:pPr>
        <w:pStyle w:val="BookText"/>
        <w:rPr/>
      </w:pPr>
      <w:r>
        <w:rPr>
          <w:rFonts w:ascii="Amiri" w:hAnsi="Amiri" w:eastAsia="Amiri" w:cs="Amiri"/>
          <w:color w:val="111111"/>
          <w:sz w:val="28"/>
          <w:sz w:val="28"/>
          <w:szCs w:val="28"/>
          <w:rtl w:val="true"/>
          <w:lang w:bidi="ar-SA"/>
        </w:rPr>
        <w:t>و أكره من بضاعته المعاصي و إن كنّا سواءا في البضاعة</w:t>
      </w:r>
    </w:p>
    <w:p>
      <w:pPr>
        <w:pStyle w:val="BookText"/>
        <w:rPr/>
      </w:pPr>
      <w:r>
        <w:rPr>
          <w:rFonts w:ascii="Amiri" w:hAnsi="Amiri" w:eastAsia="Amiri" w:cs="Amiri"/>
          <w:color w:val="111111"/>
          <w:sz w:val="28"/>
          <w:sz w:val="28"/>
          <w:szCs w:val="28"/>
          <w:rtl w:val="true"/>
          <w:lang w:bidi="ar-SA"/>
        </w:rPr>
        <w:t>و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أكن ممّن له الجولان في هذا الميدان، و لا ممّن يسبق في هذا الرهان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انّي نظمت نفسي في سلك هؤلاء الأعيان، كما تنظم الخرزة في العقيان، و الزجاجة في سلك الجمان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البضاعة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أكن من أهل الإضاعة للأوقات و الأحوال، فإني لم آل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بدو تمييزي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ما راموه من المطالب، و ما قصّرت في تحصيل ما قصدوه من شرف المناقب، إلّا أنّ قصور الاستعدادات يوجب الحرمان عن الوصول الى المقامات العاليات، فالمحروم بالقصور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 إنّما المستحقّ للّوم الكثير من حرمه عن الوصول إلى المعالي التقصير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كمال اختلال أمور المعاش، و فقد الأسباب و 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الأقران و الأتراب، بل ما قصرت عن كثير من الأكابر الأطياب، حتّى</w:t>
      </w:r>
    </w:p>
    <w:p>
      <w:pPr>
        <w:pStyle w:val="BookText"/>
        <w:rPr/>
      </w:pPr>
      <w:r>
        <w:rPr>
          <w:rFonts w:ascii="Amiri" w:hAnsi="Amiri" w:eastAsia="Amiri" w:cs="Amiri"/>
          <w:color w:val="111111"/>
          <w:sz w:val="28"/>
          <w:sz w:val="28"/>
          <w:szCs w:val="28"/>
          <w:rtl w:val="true"/>
          <w:lang w:bidi="ar-SA"/>
        </w:rPr>
        <w:t xml:space="preserve">أنّ جمّا غفيرا من الأحباب قد حسدوني على ما آتاني اللّه من فضله في هذا الباب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تاريخ ولادتي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أتحقّقه من مكتوب من الوالد الماجد، و انّما ذكرت والدتي المرحومة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ولادتي كانت قبل وفاة السلطان الغازي محمّد شاه القاجار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تاريخ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حقّقناه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الأربع و الستين بعد المأتين و الألف،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سنّي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أكابر أهل ساوة بوالدي المعظّم إلى ساوة على ما أسلفنا لك تفصيله في ترجمة حاله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والدتي المرحومة تكفلني، بمساعدة المولى المهذّب عن كلّ شين، الفقيه الكامل الحاج السيّد محمّد حسين، المتقدم الى ترجمته الإشارة، في الباب الثامن </w:t>
      </w:r>
      <w:r>
        <w:rPr>
          <w:rStyle w:val="FootnoteAnchor"/>
          <w:rtl w:val="true"/>
        </w:rPr>
        <w:footnoteReference w:id="5"/>
      </w:r>
      <w:r>
        <w:rPr>
          <w:rFonts w:ascii="Amiri" w:hAnsi="Amiri" w:eastAsia="Amiri" w:cs="Amiri"/>
          <w:color w:val="111111"/>
          <w:sz w:val="28"/>
          <w:sz w:val="28"/>
          <w:szCs w:val="28"/>
          <w:rtl w:val="true"/>
          <w:lang w:bidi="ar-SA"/>
        </w:rPr>
        <w:t>و كان هذا الجليل الماجد أبرّ و أعطف بي من الوالد، على ما شرحناه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أو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والدي بساوة، و كنت حينئذ شائقا إلى التحصيل كمال الشوق، بتشويق السيّد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فرغت من النحو، و الصرف و غيرهما من المقدّمات، فشرعت في الفقه و أصوله عنده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الحاج المير محمّد علي، الذي قدّمنا ذكره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أجازني السيّد المشار إليه بالرواية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أجازني بهذه الإجازة و هذا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خير خلقه محمّد و آله أجمعين، 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ولدي الروحانيّ، العالم الربّاني، و العامل الصمداني، النحرير الفاضل، الفقيه الكامل، الموفّق المسدّد المؤيّد بتأييد 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بن المرحوم المغفور له، علّامة زمانه علي مدد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معي في كثير من أوقات البحث، و الخوض في العلوم، و قد قرأ عليّ كثيرا من علم الأصول و الفقه، و سمع منّي كثيرا من المطالب المتعلّقة بعلم الكلام و المعارف الدينيّة، و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فاضلا و فقيها كاملا، مستجمعا لشرائط الفتوى و الاجتهاد، حائزا لمراتب العلم و العمل و العدالة و النبالة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أن يروي عنّي، عن مشايخي، بأسانيدي، و طرقي المرقومة في اجازاتي المتّصلة بأهل العصمة عليهم آلاف الصلاة و السلام و الثناء و التحيّة و ألتمس منه أن يلتزم الاحتياط في الفتوى و العمل، و أن لا ينساني في أوقات الإجابة من الدعاء، في حياتي و بعد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تحرير ذلك في الثاني عشر من شهر ذي الحجّة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مضمون سجع خاتمه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محمّد حسين بن محمّد علي الحسيني</w:t>
      </w:r>
    </w:p>
    <w:p>
      <w:pPr>
        <w:pStyle w:val="BookText"/>
        <w:rPr/>
      </w:pPr>
      <w:r>
        <w:rPr>
          <w:rFonts w:ascii="Amiri" w:hAnsi="Amiri" w:eastAsia="Amiri" w:cs="Amiri"/>
          <w:color w:val="111111"/>
          <w:sz w:val="28"/>
          <w:sz w:val="28"/>
          <w:szCs w:val="28"/>
          <w:rtl w:val="true"/>
          <w:lang w:bidi="ar-SA"/>
        </w:rPr>
        <w:t>اللهم ارفع درجته و ارحمه، كما ربّاني صغيرا، و أحسن لي كبيرا، و احشره مع أجداده الأئمّة المعصومين، 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مع ذلك قد حضرت مجلس الحاج الملّا ميرزا محمّد الأندرماني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مجلس الحاج الميرزا أبي القاسم المعروف بكلانتر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عليهما شطرا وافيا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الشيخ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قرأت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تحصيلي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محمّد الأصفهاني، ابن أخت مصنّفه، و قد قرأه على 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شطرا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الحاج الملّا هادي المدرّس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شطرا من الحكمة على بعض أكابر تلامذة الحاج الملّا هادي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العتبات العاليات، للزيارة، و لإدراك خدمة الشيخ المرتضى للاستفادة، فلما وصلت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بوفاة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فكنت أحضر في الليالي مجلس الفاضل الأردكاني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ذهبت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حضرت مجلس درس أحد من علمائه، لاختلال مجالس الدروس و تعطيلها بفوت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الى كاشان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عزمت على التشرّف بخدمة المولى الجليل الأعلم الأتقى الفاضل الصمداني، الملّا زين العابدين الگلپايگاني، فلما وصلت الى خدمته في گلپايگان وجدته معتزلا عن أبناء الزمان، و كان لا يخرج من بيته، و قد ترك الدرس و مجلس القيل و القال، و صارت عينه مؤوفة، و لكنّي استفدت منه فوائد جليلة، فأوصاني بعدم تحمّل أعباء المرافعات، و عدم الاشتغال بالملهيات عن ذكر اللّه خالق البريّات، و المراودة مع أهل الدنيا من الحكام و التجّار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قبلت وصيّته، و التزمت طريقته، و أنا الى الآن مقبل على شأني، و لم أشتغل بما هو الشأني، و قد صرفت عنان نفسي عن جمع الأموال، مع فقد المال و كثرة العيال، 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لحصل لي أكثر مما حصل لأمثالي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 الأقوام لو أنّ حاتما أراد ثراء المال كان له وفر</w:t>
      </w:r>
    </w:p>
    <w:p>
      <w:pPr>
        <w:pStyle w:val="BookText"/>
        <w:rPr/>
      </w:pPr>
      <w:r>
        <w:rPr>
          <w:rFonts w:ascii="Amiri" w:hAnsi="Amiri" w:eastAsia="Amiri" w:cs="Amiri"/>
          <w:color w:val="111111"/>
          <w:sz w:val="28"/>
          <w:sz w:val="28"/>
          <w:szCs w:val="28"/>
          <w:rtl w:val="true"/>
          <w:lang w:bidi="ar-SA"/>
        </w:rPr>
        <w:t>و لو لا أنّ تزكية المرء لنفسه قبيحة عند أرباب العقول، لفصّلت الكلام فيما منّ اللّه عليّ من الخصائص في الأحوال بما 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المجمل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أشتغل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بدو تمييزي قبل بلوغي الى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اشتغل به اللاهون الغافلون، و لم أصرف عمري فيما صرف فيه البطّالون، و لم أحبّ المخالطة مع الجهلة، و لم أركن إلى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كنت محبّا للاعتزال، مجتنبا عن المراء و الجدال، و عن القيل و القال، و الجواب و السؤال إلّا في مسائل الحرام و الحلال، معرضا عن الحقد، و الحسد، و الطمع، و طول الآمال، صابرا على البأساء و الضرّاء و شدائد الأحوال، غير جازع من الضنك و الضيق و الفقر و الفاقة و عدم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أرجو من اللّه المتعال أن لا يحوّل حالي هذه في بقيّة عمري إلّا الى أحسن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 عمري الشريف، على التدريس و التأليف و التصنيف، و لم أكثر بما أصابني من أذى كلّ وضيع و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جرّبت الزمان و أهله فلا عهدهم عهد و لا ودّهم ودّ</w:t>
      </w:r>
    </w:p>
    <w:p>
      <w:pPr>
        <w:pStyle w:val="BookText"/>
        <w:rPr/>
      </w:pPr>
      <w:r>
        <w:rPr>
          <w:rFonts w:ascii="Amiri" w:hAnsi="Amiri" w:eastAsia="Amiri" w:cs="Amiri"/>
          <w:color w:val="111111"/>
          <w:sz w:val="28"/>
          <w:sz w:val="28"/>
          <w:szCs w:val="28"/>
          <w:rtl w:val="true"/>
          <w:lang w:bidi="ar-SA"/>
        </w:rPr>
        <w:t>بلاء علينا كوننا بين معشر و لا فيهم خير و لا منهم بدّ</w:t>
      </w:r>
    </w:p>
    <w:p>
      <w:pPr>
        <w:pStyle w:val="BookText"/>
        <w:rPr/>
      </w:pPr>
      <w:r>
        <w:rPr>
          <w:rFonts w:ascii="Amiri" w:hAnsi="Amiri" w:eastAsia="Amiri" w:cs="Amiri"/>
          <w:color w:val="111111"/>
          <w:sz w:val="28"/>
          <w:sz w:val="28"/>
          <w:szCs w:val="28"/>
          <w:rtl w:val="true"/>
          <w:lang w:bidi="ar-SA"/>
        </w:rPr>
        <w:t>يقول منظّم هذه القائمة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ما ذكره المؤلّف رحمه اللّه عن شؤون حياته ثمّ بدأ الحديث عن مؤلفاته، فقال</w:t>
      </w:r>
      <w:r>
        <w:rPr>
          <w:rFonts w:eastAsia="Amiri" w:cs="Amiri" w:ascii="Amiri" w:hAnsi="Amiri"/>
          <w:color w:val="111111"/>
          <w:sz w:val="28"/>
          <w:szCs w:val="28"/>
          <w:rtl w:val="true"/>
          <w:lang w:bidi="ar-SA"/>
        </w:rPr>
        <w:t>:</w:t>
      </w:r>
      <w:bookmarkStart w:id="19" w:name="pg1913_17573"/>
    </w:p>
    <w:p>
      <w:pPr>
        <w:pStyle w:val="Heading4"/>
        <w:numPr>
          <w:ilvl w:val="3"/>
          <w:numId w:val="1"/>
        </w:numPr>
        <w:rPr/>
      </w:pPr>
      <w:bookmarkStart w:id="20" w:name="__RefHeading___Toc3297948_3650668749"/>
      <w:bookmarkStart w:id="21" w:name="_Toc8"/>
      <w:bookmarkEnd w:id="19"/>
      <w:bookmarkEnd w:id="20"/>
      <w:r>
        <w:rPr>
          <w:rtl w:val="true"/>
        </w:rPr>
        <w:t>«</w:t>
      </w:r>
      <w:r>
        <w:rPr>
          <w:rtl w:val="true"/>
        </w:rPr>
        <w:t>فلنرجع الى ذكر مؤلّفاتي و مصنّفاتي</w:t>
      </w:r>
      <w:bookmarkEnd w:id="21"/>
    </w:p>
    <w:p>
      <w:pPr>
        <w:pStyle w:val="Heading5"/>
        <w:numPr>
          <w:ilvl w:val="4"/>
          <w:numId w:val="1"/>
        </w:numPr>
        <w:rPr/>
      </w:pPr>
      <w:bookmarkStart w:id="22" w:name="__RefHeading___Toc3297950_3650668749"/>
      <w:bookmarkStart w:id="23" w:name="_Toc9"/>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 xml:space="preserve">مما كان قبل بلوغي الى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قلة الأسباب، و الابتلاء بالأقشاب، و اختلال البال و كثرة الديون و العيال، و عروض الأمراض و الأعراض من حوادث الدهر الخوّان، و من فقد الخلّان و موت الولدان، و غير ذلك مما يقصر عنه نطاق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التوفيق و التسديد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ترتقي هي الى مائة و ثلاثين، بل تزيد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بدأ رحمه اللّه بعدّها، و لكنّا وجدنا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لا يشمل ما ألفه في الفترة المتأخرة عن تاريخ كتابة الترجمة تلك، و التي تغطّي 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نهاية عمره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القائمة التي أثبتها رحمه اللّه ليست على تصنيف محدّد فليست على ترتيب الأبجدية، و لا التصنيف الموضوعي مما يصعب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رتّب صاحب الفضيلة سماحة صديقنا العلامة الشيخ رضا الاستادي قائمة بأسماء مؤلّفاته، منظمة على حروف المعجم، في الترجمة الصافية التي كتبها له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في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فرأينا أن نصنّفها في هذه القائمة موضوعيّا، مع الالتزام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اعتمدنا على ما كتبه المؤلّف في خاتمة لباب الألقاب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وضع رقم الكتاب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ما كتبه المؤلّف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وضعه لأسماء الكتب الموجودة في مكتبته الخاصة، بما فيها مؤلّفاته و قد ذكرناه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اعتمدنا عند الحاجة على القائمة التي أعدّها الاستادي، بالأرقام التي فيها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المعلومات التي وجدناها في المصادر المذكورة، و كذا ما في المطبوعات من</w:t>
      </w:r>
      <w:bookmarkStart w:id="24" w:name="pg1913_17575"/>
    </w:p>
    <w:p>
      <w:pPr>
        <w:pStyle w:val="BookText"/>
        <w:rPr/>
      </w:pPr>
      <w:bookmarkEnd w:id="24"/>
      <w:r>
        <w:rPr>
          <w:rFonts w:ascii="Amiri" w:hAnsi="Amiri" w:eastAsia="Amiri" w:cs="Amiri"/>
          <w:color w:val="111111"/>
          <w:sz w:val="28"/>
          <w:sz w:val="28"/>
          <w:szCs w:val="28"/>
          <w:rtl w:val="true"/>
          <w:lang w:bidi="ar-SA"/>
        </w:rPr>
        <w:t>مؤلفاته، مما وقفنا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أوردنا اسم الكتاب في الموضوع 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يدخل الكتاب في موضوع آخر بوجه مّا، فلا نعيده حذرا من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أثبتنا ما يشمل أكثر من موضوع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المتفرقات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رتّبنا أسماء الكتب على ترتيب العلوم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الخط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التجويد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المناجاة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الأديان و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أصول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الجامع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الأخلاق و العرفان و الآداب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العقلية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المتفرقات</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3297952_3650668749"/>
      <w:bookmarkStart w:id="26" w:name="_Toc10"/>
      <w:bookmarkEnd w:id="25"/>
      <w:r>
        <w:rPr>
          <w:rtl w:val="true"/>
        </w:rPr>
        <w:t>أولا</w:t>
      </w:r>
      <w:r>
        <w:rPr>
          <w:rtl w:val="true"/>
        </w:rPr>
        <w:t xml:space="preserve">: </w:t>
      </w:r>
      <w:r>
        <w:rPr>
          <w:rtl w:val="true"/>
        </w:rPr>
        <w:t>علوم العربيّة</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الضبط في علم الخطّ 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في علم الصرف 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 النوروزية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قبل سنّ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على شرح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الفهرست و انظر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النحو 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الفهرست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تطبيق مسائل النحو على المطالب العرفانيّة، و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قبل البلوغ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الدجى شرح على البهجة المرضيّة للجلال السيوطي على ألفية ابن مالك، ألّفه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الظلام، ألّفه قبل البلوغ 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في النحو، نظمها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هي غير ما مرّ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قائمتنا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الكلمات النحوية، ألّفها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الفهرست و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الربيع في علم البديع، 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الفهرست و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ذكرها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في علم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طبعت مع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تشويقات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البيان في علم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الأدب 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البلاغة في الخطب التي أنشأها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هي اثنتا عشرة خطبة، طبعت مع منتخب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قواميس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عام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المكنون في شرح ديوان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تشويقات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القصيدة المخمسة للشيخ زين الدين ابن صاحب المعالم، في رثاء الامام الحسين عليه السّلام، بالفارسية ذكرها في الفهرست و الملاحظ أنّ القصيدة ليست من نظمه هو و قد طبعت منسوبة إلى ناظمها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للعاملي كما أفاده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الشرح مطبوع مكرّرا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قصيدة الحميري، التي مطلعها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عمر و باللوى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قصيدة الفرزدق، التي مطلعها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سائلي أين حلّ الجود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لامية العجم، للطغرائي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السحاب في شرح الخطبة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اللغز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هكذا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في الفهرست باسم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اللغز</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اللغز و شرح اللغز عنوانان مستقلان، و لكن لمّا كانا مختصرين ذكرا في عنوان واحد</w:t>
      </w:r>
      <w:r>
        <w:rPr>
          <w:rFonts w:eastAsia="Amiri" w:cs="Amiri" w:ascii="Amiri" w:hAnsi="Amiri"/>
          <w:color w:val="111111"/>
          <w:sz w:val="28"/>
          <w:szCs w:val="28"/>
          <w:rtl w:val="true"/>
          <w:lang w:bidi="ar-SA"/>
        </w:rPr>
        <w:t>.</w:t>
      </w:r>
      <w:bookmarkStart w:id="27" w:name="pg1913_17581"/>
    </w:p>
    <w:p>
      <w:pPr>
        <w:pStyle w:val="BookText"/>
        <w:rPr/>
      </w:pPr>
      <w:bookmarkEnd w:id="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الأمثال في أمثال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 مكرّرا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درّة الغوّاص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أوهام الخواص، للحريري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المقالات من كتاب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مقامات الحريري؟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الفهرست</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3297954_3650668749"/>
      <w:bookmarkStart w:id="29" w:name="_Toc11"/>
      <w:bookmarkEnd w:id="28"/>
      <w:r>
        <w:rPr>
          <w:rtl w:val="true"/>
        </w:rPr>
        <w:t>ثانيا</w:t>
      </w:r>
      <w:r>
        <w:rPr>
          <w:rtl w:val="true"/>
        </w:rPr>
        <w:t xml:space="preserve">: </w:t>
      </w:r>
      <w:r>
        <w:rPr>
          <w:rtl w:val="true"/>
        </w:rPr>
        <w:t>علوم القرآن</w:t>
      </w:r>
      <w:bookmarkEnd w:id="29"/>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التجويد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الكاملة، ألّفها قبل البلوغ 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السانحة في تفسير 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القهر في تفسير سورة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أشار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نسخة المؤلف في مكتبة المحيط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المعاريف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الجمعة، بالعربية 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الجمعة،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الفهرست و ذكر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طبع في عصر المؤلف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سورة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bookmarkStart w:id="30" w:name="pg1913_17583"/>
    </w:p>
    <w:p>
      <w:pPr>
        <w:pStyle w:val="BookText"/>
        <w:rPr/>
      </w:pPr>
      <w:bookmarkEnd w:id="3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الدرر في تفسير سورة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الفهرست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 في عصر المؤلف</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3297956_3650668749"/>
      <w:bookmarkStart w:id="32" w:name="_Toc12"/>
      <w:bookmarkEnd w:id="31"/>
      <w:r>
        <w:rPr>
          <w:rtl w:val="true"/>
        </w:rPr>
        <w:t>ثالثا</w:t>
      </w:r>
      <w:r>
        <w:rPr>
          <w:rtl w:val="true"/>
        </w:rPr>
        <w:t xml:space="preserve">: </w:t>
      </w:r>
      <w:r>
        <w:rPr>
          <w:rtl w:val="true"/>
        </w:rPr>
        <w:t>علوم الحديث</w:t>
      </w:r>
      <w:bookmarkEnd w:id="32"/>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الدراية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علم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المعاد في فضائل محمّد و 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في كاشان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عشرة أبواب و في قم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 نامة، في مدح علي عليه السّلام، و هو منظوم بالفارسية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مع إشعار اخرى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نسخة مخطوطة في 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الفهرست و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الأربعين في فضائل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الأبرار في فضائل محمّد و آل محمّد الأطهار عليهم السّلام 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المعاد في فضائل محمّد و آل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المناجاة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الحجة في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 السائر في دعوات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نخبة من الدعوات الواردة في الأوقات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ذكرها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نخبة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 الفؤاد في المناجاة،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السعادات في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المقالات المخزونة في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الملهمة القدّوسيّة في المناجاة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الحديث و شرحه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جذبة الحقيقة في شرح دعاء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النواهي في شرح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أورده الصدوق في أماليه، المجلس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الحوادث في شرح زيارة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محمّد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الجوشن الصغير 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دعاء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ألفه عام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دعاء صنمي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دعاء العديلة،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له شرح فارسي يأتي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الاستادى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bookmarkStart w:id="33" w:name="pg1913_17587"/>
    </w:p>
    <w:p>
      <w:pPr>
        <w:pStyle w:val="BookText"/>
        <w:rPr/>
      </w:pPr>
      <w:bookmarkEnd w:id="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المناجاة الخمسة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زيارة العاشوراء 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مصاعد الصلاح في شرح دعاء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قبس المقتبس في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الأنبياء في 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السنية في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 و قد طبع بخط ابن المؤلف الشيخ محمّد الشريف</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3297958_3650668749"/>
      <w:bookmarkStart w:id="35" w:name="_Toc13"/>
      <w:bookmarkEnd w:id="34"/>
      <w:r>
        <w:rPr>
          <w:rtl w:val="true"/>
        </w:rPr>
        <w:t>رابعا علم الكلام</w:t>
      </w:r>
      <w:bookmarkEnd w:id="35"/>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الثمين في أصول الدين، 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طبعت في طهران في عصر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إثبات الرجعة،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الفهرست و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 ثم طبعت بعد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تعليقات عليه 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المشارق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شرح الباب الحادي عشر 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عقائد الإيمان شرح فارسي على دعاء العديلة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bookmarkStart w:id="36" w:name="pg1913_17589"/>
    </w:p>
    <w:p>
      <w:pPr>
        <w:pStyle w:val="BookText"/>
        <w:rPr/>
      </w:pPr>
      <w:bookmarkEnd w:id="36"/>
      <w:r>
        <w:rPr>
          <w:rFonts w:ascii="Amiri" w:hAnsi="Amiri" w:eastAsia="Amiri" w:cs="Amiri"/>
          <w:color w:val="111111"/>
          <w:sz w:val="28"/>
          <w:sz w:val="28"/>
          <w:szCs w:val="28"/>
          <w:rtl w:val="true"/>
          <w:lang w:bidi="ar-SA"/>
        </w:rPr>
        <w:t xml:space="preserve">و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كتبه بعد شرحه لدعاء العديلة بالعربية المار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الأديان و مصطلحات الفرق و الردود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السبل في بيان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رجوم الشياطين في الردّ على البابية الملاعين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بيان اصطلاحات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الفهرست باسم مقدمة السلوك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الردّ على البابية و ذكر كلماتهم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فضيحة اللئام في ردّ من ابتدع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3297960_3650668749"/>
      <w:bookmarkStart w:id="38" w:name="_Toc14"/>
      <w:bookmarkEnd w:id="37"/>
      <w:r>
        <w:rPr>
          <w:rtl w:val="true"/>
        </w:rPr>
        <w:t>خامسا</w:t>
      </w:r>
      <w:r>
        <w:rPr>
          <w:rtl w:val="true"/>
        </w:rPr>
        <w:t xml:space="preserve">: </w:t>
      </w:r>
      <w:r>
        <w:rPr>
          <w:rtl w:val="true"/>
        </w:rPr>
        <w:t>علم أصول الفقه</w:t>
      </w:r>
      <w:bookmarkEnd w:id="38"/>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على مقدّمة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أصل البراءة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الفهرست مبسوطة، و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أصل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أحمد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المؤلف في لباب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ترجمة النراقي و كتابه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شرحته في سالف الأيام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الأصحاب في تحقيق مسألة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bookmarkStart w:id="39" w:name="pg1913_17591"/>
    </w:p>
    <w:p>
      <w:pPr>
        <w:pStyle w:val="BookText"/>
        <w:rPr/>
      </w:pPr>
      <w:bookmarkEnd w:id="3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المنظومة في الأصول و لعلها المسمّاة بزبدة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الفهرست و قال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ألفتها قبل البلوغ و هي تزيد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و مأتين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الأبيات، توجد نسخة مخطوطة في مكتبة السيّد المرعشي رحمه اللّه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الوصول في الأصول، 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النخبة الوفية في شرح المنظومة الموسومة بالدرة البهية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التحقيق انها شرح لمنظومة التنكابني رحمه اللّه كذا في الفهرست و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المؤلف ذكر في كتابه لباب الألقاب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شرح منظومة في الأصول من تأليف التنكابني صاحب قصص العلماء، هي المشروحة هنا، إلّا أن الاستادي ذكر هذا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ناسبا للمنظومة الى السيد بحر العلوم، و ذكر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آخر للمؤلف،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المسالك الى المدارك في رؤوس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نقل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التعليقات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مستقصى القواعد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الفهرست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مستقصى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ألفه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جزؤه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شرح لتسهيل المسالك المذكور آنفا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لاحظ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3297962_3650668749"/>
      <w:bookmarkStart w:id="41" w:name="_Toc15"/>
      <w:bookmarkEnd w:id="40"/>
      <w:r>
        <w:rPr>
          <w:rtl w:val="true"/>
        </w:rPr>
        <w:t>سادسا</w:t>
      </w:r>
      <w:r>
        <w:rPr>
          <w:rtl w:val="true"/>
        </w:rPr>
        <w:t xml:space="preserve">: </w:t>
      </w:r>
      <w:r>
        <w:rPr>
          <w:rtl w:val="true"/>
        </w:rPr>
        <w:t>علم الفقه</w:t>
      </w:r>
      <w:bookmarkEnd w:id="41"/>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الفقهية الجامعة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الرياض في التعليقات على الشرح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p>
    <w:p>
      <w:pPr>
        <w:pStyle w:val="BookText"/>
        <w:rPr/>
      </w:pPr>
      <w:r>
        <w:rPr>
          <w:rFonts w:ascii="Amiri" w:hAnsi="Amiri" w:eastAsia="Amiri" w:cs="Amiri"/>
          <w:color w:val="111111"/>
          <w:sz w:val="28"/>
          <w:sz w:val="28"/>
          <w:szCs w:val="28"/>
          <w:rtl w:val="true"/>
          <w:lang w:bidi="ar-SA"/>
        </w:rPr>
        <w:t>في الفهرست إنه في مجلدين و لكن يوجد منه ثلاث مجلدات عند أحفاده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على رسالة آقا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الفهرست و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متنها للوحيد 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على رسالة زينة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على رسالة الشيخ جعفر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الحواشي على رسالة مجمع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انتخاب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الفهرست و أشار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طبعه في عصر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فارسية في أحكام التقليد 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الفهرست و اقتصر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طبع في عصر المؤلّف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الحواشي على شرح اللمعة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الحواشي من السيد الترك و جمعه و ترتيبه من المترجم له مع زيادات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لاحظ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الأحكام في مسائل العبادات،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المسائل العملية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المسائل في العبادات،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ذكره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المسائل، و قال انه طبع في عصر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منتقد المنافع في شرح المختصر النافع،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قال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في الطهارة،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في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الزكاة، و الخمس، و الصوم،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و الشهادات،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المتاجر،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يوجد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لان القضاء و الشهادة في مجلدين 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في الفهرست و قد طبع منها أربع مجلّدات مصورة من خط المؤلف</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الإخوان في رؤوس المسائل العملية ذكرها في الفهرست و في اللباب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وسيلة الإخوان إلى أحكام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حكم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أفعال الصلاة و جملة مما يتعلق بها من الخلل،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الشكيّات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الشكيّات و السهويات،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المقام في نظم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في أفعال الصلاة، ألّفها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طبعت بخط ابن المؤلف الشيخ محمّد الشريف الكاشاني مع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الإحكام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مطبوع في عصر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الأفعال في بيان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مغانم المجتهدين في صلاة الجمعة و العيدين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طبع مصوّرا من خط المصنف مع تقديم في ترجمته بقلم سبط المؤلف الحاج عزيز اللّه الحسيني إمامت كتبها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الصائمين في أسرار الصوم و 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أفعال الحج و العمرة،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المعاملات بالمعنى الأخص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البيان في تسهيل الأوزان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ألفه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 مكررا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ذريعة الاستغناء في تحقيق مسألة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لاحظ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هذا الكتاب الذي نقدّم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معاملات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المكاسب و المتاجر، فارسية 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الرضاع 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عدم جواز الصلح عن حق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الإرث،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الفصل في أن منجزات المريض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bookmarkStart w:id="42" w:name="pg1913_17599"/>
    </w:p>
    <w:p>
      <w:pPr>
        <w:pStyle w:val="BookText"/>
        <w:rPr/>
      </w:pPr>
      <w:bookmarkEnd w:id="42"/>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و الديات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القصاص و الديات،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على القصاص و الديات من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فيه الطلاق، و الفهرست و في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شرح مفاتيح الشرائع</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3297964_3650668749"/>
      <w:bookmarkStart w:id="44" w:name="_Toc16"/>
      <w:bookmarkEnd w:id="43"/>
      <w:r>
        <w:rPr>
          <w:rtl w:val="true"/>
        </w:rPr>
        <w:t>سابعا</w:t>
      </w:r>
      <w:r>
        <w:rPr>
          <w:rtl w:val="true"/>
        </w:rPr>
        <w:t xml:space="preserve">: </w:t>
      </w:r>
      <w:r>
        <w:rPr>
          <w:rtl w:val="true"/>
        </w:rPr>
        <w:t>علم التاريخ</w:t>
      </w:r>
      <w:bookmarkEnd w:id="44"/>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حسينيّة،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طبع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الشهداء في مصائب سيد الشهداء،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مرتب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مجلسا، و قد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بالقطع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التراجم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الألقاب في ألقاب الأطياب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فيه لمجموعة من المعروفين بألقاب خاصة، فرغ منه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آخر اللباب نفسه، و في الفهرست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المقال في معرفة الرجال قال بعض أحفاده كان للمترجم له كتاب كبير في الرجال غير اللباب و لعله هذا، ذكره المؤلف في ضمن أجازته للفقيه المجاهد السيد حسين الرضوي الكاشاني التي نقلها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لم نقف عليه حتى الآن</w:t>
      </w:r>
      <w:r>
        <w:rPr>
          <w:rFonts w:eastAsia="Amiri" w:cs="Amiri" w:ascii="Amiri" w:hAnsi="Amiri"/>
          <w:color w:val="111111"/>
          <w:sz w:val="28"/>
          <w:szCs w:val="28"/>
          <w:rtl w:val="true"/>
          <w:lang w:bidi="ar-SA"/>
        </w:rPr>
        <w:t>.</w:t>
      </w:r>
      <w:bookmarkStart w:id="45" w:name="pg1913_17601"/>
    </w:p>
    <w:p>
      <w:pPr>
        <w:pStyle w:val="Heading5"/>
        <w:numPr>
          <w:ilvl w:val="4"/>
          <w:numId w:val="1"/>
        </w:numPr>
        <w:rPr/>
      </w:pPr>
      <w:bookmarkStart w:id="46" w:name="__RefHeading___Toc3297966_3650668749"/>
      <w:bookmarkStart w:id="47" w:name="_Toc17"/>
      <w:bookmarkEnd w:id="45"/>
      <w:bookmarkEnd w:id="46"/>
      <w:r>
        <w:rPr>
          <w:rtl w:val="true"/>
        </w:rPr>
        <w:t>ثامنا</w:t>
      </w:r>
      <w:r>
        <w:rPr>
          <w:rtl w:val="true"/>
        </w:rPr>
        <w:t xml:space="preserve">: </w:t>
      </w:r>
      <w:r>
        <w:rPr>
          <w:rtl w:val="true"/>
        </w:rPr>
        <w:t>الأخلاق و العرفان</w:t>
      </w:r>
      <w:bookmarkEnd w:id="47"/>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العارفين في الأخلاق و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البارقات الملكوتية في المعارف و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آداب الأعياد الشريفة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ذكرها الاستادي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الأعياد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طبعت في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آداب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الفهرست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ساقي نامة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الفهرست و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شكايت نامة، منظومة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أربعة فصول، طبعت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الرشاد،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السينية 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في ذم الزمان، و الاستغاثة بصاحب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الربّانية في باطنيات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مقصود در وفاء بعقود، فارسية ذكره في اللباب </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الفهرست و قال الاستادي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ألّفه عام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عام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كاشان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التعليم و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 نظمه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طبع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التراتيب في نظم درر المكاتيب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bookmarkStart w:id="48" w:name="pg1913_17603"/>
    </w:p>
    <w:p>
      <w:pPr>
        <w:pStyle w:val="BookText"/>
        <w:rPr/>
      </w:pPr>
      <w:bookmarkEnd w:id="48"/>
      <w:r>
        <w:rPr>
          <w:rFonts w:ascii="Amiri" w:hAnsi="Amiri" w:eastAsia="Amiri" w:cs="Amiri"/>
          <w:color w:val="111111"/>
          <w:sz w:val="28"/>
          <w:sz w:val="28"/>
          <w:szCs w:val="28"/>
          <w:rtl w:val="true"/>
          <w:lang w:bidi="ar-SA"/>
        </w:rPr>
        <w:t xml:space="preserve">و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العرفان، و هو شرح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تأليف قطب الدين الأنصاري الخزرجي السعدي، من العامة، طبع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و الشرح بالفارسية، مع أن المتن بالعربية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ترجيع بند، في مراتب السير، منظومة في السلوك نظمها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قائمة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طبعت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تشويقات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تشويقات السالكين الى معارج الحق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فارسي، 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نظمه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صفحات، و أعيد بالتصوير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الغافلين في المثنويات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و قد طبع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تشويقات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خواص الأسماء الحسني في شرحها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الفهرست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طبع في عصر المؤلف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اللاهوت، منظومة في المطالب العرفانية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العرفان في المثنويات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الجذبيّة في الآداب الملكوتية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3297968_3650668749"/>
      <w:bookmarkStart w:id="50" w:name="_Toc18"/>
      <w:bookmarkEnd w:id="49"/>
      <w:r>
        <w:rPr>
          <w:rtl w:val="true"/>
        </w:rPr>
        <w:t>تاسعا</w:t>
      </w:r>
      <w:r>
        <w:rPr>
          <w:rtl w:val="true"/>
        </w:rPr>
        <w:t xml:space="preserve">: </w:t>
      </w:r>
      <w:r>
        <w:rPr>
          <w:rtl w:val="true"/>
        </w:rPr>
        <w:t>العلوم العقلية</w:t>
      </w:r>
      <w:bookmarkEnd w:id="50"/>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المنطق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المناظرة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bookmarkStart w:id="51" w:name="pg1913_17605"/>
    </w:p>
    <w:p>
      <w:pPr>
        <w:pStyle w:val="BookText"/>
        <w:rPr/>
      </w:pPr>
      <w:bookmarkEnd w:id="5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وجيزة في علم المناظرة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3297970_3650668749"/>
      <w:bookmarkStart w:id="53" w:name="_Toc19"/>
      <w:bookmarkEnd w:id="52"/>
      <w:r>
        <w:rPr>
          <w:rtl w:val="true"/>
        </w:rPr>
        <w:t>عاشرا</w:t>
      </w:r>
      <w:r>
        <w:rPr>
          <w:rtl w:val="true"/>
        </w:rPr>
        <w:t xml:space="preserve">: </w:t>
      </w:r>
      <w:r>
        <w:rPr>
          <w:rtl w:val="true"/>
        </w:rPr>
        <w:t>علوم غريبة</w:t>
      </w:r>
      <w:bookmarkEnd w:id="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اصطلاحات أهل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علم الجفر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المستسرّ في الطلسمات و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الفهرست</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297972_3650668749"/>
      <w:bookmarkStart w:id="55" w:name="_Toc20"/>
      <w:bookmarkEnd w:id="54"/>
      <w:r>
        <w:rPr>
          <w:rtl w:val="true"/>
        </w:rPr>
        <w:t>حادي عشر</w:t>
      </w:r>
      <w:r>
        <w:rPr>
          <w:rtl w:val="true"/>
        </w:rPr>
        <w:t xml:space="preserve">: </w:t>
      </w:r>
      <w:r>
        <w:rPr>
          <w:rtl w:val="true"/>
        </w:rPr>
        <w:t>المتفرّقات</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الإشعار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الفهرست و لعله هو الذي ذكره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أن يكون هي المجموعة المطبوعة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تشويقات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مرّ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الحكايات في الأمثال و القصص المضحكة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طبع مرارا عديدة، و ذكره في 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بأسماء ما احتوته مكتبته من الكتب، و يحتوي أيضا على وصيّة له رحمه اللّه، 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 ابنه الشيخ محمّد الشريف خصوص أسماء مؤلفاته من هذا الفهرست،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 المجتهدين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قواميس الدرر في مطالب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كتاب كبير نفيس في مجلدين و ذكره في الفهرست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گلزار أسرار في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في اللباب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الفهرست و طبع عام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ذكره الاستادي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القواميس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الفهرست و هو مختار من كتابه السابق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الاستادي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طبع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bookmarkStart w:id="56" w:name="pg1913_17606"/>
    </w:p>
    <w:p>
      <w:pPr>
        <w:pStyle w:val="BookText"/>
        <w:rPr/>
      </w:pPr>
      <w:bookmarkEnd w:id="56"/>
      <w:r>
        <w:rPr>
          <w:rFonts w:ascii="Amiri" w:hAnsi="Amiri" w:eastAsia="Amiri" w:cs="Amiri"/>
          <w:color w:val="111111"/>
          <w:sz w:val="28"/>
          <w:sz w:val="28"/>
          <w:szCs w:val="28"/>
          <w:rtl w:val="true"/>
          <w:lang w:bidi="ar-SA"/>
        </w:rPr>
        <w:t>و لسماحة المؤلف عدة قصائد في رثاء الامام الحسين عليه السّلام ذكرت في الفهرست بأرقام عديدة لم نعدّها نحن في هذه القائمة مؤلفات مستقلّة، و هي مطبوعة مع كتاب تشويقات السالكين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تيسّر لنا جمعه، و تنظيمه من أسماء مؤلّفاته رحمه اللّه حسب موضوعات العلوم، و من أراد الوقوف عليها منظمة حسب الحروف في أوائلها، فعليه بالقائمة التي أعدّها فضيلة الشيخ الاستادي دام علاه، و المنشورة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مركز جماعة المدرسين في قم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3297974_3650668749"/>
      <w:bookmarkStart w:id="58" w:name="_Toc21"/>
      <w:bookmarkEnd w:id="57"/>
      <w:r>
        <w:rPr>
          <w:rtl w:val="true"/>
        </w:rPr>
        <w:t>وفاة المؤلّف</w:t>
      </w:r>
      <w:r>
        <w:rPr>
          <w:rtl w:val="true"/>
        </w:rPr>
        <w:t>:</w:t>
      </w:r>
      <w:bookmarkEnd w:id="58"/>
    </w:p>
    <w:p>
      <w:pPr>
        <w:pStyle w:val="BookText"/>
        <w:rPr/>
      </w:pPr>
      <w:r>
        <w:rPr>
          <w:rFonts w:ascii="IRNazanin" w:hAnsi="IRNazanin" w:eastAsia="IRNazanin"/>
          <w:color w:val="111111"/>
          <w:sz w:val="28"/>
          <w:sz w:val="28"/>
          <w:szCs w:val="28"/>
          <w:rtl w:val="true"/>
          <w:lang w:bidi="fa-IR"/>
        </w:rPr>
        <w:t>و بعد عمر ناهز الثمانين، بورك له فيه و في إنتاجه، حظي منه المؤلّف بالخلود و الذكر الحميد، و قد أطنب مترجموه في الثناء عليه، مثل ما قاله العلامة شيخنا آقا بزرگ الطهرانيّ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عالم فقيه، و رئيس جليل، و مؤلّف مروّج، مكثر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ذاع صيته، و انتشرت ترجمته، و خلّف مع تراثه العلميّ ذريّة صالحة من خمسة أولاد، و ستّ بنات، و ثلة من الأحفاد الذين يرفلون في أثواب المجد و الصلاح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قضى الشيخ المؤلّف في الثالث و العشرون من جمادى الآخرة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في كاشان، و دفن في قبر أصبح مزارا يرتاده المؤمنون حتى هذه الأيام فرحمه اللّه، و أسبغ عليه من برّه و رضاه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على إحسانه و نسأله الرضا بفضله و جلاله انه ذو الجلال و الإكرام</w:t>
      </w:r>
      <w:r>
        <w:rPr>
          <w:rFonts w:eastAsia="Amiri" w:cs="Amiri" w:ascii="Amiri" w:hAnsi="Amiri"/>
          <w:color w:val="111111"/>
          <w:sz w:val="28"/>
          <w:szCs w:val="28"/>
          <w:rtl w:val="true"/>
          <w:lang w:bidi="ar-SA"/>
        </w:rPr>
        <w:t>».</w:t>
      </w:r>
      <w:bookmarkStart w:id="59" w:name="pg1913_17608"/>
    </w:p>
    <w:p>
      <w:pPr>
        <w:pStyle w:val="Heading2"/>
        <w:numPr>
          <w:ilvl w:val="1"/>
          <w:numId w:val="1"/>
        </w:numPr>
        <w:rPr/>
      </w:pPr>
      <w:bookmarkStart w:id="60" w:name="__RefHeading___Toc3297976_3650668749"/>
      <w:bookmarkStart w:id="61" w:name="_Toc22"/>
      <w:bookmarkEnd w:id="59"/>
      <w:bookmarkEnd w:id="60"/>
      <w:r>
        <w:rPr>
          <w:rtl w:val="true"/>
        </w:rPr>
        <w:t>[</w:t>
      </w:r>
      <w:r>
        <w:rPr>
          <w:rtl w:val="true"/>
        </w:rPr>
        <w:t>مقدّمة المؤلّف</w:t>
      </w:r>
      <w:r>
        <w:rPr>
          <w:rtl w:val="true"/>
        </w:rPr>
        <w:t>]</w:t>
      </w:r>
      <w:bookmarkEnd w:id="61"/>
    </w:p>
    <w:p>
      <w:pPr>
        <w:pStyle w:val="BookText"/>
        <w:rPr/>
      </w:pPr>
      <w:r>
        <w:rPr>
          <w:rFonts w:ascii="Amiri" w:hAnsi="Amiri" w:eastAsia="Amiri" w:cs="Amiri"/>
          <w:color w:val="111111"/>
          <w:sz w:val="28"/>
          <w:sz w:val="28"/>
          <w:szCs w:val="28"/>
          <w:rtl w:val="true"/>
          <w:lang w:bidi="ar-SA"/>
        </w:rPr>
        <w:t>بِسْمِ اللّٰهِ الرَّحْمٰنِ الرَّحيٖمِ بديعا أنطق عنادل بساتين العرفان بمطربات النغمات و معجبات الألحان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على محمّد عندليب الحقّ، الّذي اضطلع بما حمّل من أعباء الرسالة فتغنّى بأفصح الكلمات و أحسن البيان، و أفصح عن أسرار نبوّته بساطع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آله المعصومين الطيّبين، الداعين بالحقّ إلى الحقّ المبين، ما تغرّدت الورق في أفنان الأفنان </w:t>
      </w:r>
      <w:r>
        <w:rPr>
          <w:rStyle w:val="FootnoteAnchor"/>
          <w:rtl w:val="true"/>
        </w:rPr>
        <w:footnoteReference w:id="7"/>
      </w:r>
      <w:r>
        <w:rPr>
          <w:rFonts w:ascii="IRNazanin" w:hAnsi="IRNazanin" w:eastAsia="IRNazanin"/>
          <w:color w:val="111111"/>
          <w:sz w:val="28"/>
          <w:sz w:val="28"/>
          <w:szCs w:val="28"/>
          <w:rtl w:val="true"/>
          <w:lang w:bidi="fa-IR"/>
        </w:rPr>
        <w:t>و تغنّت بفنون الأسجاع و شجون الألحان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فيقول العبد الفقير إلى اللّه الصمد، حبيب اللّه بن عليّ 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رسالة أفردتها لكشف الغطاء عن وجه حقيقة مسألة الغناء، بمصابيح التحقيق و فتح مقفلات إسرارها بمفاتيح التدقيق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رتّبتها على مقدمات، و مقاصد، و خاتمة</w:t>
      </w:r>
      <w:r>
        <w:rPr>
          <w:rFonts w:eastAsia="Amiri" w:cs="Amiri" w:ascii="Amiri" w:hAnsi="Amiri"/>
          <w:color w:val="111111"/>
          <w:sz w:val="28"/>
          <w:szCs w:val="28"/>
          <w:rtl w:val="true"/>
          <w:lang w:bidi="ar-SA"/>
        </w:rPr>
        <w:t>.</w:t>
      </w:r>
      <w:bookmarkStart w:id="62" w:name="pg1913_17610"/>
    </w:p>
    <w:p>
      <w:pPr>
        <w:pStyle w:val="Heading2"/>
        <w:numPr>
          <w:ilvl w:val="1"/>
          <w:numId w:val="1"/>
        </w:numPr>
        <w:rPr/>
      </w:pPr>
      <w:bookmarkStart w:id="63" w:name="__RefHeading___Toc3297978_3650668749"/>
      <w:bookmarkStart w:id="64" w:name="_Toc23"/>
      <w:bookmarkEnd w:id="62"/>
      <w:bookmarkEnd w:id="63"/>
      <w:r>
        <w:rPr>
          <w:rtl w:val="true"/>
        </w:rPr>
        <w:t>أمّا المقدّمات فعشر</w:t>
      </w:r>
      <w:bookmarkEnd w:id="64"/>
    </w:p>
    <w:p>
      <w:pPr>
        <w:pStyle w:val="Heading3"/>
        <w:numPr>
          <w:ilvl w:val="2"/>
          <w:numId w:val="1"/>
        </w:numPr>
        <w:rPr/>
      </w:pPr>
      <w:bookmarkStart w:id="65" w:name="__RefHeading___Toc3297980_3650668749"/>
      <w:bookmarkStart w:id="66" w:name="_Toc24"/>
      <w:bookmarkEnd w:id="65"/>
      <w:r>
        <w:rPr>
          <w:rtl w:val="true"/>
        </w:rPr>
        <w:t>الاولى</w:t>
      </w:r>
      <w:r>
        <w:rPr>
          <w:rtl w:val="true"/>
        </w:rPr>
        <w:t>:</w:t>
      </w:r>
      <w:bookmarkEnd w:id="66"/>
    </w:p>
    <w:p>
      <w:pPr>
        <w:pStyle w:val="BookText"/>
        <w:rPr/>
      </w:pPr>
      <w:r>
        <w:rPr>
          <w:rFonts w:ascii="Amiri" w:hAnsi="Amiri" w:eastAsia="Amiri" w:cs="Amiri"/>
          <w:color w:val="111111"/>
          <w:sz w:val="28"/>
          <w:sz w:val="28"/>
          <w:szCs w:val="28"/>
          <w:rtl w:val="true"/>
          <w:lang w:bidi="ar-SA"/>
        </w:rPr>
        <w:t>الحقّ المدلول عليه بالعقل و وجوه من النقل، الموافق لمذهب مجتهدين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الأشياء كلّها مطلقة حتى يرد في شي‌ء منها نهي، من آية محكمة أو سنّة معتبرة أو إجماع قطعي أو ضرورة دينيّة أو عقل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خلا مستند تحريمه عن أحد هذه الأمور فهو على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أمور الأديان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اختلاف فيه بين الأمّة و هو ضرورة في الدين لا يقبل الشكّ، و أمر يحتمل الشكّ و الإنكار، فمن ادّعى شيئا من هذا القسم فعليه أن يحتجّ عليه بكتاب مجمع على تأويله، أو سنّة من النبي صلّى اللّه عليه و آله و سلّم لا اختلاف فيها، أو قياس تعرف العقول عدله، و ضاق على من استوضح تلك الحجة ردّها، و وجب عليه قبولها و الإقرار و الديانة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ادّعى شيئا من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شي‌ء من هذه الحجج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خاصّة الأمّة و عامّتها الشكّ فيه و الإنكار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8"/>
      </w:r>
      <w:r>
        <w:rPr>
          <w:rFonts w:ascii="Amiri" w:hAnsi="Amiri" w:eastAsia="Amiri" w:cs="Amiri"/>
          <w:color w:val="111111"/>
          <w:sz w:val="28"/>
          <w:sz w:val="28"/>
          <w:szCs w:val="28"/>
          <w:rtl w:val="true"/>
          <w:lang w:bidi="ar-SA"/>
        </w:rPr>
        <w:t>ثمّ إن ورد في شي‌ء نهي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صريحا في التحريم أو ظاهرا فيه، كما هو ظاهر صيغته، و لم يكن له معارض، و لا</w:t>
      </w:r>
    </w:p>
    <w:p>
      <w:pPr>
        <w:pStyle w:val="BookText"/>
        <w:rPr/>
      </w:pPr>
      <w:r>
        <w:rPr>
          <w:rFonts w:ascii="Amiri" w:hAnsi="Amiri" w:eastAsia="Amiri" w:cs="Amiri"/>
          <w:color w:val="111111"/>
          <w:sz w:val="28"/>
          <w:sz w:val="28"/>
          <w:szCs w:val="28"/>
          <w:rtl w:val="true"/>
          <w:lang w:bidi="ar-SA"/>
        </w:rPr>
        <w:t>صالح للمعارضة و لم يكن إجمال في متعلّقه، فلا ريب في وجوب الحكم بتحريمه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عورض بما لا يصلح للمعارضة، أو يصلح و لكن كان في طرف النهي حاكما أو خاصّا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كانت الشبهة حكمية بتعارض الأدلّة و عدم المرجّح، و المرجع فيها عندنا أصل الإباحة، و عند الأخبارية أصل الحظر، لأخبار الاحتياط المحمولة على الاستحباب، جمعا بين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اللفظ الدالّ على النهي مجملا، كما لو قلنا باشتراك الصيغة مع فقد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كان متعلق الحكم مجملا بتردّد وضع لفظه بين أمرين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عدم وضوح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الموضوع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لو علم أنّ الخمر موضوع للمتّخذ من العنب و لكن نشكّ في أنّ غير المسكر منه مراد من النهي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لو علمنا أنّ الغناء موضوع للصوت المطرب، مع الشكّ في أنّ غير اللهويّ منه مراد من النهي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بإجمال الغناء، لعدم العلم بوضعه، يكون من أمثلة الأوّل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الاشتباه في طريق الحكم، بأن تكون الشبهة موضوعية مصداقيّة، و ضابطها أن يكون الشكّ في واقعة شخصيّة لأجل الاشتباه الخارجيّ، بأن يكون سبب الشكّ في حكم هذا الشخص الموجود في الخارج، الشكّ في كونه من مصاديق هذا الكلّي و أفراده أو في كونه من مصاديق ذلك الكلّي، مع العلم بحكم كل من الكليّين، بحيث لو ارتفع الاشتباه الخارجيّ و تبيّن كونه من أفراد أحدهما بعينه كان حكمه واضحا، كما لو شككت في مائع هل هو خمر أو خلّ؟ فهو لك حلال حتى تعرف أنّه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الأخبارية موافقون للمجتهدين في الحكم بالإباحة في هذه الصورة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يجري أصل الإباحة فيها مع معارضة الأصل الموضوعي الحاكم بالحرمة له، كما لو تردّدت المرأة بين الزوجة و الأجنبية، فإنّ أصالة عدم العلاقة الزوجية و استصحابه</w:t>
      </w:r>
    </w:p>
    <w:p>
      <w:pPr>
        <w:pStyle w:val="BookText"/>
        <w:rPr/>
      </w:pPr>
      <w:r>
        <w:rPr>
          <w:rFonts w:ascii="Amiri" w:hAnsi="Amiri" w:eastAsia="Amiri" w:cs="Amiri"/>
          <w:color w:val="111111"/>
          <w:sz w:val="28"/>
          <w:sz w:val="28"/>
          <w:szCs w:val="28"/>
          <w:rtl w:val="true"/>
          <w:lang w:bidi="ar-SA"/>
        </w:rPr>
        <w:t xml:space="preserve">قاضيان بالحرمة و حاكمان على أصل الإباحة </w:t>
      </w:r>
      <w:r>
        <w:rPr>
          <w:rStyle w:val="FootnoteAnchor"/>
          <w:rtl w:val="true"/>
        </w:rPr>
        <w:footnoteReference w:id="9"/>
      </w:r>
      <w:r>
        <w:rPr>
          <w:rFonts w:ascii="Amiri" w:hAnsi="Amiri" w:eastAsia="Amiri" w:cs="Amiri"/>
          <w:color w:val="111111"/>
          <w:sz w:val="28"/>
          <w:sz w:val="28"/>
          <w:szCs w:val="28"/>
          <w:rtl w:val="true"/>
          <w:lang w:bidi="ar-SA"/>
        </w:rPr>
        <w:t>، كما صرّح به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أيضا بأنّ الإجمال إذا كان في متعلّق الحكم و موضوعه كان من الشبهة الحكميّة مطلقا، سواء كان الإجمال للاشتباه في الوضع أو في المراد،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المشكوك في كونه غناء أو مرادا منه </w:t>
      </w:r>
      <w:r>
        <w:rPr>
          <w:rStyle w:val="FootnoteAnchor"/>
          <w:rtl w:val="true"/>
        </w:rPr>
        <w:footnoteReference w:id="10"/>
      </w:r>
      <w:r>
        <w:rPr>
          <w:rFonts w:ascii="Amiri" w:hAnsi="Amiri" w:eastAsia="Amiri" w:cs="Amiri"/>
          <w:color w:val="111111"/>
          <w:sz w:val="28"/>
          <w:sz w:val="28"/>
          <w:szCs w:val="28"/>
          <w:rtl w:val="true"/>
          <w:lang w:bidi="ar-SA"/>
        </w:rPr>
        <w:t>محتمل للحرمة و عدمها لأجل الاشتباه في حكمه بخصوصه، لا لأجل أمر خارجيّ لو ارتفع وضح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الشبهة في مفهوم الموضوع وجب الاجتناب عن كلّ ما يحتمل كونه موضوعا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لا يجري فيما علم ببعض الأفراد كما في الغناء، لحصول الامتثال بالاجتناب عنه و إنّما الشكّ في الزائد، فينفى حرمته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ظاهر جماعة، بل صريح بعضهم، اختصاص الشبهة الحكمية بما لو كان الاشتباه من جهة عدم الدليل أو من جهة تعارض الدليلين، و أنّ الإجمال إذا كان في متعلق الحكم كان من الشبهة في طريق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حكم بفساده بعض الفحول </w:t>
      </w:r>
      <w:r>
        <w:rPr>
          <w:rStyle w:val="FootnoteAnchor"/>
          <w:rtl w:val="true"/>
        </w:rPr>
        <w:footnoteReference w:id="11"/>
      </w:r>
      <w:r>
        <w:rPr>
          <w:rFonts w:ascii="Amiri" w:hAnsi="Amiri" w:eastAsia="Amiri" w:cs="Amiri"/>
          <w:color w:val="111111"/>
          <w:sz w:val="28"/>
          <w:sz w:val="28"/>
          <w:szCs w:val="28"/>
          <w:rtl w:val="true"/>
          <w:lang w:bidi="ar-SA"/>
        </w:rPr>
        <w:t>، نظرا إلى أنّ الحكم ليس هو نفس الحرمة بل هي مع اعتبار تعلّقها بفعل المكلف، فالشكّ فيه موجب للشكّ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لا بدّ له من محلّ يتقوّم به و الشكّ في المحلّ موجب للشكّ في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جرى في الشبهة الموضوعية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الموضوع فيها ثابت محقّق في نفس الأمر فلا شبهة في أصل العروض، بخلاف ما نحن فيه، فإنّ أصل العروض مشكوك فيه لعدم ثبوت الموضوع إلّا في الجملة، و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محقّقا في الجملة أيضا، و لكنّه غير محقّق بالنسبة إلى كل واحد من المحتملات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تبيّن أنّ الشبهة في مسألة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بإجماله لأحد الأمرين، أو تعارض ما دلّ من الأخبار على جوازه و حرمته بالنسبة إلى بعض افراده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الشبهة الحكميّة</w:t>
      </w:r>
      <w:bookmarkStart w:id="67" w:name="pg1913_17615"/>
    </w:p>
    <w:p>
      <w:pPr>
        <w:pStyle w:val="BookText"/>
        <w:rPr/>
      </w:pPr>
      <w:bookmarkEnd w:id="67"/>
      <w:r>
        <w:rPr>
          <w:rFonts w:ascii="Amiri" w:hAnsi="Amiri" w:eastAsia="Amiri" w:cs="Amiri"/>
          <w:color w:val="111111"/>
          <w:sz w:val="28"/>
          <w:sz w:val="28"/>
          <w:szCs w:val="28"/>
          <w:rtl w:val="true"/>
          <w:lang w:bidi="ar-SA"/>
        </w:rPr>
        <w:t>التحريميّة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الصوت المطرب اللهويّ المهيّج للشهوات المزيّن للسيّئات محقّق كونه غناء و مرادا من لفظ الغناء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احتمل حرمته باحتمال وضع اللفظ لما يشمله أو إرادته منه و لو على سبيل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غير ثابت، فيرجع إلى أصل الإباحة و البراءة عن الإلزام بحكم التحريم، كما يزعمه الأخباريّ، و إن وافقنا عليه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جعل المسألة منها، نظر إلى أنّ الاشتباه في الموضوع أوجب الاشتباه في الحكم، و إلّا فهو واضح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و حكى عن الشيخ الحرّ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الشبهات قسما متردّدا بين الشبهة الحكمية و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الأفراد التي ليست بظاهرة الفردية لبعض الأنواع، و ليس اشتباهها بسبب شي‌ء من الأمور الدنيوية كاختلاط الحلال بالحرام، بل بسبب أمر ذاتيّ أعني اشتباه صنفها في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كبعض أفراد الغناء الّذي قد ثبت تحريم نوعه، و اشتبه أنواعه في أفراد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أفراد الخبائث الّذي قد ثبت تحريم نوعه، و اشتبه بعض أفراده، و منها شرب التتن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النوع يظهر من الأخبار دخوله في الشبهات التي ورد الأمر باجتنابها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ما لا يخفى بعد ما بيّنّاه، و قد فصّلناه في محله </w:t>
      </w:r>
      <w:r>
        <w:rPr>
          <w:rStyle w:val="FootnoteAnchor"/>
          <w:rtl w:val="true"/>
        </w:rPr>
        <w:footnoteReference w:id="13"/>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297982_3650668749"/>
      <w:bookmarkStart w:id="69" w:name="_Toc25"/>
      <w:bookmarkEnd w:id="68"/>
      <w:r>
        <w:rPr>
          <w:rtl w:val="true"/>
        </w:rPr>
        <w:t>المقدّمة الثانية</w:t>
      </w:r>
      <w:r>
        <w:rPr>
          <w:rtl w:val="true"/>
        </w:rPr>
        <w:t>:</w:t>
      </w:r>
      <w:bookmarkEnd w:id="69"/>
    </w:p>
    <w:p>
      <w:pPr>
        <w:pStyle w:val="BookText"/>
        <w:rPr/>
      </w:pPr>
      <w:r>
        <w:rPr>
          <w:rFonts w:ascii="Amiri" w:hAnsi="Amiri" w:eastAsia="Amiri" w:cs="Amiri"/>
          <w:color w:val="111111"/>
          <w:sz w:val="28"/>
          <w:sz w:val="28"/>
          <w:szCs w:val="28"/>
          <w:rtl w:val="true"/>
          <w:lang w:bidi="ar-SA"/>
        </w:rPr>
        <w:t>الأظهر عندي وفاقا لكثير من المحقّقين أنه لا عبرة بنقل الإجماع في مقام الاستدلال لحرمة العمل بالظن إلّا ما خرج بخصوصه، و لا دليل على خروج الظنّ الحاصل بالإجماع المنقول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يدّعى دخوله في خبر الواحد، و لكن أدلّة حجيته لا تشمله، لاختصاصها عند التأمّل</w:t>
      </w:r>
    </w:p>
    <w:p>
      <w:pPr>
        <w:pStyle w:val="BookText"/>
        <w:rPr/>
      </w:pPr>
      <w:r>
        <w:rPr>
          <w:rFonts w:ascii="Amiri" w:hAnsi="Amiri" w:eastAsia="Amiri" w:cs="Amiri"/>
          <w:color w:val="111111"/>
          <w:sz w:val="28"/>
          <w:sz w:val="28"/>
          <w:szCs w:val="28"/>
          <w:rtl w:val="true"/>
          <w:lang w:bidi="ar-SA"/>
        </w:rPr>
        <w:t>الصحيح بما إذا كان خبره مستندا إلى الحسّ لا إلى الاجتهاد و الحدس، و إلّا لكان فتوى الفقيه أيضا معدودة من الروايات، لرجوعها إلى قول المعصوم باجتهاده، كرجوع دعوى الإجماع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العادل مصدّق في نبئه عن حدسه و اجتهاده، و أمّا أنّه يجب الحكم بعدم خطئه في ذلك، و أنّ ما استنهضه باجتهاده موافق للواقع و مطابق لنفس الأمر، فلا دليل عليه، لأنّ عدالته تمنع من تعمّده في الكذب في ما يخبر عن المحسوس، لا من خطئه في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أصالة عدم الخطأ في المحسوس، لندرته، فلذا لا تجري في الاجتهاديات لكثرة الخطأ فيها، و كذا في غير الضابط الّذي يكثر خطؤه و نسيانه في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كثرة اختلافهم و تشتّت اصطلاحاتهم في التعبير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يكتفي باتّفاق المعروفين من العلماء المعاصرين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يكتفي في خصوص واقعة بالإجماع على العمل بأصل أو قاعدة فيدّعي الإجماع في خصوصها لاندراجها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هذا المجمع عليه، نظرا إلى وجود المقتضي للحكم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يكتفي بمجرّد اتّفاق علماء العصر من دون اعتبار العلم بدخول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يستكشف من اتّفاق علماء العصر عن موافقة المعصوم عليه السّلام نظرا إلى قاعدة اللطف، فيجعل مخالفة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معروف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قادحة في الإجماع، لحصول اللطف بعدم اجتماع الكلّ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يعتبر العلم الإجماليّ بوجود المعصوم في المتّفقين، و إن كانوا قليلين، فلا يكون خروج معروف النسب قادحا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يكتفي بالحدس عن موافقة المعصوم باتّفاق كثير من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يريد به عدم الخلاف و انحصار القول فيه، بمعنى كون القول واحدا كما في ذكر الإجماع في مقابل الخلاف</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يريد به اتّفاق جميع علماء الأعصار في جميع الأمصار كما قد يصرّح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استلزم بعضها عادة لقول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نادر، مع حصول الإجمال في الاقتصار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انصرافه إلى ما يستلزمه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ظهوره في اتفاق علماء عصر واحد، و استلزامه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تحقّقه لقلّة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ممنوع، إلّا على القول باللطف، و هو ضعيف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الناقل بالوجه الأخير أو نحوه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إجماع المسلمين أو الشيعة كافّة في جميع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بحجيته و جعله من قبيل 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إذا ثبت مثل هذا الاتفاق بقوله، لكونه من المحسوس، استكشفنا به قول المعصوم، نظير إخباره بآثار العدالة من المواظبة على أوقات الصلوات و الاهتمام بكثير من المستحبّات و حضور الجماعات و أداء الأخماس و الزكوات، فإنّه ينتقل من هذه الآثار المحسوسة إلى </w:t>
      </w:r>
      <w:r>
        <w:rPr>
          <w:rStyle w:val="FootnoteAnchor"/>
          <w:rtl w:val="true"/>
        </w:rPr>
        <w:footnoteReference w:id="14"/>
      </w:r>
      <w:r>
        <w:rPr>
          <w:rFonts w:ascii="Amiri" w:hAnsi="Amiri" w:eastAsia="Amiri" w:cs="Amiri"/>
          <w:color w:val="111111"/>
          <w:sz w:val="28"/>
          <w:sz w:val="28"/>
          <w:szCs w:val="28"/>
          <w:rtl w:val="true"/>
          <w:lang w:bidi="ar-SA"/>
        </w:rPr>
        <w:t>ملكة العدالة، مع كونها غير محسوسة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مع هذا الاختلاف في مورد استعمال الإجماع لا يعلم إرادة ناقله الوجه الموجب لدخوله في الرواية و حكاية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إنّ الأصحاب مختلفون في اصطلاح الإجماع، فإنّه عند القدماء عبارة عن اتّفاق الكلّ الّذين من جملتهم الإمام المعصوم عليه السّلام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الشيخ و أتباعه عن اتّفاقهم، و إن علم بعدم اشتمالهم عليه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قاعدة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المستفادة من الأخبار الدالّة على أنّ الزمان لا يخلو عن حجة، 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زاد المؤمنون شيئا ردّهم، و إن نقصوا أتمّه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عدم اتّفاقهم على غير الحقّ الموافق للمعصوم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المتأخّرين و متأخّريهم عن اتّفاق جماعة من خواصّ الأمّة كاشف عن قول الرئيس المعصوم من جهة الحدس</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يحمل دعوى الإجماع من كل ناقل على وفق مصطلحه، كما يحمل استعمال كلّ قوم</w:t>
      </w:r>
    </w:p>
    <w:p>
      <w:pPr>
        <w:pStyle w:val="BookText"/>
        <w:rPr/>
      </w:pPr>
      <w:r>
        <w:rPr>
          <w:rFonts w:ascii="Amiri" w:hAnsi="Amiri" w:eastAsia="Amiri" w:cs="Amiri"/>
          <w:color w:val="111111"/>
          <w:sz w:val="28"/>
          <w:sz w:val="28"/>
          <w:szCs w:val="28"/>
          <w:rtl w:val="true"/>
          <w:lang w:bidi="ar-SA"/>
        </w:rPr>
        <w:t>على عرفهم، فمن أين الإجمال الموجب للتوقّف؟</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الطريقة الاولى في غاية الندرة، بل يمكن القول بأنّه لم يتحقّق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الثانية، لا دليل على حجيته و قد بالغ السيد المرتضى رحمه اللّه في ردّه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الثالثة، مبنيّ على الحدس و الاجتهاد و العاملون بأخبار الآحاد لا يركنون إلى خبر يستند راويه إلى مثل هذا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في القدماء جماعة كانوا يستندون في دعواهم الإجماع إلى الإجماع على العمل بأصل أو قاعدة أو نحوهما، كما عن المرتضى و المفيد و الحلّي </w:t>
      </w:r>
      <w:r>
        <w:rPr>
          <w:rStyle w:val="FootnoteAnchor"/>
          <w:rtl w:val="true"/>
        </w:rPr>
        <w:footnoteReference w:id="16"/>
      </w:r>
      <w:r>
        <w:rPr>
          <w:rFonts w:ascii="Amiri" w:hAnsi="Amiri" w:eastAsia="Amiri" w:cs="Amiri"/>
          <w:color w:val="111111"/>
          <w:sz w:val="28"/>
          <w:sz w:val="28"/>
          <w:szCs w:val="28"/>
          <w:rtl w:val="true"/>
          <w:lang w:bidi="ar-SA"/>
        </w:rPr>
        <w:t>بل الشيخ حيث 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ظهور فسق الشاهدين بما يوجب القتل سقوط القود و كون الدية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من الفرقة، ثم علّل الإجماع بأنّهم رووا أنّ ما أخطأت القضاة ففي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على أنّك قد عرفت تسامحهم في إطلاق الإجماع على مجرّد عدم الخلاف و على المشهور و نحو ذلك ممّا لا دليل على حجّيّته، فكيف يبقى الاعتماد على مثل هذه الإجماعات المنقولة؟ و يجعل سبيلها سبيل الروايات المأثورة؟</w:t>
      </w:r>
    </w:p>
    <w:p>
      <w:pPr>
        <w:pStyle w:val="BookText"/>
        <w:rPr/>
      </w:pPr>
      <w:r>
        <w:rPr>
          <w:rFonts w:ascii="Amiri" w:hAnsi="Amiri" w:eastAsia="Amiri" w:cs="Amiri"/>
          <w:color w:val="111111"/>
          <w:sz w:val="28"/>
          <w:sz w:val="28"/>
          <w:szCs w:val="28"/>
          <w:rtl w:val="true"/>
          <w:lang w:bidi="ar-SA"/>
        </w:rPr>
        <w:t>و أعجب من ذلك الاستناد في كثير من المواضع إلى إطلاق دعوى الإجماع على لفظ مطلق يشمل محلّ النزاع</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أجاد المحقق رحمه اللّه حيث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صرّح بأنّ ذلك لا يقتضي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المذهب لا يصار إليه من إطلاق اللفظ ما لم يكن معلوما من القصد، لأنّ الإجماع مأخوذ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على كذا، إذا عزم عليه، فلا يدخل في الإجماع على الحكم إلّا من علم منه القصد إليه، كما أنّا لا نعلم مذهب عشرة من الفقهاء الّذين لم ينقل مذهبهم لدلالة</w:t>
      </w:r>
      <w:bookmarkStart w:id="70" w:name="pg1913_17624"/>
    </w:p>
    <w:p>
      <w:pPr>
        <w:pStyle w:val="BookText"/>
        <w:rPr/>
      </w:pPr>
      <w:bookmarkEnd w:id="70"/>
      <w:r>
        <w:rPr>
          <w:rFonts w:ascii="Amiri" w:hAnsi="Amiri" w:eastAsia="Amiri" w:cs="Amiri"/>
          <w:color w:val="111111"/>
          <w:sz w:val="28"/>
          <w:sz w:val="28"/>
          <w:szCs w:val="28"/>
          <w:rtl w:val="true"/>
          <w:lang w:bidi="ar-SA"/>
        </w:rPr>
        <w:t xml:space="preserve">عموم القرآن و إن كانوا قائلين به </w:t>
      </w:r>
      <w:r>
        <w:rPr>
          <w:rStyle w:val="FootnoteAnchor"/>
          <w:rtl w:val="true"/>
        </w:rPr>
        <w:footnoteReference w:id="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هنا ظهر ضعف الاستدلال لحرمة مطلق الصوت المطرب، و إن لم يكن لهويّا، بما حكي عن المفيد رحمه اللّه من دعوى الإجماع على حرمة الغناء </w:t>
      </w:r>
      <w:r>
        <w:rPr>
          <w:rStyle w:val="FootnoteAnchor"/>
          <w:rtl w:val="true"/>
        </w:rPr>
        <w:footnoteReference w:id="19"/>
      </w:r>
      <w:r>
        <w:rPr>
          <w:rFonts w:ascii="Amiri" w:hAnsi="Amiri" w:eastAsia="Amiri" w:cs="Amiri"/>
          <w:color w:val="111111"/>
          <w:sz w:val="28"/>
          <w:sz w:val="28"/>
          <w:szCs w:val="28"/>
          <w:rtl w:val="true"/>
          <w:lang w:bidi="ar-SA"/>
        </w:rPr>
        <w:t>لعدم معلومية إرادته من الغناء ما يشمل غير اللهويّ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يحتمل أن يكون استناده في هذه الدعوى إلى اتّفاقهم على مسألة أصوليّة نظير دعواه إجماع المسلمين على أنّ المطلّقة ثلاثا في مجلس واحد يقع منها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إجماع الأمّة فهم مطبقون على أنّ ما خالف الكتاب و السنّة فهو باطل، و قد تقدّم وصف خلاف الطلاق بالكتاب و السنّة، فحصل الإجماع على إبطاله </w:t>
      </w:r>
      <w:r>
        <w:rPr>
          <w:rStyle w:val="FootnoteAnchor"/>
          <w:rtl w:val="true"/>
        </w:rPr>
        <w:footnoteReference w:id="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فلعلّه نظر إلى دلالة بعض الآيات و كثير من الروايات على حرمة الغناء فادّعى الإجماع عليها لإطباقهم على أنّ ما حرّمه الكتاب و السنّة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سلّمنا حجيّة مثل ذلك، فلا نسلّم حجيّته بالنسبة إلى جميع ما يطلق عليه الغناء، بل المسلّم ثبوت الحرمة في الجملة، و هذا لا يجدي في تعميم الحكم لمحلّ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بيّنّاه تبيّن حال الاستناد إلى الشهرة أيضا، فليتدبّر</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3297984_3650668749"/>
      <w:bookmarkStart w:id="72" w:name="_Toc26"/>
      <w:bookmarkEnd w:id="71"/>
      <w:r>
        <w:rPr>
          <w:rtl w:val="true"/>
        </w:rPr>
        <w:t>المقدّمة الثالثة</w:t>
      </w:r>
      <w:r>
        <w:rPr>
          <w:rtl w:val="true"/>
        </w:rPr>
        <w:t>:</w:t>
      </w:r>
      <w:bookmarkEnd w:id="72"/>
    </w:p>
    <w:p>
      <w:pPr>
        <w:pStyle w:val="Heading4"/>
        <w:numPr>
          <w:ilvl w:val="3"/>
          <w:numId w:val="1"/>
        </w:numPr>
        <w:rPr/>
      </w:pPr>
      <w:bookmarkStart w:id="73" w:name="__RefHeading___Toc3297986_3650668749"/>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المطلق من حيث هو لا يفيد العموم، لأنّه لم يوضع له لغة و لا عرفا، بل هو موضوع للماهيّة المطلقة لا بشرط شي‌ء آخر، بخلاف الألفاظ الموضوعة للعموم فإنّها موضوعة للماهيّة بشرطه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هذا يرجع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 من أنّ الفرق بينهما مع اشتراكهما في الحكم أنّ العام هو الدالّ على الماهية باعتبار تعدّدها، و المطلق هو الدالّ عليها من حيث</w:t>
      </w:r>
    </w:p>
    <w:p>
      <w:pPr>
        <w:pStyle w:val="BookText"/>
        <w:rPr/>
      </w:pPr>
      <w:r>
        <w:rPr>
          <w:rFonts w:ascii="Amiri" w:hAnsi="Amiri" w:eastAsia="Amiri" w:cs="Amiri"/>
          <w:color w:val="111111"/>
          <w:sz w:val="28"/>
          <w:sz w:val="28"/>
          <w:szCs w:val="28"/>
          <w:rtl w:val="true"/>
          <w:lang w:bidi="ar-SA"/>
        </w:rPr>
        <w:t xml:space="preserve">هي، لا بقيد وحدة و لا تعدّد، و مرجعه إلى أنّ العام الماهية بشرط شي‌ء، و المطلق الماهيّة لا بشرط شي‌ء </w:t>
      </w:r>
      <w:r>
        <w:rPr>
          <w:rStyle w:val="FootnoteAnchor"/>
          <w:rtl w:val="true"/>
        </w:rPr>
        <w:footnoteReference w:id="2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هو السرّ في أنّ حمل العام على العموم غير مشروط، بخلاف حمل المطلق عليه فإنّه مشروط بشرطين، كما صرّح به جماعة، منهم الفريد البهبهاني رحمه اللّه في فوائده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لا يكون بعض ما يصدق عليه من أفراده شائعا غالبا بحسب الاستعمال أو الوجود في الخارج، بل يكون متواطئا بالنسبة إلى جميع أفراده، فلو كان في مصاديقه شائع غالب بحسب الاستعمال حمل عليه قطعا إن بلغ الشيوع حدّا ينصرف الذهن معه إلى هذا الفرد و يتبادر منه مطلقا و لو مع قطع النظر عن ملاحظة الشيوع، لأنّ الحقيقة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صارت مهجورة مماته، و حصل وضع تخصّصيّ جديد بالنسبة إلى خصوص هذا الفرد، فلا يراد في العرف غيره إلّا مع القرينة، كما في الدابّة الموضوعة لغة لمطلق ما يدبّ في الأرض، و لكن شاع استعمالها في العرف على الخيل و البغال و الحمير، بحيث أميت المعنى اللغويّ، و هجر استعمالها في نحو الذرّ و الشاة، و لذا لو أوصى لشخص بدابّة لا يدفع إليه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في الطعام لو قيل بوضعه لغة لكل ما يؤكل، فشاع استعماله في البرّ أو مطلق الحبوب حتّى صار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لفظ الغناء الموضوع لمطلق الصوت أو مطلق الصوت المطرب، لو قلنا بصيرورته حقيقة عرفية في المطرب اللّهويّ لكثرة استعماله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لم يبلغ الشيوع الاستعماليّ هذا المبلغ، بل كان تبادر هذا الفرد، و انصراف الذهن إليه بسبب ملاحظة الشيوع و شهرة الاستعمال، فظاهر كل من أطلق القول بأنّ المطلق يحمل على الفرد الشائع، وجوب حمله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 منه القول بأنّ غلبة استعمال المطلق في الفرد من الأمارات المشخّصة لمراد المتكلم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ينبغي أن يجري في المقام أيضا ما ذكروه من الخلاف في الحقيقة المرجوحة و المجاز</w:t>
      </w:r>
    </w:p>
    <w:p>
      <w:pPr>
        <w:pStyle w:val="BookText"/>
        <w:rPr/>
      </w:pPr>
      <w:r>
        <w:rPr>
          <w:rFonts w:ascii="Amiri" w:hAnsi="Amiri" w:eastAsia="Amiri" w:cs="Amiri"/>
          <w:color w:val="111111"/>
          <w:sz w:val="28"/>
          <w:sz w:val="28"/>
          <w:szCs w:val="28"/>
          <w:rtl w:val="true"/>
          <w:lang w:bidi="ar-SA"/>
        </w:rPr>
        <w:t>الراجح من التساوي و التوقف، أو ترجيح المرجوح، أو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منشؤه رعاية الأصل من حمل اللفظ على المعنى الموضوع له، و مراعاة الغلبة الموجبة للظهور، لكونها بمنزلة القرينة الصارفة، و حصول التعارض الموجب للتوقّف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تبادر أظهر أفراد اللفظ و أشهرها مقتض للنقل و تجدّد الوضع، لكون التبادر من علائم الحقيقة و أماراتها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فساده واضح، فإنّ التبادر الّذي هو من العلائم، هو الوضعي، أي فهم المعنى من جوهر اللفظ و حاقّه، من دون ملاحظة أمر خارج عنه من غلبة الاستعمال و غيرها من الأسباب الخارجة، لا الإطلاقيّ، أي فهمه من اللّفظ بواسطة أمر خارج عنه، فإنّه لا يوجب الوضع و لا ينتقل منه إليه انتقالا إنّيا كما في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بحر العلوم قدّس سرّه في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جميع الألفاظ الموضوعة للمعاني الكلية يتبادر منها الأفراد الشائعة المتعارفة، و قلّما يتّفق أن يكون أفراد الكلي متساوية في الظهور و السبق و التبادر إلى الفهم، بل الغالب اختلافها في ذلك </w:t>
      </w:r>
      <w:r>
        <w:rPr>
          <w:rStyle w:val="FootnoteAnchor"/>
          <w:rtl w:val="true"/>
        </w:rPr>
        <w:footnoteReference w:id="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للتفرقة بين مسألة الفرد الشائع و مسألة المجاز الراجح بأنّ حملهم المطلق على الفرد على الشائع مبنيّ على ثبوت الحقيقة العرفية في ذلك اللفظ مع هجر المعنى اللغوي، فلو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هذا الفرد أو على معناه اللغوي الصادق على جميع الأفراد مطلقا كان حملا للّفظ على معناه المجازي، أي الحقيقة المهجورة، بدون قرينة، و هو غير جائز، فتعيّن الحمل على الفرد الشائع، لأنّه حمل للكلمة على حقيقتها، و لا حاجة فيه إلى القرينة، بخلاف حمل اللّفظ على المجاز المشهور فإنّ حقيقته لم تهجر بل تتعاهد في بعض الأوقات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وقع الاختلاف بينهم بما عرفته في تلك المسألة دون ما نحن فيه، لأنّ جانب الوضع الجديد فيه سليم عن المعارض، و الوضع القديم في مسألة المجاز الراجح معارض بالظهور الناشئ عن الشهرة و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الفساد في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كلامنا في ما لم تثبت الحقيقة العرفية، حيث أطلقوا القول بأنّ المطلق منصرف إلى فرده الشائع و محمول عليه، و قد صرّحوا بذلك في مواضع كثيرة نقطع فيها بعدم ثبوت الوضع الجديد، و هذا واضح لمن تتبّع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يرشد إلى هذا ما يذكرونه في الأصول من أنّ غلبة استعمال المطلق في الفرد من أمارات تشخيص المراد، و لم يذكروها في أمارات تشخيص 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أيضا أنّه لا وجه لما قد يتوهّم من أنّ حملهم المطلق على الفرد الشائع مبني على صيرورته فيه مجازا مشهورا فيرجّح على الحقيقة المرجوحة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قد أطلقوا هذا الحكم، و أرسلوه إرسال المسلّمات، و فيهم من يتوقف في مسألة تعارض المجاز الراجح مع الحقيقة المرجوحة، و من يقدّم الحقيقة على المجاز مستدلا بقوّة الوضع و رعاية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مجرّد استعمال المطلق في الفرد ليس تجوّزا، كما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مجرد شيوع استعمال المطلق في فرد لا يوجب صيرورته حقيقة عرفية في خصوصه، و مجازا في العموم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قال بعض السادة الأجلّة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التصريح بالعموم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 أيّ رقبة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اللفظ مستعملا في معناه الحقيقي غير معدول به عن معناه الأصليّ و لا مراعى فيه وجود العلاقة بينه و بين غيره، كما هو شأن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يوجب مجرّد استعمال المطلق في الفرد الشائع باعتبار أنّه من مصاديقه كونه مجازا، نعم، لو استعمل فيه مع إرادة الخصوصية من اللفظ كان مجازا، لأنّه لم يوضع لفرد بعينه بل لشائع في جنسه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لو استعمل في العموم الاستغراقيّ بالقرينة الحالية من قاعدة الحكمة، كما في أَحَلَّ اللّٰهُ الْبَيْعَ </w:t>
      </w:r>
      <w:r>
        <w:rPr>
          <w:rStyle w:val="FootnoteAnchor"/>
          <w:rtl w:val="true"/>
        </w:rPr>
        <w:footnoteReference w:id="24"/>
      </w:r>
      <w:r>
        <w:rPr>
          <w:rFonts w:ascii="Amiri" w:hAnsi="Amiri" w:eastAsia="Amiri" w:cs="Amiri"/>
          <w:color w:val="111111"/>
          <w:sz w:val="28"/>
          <w:sz w:val="28"/>
          <w:szCs w:val="28"/>
          <w:rtl w:val="true"/>
          <w:lang w:bidi="ar-SA"/>
        </w:rPr>
        <w:t>و نحوه ممّا أوجب حمله على الفرد المعيّن الترجيح من غير مرجّح، أو الإجمال المنافي لمقتضى الحال، و على غيره المبهم قيام الصفة الوجودية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w:t>
      </w:r>
    </w:p>
    <w:p>
      <w:pPr>
        <w:pStyle w:val="BookText"/>
        <w:rPr/>
      </w:pPr>
      <w:r>
        <w:rPr>
          <w:rFonts w:ascii="Amiri" w:hAnsi="Amiri" w:eastAsia="Amiri" w:cs="Amiri"/>
          <w:color w:val="111111"/>
          <w:sz w:val="28"/>
          <w:sz w:val="28"/>
          <w:szCs w:val="28"/>
          <w:rtl w:val="true"/>
          <w:lang w:bidi="ar-SA"/>
        </w:rPr>
        <w:t>وجود له، فإنّ المبهم لا وجود له، فيتعيّن حمله على العموم الاستغراقيّ بمقتضى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دأب الشارع في أمثال المقام تأسيس القاعدة الكلية لا بيان الحكم لفرد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فالتحقيق في التفرقة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اقتضى فيهما حمل اللفظ على الحقيقة و الإطلاق، نظرا إلى ظاهر اللفظ مع قطع النظر عن الشهرة و الغلبة، كما هو قاعدة محاورة أهل اللسان و متفاهم العرف في جميع الأزمان، حيث يستندون في الألفاظ المجرّدة إلى أصالة الحقيقة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المانع من تسليم حكم الأصل و مقتضاه، في ما كان مجازه مشهورا، هو غلبة الاستعمال في المعنى المجازيّ بالقرينة، فإذا أطلق هذا اللفظ كان احتماله لإرادة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تعويلا على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اختلفوا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لاختلافهم في أنّ الشهرة هل تصلح لكونها قرينة كسائر القرائن أو لا؟</w:t>
      </w:r>
    </w:p>
    <w:p>
      <w:pPr>
        <w:pStyle w:val="BookText"/>
        <w:rPr/>
      </w:pPr>
      <w:r>
        <w:rPr>
          <w:rFonts w:ascii="Amiri" w:hAnsi="Amiri" w:eastAsia="Amiri" w:cs="Amiri"/>
          <w:color w:val="111111"/>
          <w:sz w:val="28"/>
          <w:sz w:val="28"/>
          <w:szCs w:val="28"/>
          <w:rtl w:val="true"/>
          <w:lang w:bidi="ar-SA"/>
        </w:rPr>
        <w:t>فمن قال بالأوّل رجّح إرادة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بالثاني قدّم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التبس عليه الأمر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فلا خلاف بينهم في أنّه يخرج عن الأصل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المانع في ما كان فرده شائع الاستعمال، و إن كان ما ذكرناه في الحال، و لكنّه لا معارض له من جهة الوضع، لتساوي جميع الأفراد من الشائع و غيره في كونها من مصاديق الماهيّة المطلقة حقيقة، فيكون الفرد الشائع ذا ترجيح بمرجّح الشيوع و الغلبة، فلا يعارضه شي‌ء من جانب الوضع، كما في المجاز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فالشيوع قرينة على إرادة هذا الفرد و تعيّنه، فيكون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القرينة قد تكون معيّنة، كما في المشترك، فلا تستلزم المجازية، و إنّما المستلزمة لها هي الصارفة عن إرادة المعنى الحقيقيّ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يعلّل تعيّن الفرد الشائع للإرادة من المطلق بأنّه القدر المتيقّن من قصد المتكلّم، فتدبّر</w:t>
      </w:r>
      <w:r>
        <w:rPr>
          <w:rFonts w:eastAsia="Amiri" w:cs="Amiri" w:ascii="Amiri" w:hAnsi="Amiri"/>
          <w:color w:val="111111"/>
          <w:sz w:val="28"/>
          <w:szCs w:val="28"/>
          <w:rtl w:val="true"/>
          <w:lang w:bidi="ar-SA"/>
        </w:rPr>
        <w:t>.</w:t>
      </w:r>
      <w:bookmarkStart w:id="75" w:name="pg1913_17633"/>
    </w:p>
    <w:p>
      <w:pPr>
        <w:pStyle w:val="BookText"/>
        <w:rPr/>
      </w:pPr>
      <w:bookmarkEnd w:id="75"/>
      <w:r>
        <w:rPr>
          <w:rFonts w:ascii="Amiri" w:hAnsi="Amiri" w:eastAsia="Amiri" w:cs="Amiri"/>
          <w:color w:val="111111"/>
          <w:sz w:val="28"/>
          <w:sz w:val="28"/>
          <w:szCs w:val="28"/>
          <w:rtl w:val="true"/>
          <w:lang w:bidi="ar-SA"/>
        </w:rPr>
        <w:t>و يظهر من السيّد المرتضى رحمه اللّه القدح في هذه القاعدة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الشائع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الشائع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انصراف المطلق إليه و عدمه قولان، و لعلّ الأوّل أظهر، و هو ظاهر إطلاق الجماعة بل صريح بعضهم، كما لا يخفى على من لاحظ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الفرق بين المطلق و العام أيضا بشمول العام لجميع الأفراد الشائعة و النادرة لكون عمومه وضعيّا، بخلاف المطلق فإنّ عمومه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ذكره لأجل بيان نفسه لا على سبيل التقريب لبيان حكم آخر، و إلّا لم يعمل بإطلاقه، كما في قوله تعالى فَكُلُوا مِمّٰا أَمْسَكْنَ </w:t>
      </w:r>
      <w:r>
        <w:rPr>
          <w:rStyle w:val="FootnoteAnchor"/>
          <w:rtl w:val="true"/>
        </w:rPr>
        <w:footnoteReference w:id="26"/>
      </w:r>
      <w:r>
        <w:rPr>
          <w:rFonts w:ascii="Amiri" w:hAnsi="Amiri" w:eastAsia="Amiri" w:cs="Amiri"/>
          <w:color w:val="111111"/>
          <w:sz w:val="28"/>
          <w:sz w:val="28"/>
          <w:szCs w:val="28"/>
          <w:rtl w:val="true"/>
          <w:lang w:bidi="ar-SA"/>
        </w:rPr>
        <w:t>فإنّ المقصود منه بيان حلّية صيد الكلاب المعلّمة من حيث الصيد، فلا دلالة فيه على طهارة محلّ العضّ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 بأنّ المطلق يحمل على العموم لئلّا يخلو الكلام عنه الفائدة، و هي في المقام متحقّقة، فلا داعي إلى حمله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إذا علم أنّ المتكلّم بصدد بيان حكم المطلق من حيث هو، لزم حمله على العموم، و أمّا إذا علم أنّه بصدد بيان حكم آخر فلا داعي إليه، فتأمّل</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3297988_3650668749"/>
      <w:bookmarkStart w:id="77" w:name="_Toc28"/>
      <w:bookmarkEnd w:id="76"/>
      <w:r>
        <w:rPr>
          <w:rtl w:val="true"/>
        </w:rPr>
        <w:t>تذنيبات</w:t>
      </w:r>
      <w:bookmarkEnd w:id="77"/>
    </w:p>
    <w:p>
      <w:pPr>
        <w:pStyle w:val="Heading5"/>
        <w:numPr>
          <w:ilvl w:val="4"/>
          <w:numId w:val="1"/>
        </w:numPr>
        <w:rPr/>
      </w:pPr>
      <w:bookmarkStart w:id="78" w:name="__RefHeading___Toc3297990_3650668749"/>
      <w:bookmarkStart w:id="79" w:name="_Toc29"/>
      <w:bookmarkEnd w:id="78"/>
      <w:r>
        <w:rPr>
          <w:rtl w:val="true"/>
        </w:rPr>
        <w:t>الأوّل</w:t>
      </w:r>
      <w:r>
        <w:rPr>
          <w:rtl w:val="true"/>
        </w:rPr>
        <w:t>:</w:t>
      </w:r>
      <w:bookmarkEnd w:id="79"/>
    </w:p>
    <w:p>
      <w:pPr>
        <w:pStyle w:val="BookText"/>
        <w:rPr/>
      </w:pPr>
      <w:r>
        <w:rPr>
          <w:rFonts w:ascii="Amiri" w:hAnsi="Amiri" w:eastAsia="Amiri" w:cs="Amiri"/>
          <w:color w:val="111111"/>
          <w:sz w:val="28"/>
          <w:sz w:val="28"/>
          <w:szCs w:val="28"/>
          <w:rtl w:val="true"/>
          <w:lang w:bidi="ar-SA"/>
        </w:rPr>
        <w:t>إذا قامت قرينة على إرادة العموم من المطلق فلا إشكال في حمله عليه، كما في الاستثناء فيه، و حدّه و لو بالخاصّة، و تعليق حكمه على وصف متحقّق في الفرد النادر على ما قيل، و تقييده بقيد مخرج الأفراد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قيّد بالفرد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ذات رأسين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التقييد كاشف عن إرادة العموم من المطلق، فلا يحمل عليه؟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لا يكشف، فيحمل عليه، فلا يجزي غير المقيّد؟</w:t>
      </w:r>
      <w:bookmarkStart w:id="80" w:name="pg1913_17635"/>
    </w:p>
    <w:p>
      <w:pPr>
        <w:pStyle w:val="BookText"/>
        <w:rPr/>
      </w:pPr>
      <w:bookmarkEnd w:id="80"/>
      <w:r>
        <w:rPr>
          <w:rFonts w:ascii="Amiri" w:hAnsi="Amiri" w:eastAsia="Amiri" w:cs="Amiri"/>
          <w:color w:val="111111"/>
          <w:sz w:val="28"/>
          <w:sz w:val="28"/>
          <w:szCs w:val="28"/>
          <w:rtl w:val="true"/>
          <w:lang w:bidi="ar-SA"/>
        </w:rPr>
        <w:t>أو يحكم بتعدّد التكليف، أي يجب عليه واجب عينيّ و واجب تخييريّ؟</w:t>
      </w:r>
    </w:p>
    <w:p>
      <w:pPr>
        <w:pStyle w:val="BookText"/>
        <w:rPr/>
      </w:pPr>
      <w:r>
        <w:rPr>
          <w:rFonts w:ascii="Amiri" w:hAnsi="Amiri" w:eastAsia="Amiri" w:cs="Amiri"/>
          <w:color w:val="111111"/>
          <w:sz w:val="28"/>
          <w:sz w:val="28"/>
          <w:szCs w:val="28"/>
          <w:rtl w:val="true"/>
          <w:lang w:bidi="ar-SA"/>
        </w:rPr>
        <w:t>وجوه، أظهرها الثاني، فإنّ المقيّد قرينة كاشفة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بنفسه منصرف إلى الشائع، و التقييد قرينة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خطابان منفردان، و الأصل عدم التداخل،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المقيّد بالنادر لو كان منفيّا كأن يقول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رقبة ذات رأسين، فهو مؤكّد، لأنّ النادر غير منصرف إليه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التقييد بالفرد الشائع في الإثبات</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3297992_3650668749"/>
      <w:bookmarkStart w:id="82" w:name="_Toc30"/>
      <w:bookmarkEnd w:id="81"/>
      <w:r>
        <w:rPr>
          <w:rtl w:val="true"/>
        </w:rPr>
        <w:t>الثاني</w:t>
      </w:r>
      <w:r>
        <w:rPr>
          <w:rtl w:val="true"/>
        </w:rPr>
        <w:t>:</w:t>
      </w:r>
      <w:bookmarkEnd w:id="82"/>
    </w:p>
    <w:p>
      <w:pPr>
        <w:pStyle w:val="BookText"/>
        <w:rPr/>
      </w:pPr>
      <w:r>
        <w:rPr>
          <w:rFonts w:ascii="Amiri" w:hAnsi="Amiri" w:eastAsia="Amiri" w:cs="Amiri"/>
          <w:color w:val="111111"/>
          <w:sz w:val="28"/>
          <w:sz w:val="28"/>
          <w:szCs w:val="28"/>
          <w:rtl w:val="true"/>
          <w:lang w:bidi="ar-SA"/>
        </w:rPr>
        <w:t>قد شاع بين الفقهاء حمل المطلق على المقيّد اللبيّ، أي الفرد الشائع، و اللفظي في حال الاختيار، و لكنّهم في حال التعذّر يتمسكون لثبوت الحكم بالإطلاق، مثلا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المسح هو المسح بباطن الكفّ، و معناه أنّ هذا هو المراد من الأمر بالمسح، فلا يجوز بغيره، و مع تعذّر المسح بالباطن يحكمون بالمسح بالظاهر مستندين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فيشكل عليهم أنّ كون المقيّد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من المطلق يأبى عن ذلك، فإنّ ظاهر الكف لم يكن مرادا، فكيف صار عند التعذّر مرادا؟</w:t>
      </w:r>
    </w:p>
    <w:p>
      <w:pPr>
        <w:pStyle w:val="BookText"/>
        <w:rPr/>
      </w:pPr>
      <w:r>
        <w:rPr>
          <w:rFonts w:ascii="Amiri" w:hAnsi="Amiri" w:eastAsia="Amiri" w:cs="Amiri"/>
          <w:color w:val="111111"/>
          <w:sz w:val="28"/>
          <w:sz w:val="28"/>
          <w:szCs w:val="28"/>
          <w:rtl w:val="true"/>
          <w:lang w:bidi="ar-SA"/>
        </w:rPr>
        <w:t>مع أنّه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بأنّ استعمال المطلق في المقيد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الحقيقة و المجاز من لفظ واحد، فإنه أريد به الإطلاق للتمسّك به حال التعذّر، و التقييد للتمسّك به حال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يرد ذلك على من استند إلى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الجواب عنه بأنّه لا مانع من أن يكون المقيّد بالنظر إلى بعض أحوال المكلّف في مقام البيان، و بالنظر إلى بعضها في غير هذا المقام،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 للقادر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منه المسح بالباطن، و لكن لو قال ذلك للعاجز، فالمتبادر هو المسح بالظاهر، فليتأمّل</w:t>
      </w:r>
      <w:r>
        <w:rPr>
          <w:rFonts w:eastAsia="Amiri" w:cs="Amiri" w:ascii="Amiri" w:hAnsi="Amiri"/>
          <w:color w:val="111111"/>
          <w:sz w:val="28"/>
          <w:szCs w:val="28"/>
          <w:rtl w:val="true"/>
          <w:lang w:bidi="ar-SA"/>
        </w:rPr>
        <w:t>.</w:t>
      </w:r>
      <w:bookmarkStart w:id="83" w:name="pg1913_17637"/>
    </w:p>
    <w:p>
      <w:pPr>
        <w:pStyle w:val="Heading5"/>
        <w:numPr>
          <w:ilvl w:val="4"/>
          <w:numId w:val="1"/>
        </w:numPr>
        <w:rPr/>
      </w:pPr>
      <w:bookmarkStart w:id="84" w:name="__RefHeading___Toc3297994_3650668749"/>
      <w:bookmarkStart w:id="85" w:name="_Toc31"/>
      <w:bookmarkEnd w:id="83"/>
      <w:bookmarkEnd w:id="84"/>
      <w:r>
        <w:rPr>
          <w:rtl w:val="true"/>
        </w:rPr>
        <w:t>الثالث</w:t>
      </w:r>
      <w:r>
        <w:rPr>
          <w:rtl w:val="true"/>
        </w:rPr>
        <w:t>:</w:t>
      </w:r>
      <w:bookmarkEnd w:id="85"/>
    </w:p>
    <w:p>
      <w:pPr>
        <w:pStyle w:val="BookText"/>
        <w:rPr/>
      </w:pPr>
      <w:r>
        <w:rPr>
          <w:rFonts w:ascii="Amiri" w:hAnsi="Amiri" w:eastAsia="Amiri" w:cs="Amiri"/>
          <w:color w:val="111111"/>
          <w:sz w:val="28"/>
          <w:sz w:val="28"/>
          <w:szCs w:val="28"/>
          <w:rtl w:val="true"/>
          <w:lang w:bidi="ar-SA"/>
        </w:rPr>
        <w:t>إذا قيّد المطلق بمقيد مستوعب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رقبة 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ذلك من القرائن على إرادة العموم من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كونه من باب تعدّد التكليف، فيجب عتق رقبتين مؤمنة و كافرة، لأصالة عدم التداخل، فتأمّل</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297996_3650668749"/>
      <w:bookmarkStart w:id="87" w:name="_Toc32"/>
      <w:bookmarkEnd w:id="86"/>
      <w:r>
        <w:rPr>
          <w:rtl w:val="true"/>
        </w:rPr>
        <w:t>الرابع</w:t>
      </w:r>
      <w:r>
        <w:rPr>
          <w:rtl w:val="true"/>
        </w:rPr>
        <w:t>:</w:t>
      </w:r>
      <w:bookmarkEnd w:id="87"/>
    </w:p>
    <w:p>
      <w:pPr>
        <w:pStyle w:val="BookText"/>
        <w:rPr/>
      </w:pPr>
      <w:r>
        <w:rPr>
          <w:rFonts w:ascii="Amiri" w:hAnsi="Amiri" w:eastAsia="Amiri" w:cs="Amiri"/>
          <w:color w:val="111111"/>
          <w:sz w:val="28"/>
          <w:sz w:val="28"/>
          <w:szCs w:val="28"/>
          <w:rtl w:val="true"/>
          <w:lang w:bidi="ar-SA"/>
        </w:rPr>
        <w:t>إذا ورد مطلق و قيّد بمطلق و مقيّد،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 الصلاة ستر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الستر بغير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يقيّد المقيّد المطلق بالمقيد الثالث؟ فيكون للصلاة شرط واحد و هو الستر بغير الحرير؟</w:t>
      </w:r>
    </w:p>
    <w:p>
      <w:pPr>
        <w:pStyle w:val="BookText"/>
        <w:rPr/>
      </w:pPr>
      <w:r>
        <w:rPr>
          <w:rFonts w:ascii="Amiri" w:hAnsi="Amiri" w:eastAsia="Amiri" w:cs="Amiri"/>
          <w:color w:val="111111"/>
          <w:sz w:val="28"/>
          <w:sz w:val="28"/>
          <w:szCs w:val="28"/>
          <w:rtl w:val="true"/>
          <w:lang w:bidi="ar-SA"/>
        </w:rPr>
        <w:t>أم لا، فيكون للصلاة شرطان؟</w:t>
      </w:r>
    </w:p>
    <w:p>
      <w:pPr>
        <w:pStyle w:val="BookText"/>
        <w:rPr/>
      </w:pP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العرفي بأنّ المطلوب من الأمرين واحد، مضافا إلى أصالة عدم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بالنسبة إلى المطلق الثاني و المقيد يرجع إلى الوضعي أي الشرطية، و إن كان بصورة التكليفي، و قد تقرّر أنّ المطلق لا يحمل على المقيّد في الوضعيّات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الثمرة في ما لو عجز عن الستر بغير الحرير، و تمكّن من الستر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يصلّى عريانا لفقد الشرط، فلا 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يصلّي في الحرير، لأنّ سقوط أحد الشرطين لا ينافي التكليف بالآخر، فتدبّر</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3297998_3650668749"/>
      <w:bookmarkStart w:id="89" w:name="_Toc33"/>
      <w:bookmarkEnd w:id="88"/>
      <w:r>
        <w:rPr>
          <w:rtl w:val="true"/>
        </w:rPr>
        <w:t>الخامس</w:t>
      </w:r>
      <w:r>
        <w:rPr>
          <w:rtl w:val="true"/>
        </w:rPr>
        <w:t>:</w:t>
      </w:r>
      <w:bookmarkEnd w:id="89"/>
    </w:p>
    <w:p>
      <w:pPr>
        <w:pStyle w:val="BookText"/>
        <w:rPr/>
      </w:pPr>
      <w:r>
        <w:rPr>
          <w:rFonts w:ascii="Amiri" w:hAnsi="Amiri" w:eastAsia="Amiri" w:cs="Amiri"/>
          <w:color w:val="111111"/>
          <w:sz w:val="28"/>
          <w:sz w:val="28"/>
          <w:szCs w:val="28"/>
          <w:rtl w:val="true"/>
          <w:lang w:bidi="ar-SA"/>
        </w:rPr>
        <w:t>إذا ورد مطلق و مقيّدان متضادّان، فمع الاستيعاب ما عرفته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قرينة على العموم، و إرادة تعدّد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يكون المقيّدان تأكيدا لمدلول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بالتساقط، نظرا إلى اختلافهما، فيكون المطلق سليما عن المعارض، فلا تأكيد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يحكم بالتخيير بينهما شرعا، لا العقلي المستفاد من الأمر بالكليّ</w:t>
      </w:r>
      <w:r>
        <w:rPr>
          <w:rFonts w:eastAsia="Amiri" w:cs="Amiri" w:ascii="Amiri" w:hAnsi="Amiri"/>
          <w:color w:val="111111"/>
          <w:sz w:val="28"/>
          <w:szCs w:val="28"/>
          <w:rtl w:val="true"/>
          <w:lang w:bidi="ar-SA"/>
        </w:rPr>
        <w:t>.</w:t>
      </w:r>
      <w:bookmarkStart w:id="90" w:name="pg1913_17639"/>
    </w:p>
    <w:p>
      <w:pPr>
        <w:pStyle w:val="BookText"/>
        <w:rPr/>
      </w:pPr>
      <w:bookmarkEnd w:id="90"/>
      <w:r>
        <w:rPr>
          <w:rFonts w:ascii="Amiri" w:hAnsi="Amiri" w:eastAsia="Amiri" w:cs="Amiri"/>
          <w:color w:val="111111"/>
          <w:sz w:val="28"/>
          <w:sz w:val="28"/>
          <w:szCs w:val="28"/>
          <w:rtl w:val="true"/>
          <w:lang w:bidi="ar-SA"/>
        </w:rPr>
        <w:t>و قد يقال بالإجمال، نظرا إلى اشتراكهما في التقييد، فلا يعلم أنّ المكلف به أيّهما؟</w:t>
      </w:r>
    </w:p>
    <w:p>
      <w:pPr>
        <w:pStyle w:val="BookText"/>
        <w:rPr/>
      </w:pPr>
      <w:r>
        <w:rPr>
          <w:rFonts w:ascii="Amiri" w:hAnsi="Amiri" w:eastAsia="Amiri" w:cs="Amiri"/>
          <w:color w:val="111111"/>
          <w:sz w:val="28"/>
          <w:sz w:val="28"/>
          <w:szCs w:val="28"/>
          <w:rtl w:val="true"/>
          <w:lang w:bidi="ar-SA"/>
        </w:rPr>
        <w:t>و كذا الكلام مع عدم الاستيعاب، كما في روايات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قيّد بقيدين متضادّين تساقطا، و بقي المطلق على إطلاقه، إلّا أن يدلّ دليل على أحد القيدين، كما عن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ولغ الكلب في إناء أحدكم فليغسله سبعا إحداهنّ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عمل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أخراهنّ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روّينا و رووا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المطلق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فترجّحت بهذا الاعتبار انتهى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عليه بأنّ العمل بأصل الإطلاق إنّما يجدي إذا لم يكن في مقابله دليل، و التقييد ثابت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بكونهما بيانا لإرادة هذين الفردين بمعنى وجوبهما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بعيد، فإنّ العرف كما يحكم بوحدة التكليف في المقيّد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يحكم بها في المقيّدين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 بالإجمال، فيرجع إلى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التخيير بين القيدين، لأنّه الحكم عند تعارض الخبرين، و مرجعه إلى ما يرجع اليه التساقط، و لكن ليس تساقطا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28"/>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5"/>
        <w:numPr>
          <w:ilvl w:val="4"/>
          <w:numId w:val="1"/>
        </w:numPr>
        <w:rPr/>
      </w:pPr>
      <w:bookmarkStart w:id="91" w:name="__RefHeading___Toc3298000_3650668749"/>
      <w:bookmarkStart w:id="92" w:name="_Toc34"/>
      <w:bookmarkEnd w:id="91"/>
      <w:r>
        <w:rPr>
          <w:rtl w:val="true"/>
        </w:rPr>
        <w:t>السادس</w:t>
      </w:r>
      <w:r>
        <w:rPr>
          <w:rtl w:val="true"/>
        </w:rPr>
        <w:t>:</w:t>
      </w:r>
      <w:bookmarkEnd w:id="9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بتعلّق الأحكام بنفس 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الحقّ المرضيّ عند كثير من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في النهي عن المطلق حمله على الأفراد النادرة أيضا، نظرا إلى أنّ النهي عن الطبيعة نهي عن كلّ فرد فرد توجد فيه، و هي موجودة في ضمن كلّ فرد من أفرادها، فلا يحصل الامتثال بالنهي إلّا بالاجتناب عن جميع الأفراد، فإنّ شيوع استعمال المطلق في الفرد</w:t>
      </w:r>
      <w:bookmarkStart w:id="93" w:name="pg1913_17641"/>
    </w:p>
    <w:p>
      <w:pPr>
        <w:pStyle w:val="BookText"/>
        <w:rPr/>
      </w:pPr>
      <w:bookmarkEnd w:id="93"/>
      <w:r>
        <w:rPr>
          <w:rFonts w:ascii="Amiri" w:hAnsi="Amiri" w:eastAsia="Amiri" w:cs="Amiri"/>
          <w:color w:val="111111"/>
          <w:sz w:val="28"/>
          <w:sz w:val="28"/>
          <w:szCs w:val="28"/>
          <w:rtl w:val="true"/>
          <w:lang w:bidi="ar-SA"/>
        </w:rPr>
        <w:t>قرينة على إرادة المتكلّم خصوص هذا الفرد من النهي عن المطلق، و إرادته لغيره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ضعف ما ربما يقال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بنفسه العموم، و ينصرف إلى الفرد الشائع منه، و هو الصوت اللهويّ، إلّا أنّ تعلّق النهي به يفيد وجوب الاجتناب عن كلّ ما توجد في ضمنه طبيعة الغناء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من أفراده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المطلق إذا لم يكن مصروفا إلى غير الشائع، فكيف يصرف إليه بمجرد تعلّق النهي؟ و لا يعلّق إلّا بما أريد به</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3298002_3650668749"/>
      <w:bookmarkStart w:id="95" w:name="_Toc35"/>
      <w:bookmarkEnd w:id="94"/>
      <w:r>
        <w:rPr>
          <w:rtl w:val="true"/>
        </w:rPr>
        <w:t>المقدّمة الرابعة</w:t>
      </w:r>
      <w:r>
        <w:rPr>
          <w:rtl w:val="true"/>
        </w:rPr>
        <w:t>:</w:t>
      </w:r>
      <w:bookmarkEnd w:id="95"/>
    </w:p>
    <w:p>
      <w:pPr>
        <w:pStyle w:val="BookText"/>
        <w:rPr/>
      </w:pPr>
      <w:r>
        <w:rPr>
          <w:rFonts w:ascii="Amiri" w:hAnsi="Amiri" w:eastAsia="Amiri" w:cs="Amiri"/>
          <w:color w:val="111111"/>
          <w:sz w:val="28"/>
          <w:sz w:val="28"/>
          <w:szCs w:val="28"/>
          <w:rtl w:val="true"/>
          <w:lang w:bidi="ar-SA"/>
        </w:rPr>
        <w:t>إذا عرف مراد الشارع، بل مطلق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بأمارات ظنيّة يعوّل عليها في محاورات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حمل اللفظ عليه، و لو كان من المعاني المجازية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جهل المراد و انتفى القرائن حملناه على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أحدهما لغويا و الآخر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جماعة تقديم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تقديم العرف للاستقراء، و قوّة الظنّ بإرادة المعنى العرفي، فإنّ أكثر خطابات الشرع مطابق للعرف،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نحمل الغناء على معناه العرفي الذي كان متعارفا في تلك الأزمنة 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صريح جماعة القطع بتقديم العرف إذا كان مقدّم الحدوث على زمن صدور الخطاب عن الشارع، كالقطع بتقديم اللغة إذا كان العرف مستحدثا متأخّرا عن زمن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محل النزاع في هذه المسألة في ما لا نقطع بتأخّر العرف عن زمن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الغناء كان متعارف الاستعمال في زمن الجاهليّة أيضا في الصوت اللهويّ، فلا ينبغي النزاع في حمله على هذا المعنى، و وجوب تقديمه على المعنى اللغوي أي مطلق الصوت المطرب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استعماله في هذا العرف في زمن الأئمّة عليهم السّلام أيضا متعارفا شائعا كما يأتي بيانه</w:t>
      </w:r>
      <w:r>
        <w:rPr>
          <w:rFonts w:eastAsia="Amiri" w:cs="Amiri" w:ascii="Amiri" w:hAnsi="Amiri"/>
          <w:color w:val="111111"/>
          <w:sz w:val="28"/>
          <w:szCs w:val="28"/>
          <w:rtl w:val="true"/>
          <w:lang w:bidi="ar-SA"/>
        </w:rPr>
        <w:t>.</w:t>
      </w:r>
      <w:bookmarkStart w:id="96" w:name="pg1913_17643"/>
    </w:p>
    <w:p>
      <w:pPr>
        <w:pStyle w:val="BookText"/>
        <w:rPr/>
      </w:pPr>
      <w:bookmarkEnd w:id="96"/>
      <w:r>
        <w:rPr>
          <w:rFonts w:ascii="Amiri" w:hAnsi="Amiri" w:eastAsia="Amiri" w:cs="Amiri"/>
          <w:color w:val="111111"/>
          <w:sz w:val="28"/>
          <w:sz w:val="28"/>
          <w:szCs w:val="28"/>
          <w:rtl w:val="true"/>
          <w:lang w:bidi="ar-SA"/>
        </w:rPr>
        <w:t>سلّمنا الشكّ في ذلك،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اتّحاد العرفين، و لعلّه ناظر إلى بعد مخالفتهما و تخالفهما مع عدم مضيّ زمان طويل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فلو تخالف عرف المتكلّم و المخاطب، ففي حمل اللفظ على الأول، أو الثاني، أو التفصيل، أو التوقّف؟ خلاف، و التفصيل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خلاف في وجوب حمل اللفظ على عرف المتكلّم و المخاطب مع الاتحاد و عدم إرادة المعنى اللغويّ فإنّه هو المعهود من طريقة العقلاء و أرباب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لاه لانسدّ باب التفهيم و التفاهم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جعلوا ذلك ثمرة الخلاف في مسألة ثبوت الحقيقة الشرعية و عدمه</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3298004_3650668749"/>
      <w:bookmarkStart w:id="98" w:name="_Toc36"/>
      <w:bookmarkEnd w:id="97"/>
      <w:r>
        <w:rPr>
          <w:rtl w:val="true"/>
        </w:rPr>
        <w:t>المقدّمة الخامسة</w:t>
      </w:r>
      <w:r>
        <w:rPr>
          <w:rtl w:val="true"/>
        </w:rPr>
        <w:t>:</w:t>
      </w:r>
      <w:bookmarkEnd w:id="98"/>
    </w:p>
    <w:p>
      <w:pPr>
        <w:pStyle w:val="BookText"/>
        <w:rPr/>
      </w:pPr>
      <w:r>
        <w:rPr>
          <w:rFonts w:ascii="Amiri" w:hAnsi="Amiri" w:eastAsia="Amiri" w:cs="Amiri"/>
          <w:color w:val="111111"/>
          <w:sz w:val="28"/>
          <w:sz w:val="28"/>
          <w:szCs w:val="28"/>
          <w:rtl w:val="true"/>
          <w:lang w:bidi="ar-SA"/>
        </w:rPr>
        <w:t>إذا اختلفت نقلة اللغة في تفسير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التصريح بالنفي، يحصل التعارض فيرجع إلى المرجّح، أو يقدّم قول المثبت فيحكم بالاشتراك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عدمه، لا تعارض فيحكم بالاشتراك، إلّا مع ثبوت التجوّز فانّ الظاهر من اللغويّ بيان الحقيقة دون مجرّد الاستعمال على ما قيل،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يفصّل في المقام بأنّ التعارض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بالتباين، كان 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هو الذهب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بالأعمّ من وجه، كأن 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هو الصوت المطرب،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الصوت مع 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بالأعمّ المطلق، كأن 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الصعيد هو وجه الأرض،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التراب ففي الأوّلين يحكم بالاشتراك، و في الأخير يؤخذ بالأعمّ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و في تمثيله للثاني بما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لما يأتي من أن المطرب لا يكون في ما لا ترجيع فيه</w:t>
      </w:r>
      <w:r>
        <w:rPr>
          <w:rFonts w:eastAsia="Amiri" w:cs="Amiri" w:ascii="Amiri" w:hAnsi="Amiri"/>
          <w:color w:val="111111"/>
          <w:sz w:val="28"/>
          <w:szCs w:val="28"/>
          <w:rtl w:val="true"/>
          <w:lang w:bidi="ar-SA"/>
        </w:rPr>
        <w:t>.</w:t>
      </w:r>
      <w:bookmarkStart w:id="99" w:name="pg1913_17645"/>
    </w:p>
    <w:p>
      <w:pPr>
        <w:pStyle w:val="BookText"/>
        <w:rPr/>
      </w:pPr>
      <w:bookmarkEnd w:id="99"/>
      <w:r>
        <w:rPr>
          <w:rFonts w:ascii="Amiri" w:hAnsi="Amiri" w:eastAsia="Amiri" w:cs="Amiri"/>
          <w:color w:val="111111"/>
          <w:sz w:val="28"/>
          <w:sz w:val="28"/>
          <w:szCs w:val="28"/>
          <w:rtl w:val="true"/>
          <w:lang w:bidi="ar-SA"/>
        </w:rPr>
        <w:t>و كيف كان، فهل يكتفى في ثبوت اللغة بالواحد من أهلها مطلقا، أو مع الوثوق به، أو يشترط التعدّد و العدالة كما في الشهادة؟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مبناها حجية قول اللغويين في الأوضاع من باب الظنّ الخاص،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يتوهّم أنّ اتفاقهم على حجيّة الظواهر مستلزم لحجية قول أهل اللغة مطلقا، و هو كما ترى، فإنّ حجية الظاهر غير حجيّة الظنّ بأنّ هذا ظاهر، فليتأمل</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298006_3650668749"/>
      <w:bookmarkStart w:id="101" w:name="_Toc37"/>
      <w:bookmarkEnd w:id="100"/>
      <w:r>
        <w:rPr>
          <w:rtl w:val="true"/>
        </w:rPr>
        <w:t>المقدّمة السادسة</w:t>
      </w:r>
      <w:r>
        <w:rPr>
          <w:rtl w:val="true"/>
        </w:rPr>
        <w:t>:</w:t>
      </w:r>
      <w:bookmarkEnd w:id="101"/>
    </w:p>
    <w:p>
      <w:pPr>
        <w:pStyle w:val="BookText"/>
        <w:rPr/>
      </w:pPr>
      <w:r>
        <w:rPr>
          <w:rFonts w:ascii="Amiri" w:hAnsi="Amiri" w:eastAsia="Amiri" w:cs="Amiri"/>
          <w:color w:val="111111"/>
          <w:sz w:val="28"/>
          <w:sz w:val="28"/>
          <w:szCs w:val="28"/>
          <w:rtl w:val="true"/>
          <w:lang w:bidi="ar-SA"/>
        </w:rPr>
        <w:t>لم يثبت من العرب استعمال اللفظ في أكثر من معنى واحد مطلقا، سواء كان من المعاني الحقيقة أو المجازية؟</w:t>
      </w:r>
    </w:p>
    <w:p>
      <w:pPr>
        <w:pStyle w:val="BookText"/>
        <w:rPr/>
      </w:pPr>
      <w:r>
        <w:rPr>
          <w:rFonts w:ascii="Amiri" w:hAnsi="Amiri" w:eastAsia="Amiri" w:cs="Amiri"/>
          <w:color w:val="111111"/>
          <w:sz w:val="28"/>
          <w:sz w:val="28"/>
          <w:szCs w:val="28"/>
          <w:rtl w:val="true"/>
          <w:lang w:bidi="ar-SA"/>
        </w:rPr>
        <w:t>فمقتضى التوقيف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استعماله في الأعم من باب عموم المجاز أو عموم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يتوهّم منه الاستعمال في المعنيين محمول على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أنّ الغناء في الأخبار إمّا يحمل على معناه اللغوي، أو على معناه العرفي،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 سبيل إلى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مجازا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الأوّلان، و الثاني مقدّم على الأوّل فيتعيّن،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من الألفاظ المشتركة، و استعمل في الأحاديث مفردا، و لا يمكن أن يكون مستعملا في كلا معنييه في استعمال واحد، فوجب أن يكون مستعملا في أحد معنييه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فالغناء المنهيّ عنه مستعمل في الصوت المرجّع المطرب، بمعنى المفرح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الغناء المرغوب فيه في المطرب بمعنى المحزن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يظهر من سياق وصف المنهيّ عنه باللهو و الباطل، و المرغوب فيه بالحزن، و كونه مذكّرا للجنّة</w:t>
      </w:r>
      <w:r>
        <w:rPr>
          <w:rFonts w:eastAsia="Amiri" w:cs="Amiri" w:ascii="Amiri" w:hAnsi="Amiri"/>
          <w:color w:val="111111"/>
          <w:sz w:val="28"/>
          <w:szCs w:val="28"/>
          <w:rtl w:val="true"/>
          <w:lang w:bidi="ar-SA"/>
        </w:rPr>
        <w:t>.</w:t>
      </w:r>
      <w:bookmarkStart w:id="102" w:name="pg1913_17647"/>
    </w:p>
    <w:p>
      <w:pPr>
        <w:pStyle w:val="BookText"/>
        <w:rPr/>
      </w:pPr>
      <w:bookmarkEnd w:id="102"/>
      <w:r>
        <w:rPr>
          <w:rFonts w:ascii="Amiri" w:hAnsi="Amiri" w:eastAsia="Amiri" w:cs="Amiri"/>
          <w:color w:val="111111"/>
          <w:sz w:val="28"/>
          <w:sz w:val="28"/>
          <w:szCs w:val="28"/>
          <w:rtl w:val="true"/>
          <w:lang w:bidi="ar-SA"/>
        </w:rPr>
        <w:t>فلا تناقض و لا تعارض بين الطرفين على هذا التقدير، إذ يفيد أحدهما أنّ هذا النوع من الغناء حرام، و الآخر يفيد أنّ ذلك النوع منه مباح و مرغوب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 يتمسّك هؤلاء في تحريم مطلقه؟ انتهى</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هذا مبنيّ على استعمال الغناء في معناه اللغوي أي الصوت المرجّع المطرب، و لمّا كان الطرب مشتركا بين الفرح و الحزن، جعل الغناء المأخوذ في مفهومه الطرب مشتركا بين الصوت المفرح و الصوت المحزن، فبنى عليه ما ذكره من عدم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لا يوجب الاشتراك في الغناء، إذ الطّرب المأخوذ فيه لا يصحّ إرادة الفرح و الحزن جميعا منه، لما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به أحدهما خاصّة، فلا يلزم الاشتراك في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بجواز استعمال اللفظ في معنييه لا مانع من استعمال الغناء أيضا في المفرح و المحزن، فلا دليل على إرادة الأوّل من المنهيّ عنه، و إرادة الثاني من المرغوب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قلنا بإرادتهم من المطرب مطلق المغيّر للحالة</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298008_3650668749"/>
      <w:bookmarkStart w:id="104" w:name="_Toc38"/>
      <w:bookmarkEnd w:id="103"/>
      <w:r>
        <w:rPr>
          <w:rtl w:val="true"/>
        </w:rPr>
        <w:t>المقدّمة السابعة</w:t>
      </w:r>
      <w:r>
        <w:rPr>
          <w:rtl w:val="true"/>
        </w:rPr>
        <w:t>:</w:t>
      </w:r>
      <w:bookmarkEnd w:id="104"/>
    </w:p>
    <w:p>
      <w:pPr>
        <w:pStyle w:val="BookText"/>
        <w:rPr/>
      </w:pPr>
      <w:r>
        <w:rPr>
          <w:rFonts w:ascii="Amiri" w:hAnsi="Amiri" w:eastAsia="Amiri" w:cs="Amiri"/>
          <w:color w:val="111111"/>
          <w:sz w:val="28"/>
          <w:sz w:val="28"/>
          <w:szCs w:val="28"/>
          <w:rtl w:val="true"/>
          <w:lang w:bidi="ar-SA"/>
        </w:rPr>
        <w:t>الاشتباه في مبدء الاشتقاق موجب للإجمال، مع اختلاف معناه بالنظر إلى وجهين نعم، لو كان المشتقّ ظاهرا في أحد المعنيين بتبادره منه، و أغلبية استعماله فيه، حمل عليه، إذ لا إجمال حينئذ، كما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يتغنّ بالقرآن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لاحتمال اشتقاق الفعل من المقصور و من الممدود، و لكنّ الثاني أظهر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 مشترك بين الاستغناء و استعمال الغناء، و لكن استعماله في الثاني أكثر فإرادته من الحديث المذكور أظهر، فيدلّ على جواز الغناء بل تأكّد استحبابه في</w:t>
      </w:r>
      <w:bookmarkStart w:id="105" w:name="pg1913_17649"/>
    </w:p>
    <w:p>
      <w:pPr>
        <w:pStyle w:val="BookText"/>
        <w:rPr/>
      </w:pPr>
      <w:bookmarkEnd w:id="105"/>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هذا الاعتبار لحصل الإجمال الذاتي أو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بلزوم حمل المشترك على جميع معانيه ضعيف شاذّ، كالقول بأنّ المشترك خارج عن حدّ المجمل، لوضوح دلالته، لكونها تابعة للوضع و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من عدم وضوح الدلالة في المجمل عدم وضوح الدلالة على المراد، لا على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الأظهر في تعريف المجمل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احتمل احتمالين 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 عن القرينة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ورد خطاب من الشارع، و له اعتباران، يكون بأحدهما مجملا، دون الآخر، فهو محمول على المبيّن، نظرا إلى غلبة البيان في كلام الشارع كما في قوله مُحْصِنِينَ غَيْرَ مُسٰافِحِينَ </w:t>
      </w:r>
      <w:r>
        <w:rPr>
          <w:rStyle w:val="FootnoteAnchor"/>
          <w:rtl w:val="true"/>
        </w:rPr>
        <w:footnoteReference w:id="31"/>
      </w:r>
      <w:r>
        <w:rPr>
          <w:rFonts w:ascii="Amiri" w:hAnsi="Amiri" w:eastAsia="Amiri" w:cs="Amiri"/>
          <w:color w:val="111111"/>
          <w:sz w:val="28"/>
          <w:sz w:val="28"/>
          <w:szCs w:val="28"/>
          <w:rtl w:val="true"/>
          <w:lang w:bidi="ar-SA"/>
        </w:rPr>
        <w:t>فإنّ الإحصان قد يفسّر بالتعفّف و هو مجمل، و قد يفسّر بالتزويج و هو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فحمل التغنّي في الحديث على الاستغناء متعيّن، لكونه مبيّنا، دون الغناء لكونه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يأتي من عدم الإجمال في لفظ الغناء لا في اللغة و لا في العرف، مع إمكان القول بالإجمال في الاستغناء بالقرآن، كما لا يخفى</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298010_3650668749"/>
      <w:bookmarkStart w:id="107" w:name="_Toc39"/>
      <w:bookmarkEnd w:id="106"/>
      <w:r>
        <w:rPr>
          <w:rtl w:val="true"/>
        </w:rPr>
        <w:t>المقدّمة الثامنة</w:t>
      </w:r>
      <w:r>
        <w:rPr>
          <w:rtl w:val="true"/>
        </w:rPr>
        <w:t>:</w:t>
      </w:r>
      <w:bookmarkEnd w:id="107"/>
    </w:p>
    <w:p>
      <w:pPr>
        <w:pStyle w:val="BookText"/>
        <w:rPr/>
      </w:pPr>
      <w:r>
        <w:rPr>
          <w:rFonts w:ascii="Amiri" w:hAnsi="Amiri" w:eastAsia="Amiri" w:cs="Amiri"/>
          <w:color w:val="111111"/>
          <w:sz w:val="28"/>
          <w:sz w:val="28"/>
          <w:szCs w:val="28"/>
          <w:rtl w:val="true"/>
          <w:lang w:bidi="ar-SA"/>
        </w:rPr>
        <w:t>إذا استعمل اللفظ في معنيين، و احتمل كونه موضوعا لكلّ منهما على حدة، و كونه موضوعا لأحدهما خاصّة، و مستعملا في الآخر على سبيل التجوّز، و يسمّى ذلك تعارض المجاز و الاشتراك</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فالمشهور أنّ المجاز خير من الاشتراك، لأصالة عدم تعدّد الوضع، و أغلبية المجاز على</w:t>
      </w:r>
    </w:p>
    <w:p>
      <w:pPr>
        <w:pStyle w:val="BookText"/>
        <w:rPr/>
      </w:pPr>
      <w:r>
        <w:rPr>
          <w:rFonts w:ascii="Amiri" w:hAnsi="Amiri" w:eastAsia="Amiri" w:cs="Amiri"/>
          <w:color w:val="111111"/>
          <w:sz w:val="28"/>
          <w:sz w:val="28"/>
          <w:szCs w:val="28"/>
          <w:rtl w:val="true"/>
          <w:lang w:bidi="ar-SA"/>
        </w:rPr>
        <w:t xml:space="preserve">الاشتراك </w:t>
      </w:r>
      <w:r>
        <w:rPr>
          <w:rStyle w:val="FootnoteAnchor"/>
          <w:rtl w:val="true"/>
        </w:rPr>
        <w:footnoteReference w:id="32"/>
      </w: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يدّعى الاتفاق على تقديم الاشتراك في ما لو كان كلام اللغوي ظاهرا فيه بتفسير اللفظ بالمعنيين، مع احتمال إرادته الاستعمال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محلّ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مع التنصيص، مع اجتماع شرائط الشهادة، أو مطلقا إن اكتفينا بمطلق الظنّ في باب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ثبت وضع اللفظ لأحدهما بعينه،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يتعيّن، فالمرجع الأمارات المقرّرة لتشخيص الوضع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 عدم صحة السلب،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دار الأمر بين وضع اللفظ للقدر المشترك، و هو الجامع بين المعنيين، أو المعاني، و لكلّ من المتعدّد على حدة، و يسمى بتعارض الاشتراكين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اللفظي و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الأصل المتقدّم ثبوت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وضعه للجامع و لخصوص أحد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بتعارض المجاز و الاشتراك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يرجّح المجاز، نظرا إلى أنّ وضعه للجامع مستلزم لمجازين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يرجّح الاشتراك، لأغلبيّته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ثبت وضعه لمعنى و استعمل في معنيين آخرين، فتردّدنا في وضعه للجامع بينهما، أو مجازيّته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للثاني، لاستلزام الأوّل الاشتراك اللفظي المرجوح بالنسبة إلى المجاز</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 التردّد في وضعه لخصوص كل منهما أيضا، أو علمنا به و شككنا في وضعه للجامع أيضا</w:t>
      </w:r>
      <w:r>
        <w:rPr>
          <w:rFonts w:eastAsia="Amiri" w:cs="Amiri" w:ascii="Amiri" w:hAnsi="Amiri"/>
          <w:color w:val="111111"/>
          <w:sz w:val="28"/>
          <w:szCs w:val="28"/>
          <w:rtl w:val="true"/>
          <w:lang w:bidi="ar-SA"/>
        </w:rPr>
        <w:t>.</w:t>
      </w:r>
      <w:bookmarkStart w:id="108" w:name="pg1913_17653"/>
    </w:p>
    <w:p>
      <w:pPr>
        <w:pStyle w:val="BookText"/>
        <w:rPr/>
      </w:pPr>
      <w:bookmarkEnd w:id="108"/>
      <w:r>
        <w:rPr>
          <w:rFonts w:ascii="Amiri" w:hAnsi="Amiri" w:eastAsia="Amiri" w:cs="Amiri"/>
          <w:color w:val="111111"/>
          <w:sz w:val="28"/>
          <w:sz w:val="28"/>
          <w:szCs w:val="28"/>
          <w:rtl w:val="true"/>
          <w:lang w:bidi="ar-SA"/>
        </w:rPr>
        <w:t>و صور التعارض كثيرة مفصّلة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فمجرّد استعمال اللفظ في معنى أو معان لا يوجب الحقيقة بل هو أعمّ منها على الأصحّ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حققنا معنى حقيقيا للفظ، و شككنا في سائر موارد استعمالاته، و لم تساعدنا على ثبوت الوضع له أمارة ممّا قرّروه، و لا تنصيص ممن يقبل قوله من أهل اللغة، حكمنا فيه بالتجوّز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القبيل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وضعه للصوت المطرب في اللغة ثابت، و كذا في العرف للصوت المطرب اللهويّ، و ليس هذا من الاشتراك، لأنّ المعتبر فيه تعدّد الوضع في اصطلاح واحد، فاستعماله في سائر المعاني الآتية مجاز، فلا إجمال فيه مع القرينة، و لا بدونها، في اللغة، و لا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وضعه لمطلق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بعض اللغويين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الجامع بين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لعدم ثبوته، مع استلزامه التجوّز في استعماله في خصوص المطرب، أو الاشتراك، و كلاهما بعيد،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اختلاف الأقوال في تحقيق الحال و تشتّت المقال في هذا المجال لا يوجب الإجمال، بعد وضوح الحقّ بالبرهان و الاستدلال</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3298012_3650668749"/>
      <w:bookmarkStart w:id="110" w:name="_Toc40"/>
      <w:bookmarkEnd w:id="109"/>
      <w:r>
        <w:rPr>
          <w:rtl w:val="true"/>
        </w:rPr>
        <w:t>المقدّمة التاسعة</w:t>
      </w:r>
      <w:r>
        <w:rPr>
          <w:rtl w:val="true"/>
        </w:rPr>
        <w:t>:</w:t>
      </w:r>
      <w:bookmarkEnd w:id="110"/>
    </w:p>
    <w:p>
      <w:pPr>
        <w:pStyle w:val="BookText"/>
        <w:rPr/>
      </w:pPr>
      <w:r>
        <w:rPr>
          <w:rFonts w:ascii="Amiri" w:hAnsi="Amiri" w:eastAsia="Amiri" w:cs="Amiri"/>
          <w:color w:val="111111"/>
          <w:sz w:val="28"/>
          <w:sz w:val="28"/>
          <w:szCs w:val="28"/>
          <w:rtl w:val="true"/>
          <w:lang w:bidi="ar-SA"/>
        </w:rPr>
        <w:t>الصوت من الكيفيّات المحسوسة، و هو على ما صرّح به جماعة من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تحدث في الهواء بسبب تموّجه المعلول للقرع الذي هو إمساس عنيف، و القلع الذي هو تفريق كذلك، مع مقاومة المقروع و المقلوع للقارع و القالع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ليست الحروف و الكلمات من أجزائه و لوازمه، لتحقّقه بدونها بالضرورة، و إنّما هي مميّزاته عمّا يماثله في الحدّة و الثقل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يختلف باختلاف قوّة المقاومة و ضعفها قوة و ضعفا، و باختلاف صلابة المقروع</w:t>
      </w:r>
    </w:p>
    <w:p>
      <w:pPr>
        <w:pStyle w:val="BookText"/>
        <w:rPr/>
      </w:pPr>
      <w:r>
        <w:rPr>
          <w:rFonts w:ascii="Amiri" w:hAnsi="Amiri" w:eastAsia="Amiri" w:cs="Amiri"/>
          <w:color w:val="111111"/>
          <w:sz w:val="28"/>
          <w:sz w:val="28"/>
          <w:szCs w:val="28"/>
          <w:rtl w:val="true"/>
          <w:lang w:bidi="ar-SA"/>
        </w:rPr>
        <w:t>و ملاسته، و قصر المنفذ و ضيقه حدة و ثقلا، و قد يختلف بملائمة الطبع و منافرته فيتصف بالحسن 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تختلف آثاره فمنه ما يورث السرور و الانبساط، و منه ما يوجب الضحك، و منه ما يورث البكاء، و منه ما يوجب الانزجار عن هذه الحياة و الميل إلى الحياة الباقية، و تذكّر الجنة و الشوق إلى العالم الأعلى، و منه ما يهيّج الشهوات و يزيّن السيّئات، نظير أنواع مدركات البصر في اختلاف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فالصوت مهيّج للقلب و محرّك له و موجب لظهور ما هو الغالب عليه من الأخلاق و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حامد محمّد بن محمّد بن محمّد الغزّالي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تعالى سرّ في مناسبة النغمات الموزونة للأرواح، حتى إنها لتؤثّر فيها تأثيرا عجيبا، فمن الأصوات ما يفرح، و منها ما يحزن، و منها ما ينوّم، و منها ما يضحك و يطرب، و منها ما يستخرج من الأعضاء حركات على وزنها باليد و الرجل و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أن يظنّ أنّ ذلك لفهم معاني الشعر، بل هذا جار في الأوتار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يحرّكه الربيع و أزهاره و العود و أوتاره فهو فاسد المزاج ليس له 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ذلك لفهم المعنى، و تأثيره مشاهد في الصبيّ في مهده، فإنّه يسكته الصوت الطيّب عن بكائه، و تنصرف نفسه عمّا يبكيه إلى الإصغاء إليه، و الجمل مع بلادة طبعه يتأثّر بالحداء تأثّرا يستخفّ معه الأحمال الثقيلة و يستصغر لقوّة نشاطه في سماعه المسافات الطويلة، و ينبعث فيه من النشاط ما يسكره و يولّهه، فتراها إذا طالت عليها البوادي و اعتراها الإعياء و الكلال تحت المحامل و الأحمال، إذا سمعت منادي الحداء تمدّ أعناقها، و تصغي إلى الحادي ناصبة آذانها، و تسرع في سيرها حتى تزعزع عليها أحمالها و محاملها، و ربما تتلف أنفسها من شدّة السير و ثقل الحمل، و هي لا تشعر به لنشاطها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حكى أبو بكر محمد بن داود الدينوري المعروف بالرقّي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بالبادية فوافيت قبيلة</w:t>
      </w:r>
    </w:p>
    <w:p>
      <w:pPr>
        <w:pStyle w:val="BookText"/>
        <w:rPr/>
      </w:pPr>
      <w:r>
        <w:rPr>
          <w:rFonts w:ascii="Amiri" w:hAnsi="Amiri" w:eastAsia="Amiri" w:cs="Amiri"/>
          <w:color w:val="111111"/>
          <w:sz w:val="28"/>
          <w:sz w:val="28"/>
          <w:szCs w:val="28"/>
          <w:rtl w:val="true"/>
          <w:lang w:bidi="ar-SA"/>
        </w:rPr>
        <w:t>من قبائل العرب فأضافني رجل منهم، و أدخلني خبائه فرأيت في الخباء عبدا أسود مقيّدا بقيد، و رأيت جمالا قد ماتت بين يدي البيت، و قد بقي منها جمل و هو ناحل ذابل كأنّه ينزع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ضيف و لك حقّ فتشفّع في إلي مولاي فإنّه مكرم لضيفه، فلا يرد شفاعتك في هذا القدر، فعساه يحلّ القيد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أحضر و الطعام امتنعت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ما لم اشفّع في هذا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العبد أفقرنى و أهلك جميع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صوتا طيّبا، و إنّي كنت أعيش من ظهور هذه الجمال، فحمّلها أحمالا ثقالا و كان يحدو بها حتّى قطعت مسيرة ثلاثة أيام في ليلة واحدة من طيب نغمته، فلما حطّت أحمالها ماتت كلّها، إلّا هذا الجمل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أنت ضيفي فلكرامتك قد وهبته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أسمع صوته، فلمّا أصبحنا أمره أن يحدو على جمل يستقي الماء من بئر هناك، فلمّا رفع صوته هام ذلك الجمل و قطع حباله، و وقعت أنا على وجهي، فما أظنّ أني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أطيب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تأثير السماع في القلب محسوس، و من لم يحرّكه السماع فهو ناقص مائل عن الاعتدال، بعيد عن الروحانيّة، زائد في غلظ الطبع و كثافته على الجمال و الطيور، بل على جميع البهائم، فإنّ جميعها تتأثّر بالنغمات الموزونة، و لذلك كانت الطيور تقف على رأس داود عليه السلام لاستماع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لا يجعل في القلب ما ليس فيه، و لكن يحرّك 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أنّ الحروف و الكلمات ليست من ذاتيّات الصوت، فكذلك الحسن و القبح لتخلّف كلّ منهما عنه، و الذاتيّ لا يتخلّف، فقد يتّصف بالحسن، و قد يتّصف بالقبح، و قد لا يتّصف بشي‌ء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وضع علم الموسيقى بيان طرق تحسين الصوت و تزيينه بمعرفة وجوه المناسبات العدديّة المقترنة بالألحان المستحسنة و النغمات المعجبة الجارية على الكلمات الموزونة الموافقة للأصول العروضية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بعض الأفاضل بأنّ موضوع علم الموسيقى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المعروض للمناسبات العددية من حيث أنّه معروض لها، أو للأعداد الموجودة في المادة أي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فيبحث فيه عن كيفية مناسبات اللحون و اتّفاقها و كيفية تأليفها و اختلافها، و بالجملة يبحث فيه عن كيفية الاتفاق و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تحقّق الأعداد المذكورة إنّما يتحقّق بالتراجيح، فإن كان الصوت على استقامته من غير ترجيع يكون واحدا، فإذا رجّع بترجيع واحد صار اثنين، و إذا رجّع بترجيعين صار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كالحركة، فإنّها ما دامت على استقامتها تكون واحدة، فإذا انعطفت أو رجعت تصير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النغمات إذا كانت متناسبة تكون حسنة، و إن كانت مختلفة كانت قبيحة، و أما إذا لم تكن مشتملة على المناسبة أو المخالفة لم تتّصف بالحسن و القبح، بل يتصف بأمر آخر كالحدّة و مقابلها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فحسن الصوت كيفية عارضة له تحصل برعاية التناسب في الترجيع، و كلّما زاد تناسبا زاد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الوزن وراء الحسن، فكم من صوت حسن خارج عن الوزن، و كم من صوت موزون غير مستطاب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الأصوات الموزونة باعتبار مخارجها ثلاثة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إمّا أن تخرج من جماد كصوت المزامير و الأوتار و ضرب القضيب و الطبل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تخرج من حنجرة حيوان، فذلك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غيره كصوت العنادل و القماري و ذوات السجيع من الطيور، فهي مع طيبها موزونة متناسبة المطالع و المقاطع، فلذلك يستلذّ سماعها و الأصل في الأصوات حناجر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وضعت المزامير على أصوات الحناجر و هو تشبيه للصنعة بالخلقة، و ما من شي‌ء توصّل أهل الصناعات بضاعتهم إلى تصويره إلّا و له مثال في الخلقة التي استأثر اللّه باختراعها، فمنه تعلم الصنّاع، و به قصدوا الاقتداء انتهى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لا يكون الحسن من ذاتيّات الصوت فكذلك التطريب أي تغيير الحال بالسرور أو الحزن، فانّ الصوت قد يكون غير مطرب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فالغناء ليس هو مجرّد الصوت لكونه عبارة عن الصوت المطرب، فالإطراب كيفية زائدة على الصوت عارضة له، و لا يخفى أنّ الإطراب لا يحصل إلّا مع حسن الصوت و هو غير حاصل إلّا بالترجيع المتناسب، فلا يمكن تحسين الصوت إلّا بالتغنّي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صرّح بعضهم بالفرق، و أن النسبة بينهما بالعموم و الخصوص من وجه، و هو مجرّد عبارة لم نتعقّل معناها و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كلّه ضعف 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الحداء، و الرجز، و النياحة، و الرثاء، و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في كلام العرب مستعملة في معان مقصودة لهم، مشتركة الكيفية في القواعد الموسيقيّة، خارجة على قوانين النسب الصوتية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تحقيقات المحقّق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متساقط، لا يرجع إلى محصّل، فإنّ قوله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مشتركة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المعاني المقصودة، فلا بدّ أن يكون المراد من المعاني المقصودة</w:t>
      </w:r>
      <w:r>
        <w:rPr>
          <w:rFonts w:eastAsia="Amiri" w:cs="Amiri" w:ascii="Amiri" w:hAnsi="Amiri"/>
          <w:color w:val="111111"/>
          <w:sz w:val="28"/>
          <w:szCs w:val="28"/>
          <w:rtl w:val="true"/>
          <w:lang w:bidi="ar-SA"/>
        </w:rPr>
        <w:t>:</w:t>
      </w:r>
      <w:bookmarkStart w:id="111" w:name="pg1913_17663"/>
    </w:p>
    <w:p>
      <w:pPr>
        <w:pStyle w:val="BookText"/>
        <w:rPr/>
      </w:pPr>
      <w:bookmarkEnd w:id="111"/>
      <w:r>
        <w:rPr>
          <w:rFonts w:ascii="Amiri" w:hAnsi="Amiri" w:eastAsia="Amiri" w:cs="Amiri"/>
          <w:color w:val="111111"/>
          <w:sz w:val="28"/>
          <w:sz w:val="28"/>
          <w:szCs w:val="28"/>
          <w:rtl w:val="true"/>
          <w:lang w:bidi="ar-SA"/>
        </w:rPr>
        <w:t>هو كيفيّات الأصوات الخاصّة، و موضوع علم الموسيقى إنّما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من حيث هو صوت، و إن كان تحقّق الصوت غالبا في قالب الكلام، لا الكلام من حيث إنّه كلام، و لا من حيث إنّه مهمل أو موضوع، أو نظم أو نثر، أو مدح أو ذمّ، أو مفاخرة و ذكر نسب، أو حكاية رزيّة و التلهّف على 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يعتبر في اتّصاف الصوت بمصطلحات أصحاب الموسيقى ملاحظة المفردات و معانيها، كما لا يخفى، بل الملحوظ إنما هو نفس الصوت و النغمة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فلا وجه لجعل الحداء قسيما للغناء، إذ ليس هو من أقسام كيفيّات الصوت، إلى آخر ما ذكره </w:t>
      </w:r>
      <w:r>
        <w:rPr>
          <w:rStyle w:val="FootnoteAnchor"/>
          <w:rtl w:val="true"/>
        </w:rPr>
        <w:footnoteReference w:id="36"/>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ظهر أيضا ممّا بيّناه ضعف ما ذكره بعضهم من أنّ حمل الغناء على معناه اللغوي لا يوجب التعارض بين ما دلّ على مدح تحسين الصوت، و ما دلّ على ذمّ التغنيّ، لاختلافهما موضوعا، فيختلف مورد المدح و الذمّ، فليتأمّل</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3298014_3650668749"/>
      <w:bookmarkStart w:id="113" w:name="_Toc41"/>
      <w:bookmarkEnd w:id="112"/>
      <w:r>
        <w:rPr>
          <w:rtl w:val="true"/>
        </w:rPr>
        <w:t>المقدّمة العاشرة</w:t>
      </w:r>
      <w:r>
        <w:rPr>
          <w:rtl w:val="true"/>
        </w:rPr>
        <w:t>:</w:t>
      </w:r>
      <w:bookmarkEnd w:id="113"/>
    </w:p>
    <w:p>
      <w:pPr>
        <w:pStyle w:val="BookText"/>
        <w:rPr/>
      </w:pPr>
      <w:r>
        <w:rPr>
          <w:rFonts w:ascii="Amiri" w:hAnsi="Amiri" w:eastAsia="Amiri" w:cs="Amiri"/>
          <w:color w:val="111111"/>
          <w:sz w:val="28"/>
          <w:sz w:val="28"/>
          <w:szCs w:val="28"/>
          <w:rtl w:val="true"/>
          <w:lang w:bidi="ar-SA"/>
        </w:rPr>
        <w:t>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في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ما لا فائدة فيه، و إن كان مباحا كاللعب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يشغل الإنسان عمّا يعنيه و يهمّه، و إن اشتمل على منفعة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الغفلة عن شي‌ء، و الاشتغال عنه بأمر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عن خصوص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الباطل و المحرّم من القول و الفعل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موضوع للجامع بين هذه المعاني، أو لخصوص بعضها، لئلّا يلزم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في حرمته إذا أريد به آلة من آلات اللهو المنصوص على حرمتها، كالدفّ و نحوه، و كذا لو أريد به المحرّم من القول 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الأوّل إلى الثاني، فإنّ المراد بالتحريم المتعلّق بالأعيان تحريم ما يناسبها من الأفعال، كالاستعمال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خلاف في إباحته إذا أريد به بعض المعاني الذي لم يثبت حرمته، بل ثبت إباحته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جماعة إطلاق القول بحرمة كلّ ما يسمّى لهوا، و لكن يمكن حمله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ظهر ضعف الاستدلال لحرمة مطلق الغناء بما دلّ على حرمة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الاستدلال به على حرمة الصوت اللهويّ، مع تفسيره بما يهيّج الشهوات و يزيّن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الملاهي المحرّمة، كالدفّ، و المزمار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الكلام، و لا 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اللعب بآلات اللهو، الظاهر أنّها من حيث اللهو لا من حيث خصوص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اللهو كما يكون بآلة من غير صوت، كضرب الأوتار و نحوه، و بالصوت في الآلة كالمزمار و القصب و نحوهما، فقد يكون بالصوت المجرّد، فكلّ صوت يكون لهوا بكيفيته و معدودا من ألحان الفسوق و المعاصي فهو حرام، و إن فرض أنّه ليس بغناء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لا يعدّ لهوا فليس بحرام، و إن فرض صدق الغناء عليه فرضا غير محقّق، لعدم الدليل على حرمة الغناء إلّا من حيث كونه باطلا و لغوا و زورا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المرجع في اللهو إلى العرف، و الحاكم بتحقّقه هو الوجدان، حيث يجد الصوت المذكور مناسبا لبعض آلات اللهو، و للرقص، و لحضور ما تستلذّه القوى</w:t>
      </w:r>
    </w:p>
    <w:p>
      <w:pPr>
        <w:pStyle w:val="BookText"/>
        <w:rPr/>
      </w:pPr>
      <w:r>
        <w:rPr>
          <w:rFonts w:ascii="Amiri" w:hAnsi="Amiri" w:eastAsia="Amiri" w:cs="Amiri"/>
          <w:color w:val="111111"/>
          <w:sz w:val="28"/>
          <w:sz w:val="28"/>
          <w:szCs w:val="28"/>
          <w:rtl w:val="true"/>
          <w:lang w:bidi="ar-SA"/>
        </w:rPr>
        <w:t>الشهويّة من كون المغنّي جارية أو أمرد،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7"/>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فالصوت اللهويّ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الصوت بنفسه من ألحان أرباب الفسوق كالتصنيف المعروف في هذه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مقترنا بالمحرّمات من آلات اللهو و شرب الخمور و نحوها ممّا هو المتعارف المعمول في مجالس الفسّاق في هذه الأزمنة، و قد كان شائعا متعارفا في زمن الجاهلية و بعد ظهور الإسلام، و لا سيّما في زمن دولة بني أميّة و العبّاس، و كانت الجواري يتعلّمن الألحان العجيبة و النغمات الغريبة المهيّجة للشهوات المزيّنة للسيّئات، و تزيينها بالتصدية و التصفيق و ضرب الدفوف و العيدان و غيرها من آلات اللهو، و كان شغلهن من الغداة إلى الرواح، و من العشية إلى الصباح التغنّي بهذه الألحان و النغمات، و استعمال الملاهي لجذب الفسّاق إلى أنفسهن في الخلوات و الجلوات، لتحصيل ما قرّر عليهن سادتهنّ في هذا الكسب الشنيع الذي صار من أعظم مكاسبهم، بل ربّما كانوا يكرهون فتياتهم عليه حتّى ورد قوله تعالى وَ لٰا تُكْرِهُوا فَتَيٰاتِكُمْ عَلَى الْبِغٰاءِ إِنْ أَرَدْنَ تَحَصُّناً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غلت بذلك قيم جواريهم المغنّيات حتى بلغت قيمة إحداهنّ إلى ثلاثة آلاف دينار و أكثر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في رواية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 جعلت فداك، إنّ رجلا من مواليك عنده جوار مغنّيات، قيمتهنّ أربعة عشر ألف دينار و قد جعل لك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فيها، إن ثمن الكلب و المغنية سحت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روايته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إسحاق بن عمر بجوار له مغنّيات أن نبيعهنّ و نحمل ثمنهنّ</w:t>
      </w:r>
    </w:p>
    <w:p>
      <w:pPr>
        <w:pStyle w:val="BookText"/>
        <w:rPr/>
      </w:pPr>
      <w:r>
        <w:rPr>
          <w:rFonts w:ascii="Amiri" w:hAnsi="Amiri" w:eastAsia="Amiri" w:cs="Amiri"/>
          <w:color w:val="111111"/>
          <w:sz w:val="28"/>
          <w:sz w:val="28"/>
          <w:szCs w:val="28"/>
          <w:rtl w:val="true"/>
          <w:lang w:bidi="ar-SA"/>
        </w:rPr>
        <w:t>إلى أبي الحسن عليه السّلام، فبعت الجواري بثلاثمائة ألف درهم و حملت الثمن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إنّ هذا سحت و تعليمهنّ كفر، و الاستماع منهنّ نفاق، و ثمنهنّ سحت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عن إسماعيل بن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قدر عليه رزقه ارتحل من مكّة قاصدا حضرة الرشيد في بغداد، فلمّا ورد المدينة استمع من جارية مارّة قدّامه صوتا لم يسمع مثله قطّ، فالتمس منها التعلّم فأبت فأعطاها ثلاثة دراهم و تعلّم منها، فلمّا ورد بغداد و أدرك حضرة الرشيد و تغنّى بما تعلّم منها، أعطاه ألف دينار، و التمس منه الإعادة، فلمّا تغنّى به ثانيا أعطاه أيضا ألف دينار،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 بما أحسنت، فتغنّى طول الليل بالتركيبات و الأصوات المخترعة له و لغيره، فلم يعطه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اتبعت كثيرا، فإن لم يك شاقّا عليك تغنّ بالصوت الأوّل، فتغنّى به فأعطاه أيضا ألف دينار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أيضا عن أبي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تعلّم من جارية سوداء بالمدينة صوتا بأربعة دوانق من فضة، فلمّا تغنّى به عند الرشيد أعطاه خمسة آلاف دينار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قد كان التغنّي بالأصوات اللهوية و الألحان المقترنة بالملاهي المحرّمة شائعا متعارفا في الأزمنة السابقة إلى زماننا هذا، و من هنا حملنا ما دلّ على حرمة الغناء على هذا القسم خاصّة، فليفهم</w:t>
      </w:r>
      <w:r>
        <w:rPr>
          <w:rFonts w:eastAsia="Amiri" w:cs="Amiri" w:ascii="Amiri" w:hAnsi="Amiri"/>
          <w:color w:val="111111"/>
          <w:sz w:val="28"/>
          <w:szCs w:val="28"/>
          <w:rtl w:val="true"/>
          <w:lang w:bidi="ar-SA"/>
        </w:rPr>
        <w:t>.</w:t>
      </w:r>
      <w:bookmarkStart w:id="114" w:name="pg1913_17672"/>
    </w:p>
    <w:p>
      <w:pPr>
        <w:pStyle w:val="Heading2"/>
        <w:numPr>
          <w:ilvl w:val="1"/>
          <w:numId w:val="1"/>
        </w:numPr>
        <w:rPr/>
      </w:pPr>
      <w:bookmarkStart w:id="115" w:name="__RefHeading___Toc3298016_3650668749"/>
      <w:bookmarkStart w:id="116" w:name="_Toc42"/>
      <w:bookmarkEnd w:id="114"/>
      <w:bookmarkEnd w:id="115"/>
      <w:r>
        <w:rPr>
          <w:rtl w:val="true"/>
        </w:rPr>
        <w:t>و أمّا المقاصد</w:t>
      </w:r>
      <w:r>
        <w:rPr>
          <w:rtl w:val="true"/>
        </w:rPr>
        <w:t xml:space="preserve">: </w:t>
      </w:r>
      <w:r>
        <w:rPr>
          <w:rtl w:val="true"/>
        </w:rPr>
        <w:t>فثلاثة</w:t>
      </w:r>
      <w:bookmarkEnd w:id="116"/>
    </w:p>
    <w:p>
      <w:pPr>
        <w:pStyle w:val="Heading3"/>
        <w:numPr>
          <w:ilvl w:val="2"/>
          <w:numId w:val="1"/>
        </w:numPr>
        <w:rPr/>
      </w:pPr>
      <w:bookmarkStart w:id="117" w:name="__RefHeading___Toc3298018_3650668749"/>
      <w:bookmarkStart w:id="118" w:name="_Toc43"/>
      <w:bookmarkEnd w:id="117"/>
      <w:r>
        <w:rPr>
          <w:rtl w:val="true"/>
        </w:rPr>
        <w:t>المقصد الأوّل في بيان ماهيّة الغناء لغة و عرفا</w:t>
      </w:r>
      <w:r>
        <w:rPr>
          <w:rtl w:val="true"/>
        </w:rPr>
        <w:t>:</w:t>
      </w:r>
      <w:bookmarkEnd w:id="118"/>
    </w:p>
    <w:p>
      <w:pPr>
        <w:pStyle w:val="BookText"/>
        <w:rPr/>
      </w:pPr>
      <w:r>
        <w:rPr>
          <w:rFonts w:ascii="Amiri" w:hAnsi="Amiri" w:eastAsia="Amiri" w:cs="Amiri"/>
          <w:color w:val="111111"/>
          <w:sz w:val="28"/>
          <w:sz w:val="28"/>
          <w:szCs w:val="28"/>
          <w:rtl w:val="true"/>
          <w:lang w:bidi="ar-SA"/>
        </w:rPr>
        <w:t>فقد اختلف العبارات في المقام على وجوه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مطلق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ظاهر الفيّومي في المصباح </w:t>
      </w:r>
      <w:r>
        <w:rPr>
          <w:rStyle w:val="FootnoteAnchor"/>
          <w:rtl w:val="true"/>
        </w:rPr>
        <w:footnoteReference w:id="44"/>
      </w:r>
      <w:r>
        <w:rPr>
          <w:rFonts w:ascii="Amiri" w:hAnsi="Amiri" w:eastAsia="Amiri" w:cs="Amiri"/>
          <w:color w:val="111111"/>
          <w:sz w:val="28"/>
          <w:sz w:val="28"/>
          <w:szCs w:val="28"/>
          <w:rtl w:val="true"/>
          <w:lang w:bidi="ar-SA"/>
        </w:rPr>
        <w:t>و لم أر من وافقه و من المحتمل إرادته العهد، فيرجع إلى أحد المعاني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يقال له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خواندن و خوانندگى و سراييدن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بن أحمد الزوزنيّ في ترجمته للمصادر، التغني سراييدن </w:t>
      </w:r>
      <w:r>
        <w:rPr>
          <w:rStyle w:val="FootnoteAnchor"/>
          <w:rtl w:val="true"/>
        </w:rPr>
        <w:footnoteReference w:id="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الغناء بسرود و آوازه، و التغني بخوانندگى و سراييدن، فرقا بين تفسير المصدر و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الصراح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أغنيّة بالضمّ و التشديد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و الجمع أغاني، و التغنية سرود گفتن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 الصوت، حكي عن بعض</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المدقق الأردبيلي رحمه اللّه و الظاهر أنه يطلق على مدّ الصوت من غير طرب، فيكون حراما،</w:t>
      </w:r>
    </w:p>
    <w:p>
      <w:pPr>
        <w:pStyle w:val="BookText"/>
        <w:rPr/>
      </w:pPr>
      <w:r>
        <w:rPr>
          <w:rFonts w:ascii="Amiri" w:hAnsi="Amiri" w:eastAsia="Amiri" w:cs="Amiri"/>
          <w:color w:val="111111"/>
          <w:sz w:val="28"/>
          <w:sz w:val="28"/>
          <w:szCs w:val="28"/>
          <w:rtl w:val="true"/>
          <w:lang w:bidi="ar-SA"/>
        </w:rPr>
        <w:t>إذ يصحّ تقسيمه إلى المطرب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7"/>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رفع الصوت و موالاته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رفع صوته و والاه فصوته عند العرب غناء انتهى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فالأولى على هذين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الغناء بالصوت الممدود و المرفوع، الذي فيه 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نفس المدّ و الرفع، كما في جملة من العبارات، لما عرفته، نعم، هذا تفسير للتغنّي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تحسين الصوت و تزيينه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 جماعة عن الشافعي </w:t>
      </w:r>
      <w:r>
        <w:rPr>
          <w:rStyle w:val="FootnoteAnchor"/>
          <w:rtl w:val="true"/>
        </w:rPr>
        <w:footnoteReference w:id="49"/>
      </w:r>
      <w:r>
        <w:rPr>
          <w:rFonts w:ascii="Amiri" w:hAnsi="Amiri" w:eastAsia="Amiri" w:cs="Amiri"/>
          <w:color w:val="111111"/>
          <w:sz w:val="28"/>
          <w:sz w:val="28"/>
          <w:szCs w:val="28"/>
          <w:rtl w:val="true"/>
          <w:lang w:bidi="ar-SA"/>
        </w:rPr>
        <w:t>و لكن في النهاية الأثيرية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يتغنّ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القراءة و ترقيقها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غرضه صرف الحديث عن ظاهره الموجب لتجويز ما لم يشرّع من الغناء المحرم في القرآن إلى المندوب إليه من تحسين الصوت، فليس بصدد بيان المعنى الحقيقي للتغنّي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إرادته من تحسين القراءة رعاية قواعد الترتيل و التجويد المقرّرة في علم القراءة، فلا دخل له بما نحن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في تفسير الغناء بالتحسين ما عرفته، بل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بالصوت الحسن أو المحسّن المزيّن،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ظهر ضعف ما في بعض الكتب من نسبة هذا القول الى ابن الأثير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ترجيع الصوت و مدّه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العلّامة في شهادات القواعد </w:t>
      </w:r>
      <w:r>
        <w:rPr>
          <w:rStyle w:val="FootnoteAnchor"/>
          <w:rtl w:val="true"/>
        </w:rPr>
        <w:footnoteReference w:id="51"/>
      </w:r>
      <w:r>
        <w:rPr>
          <w:rFonts w:ascii="Amiri" w:hAnsi="Amiri" w:eastAsia="Amiri" w:cs="Amiri"/>
          <w:color w:val="111111"/>
          <w:sz w:val="28"/>
          <w:sz w:val="28"/>
          <w:szCs w:val="28"/>
          <w:rtl w:val="true"/>
          <w:lang w:bidi="ar-SA"/>
        </w:rPr>
        <w:t>، و المراد بالترجيع ترديد الصوت في الحلق،</w:t>
      </w:r>
    </w:p>
    <w:p>
      <w:pPr>
        <w:pStyle w:val="BookText"/>
        <w:rPr/>
      </w:pPr>
      <w:r>
        <w:rPr>
          <w:rFonts w:ascii="Amiri" w:hAnsi="Amiri" w:eastAsia="Amiri" w:cs="Amiri"/>
          <w:color w:val="111111"/>
          <w:sz w:val="28"/>
          <w:sz w:val="28"/>
          <w:szCs w:val="28"/>
          <w:rtl w:val="true"/>
          <w:lang w:bidi="ar-SA"/>
        </w:rPr>
        <w:t xml:space="preserve">كقراءة أصحاب الألحان اآ اآ اآ قاله الطريحي في المجمع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تفسيره بالصوت المرجّع الممدود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الصوت المشتمل على الترجيع المطرب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الأكثرون، و لعلّه مراد من فسّره بالسماع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من فسّره بمدّ هذا الصوت كما في الروضة </w:t>
      </w:r>
      <w:r>
        <w:rPr>
          <w:rStyle w:val="FootnoteAnchor"/>
          <w:rtl w:val="true"/>
        </w:rPr>
        <w:footnoteReference w:id="54"/>
      </w:r>
      <w:r>
        <w:rPr>
          <w:rFonts w:ascii="Amiri" w:hAnsi="Amiri" w:eastAsia="Amiri" w:cs="Amiri"/>
          <w:color w:val="111111"/>
          <w:sz w:val="28"/>
          <w:sz w:val="28"/>
          <w:szCs w:val="28"/>
          <w:rtl w:val="true"/>
          <w:lang w:bidi="ar-SA"/>
        </w:rPr>
        <w:t>و غيرها لما عرفته من انّه تفسير للتغنّي فتسامحوا في تفسير الغناء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ينسب هذا إلى ثاني المحقّقين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مجرّد مدّ الصوت محرّما و إن مالت إليه النفوس ما لم ينته إلى حدّ يكون مطربا بالترجيع المقتضي للإطراب </w:t>
      </w:r>
      <w:r>
        <w:rPr>
          <w:rStyle w:val="FootnoteAnchor"/>
          <w:rtl w:val="true"/>
        </w:rPr>
        <w:footnoteReference w:id="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لكنّك خبير بأنّه في صدد تفسير المحرّم من الغناء لا مطلق ما يسمّيه العرف غناء، و هذا محتمل في عبارات كثير من الفقهاء، بل لعلّه ظاهر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ثاني الشهيدين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 الصوت المشتمل على الترجيع المطرب، فلا يحرم بدون الوصفين، أعنى الترجيع مع الإطراب، و إن وجد أحدهما </w:t>
      </w:r>
      <w:r>
        <w:rPr>
          <w:rStyle w:val="FootnoteAnchor"/>
          <w:rtl w:val="true"/>
        </w:rPr>
        <w:footnoteReference w:id="5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عبارات جماعة من فقهائنا، فإنّ ظاهرهم أنّهم في مقام تشخيص الحكم، لا في مقام تشخيص الموضوع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ترى جمعا منهم يردّون ذلك إلى العرف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سمّى فيه غناء يحرم و إن لم يطرب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المقداد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بالغناء ما يسمّى في العرف غناء </w:t>
      </w:r>
      <w:r>
        <w:rPr>
          <w:rStyle w:val="FootnoteAnchor"/>
          <w:rtl w:val="true"/>
        </w:rPr>
        <w:footnoteReference w:id="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المراد بالغناء المحكوم عليه بالحرمة ما يسمّى فيه غناء، إذ من البعيد إرادة</w:t>
      </w:r>
    </w:p>
    <w:p>
      <w:pPr>
        <w:pStyle w:val="BookText"/>
        <w:rPr/>
      </w:pPr>
      <w:r>
        <w:rPr>
          <w:rFonts w:ascii="Amiri" w:hAnsi="Amiri" w:eastAsia="Amiri" w:cs="Amiri"/>
          <w:color w:val="111111"/>
          <w:sz w:val="28"/>
          <w:sz w:val="28"/>
          <w:szCs w:val="28"/>
          <w:rtl w:val="true"/>
          <w:lang w:bidi="ar-SA"/>
        </w:rPr>
        <w:t>تشخيص الموضوع اللغويّ بالعرف إلّا بضميمة أصالة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الصوت المشتمل على غنّة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ابن يعيش،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سمّي المغنّي مغنّيا لأنه يغنن صوته أي يجعل فيه غنّه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عنده مغنّن بثلاث نونات فأبدلت الأخيرة ياء تخفيفا </w:t>
      </w:r>
      <w:r>
        <w:rPr>
          <w:rStyle w:val="FootnoteAnchor"/>
          <w:rtl w:val="true"/>
        </w:rPr>
        <w:footnoteReference w:id="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كما ترى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الصوت المشتمل على الترجيع، و إن لم يكن مطربا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جماعة، و الظاهر عدم اعتبارهم المدّ، و هو أقرب من القول باعتبار المدّ، دون الترجيع،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للأردبيليّ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إطلاقه على غير المرجّع و المكرر في الحلق </w:t>
      </w:r>
      <w:r>
        <w:rPr>
          <w:rStyle w:val="FootnoteAnchor"/>
          <w:rtl w:val="true"/>
        </w:rPr>
        <w:footnoteReference w:id="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الإنصاف أنّه في غاية البعد، نعم، عدم اعتبار الإطراب ليس بذلك البعيد، كما هو ظاهر ابن إدريس في المكاسب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عدّ من المحظور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الرقص، و جميع ما يطرب من الأصوات و الأغاني </w:t>
      </w:r>
      <w:r>
        <w:rPr>
          <w:rStyle w:val="FootnoteAnchor"/>
          <w:rtl w:val="true"/>
        </w:rPr>
        <w:footnoteReference w:id="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الأغاني جمع الاغنيّة، و هو نوع من الغناء كما في القاموس </w:t>
      </w:r>
      <w:r>
        <w:rPr>
          <w:rStyle w:val="FootnoteAnchor"/>
          <w:rtl w:val="true"/>
        </w:rPr>
        <w:footnoteReference w:id="62"/>
      </w:r>
      <w:r>
        <w:rPr>
          <w:rFonts w:ascii="Amiri" w:hAnsi="Amiri" w:eastAsia="Amiri" w:cs="Amiri"/>
          <w:color w:val="111111"/>
          <w:sz w:val="28"/>
          <w:sz w:val="28"/>
          <w:szCs w:val="28"/>
          <w:rtl w:val="true"/>
          <w:lang w:bidi="ar-SA"/>
        </w:rPr>
        <w:t>و قد عطفه على الأصوات، فيكون في الغناء ما لا يطرب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يحكى عنه أنّه فسّر الغناء بالصوت المطرب، و لم أجده فيما ظفرنا عليه من عبارته،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الترجيع لا ينفكّ عن التطريب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عجيب مع أنّ وصف الأكثر الترجيع بالمطرب في تفسير الغناء كالصريح في</w:t>
      </w:r>
    </w:p>
    <w:p>
      <w:pPr>
        <w:pStyle w:val="BookText"/>
        <w:rPr/>
      </w:pPr>
      <w:r>
        <w:rPr>
          <w:rFonts w:ascii="Amiri" w:hAnsi="Amiri" w:eastAsia="Amiri" w:cs="Amiri"/>
          <w:color w:val="111111"/>
          <w:sz w:val="28"/>
          <w:sz w:val="28"/>
          <w:szCs w:val="28"/>
          <w:rtl w:val="true"/>
          <w:lang w:bidi="ar-SA"/>
        </w:rPr>
        <w:t>التفكيك، نعم، لو أريد بالترجيع مصطلح أرباب الموسيقى فله وجه، فإنّه مبنيّ على المناسبات العددية المقترنة بالألحان المستحسنة و النغمات المعجبة، الجارية على الكلمات الموزونة، الموافقة للأصول العروضية، و قد تقدم في المقدّمة التاسعة ما يبيّن هذا، و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الصوت الممدود المحسّن المشتمل على 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زاعما أنّ مرادهم بالإطراب في تفسير الغناء هو مدّ الصوت و ترجيعه و تحسينه، لا الخفّة الموجبة لشدّة سرور أو حزن، لما في جملة من كتب اللغة من تفسير التطريب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في القاموس </w:t>
      </w:r>
      <w:r>
        <w:rPr>
          <w:rStyle w:val="FootnoteAnchor"/>
          <w:rtl w:val="true"/>
        </w:rPr>
        <w:footnoteReference w:id="63"/>
      </w:r>
      <w:r>
        <w:rPr>
          <w:rFonts w:ascii="Amiri" w:hAnsi="Amiri" w:eastAsia="Amiri" w:cs="Amiri"/>
          <w:color w:val="111111"/>
          <w:sz w:val="28"/>
          <w:sz w:val="28"/>
          <w:szCs w:val="28"/>
          <w:rtl w:val="true"/>
          <w:lang w:bidi="ar-SA"/>
        </w:rPr>
        <w:t xml:space="preserve">الغناء من الصوت ما مدّ و حسّن و رجّع </w:t>
      </w:r>
      <w:r>
        <w:rPr>
          <w:rStyle w:val="FootnoteAnchor"/>
          <w:rtl w:val="true"/>
        </w:rPr>
        <w:footnoteReference w:id="6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خلاف الظاهر من كلماتهم، و لا سيّما كلمات من عبّر بالترجيع المطرب، 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 و الترجيع معنى مجازيّ للتطريب، و إلّا لزم الاشتراك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مشايخنا المدقّقين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لم يذكروا للطرب معنى آخر، أي غير الخفة التي تعتري لحزن أو سرور، ليشتق منه لفظ التطريب و الإطراب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ما ذكر في معنى التطريب من الصحاح و المصباح إنّما هو للفعل القائم بذي الصوت، لا الإطراب القائم بالصوت، و هو الأجود في تعريف الغناء عند المشهور دون فعل الشخص </w:t>
      </w:r>
      <w:r>
        <w:rPr>
          <w:rStyle w:val="FootnoteAnchor"/>
          <w:rtl w:val="true"/>
        </w:rPr>
        <w:footnoteReference w:id="65"/>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الصوت المشتمل على لهو الكلام أو المقترن بالملاهي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جماعة منهم السبزواري </w:t>
      </w:r>
      <w:r>
        <w:rPr>
          <w:rStyle w:val="FootnoteAnchor"/>
          <w:rtl w:val="true"/>
        </w:rPr>
        <w:footnoteReference w:id="66"/>
      </w:r>
      <w:r>
        <w:rPr>
          <w:rFonts w:ascii="Amiri" w:hAnsi="Amiri" w:eastAsia="Amiri" w:cs="Amiri"/>
          <w:color w:val="111111"/>
          <w:sz w:val="28"/>
          <w:sz w:val="28"/>
          <w:szCs w:val="28"/>
          <w:rtl w:val="true"/>
          <w:lang w:bidi="ar-SA"/>
        </w:rPr>
        <w:t xml:space="preserve">و المحدّث </w:t>
      </w:r>
      <w:r>
        <w:rPr>
          <w:rStyle w:val="FootnoteAnchor"/>
          <w:rtl w:val="true"/>
        </w:rPr>
        <w:footnoteReference w:id="67"/>
      </w:r>
      <w:r>
        <w:rPr>
          <w:rFonts w:ascii="Amiri" w:hAnsi="Amiri" w:eastAsia="Amiri" w:cs="Amiri"/>
          <w:color w:val="111111"/>
          <w:sz w:val="28"/>
          <w:sz w:val="28"/>
          <w:szCs w:val="28"/>
          <w:rtl w:val="true"/>
          <w:lang w:bidi="ar-SA"/>
        </w:rPr>
        <w:t>الكاشانيّ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التأمّل في عباراتهم يعطي أنّ مرادهم تخصيص الحرمة بهذا النوع، لا نفي الاسم من غيره، و قد فصّلناه في منتقد المنافع شرح النافع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الصوت اللهويّ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أعمّ ممّا تقدّم، فإنّ الصوت قد يكون بنفسه لهوا و إن لم يشتمل على لهو الكلام و لم يقترن بالملاهي، كالصوت المعروف بالتصنيف المستعمل في المراثي و نحوها، ممّا لا يكون بنفسه من لهو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أن القائل بالسابق يجعل مثل هذا الصوت نفسه من الملاهي، كما أنّ القائل بهذا القول يعمّم اللهويّ لما يندرج فيه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فهذا القول مختار جماعة، و لكنّ ظاهر هم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الصوت الطيّب الموزون المفهوم المعنى، المحرك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جماعة إلى الغزالي، و لكن عبارته صريحة في أنّ مثل هذا الصوت بنفسه مباح قد تعرضه الحرمة بسبب عوارض محرّمة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دلالة فيها على انحصار معناه اللغويّ فيه، مع أنّه قد جزم جماعة بأنّ الغناء من كيفيات الصوت و لا يعتبر فيه المقروء و المدلول،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يسمّى في العرف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صرّح به جماعة، 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لم يقدّر شرعا فالمحكّم فيه هو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حيث كان العرف مضبوطا، و ليس كذلك في المقام، كما صرّح به بعض الأعلام،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عرف لأهل العجم في لفظ الغناء، و مرادفه من لغة الفرس غير معلوم، و عرف العرب فيه غير منضبط </w:t>
      </w:r>
      <w:r>
        <w:rPr>
          <w:rStyle w:val="FootnoteAnchor"/>
          <w:rtl w:val="true"/>
        </w:rPr>
        <w:footnoteReference w:id="7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 قد عرفت أنّ مرادفه في لغة الفرس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خوانندگى و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عرفت ذلك كلّه، فاعلم أنّ الغناء ليس موضوعا لمجرّد الصوت لغة و لا عرفا، إذ من البديهيّ أنّ أصوات الطيور مثلا لا تسمّى غناء حقيقة و إن أطلق عليها مجازا كما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بكاء حمامة تدعو هديلا مفجعة على فنن تغنّي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قال السيّد المرتضى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غرره و درره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فشبّه صوتها لما أطرب إطراب الغناء، بالغناء انتهى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فسقط ما في المصباح من تفسيره بالصوت </w:t>
      </w:r>
      <w:r>
        <w:rPr>
          <w:rStyle w:val="FootnoteAnchor"/>
          <w:rtl w:val="true"/>
        </w:rPr>
        <w:footnoteReference w:id="73"/>
      </w:r>
      <w:r>
        <w:rPr>
          <w:rFonts w:ascii="Amiri" w:hAnsi="Amiri" w:eastAsia="Amiri" w:cs="Amiri"/>
          <w:color w:val="111111"/>
          <w:sz w:val="28"/>
          <w:sz w:val="28"/>
          <w:szCs w:val="28"/>
          <w:rtl w:val="true"/>
          <w:lang w:bidi="ar-SA"/>
        </w:rPr>
        <w:t>إن أراد به ظاهره، و لا يثبت الوضع بقول لغويّ واحد، و لا سيّما إذا كان معارضا بمخالفة الأكثر، و قد بيّنا في المقدمة الخامسة أن الظنّ الحاصل بقول اللغويّ ليس من الظنون المخصوصة الخارجة عن أصالة حرمة العمل بالظنّ، و ليس من الظنون اللفظية، هذا، مع أنّه لا ظنّ مع مخالفة أكثر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موضوع قطعا للصوت المكيّف بكيفية خاصّة، مردّدة بين الكيفيّات المذكورة، و الرجوع إلى العرف لعدم انضباطه غير مجد في الكشف عن الوضع اللغويّ، و أكثر الكيفيات المذكورة غير مذكور في كتب اللغة، و إنّما المذكور فيها أمور أشهرها اعتبار الترجيع و التطريب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ثبوت وضع هذا اللفظ لكلّ صوت مشتمل على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احتمال وضعه للمشتمل على الأوّل خاصّة، نظرا إلى الأصل،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بأنّ هذا اللفظ صار حقيقة عرفية في الصوت اللهويّ و المقترن بالملاهي، لشيوع استعماله فيهما، و كثرة وجودهما في جميع الأعصار بحيث يكونان متبادرين من إطلاق هذا اللفظ، بل يمكن دعوى تبادرهما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قطع النظر عن كثرة الاستعمال و غلبة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حقيقة عرفية في الصوت اللهويّ بالمعنى الأعم، أي ما يتلهّى به من</w:t>
      </w:r>
    </w:p>
    <w:p>
      <w:pPr>
        <w:pStyle w:val="BookText"/>
        <w:rPr/>
      </w:pPr>
      <w:r>
        <w:rPr>
          <w:rFonts w:ascii="Amiri" w:hAnsi="Amiri" w:eastAsia="Amiri" w:cs="Amiri"/>
          <w:color w:val="111111"/>
          <w:sz w:val="28"/>
          <w:sz w:val="28"/>
          <w:szCs w:val="28"/>
          <w:rtl w:val="true"/>
          <w:lang w:bidi="ar-SA"/>
        </w:rPr>
        <w:t>الأصوات مطلقا، سواء كان بنفسه، مجرّدا من الاقتران بالآلات الخارجيّة المحرّمة، أو بسبب اقترانه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فالوضع العرفيّ التخصّصيّ الحاصل بشيوع الاستعمال في هذا النوع متّحد، بمعنى أنّه لم يثبت وضع آخر حتّى يحكم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وضعه لمطلق الصوت المشتمل على الترجيع و التطريب أو الترجيع خاصة في اللغة، فإنّ المناط في الاشتراك و عدمه هو تعدّد الوضع و عدمه في اصطلاح واحد، لا في اصطلاحين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النقل في العرف من المعنى اللغوي إلى هذا المعنى خاصّة، مع كونه على خلاف الأصل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شيوع استعماله فيه، و غلبة وجود هذا المعنى في الأعصار،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تبادره منه تبادرا كاشفا عن الوضع، فإنّه المتبادر منه، و لو قطع النظر عن شيوع الاستعمال و غلبة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شكّ العرف و ترديدهم في إطلاق هذا اللفظ على هذا النوع من الصوت، مع شكّهم في إطلاقه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سلب هذا اللفظ عن هذا النوع مع صحّة سلبه عن غيره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لعدم صحة سلب الكلّي عن شي‌ء من أفراده، مع أنّ استعماله فيه تجوّز، فلعله لوضعه لمطلق الصوت المطرب، أو المشتمل على الترجيع، فلا يصحّ سلبه عن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صحّة سلبه عن غيره دليل على اختصاص وضعه به،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الفقهاء على شمول ما دلّ على حرمة الغناء لهذا النوع و اختلافهم في شموله لغيره، فإنّ الظاهر المصرّح به في بعض كلماتهم أنّ ذلك لمسلّميّة وضعه عرفا لهذا المعنى، فتأمّل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تحسين الصوت و تطريبه متلازمان في الوجود الخارجيّ، و إن تغايرا مفهوما كتزيينه، و كذا موالاة الصوت مع ترجيعه، بل يمكن إرجاع المدّ و الرفع اليه، و قد</w:t>
      </w:r>
    </w:p>
    <w:p>
      <w:pPr>
        <w:pStyle w:val="BookText"/>
        <w:rPr/>
      </w:pPr>
      <w:r>
        <w:rPr>
          <w:rFonts w:ascii="Amiri" w:hAnsi="Amiri" w:eastAsia="Amiri" w:cs="Amiri"/>
          <w:color w:val="111111"/>
          <w:sz w:val="28"/>
          <w:sz w:val="28"/>
          <w:szCs w:val="28"/>
          <w:rtl w:val="true"/>
          <w:lang w:bidi="ar-SA"/>
        </w:rPr>
        <w:t xml:space="preserve">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باتّحاد التطريب مع المدّ و الترجيع و التحسين، 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التطريب مستلزم للترجيع بل العكس على مصطلح أهل الموسيقى، غاية ما في الباب أنّ محصّل الاختلاف في وضع الغناء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بداهة فساد القول بكونه مجرّد الصوت، لما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موضوع لغة للصوت المشتمل على الترجيع أي ترديده في الحلق بالتلفظ با آ اآ اآ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فيه مع ذلك الإطراب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و إن كان مقتضى الأصل، بل الأخذ بالأعمّ، بناء على القول الذي في المقدمة الخامسة تقدّم، إلّا أنّ القائل المصرّح به قليل، بل لم نعرفه باسمه و أنّما حكاه جماعة قولا، أو عن بعض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w:t>
      </w:r>
      <w:r>
        <w:rPr>
          <w:rStyle w:val="FootnoteAnchor"/>
          <w:rtl w:val="true"/>
        </w:rPr>
        <w:footnoteReference w:id="74"/>
      </w:r>
      <w:r>
        <w:rPr>
          <w:rFonts w:ascii="Amiri" w:hAnsi="Amiri" w:eastAsia="Amiri" w:cs="Amiri"/>
          <w:color w:val="111111"/>
          <w:sz w:val="28"/>
          <w:sz w:val="28"/>
          <w:szCs w:val="28"/>
          <w:rtl w:val="true"/>
          <w:lang w:bidi="ar-SA"/>
        </w:rPr>
        <w:t>باسمه، بل في بعض الرسائل لبعض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بكونه غناء ممّا لا شاهد له، و لا دليل يساعده من لغة أو عرف أو حديث، بل في قوله عليه السّلام في رواية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اقرأوا القران بألحان العرب و أصواتها و إيّاكم و لحون أهل الفسق و الكبائر، فإنّه سيجي‌ء بعدي أقوام يرجّعون القرآن ترجيع الغناء</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دلالة ظاهرة على أنّ مطلق الترجيع ليس غناء بل هو كيفية خاصّة من التراجيع </w:t>
      </w:r>
      <w:r>
        <w:rPr>
          <w:rStyle w:val="FootnoteAnchor"/>
          <w:rtl w:val="true"/>
        </w:rPr>
        <w:footnoteReference w:id="7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رسالة السيد ماجد أنّه عليه السّلام نهى عن ترجيع القرآن ترجيع الغناء، فلو لم يكن ترجيع الغناء أخصّ من الترجيع المطلق لكان يقتصر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الفائدة فيه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مفعولا مطلقا مضافا، و المفعول المطلق المضاف أو</w:t>
      </w:r>
    </w:p>
    <w:p>
      <w:pPr>
        <w:pStyle w:val="BookText"/>
        <w:rPr/>
      </w:pPr>
      <w:r>
        <w:rPr>
          <w:rFonts w:ascii="Amiri" w:hAnsi="Amiri" w:eastAsia="Amiri" w:cs="Amiri"/>
          <w:color w:val="111111"/>
          <w:sz w:val="28"/>
          <w:sz w:val="28"/>
          <w:szCs w:val="28"/>
          <w:rtl w:val="true"/>
          <w:lang w:bidi="ar-SA"/>
        </w:rPr>
        <w:t xml:space="preserve">الموصوف أخصّ من مصدر فعله، كقولك سرت سير البريد، و ضربت ضربا شديدا </w:t>
      </w:r>
      <w:r>
        <w:rPr>
          <w:rStyle w:val="FootnoteAnchor"/>
          <w:rtl w:val="true"/>
        </w:rPr>
        <w:footnoteReference w:id="77"/>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فحيث ظهر و بان ضعف هذا القول تعيّن الثاني، لتصريح أكثر أهل اللغة، بل و غيرهم، به، كما لا يخفى على المتتبع المتنبّه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أنّي لا أظنّ العرب يصحّحون سلب الغناء عن الأصوات المشتملة على الترجيع مع الإطراب، بل الظاهر تبادر ذلك منه عندهم، كما صرّح به بعض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كلام السيّد المرتضى رحمه اللّه على بيت النابغة شاهد على ما ذكرنا بلا ارتياب، فإنّه جعل العلاقة هو المشابهة في الإطراب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بيّناه و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العرفيّة لهذا اللفظ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اللهويّ الشامل للمقترن بالملاهي، و الحقيقة اللغوية له هو الصوت المطرب، و لا حاجة إلى اعتبار الترجيع، لاستلزام الإطراب للترجيع،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صوت مطرب يستعمله إنسان غناء لغة، و إن لم يكن على سبيل اللهو و لم يقترن بشي‌ء من الملاهي و المحرّمات، و الّا فهو غناء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ما كان مشتملا على كلام مفهوم المعنى و غيره، و لا بين ما كان في كلام باطل و حقّ، و لا بين الشعر و غيره، و لا بين المرثيّة و غيرها، فإنّ ذلك كلّه مع الإطراب غناء لغة و مع التلهّي غناء عرفا و لغة، فإنّ كلّ ما يطلق عليه الغناء في العرف يطلق عليه الغناء لغة، دون العكس،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ليعلم أنّ المراد بالصوت اللهويّ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أن يكون مطلق ما يتلهى به، و أن لم يحكم بحرمته، بناء على عدم ثبوت حرمة مطلق اللهو، كما أشرنا إليه في المقدمة العاشرة، لعدم اعتبار الحرمة في صدق الغناء العرفيّ، و حمل ما يأتي من الاخبار على اللهويّ المحرّم لا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بثبوت العرف الشرعي فيه، نظرا إلى غلبة استعمال هذا اللفظ فيه، في زمن صدور هذه الأخبار و وجوده،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من ذلك اختصاصه بالمحرّم، نظرا إلى احتمال كون الغلبتين معا منشأ لتحقّق الوضع العرفيّ،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بالمطرب المغيّر للحال المحرّك للقلب مطلقا سواء كان من فرح أو من حزن، فإنّه مأخوذ من الطرب المفسّر في بعض كتب اللغة بالخفّة الّتي تلحقك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تسرّك أو تحزنك، أو المفسّر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الطرب بالتحريك خفّة تعتري الإنسان لشدّة حزن أو سرور، و العامة تخصّه بالسرور </w:t>
      </w:r>
      <w:r>
        <w:rPr>
          <w:rStyle w:val="FootnoteAnchor"/>
          <w:rtl w:val="true"/>
        </w:rPr>
        <w:footnoteReference w:id="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 في القاموس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المذكورة، و الحركة، و الشوق،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مطراب و مطرابة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طروب، و استطرب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الطرب، و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حرّكها بالحداء، و التطريب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الإطراب، كالتطرّب و التغنّي انتهى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فليس استعمال المطرب في هذا المقام من قبيل استعمال اللفظ في أكثر من معنى واحد، و لا من قبيل استعمال المشترك في عموم الاشتراك، ليلزم التجوّز، فإنّ المراد به هو مطلق الموجد للخفّة الموجبة لأحد الأمرين، و هو معنى حقيقيّ له، و كذا لو أريد به مطلق المحرّك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جعلنا المبدء مشتركا بين الضدّين،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للثعالبي </w:t>
      </w:r>
      <w:r>
        <w:rPr>
          <w:rStyle w:val="FootnoteAnchor"/>
          <w:rtl w:val="true"/>
        </w:rPr>
        <w:footnoteReference w:id="80"/>
      </w:r>
      <w:r>
        <w:rPr>
          <w:rFonts w:ascii="Amiri" w:hAnsi="Amiri" w:eastAsia="Amiri" w:cs="Amiri"/>
          <w:color w:val="111111"/>
          <w:sz w:val="28"/>
          <w:sz w:val="28"/>
          <w:szCs w:val="28"/>
          <w:rtl w:val="true"/>
          <w:lang w:bidi="ar-SA"/>
        </w:rPr>
        <w:t xml:space="preserve">و به صرّح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فلا يجوز إرادتهما منه إلّا على الوجه الثاني، و لكنّه مفتقر إلى القرينة و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امتناع إرادة الجميع قرينة على هذا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بالجواز، لا بدّ من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استعماله في خصوص الحزن و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استعماله في خصوص السرور، فالظاهر أنّ تبادره منه الناشئ من شهرة الاستعمال مغن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الطرب بالخفّة المشار إليها هو المدخل للصوت في أفراد اللهو،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أطربا و أنت قنّسري و الدهر بالإنسان دوّاري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أراد هذه الخفّة على سبيل اللهو و التلهّي، و إلّا فمجرّد السرور أو الحزن لا يبعد عن الشيخ الكبير حتّى يتعلّق به الاستفهام التوبيخي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الخفّة لا تستلزم التلهّي، و إلّا لكان كلّ صوت مطرب ملهيّا، و هو بعيد، و لذا تراهم يقسّمون الصوت المطرب إلى ما كان على سبيل اللهو و غيره، و ربما يشهد له بيت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 ما شوقا الى البيض أطرب و لا لعبا منّي و ذو الشيب يلعب؟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فإنّه، مع إثباته الطرب لنفسه، نفي اللعب و أنكره على ذي الشيب، على وجه الاستفهام الإبطالي المحذوف أداته،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فهل يعتبر الأطراف في تحقّق الغناء اللغويّ، أو يكتفى بما من شأنه الإطراب بالفعل فلا يقدح فيه قبح الصوت و غلظته و نحو ذلك وجهان؟</w:t>
      </w:r>
    </w:p>
    <w:p>
      <w:pPr>
        <w:pStyle w:val="BookText"/>
        <w:rPr/>
      </w:pPr>
      <w:r>
        <w:rPr>
          <w:rFonts w:ascii="IRNazanin" w:hAnsi="IRNazanin" w:eastAsia="IRNazanin"/>
          <w:color w:val="111111"/>
          <w:sz w:val="28"/>
          <w:sz w:val="28"/>
          <w:szCs w:val="28"/>
          <w:rtl w:val="true"/>
          <w:lang w:bidi="fa-IR"/>
        </w:rPr>
        <w:t>و لعلّ الأول أظهر، فتدبّر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الكلام في الصوت اللهويّ المعتبر في الغناء العرفيّ، فتأمّل</w:t>
      </w:r>
      <w:r>
        <w:rPr>
          <w:rFonts w:eastAsia="Amiri" w:cs="Amiri" w:ascii="Amiri" w:hAnsi="Amiri"/>
          <w:color w:val="111111"/>
          <w:sz w:val="28"/>
          <w:szCs w:val="28"/>
          <w:rtl w:val="true"/>
          <w:lang w:bidi="ar-SA"/>
        </w:rPr>
        <w:t>.</w:t>
      </w:r>
      <w:bookmarkStart w:id="119" w:name="pg1913_17696"/>
    </w:p>
    <w:p>
      <w:pPr>
        <w:pStyle w:val="Heading3"/>
        <w:numPr>
          <w:ilvl w:val="2"/>
          <w:numId w:val="1"/>
        </w:numPr>
        <w:rPr/>
      </w:pPr>
      <w:bookmarkStart w:id="120" w:name="__RefHeading___Toc3298020_3650668749"/>
      <w:bookmarkStart w:id="121" w:name="_Toc44"/>
      <w:bookmarkEnd w:id="119"/>
      <w:bookmarkEnd w:id="120"/>
      <w:r>
        <w:rPr>
          <w:rtl w:val="true"/>
        </w:rPr>
        <w:t>المقصد الثاني في حكم الغناء شرعا</w:t>
      </w:r>
      <w:bookmarkEnd w:id="121"/>
    </w:p>
    <w:p>
      <w:pPr>
        <w:pStyle w:val="Heading4"/>
        <w:numPr>
          <w:ilvl w:val="3"/>
          <w:numId w:val="1"/>
        </w:numPr>
        <w:rPr/>
      </w:pPr>
      <w:bookmarkStart w:id="122" w:name="__RefHeading___Toc3298022_3650668749"/>
      <w:bookmarkStart w:id="123" w:name="_Toc45"/>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فإذا عرفت أنّ الغناء هو الصوت المطرب، فاعلم أنّ هذا الصوت على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بنفسه لهوا مهيّجا للشهوات، مزيّنا للسيّئات، داعيا إلى المحرّمات، كالصوت المعروف بالتصنيف، فإنّه بنفسه محرّك للقلب إلى الشهوات الباطلة، و إن لم يقترن بالملاهي، و لا بالكلمات المفهمة للمعاني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داعيا الى ما ذكر بواسطة اشتماله على الكلمات المهيّجة للشهوة، و التشبيبات بالأمارد و النسوة، أو استعماله في مجالس شرب الخمور و الاستعداد للفسق و الفجور، أو صدوره من أمرد حسن الوجه أو امرأة مليحة حسناء، و إن لم يكن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تكن هذه 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مهيّجا للشهوات، و مزيّنا للسيئات، و مقوّيا لأباطيل الخيالات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يختلف باختلاف الأشخاص، و الأحوال، و الأوقات، و باختلاف المستمعين و المغنّين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بين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الوصف باللهو في الأوّل ذاتيّ، و في الثاني عرضيّ، و إلّا فلا فرق بينهما في كون الصوت فيهما لهويّا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مرادنا بالذاتيّ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الوصف الذي لا يفتقر في ثبوته إلى واسطة، لا ما لا يتخلّف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اللهو لا ينفكّ عن الصوت المطرب، فليتأمّل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مجرّدا عن الوصفين، فقد يكون مذكّرا لأمور الآخرة منسيا لشهوات</w:t>
      </w:r>
    </w:p>
    <w:p>
      <w:pPr>
        <w:pStyle w:val="BookText"/>
        <w:rPr/>
      </w:pPr>
      <w:r>
        <w:rPr>
          <w:rFonts w:ascii="Amiri" w:hAnsi="Amiri" w:eastAsia="Amiri" w:cs="Amiri"/>
          <w:color w:val="111111"/>
          <w:sz w:val="28"/>
          <w:sz w:val="28"/>
          <w:szCs w:val="28"/>
          <w:rtl w:val="true"/>
          <w:lang w:bidi="ar-SA"/>
        </w:rPr>
        <w:t>الدنيا الفانية، و قد لا يكون كما في الأصوات الحسنة المطربة الموجبة للفرح و الانبساط، المذهبة للهموم و الغموم، المسلية عن المصائب و الرزايا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الصوت المطرب لا ينفكّ عن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مجازفة كما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في بعض كتب </w:t>
      </w:r>
      <w:r>
        <w:rPr>
          <w:rStyle w:val="FootnoteAnchor"/>
          <w:rtl w:val="true"/>
        </w:rPr>
        <w:footnoteReference w:id="83"/>
      </w:r>
      <w:r>
        <w:rPr>
          <w:rFonts w:ascii="Amiri" w:hAnsi="Amiri" w:eastAsia="Amiri" w:cs="Amiri"/>
          <w:color w:val="111111"/>
          <w:sz w:val="28"/>
          <w:sz w:val="28"/>
          <w:szCs w:val="28"/>
          <w:rtl w:val="true"/>
          <w:lang w:bidi="ar-SA"/>
        </w:rPr>
        <w:t>العامة من أنّ رسول اللّه صلّى اللّه عليه و آله و سلّم دخل بيت الربيع بنت معوذ، و عندها جوار يغنّين، فسمع إحداهنّ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فينا نبيّ يعلم ما في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الغناء، فقال عليه السّلام دعي هذا، و قولي ما كنت تقولين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شهادة بالنّبوّة و أنّ وجه الزجر هو كون الغناء لهوا، و الشهادة بالنبوّة جدّا محضا، فلا تقترن بصورة اللهو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يلتفت إليه لعدم ثبوت هذه الرواية عندنا، و على تقدير ثبوتها لا دلالة فيها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في الأصوات المطربة ما يلهي المبتلى بشهوات الدنيا عنها، و يكفّه عن ملاهيها و ملاذّها، و يشوّقه إلى الملإ الأعلى و الدرجات العلى، فكيف يسمّى مثل هذا الصوت لهوا أو لهويّا أو مزمارا للشيطان صادّا عن عبادة الرحمن؟</w:t>
      </w:r>
    </w:p>
    <w:p>
      <w:pPr>
        <w:pStyle w:val="BookText"/>
        <w:rPr/>
      </w:pPr>
      <w:r>
        <w:rPr>
          <w:rFonts w:ascii="Amiri" w:hAnsi="Amiri" w:eastAsia="Amiri" w:cs="Amiri"/>
          <w:color w:val="111111"/>
          <w:sz w:val="28"/>
          <w:sz w:val="28"/>
          <w:szCs w:val="28"/>
          <w:rtl w:val="true"/>
          <w:lang w:bidi="ar-SA"/>
        </w:rPr>
        <w:t xml:space="preserve">و قد حكي أنّ بعض </w:t>
      </w:r>
      <w:r>
        <w:rPr>
          <w:rStyle w:val="FootnoteAnchor"/>
          <w:rtl w:val="true"/>
        </w:rPr>
        <w:footnoteReference w:id="86"/>
      </w:r>
      <w:r>
        <w:rPr>
          <w:rFonts w:ascii="Amiri" w:hAnsi="Amiri" w:eastAsia="Amiri" w:cs="Amiri"/>
          <w:color w:val="111111"/>
          <w:sz w:val="28"/>
          <w:sz w:val="28"/>
          <w:szCs w:val="28"/>
          <w:rtl w:val="true"/>
          <w:lang w:bidi="ar-SA"/>
        </w:rPr>
        <w:t>العارفين قد هيّئ له ليلة طعام، فلمّا وضع بين يديه إذ سمع مغنّيا يغنّي بهذا البيت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تلهيك عن دار الخلود مطاعم و لذة نفس غيّها غير نافع</w:t>
      </w:r>
    </w:p>
    <w:p>
      <w:pPr>
        <w:pStyle w:val="BookText"/>
        <w:rPr/>
      </w:pPr>
      <w:r>
        <w:rPr>
          <w:rFonts w:ascii="Amiri" w:hAnsi="Amiri" w:eastAsia="Amiri" w:cs="Amiri"/>
          <w:color w:val="111111"/>
          <w:sz w:val="28"/>
          <w:sz w:val="28"/>
          <w:szCs w:val="28"/>
          <w:rtl w:val="true"/>
          <w:lang w:bidi="ar-SA"/>
        </w:rPr>
        <w:t xml:space="preserve">فصاح صيحة و خرّ مغشيّا عليه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سمع في مجلس مغنّيا يغنّي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أنزل من ودادك منزلا تتحيّر الألباب عند نزوله</w:t>
      </w:r>
    </w:p>
    <w:p>
      <w:pPr>
        <w:pStyle w:val="BookText"/>
        <w:rPr/>
      </w:pPr>
      <w:r>
        <w:rPr>
          <w:rFonts w:ascii="Amiri" w:hAnsi="Amiri" w:eastAsia="Amiri" w:cs="Amiri"/>
          <w:color w:val="111111"/>
          <w:sz w:val="28"/>
          <w:sz w:val="28"/>
          <w:szCs w:val="28"/>
          <w:rtl w:val="true"/>
          <w:lang w:bidi="ar-SA"/>
        </w:rPr>
        <w:t xml:space="preserve">فقام و تواجد و هام على وجهه، فوقع في أجمة قصب قد قطع و بقيت أصوله مثل السيوف فصار يعدو فيها و يعيد البيت إلى الغداة، و الدم يخرج من رجليه حتى و رمت قدماه و ساقاه، و عاش بعد ذلك أيّاما و مات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حكاياتهم في هذا الباب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قال بعضهم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السماع وارد حقّ، جاء يزعج القلوب إلى الحقّ، فمن أصغى إليه بحقّ تحقّق، و من أصغى إليه بنفس تزندق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السماع غذاء الأرواح لأهل المعرفة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الفكر يطرق العلم إلى المعلوم فالسماع يطرق القلب إلى العالم الروحانيّ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حزن فليسمع الألحان، فإنّ النفس إذا دخلها الحزن خمد نورها، و إذا فرحت اشتعل نورها و ظهر فرحها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السماع استنهاض العاجز من الرأي و استجلاب العازب من الأفكار و حدّة الكالّ من الأفهام و الآراء حتّى يثوب ما عزب، و ينهض ما عجز، و يصفو ما كدر، و يمرح في كلّ رأي و نيّة فيصيب و لا يخطئ، و يأتي و لا يبطئ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ذكروا للسماع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أخرى عن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ربّانية و نتائج ملكوتية لا ترتب على الصوت اللهوي الذي هو مزمار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ريب و لا خلاف في حرمة الغناء على الوجهين الأوّلين، و كونه من الكبائر الموبقات بل عليه الإجماع بالقسمين، بل الظاهر كون هذا الحكم من ضروريات المذهب بل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الصوفية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أولعوا بالسماع، و فصّلوا فيه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التدبر في كلماتهم يعطي أنّ مرادهم به غير الوجهين المشار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دأب الزنادقة منهم الرقص و التصدية و التغنّي بالأصوات اللهوية، و قد اشتهر ذلك منهم حتّى ورد من أئمّتنا المعصومين عليهم السلام فيهم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أنّهم محكوم عليهم بالكفر، لما عرف من عقائدهم الباطلة من الحلول و الاتحاد و الزندقة و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تقدح مخالفتهم في الضرورة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ذكرناه من أنّ العامّة أيضا لا يجوّزون الصوت اللهويّ المزيّن للسيئات أنّ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فضلائهم و فحول علمائهم و إن كان يظهر من بعض كلماته الرجوع إلى الحقّ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أشبع الكلام في المقام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خرج من جملة التفصيل السابق أنّ السماع قد يكون حراما محضا، و قد يكون مباحا، و قد يكون مكروها، و قد يكون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لأكثر الناس من الشبّان، و من غلبت عليهم شهوة الدنيا، فلا يحرّك السماع منهم إلّا ما هو الغالب على قلوبهم من الصفات المذمومة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لمن لا ينزله على صورة المخلوقين، و لكن يتّخذه عادة في أكثر الأوقات على سبيل اللهو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لمن لا حظّ له منه إلّا التلذّذ بالصوت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لمن غلب عليه حبّ اللّه، و لم يحرّك السماع منه إلّا الصفات المحمودة </w:t>
      </w:r>
      <w:r>
        <w:rPr>
          <w:rStyle w:val="FootnoteAnchor"/>
          <w:rtl w:val="true"/>
        </w:rPr>
        <w:footnoteReference w:id="96"/>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يدلّ على هذا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الإجماع، بل الضرورة، و شهادة العقل بقبح ما يسخط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قوله تعالى وَ مِنَ النّٰاسِ مَنْ يَشْتَرِي لَهْوَ الْحَدِيثِ لِيُضِلَّ عَنْ سَبِيلِ اللّٰهِ بِغَيْرِ عِلْمٍ وَ يَتَّخِذَهٰا هُزُواً أُولٰئِكَ لَهُمْ عَذٰابٌ مُهِينٌ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فسّر في جملة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تعالى فَاجْتَنِبُوا الرِّجْسَ مِنَ الْأَوْثٰانِ وَ اجْتَنِبُوا قَوْلَ الزُّورِ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الغناء، كما في جملة من الأخبار أيضا </w:t>
      </w:r>
      <w:r>
        <w:rPr>
          <w:rStyle w:val="FootnoteAnchor"/>
          <w:rtl w:val="true"/>
        </w:rPr>
        <w:footnoteReference w:id="99"/>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السّنة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الحسين بن سعيد،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 كسب المغنيّات؟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يدخل عليها</w:t>
      </w:r>
    </w:p>
    <w:p>
      <w:pPr>
        <w:pStyle w:val="BookText"/>
        <w:rPr/>
      </w:pPr>
      <w:r>
        <w:rPr>
          <w:rFonts w:ascii="Amiri" w:hAnsi="Amiri" w:eastAsia="Amiri" w:cs="Amiri"/>
          <w:color w:val="111111"/>
          <w:sz w:val="28"/>
          <w:sz w:val="28"/>
          <w:szCs w:val="28"/>
          <w:rtl w:val="true"/>
          <w:lang w:bidi="ar-SA"/>
        </w:rPr>
        <w:t xml:space="preserve">الرجال حرام و التي تدعى إلى الأعراس ليس به بأس </w:t>
      </w:r>
      <w:r>
        <w:rPr>
          <w:rStyle w:val="FootnoteAnchor"/>
          <w:rtl w:val="true"/>
        </w:rPr>
        <w:footnoteReference w:id="1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عن علي بن محمّد، عن إبراهيم الأحمر، عن عبد اللّه بن حمّاد،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اقرأوا القرآن بألحان العرب و أصواتها و إيّاكم و لحون أهل الفسق و أهل الكبائر فإنّه سيجي‌ء من بعدي أقوام يرجّعون القرآن ترجيع الغناء و النوح و الرهبانية لا يجوز تراقيهم و قلوبهم مقلوبة و قلوب من يعجبهم شأنهم </w:t>
      </w:r>
      <w:r>
        <w:rPr>
          <w:rStyle w:val="FootnoteAnchor"/>
          <w:rtl w:val="true"/>
        </w:rPr>
        <w:footnoteReference w:id="10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عن علي بن إبراهيم، عن هارون بن مسلم، عن مسعدة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إنّني أدخل كنيفا ولي جيران عندهم جوار يتغنّين و يضربن بالعود، فربّما أطلت الجلوس استماعا لهنّ؟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آتيهنّ، و إنّما هو سماع أسمعه بأذني؟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أنت، أما سمعت اللّه يقول إِنَّ السَّمْعَ وَ الْبَصَرَ وَ الْفُؤٰادَ كُلُّ أُولٰئِكَ كٰانَ عَنْهُ مَسْؤُلًا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لكأنّني لم أسمع بهذه الآية من كتاب اللّه من أعجميّ و لا عربيّ، لا جرم أنّني لا أعود ان شاء اللّه و لأنّي </w:t>
      </w:r>
      <w:r>
        <w:rPr>
          <w:rStyle w:val="FootnoteAnchor"/>
          <w:rtl w:val="true"/>
        </w:rPr>
        <w:footnoteReference w:id="102"/>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 صلّ ما بدا لك، فإنّك كنت مقيما على أمر عظيم، ما كان أسوء حالك لو متّ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اللّه، و سله التوبة من كلّ ما يكره، فإنّه لا يكره إلّا كلّ قبيح، و القبيح دعه لأهله، فإنّ لكلّ أهلا </w:t>
      </w:r>
      <w:r>
        <w:rPr>
          <w:rStyle w:val="FootnoteAnchor"/>
          <w:rtl w:val="true"/>
        </w:rPr>
        <w:footnoteReference w:id="1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الغناء على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الصوت المطرب المجرّد عن الوصفين المذكورين فقد اختلفوا في إباحته، و حرمته،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وفاقا لكثير من المتأخّرين و متأخّريهم كالمحدّث الكاشاني </w:t>
      </w:r>
      <w:r>
        <w:rPr>
          <w:rStyle w:val="FootnoteAnchor"/>
          <w:rtl w:val="true"/>
        </w:rPr>
        <w:footnoteReference w:id="104"/>
      </w:r>
      <w:r>
        <w:rPr>
          <w:rFonts w:ascii="Amiri" w:hAnsi="Amiri" w:eastAsia="Amiri" w:cs="Amiri"/>
          <w:color w:val="111111"/>
          <w:sz w:val="28"/>
          <w:sz w:val="28"/>
          <w:szCs w:val="28"/>
          <w:rtl w:val="true"/>
          <w:lang w:bidi="ar-SA"/>
        </w:rPr>
        <w:t xml:space="preserve">و المحقّق السبزواري </w:t>
      </w:r>
      <w:r>
        <w:rPr>
          <w:rStyle w:val="FootnoteAnchor"/>
          <w:rtl w:val="true"/>
        </w:rPr>
        <w:footnoteReference w:id="105"/>
      </w:r>
      <w:r>
        <w:rPr>
          <w:rFonts w:ascii="Amiri" w:hAnsi="Amiri" w:eastAsia="Amiri" w:cs="Amiri"/>
          <w:color w:val="111111"/>
          <w:sz w:val="28"/>
          <w:sz w:val="28"/>
          <w:szCs w:val="28"/>
          <w:rtl w:val="true"/>
          <w:lang w:bidi="ar-SA"/>
        </w:rPr>
        <w:t xml:space="preserve">و المدقّق التستري </w:t>
      </w:r>
      <w:r>
        <w:rPr>
          <w:rStyle w:val="FootnoteAnchor"/>
          <w:rtl w:val="true"/>
        </w:rPr>
        <w:footnoteReference w:id="106"/>
      </w:r>
      <w:r>
        <w:rPr>
          <w:rFonts w:ascii="Amiri" w:hAnsi="Amiri" w:eastAsia="Amiri" w:cs="Amiri"/>
          <w:color w:val="111111"/>
          <w:sz w:val="28"/>
          <w:sz w:val="28"/>
          <w:szCs w:val="28"/>
          <w:rtl w:val="true"/>
          <w:lang w:bidi="ar-SA"/>
        </w:rPr>
        <w:t>و غيرهم من مشايخنا المعتبرين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ينسب إلى الصدوق رحمه اللّه في الفقيه، و الشيخ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خطأ كما بينّاه في شرح النافع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أكثر الأصحاب، و هو مذهب كثير من مخالفينا، كأبي حنيفة، و سفيان الثوري، و حمّاد، و إبراهيم،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اشترى جارية فوجدها مغنّية كان له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ذلك، و ثانيهما أنّ الغناء لهو مكروه يشبه الباطل، و من استكثر منه فهو سفيه تردّ شهادته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فمستند المبيح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الإباحة، فإنّ كلّ شي‌ء ينتفع به مطلق مباح بحكم العقل و النقل حتّى يرد فيه نهي، و لم يثبت نهي عن خصوص الصوت المطرب المبحوث عنه سوى ما يأتي الجواب عنه، فحيث لا دليل على حرمته حكمنا بإباحته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الحسن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أمور الأديان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اختلاف فيه بين الأمّة و هو ضرورة في الدين لا يقبل الشكّ، و أمر يحتمل الشكّ و الإنكار، فمن</w:t>
      </w:r>
    </w:p>
    <w:p>
      <w:pPr>
        <w:pStyle w:val="BookText"/>
        <w:rPr/>
      </w:pPr>
      <w:r>
        <w:rPr>
          <w:rFonts w:ascii="Amiri" w:hAnsi="Amiri" w:eastAsia="Amiri" w:cs="Amiri"/>
          <w:color w:val="111111"/>
          <w:sz w:val="28"/>
          <w:sz w:val="28"/>
          <w:szCs w:val="28"/>
          <w:rtl w:val="true"/>
          <w:lang w:bidi="ar-SA"/>
        </w:rPr>
        <w:t>ادّعى شيئا من هذا القسم فعليه أن يحتجّ عليه بكتاب مجمع على تأويله، أو سنة النبي صلّى اللّه عليه و آله و سلّم لا اختلاف فيها، أو قياس يعرف العقول عدله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ادّعى شيئا من هذا الأمر و لم يكن له شي‌ء، من هذه الحجج الثلاث وسع خاصّة الأمّة و عامّتها الشك فيه و الإنكار له </w:t>
      </w:r>
      <w:r>
        <w:rPr>
          <w:rStyle w:val="FootnoteAnchor"/>
          <w:rtl w:val="true"/>
        </w:rPr>
        <w:footnoteReference w:id="10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ماجد رحمه اللّه في رسالته المفردة لهذه المسألة بعد ذكر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قانون كلّيّ أعطاناه، فلنعرض الغناء اللغويّ عليه، ليعرف حاله،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حرمته ليست من ضروريات الدين، و إلّا لم يختلف فيه أحد، سيّما فحول العلماء الذين حازوا قصب السبق في مضامير الأفكار، و فازوا بوصال بنات المعاني الأبكار، و بلغوا في المعقول و المنقول درجة الاجتهاد، و انتشر صيت فضلهم في الأصقاع و الأقطار، و هل يمكن لمن له أدنى تميز و عقل أن يجوّز أن يكون أمر من ضروريّات الدين مخفيّا على أمثال هؤلاء الأعلام المتبحّرين في جميع العلوم؟ و مبيّنا لمن قرء ألفية الشهيد و برحا من المختصر النافع أو شرائع الإسلام؟ و إلّا فليجوّز غلبة الذباب على العقاب، و ليقبل دعوى الرجحان على المحيط من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أن يكون ممّا احتمل الشكّ و الإنكار، فنطلب منكم الدليل على حرمته؟</w:t>
      </w:r>
    </w:p>
    <w:p>
      <w:pPr>
        <w:pStyle w:val="BookText"/>
        <w:rPr/>
      </w:pPr>
      <w:r>
        <w:rPr>
          <w:rFonts w:ascii="Amiri" w:hAnsi="Amiri" w:eastAsia="Amiri" w:cs="Amiri"/>
          <w:color w:val="111111"/>
          <w:sz w:val="28"/>
          <w:sz w:val="28"/>
          <w:szCs w:val="28"/>
          <w:rtl w:val="true"/>
          <w:lang w:bidi="ar-SA"/>
        </w:rPr>
        <w:t>أمّا الدليل النقليّ فحاله ما ذكرناه و بيّناه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عليكم أن تستدلّوا عليها بدليل عقليّ، و أكثركم يا معشر المنكرين مستنكفون عن الدليل العقلي مستهزءون لمن طالب شيئا به، و هذا أيضا تهافت آخر و معارضة اخرى مع اللّه و رسوله و خلفائه، و ليس هذا الموضع مقام بيان فساده و قد رفع مؤنته عنّا صاحب الاحتجاج بتصنيفه هذا الكتاب لبيان بطلان هذا المسلك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تجد عقولكم محذورا في استماع صوت محزن مبك حامل لكلمات</w:t>
      </w:r>
    </w:p>
    <w:p>
      <w:pPr>
        <w:pStyle w:val="BookText"/>
        <w:rPr/>
      </w:pPr>
      <w:r>
        <w:rPr>
          <w:rFonts w:ascii="Amiri" w:hAnsi="Amiri" w:eastAsia="Amiri" w:cs="Amiri"/>
          <w:color w:val="111111"/>
          <w:sz w:val="28"/>
          <w:sz w:val="28"/>
          <w:szCs w:val="28"/>
          <w:rtl w:val="true"/>
          <w:lang w:bidi="ar-SA"/>
        </w:rPr>
        <w:t>مذكّرة للآخرة و نعيمها، مبعدّة عن ارتكاب اللذات الحسّية الدنيّة، بحيث إذا سمعه المغمور في الشّهوات الدنيّة الخسيسة، المسجون في سجن إدراك اللذات الطبيعيّة البهيميّة فانزعج من مقامه، و انقلع من مكانه، و تندم ممّا كان عليه، خائفا من شدّة و باله، و ألم عذابه، فتململ تململ السليم، و بكى بكاء الحزين،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حسرتي على ما فرطت في جنب اللّه، ظاهرا من صفحات وجهه و فلتأت لسانه و فرط اضطرابه و كثرة التوائه أنّه يقول بلسان الحال رَبَّنٰا ظَلَمْنٰا أَنْفُسَنٰا وَ إِنْ لَمْ تَغْفِرْ لَنٰا وَ تَرْحَمْنٰا لَنَكُونَنَّ مِنَ الْخٰاسِرِينَ فإن ادّعيتم فيه محذورا عقليّا فأتوا به إن كنتم صادقين </w:t>
      </w:r>
      <w:r>
        <w:rPr>
          <w:rStyle w:val="FootnoteAnchor"/>
          <w:rtl w:val="true"/>
        </w:rPr>
        <w:footnoteReference w:id="11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حاصله أن تحريم هذا الغناء لا دليل عليه من نقل و لا عقل، فيكون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ما ذكره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السماع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اللّه يعاقب عليه، و هذا أمر لا يعرف بمجرد العقل، بل بالسّمع، و معرفة الشرعيّات محصورة في النصّ أو القياس على المنصوص، و أعني بالنصّ ما أظهره بقوله أو فعله و بالقياس المعنى المفهوم من ألفاظه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فيه نصّ، و لم يستقم فيه قياس على منصوص، بطل القول بتحريمه، و بقي فعلا لا حرج فيه كسائر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يدلّ على تحريم السماع نصّ و لا قياس، و يتّضح ذلك في جوابنا عن أدلّة المائلين إلى التحريم، و مهما تمّ الجواب عن أدلّتهم كان ذلك مسلكا كافيا في إثبات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نستفتح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دلّ النصّ و القياس جميعا على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w:t>
      </w:r>
      <w:r>
        <w:rPr>
          <w:rStyle w:val="FootnoteAnchor"/>
          <w:rtl w:val="true"/>
        </w:rPr>
        <w:footnoteReference w:id="111"/>
      </w:r>
      <w:r>
        <w:rPr>
          <w:rFonts w:ascii="Amiri" w:hAnsi="Amiri" w:eastAsia="Amiri" w:cs="Amiri"/>
          <w:color w:val="111111"/>
          <w:sz w:val="28"/>
          <w:sz w:val="28"/>
          <w:szCs w:val="28"/>
          <w:rtl w:val="true"/>
          <w:lang w:bidi="ar-SA"/>
        </w:rPr>
        <w:t>و هو طويل لا مزيد عليه، و لكن بعض ما ذكره لا يناسب مذهبنا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الشبهة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موضوعيّة تحريميّة أو حكميّة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الاولى كان الحكم الإباحة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عند المجتهدين، و إن خالفت الأخبارية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الشبهة الموضوعيّة إذا كانت مفهومية مراديّة وجب الاجتناب عن جميع المحتملات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يظهر وجهه ممّا يأتي في الجواب عن أدلّة الحاظرين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الغناء في العيدين، مثل ما رواه الحميريّ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الغناء في العيد </w:t>
      </w:r>
      <w:r>
        <w:rPr>
          <w:rStyle w:val="FootnoteAnchor"/>
          <w:rtl w:val="true"/>
        </w:rPr>
        <w:footnoteReference w:id="112"/>
      </w:r>
      <w:r>
        <w:rPr>
          <w:rFonts w:ascii="Amiri" w:hAnsi="Amiri" w:eastAsia="Amiri" w:cs="Amiri"/>
          <w:color w:val="111111"/>
          <w:sz w:val="28"/>
          <w:sz w:val="28"/>
          <w:szCs w:val="28"/>
          <w:rtl w:val="true"/>
          <w:lang w:bidi="ar-SA"/>
        </w:rPr>
        <w:t>الفطر و الأضحى و الفرح؟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ما لم يعص به انتهى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ما رواه علي بن جعفر في كتابه، إلّا أنّ فيه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يعص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لم يزمّر </w:t>
      </w:r>
      <w:r>
        <w:rPr>
          <w:rStyle w:val="FootnoteAnchor"/>
          <w:rtl w:val="true"/>
        </w:rPr>
        <w:footnoteReference w:id="114"/>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بالزاء المعجمة في أوّله و المهملة في آخره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يلعب معه بالمزمار، أو لم يرجّع فيه ترجيع المزمار، أو لم يقصد منه قصده من تهييج الشهوات، أو لم يتغنّ به على سبيل اللهو المحرّم، و يحتمل أيضا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الغناء بسبب النفخ في المزمار و نحوه من آلات الأغاني، و يحتمل العكس أي ما لم يشر به إلى شي‌ء من الفسوق و الفجور، كما هو دأب أرباب العشق الحيواني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فالروايتان بمنطوقهما دالّتان على عدم البأس بالغناء الّذي لا يكون لهويّا، كما أنّهما بمفهومهما دالّتان على ثبوته في اللهويّ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اختصاصهما بالعيدين و الفرح، لعدم القول به على القول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احتمال ورودهما للتقيّة، بعد كون المسألة اختلافية بينهم، مع أنّ الأصل عدمه، مع ندرته بالنسبة إلى ما لم يرد لها من الأخبار،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يقتضي به العجب أنّ بعض الفحول </w:t>
      </w:r>
      <w:r>
        <w:rPr>
          <w:rStyle w:val="FootnoteAnchor"/>
          <w:rtl w:val="true"/>
        </w:rPr>
        <w:footnoteReference w:id="115"/>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الروايتين من أدلّة من جوّز الصوت اللهويّ، فإنّ المراد بالغناء مطلق الصوت المشتمل على الترجيع، فهو قد يكون مطربا ملهيا فيحرم، و قد لا ينتهي إلى ذلك الحدّ فلا يعصى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بأنّه لم يذهب إلى تجويز الصوت اللهويّ أحد من أصحابنا حتى تكون الروايتان مستنده، نعم، ربّما يتوهّم من بعض </w:t>
      </w:r>
      <w:r>
        <w:rPr>
          <w:rStyle w:val="FootnoteAnchor"/>
          <w:rtl w:val="true"/>
        </w:rPr>
        <w:footnoteReference w:id="116"/>
      </w:r>
      <w:r>
        <w:rPr>
          <w:rFonts w:ascii="Amiri" w:hAnsi="Amiri" w:eastAsia="Amiri" w:cs="Amiri"/>
          <w:color w:val="111111"/>
          <w:sz w:val="28"/>
          <w:sz w:val="28"/>
          <w:szCs w:val="28"/>
          <w:rtl w:val="true"/>
          <w:lang w:bidi="ar-SA"/>
        </w:rPr>
        <w:t xml:space="preserve">المحدّثين في بادي الرأي، و لكن التأمّل في عبارته </w:t>
      </w:r>
      <w:r>
        <w:rPr>
          <w:rStyle w:val="FootnoteAnchor"/>
          <w:rtl w:val="true"/>
        </w:rPr>
        <w:footnoteReference w:id="117"/>
      </w:r>
      <w:r>
        <w:rPr>
          <w:rFonts w:ascii="Amiri" w:hAnsi="Amiri" w:eastAsia="Amiri" w:cs="Amiri"/>
          <w:color w:val="111111"/>
          <w:sz w:val="28"/>
          <w:sz w:val="28"/>
          <w:szCs w:val="28"/>
          <w:rtl w:val="true"/>
          <w:lang w:bidi="ar-SA"/>
        </w:rPr>
        <w:t>يعطي ما أشرنا إليه،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من صرّح من العامّة بتجويز الصوت اللهويّ مطلقا، أو في الجملة، أراد به غير ما فسّرناه من المهيّج للشهوات المزيّن للسيّئات، و إن جوّزوا استعمال بعض آلات اللهو،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بمدح الصوت الحسن مطلقا مثل قوله تعالى يَزِيدُ فِي الْخَلْقِ مٰا يَشٰاءُ </w:t>
      </w:r>
      <w:r>
        <w:rPr>
          <w:rStyle w:val="FootnoteAnchor"/>
          <w:rtl w:val="true"/>
        </w:rPr>
        <w:footnoteReference w:id="1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تفسيره بالصوت الحسن كما نقله الغزالي </w:t>
      </w:r>
      <w:r>
        <w:rPr>
          <w:rStyle w:val="FootnoteAnchor"/>
          <w:rtl w:val="true"/>
        </w:rPr>
        <w:footnoteReference w:id="119"/>
      </w:r>
      <w:r>
        <w:rPr>
          <w:rFonts w:ascii="Amiri" w:hAnsi="Amiri" w:eastAsia="Amiri" w:cs="Amiri"/>
          <w:color w:val="111111"/>
          <w:sz w:val="28"/>
          <w:sz w:val="28"/>
          <w:szCs w:val="28"/>
          <w:rtl w:val="true"/>
          <w:lang w:bidi="ar-SA"/>
        </w:rPr>
        <w:t>و رواه الصدوق أيضا عن محمد ابن أحمد بن الحسين البغدادي، عن علي بن محمد بن عنبسة، عن دارم بن قبيصة، عن الرضا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حسّنوا القرآن بأصواتكم فإنّ</w:t>
      </w:r>
    </w:p>
    <w:p>
      <w:pPr>
        <w:pStyle w:val="BookText"/>
        <w:rPr/>
      </w:pPr>
      <w:r>
        <w:rPr>
          <w:rFonts w:ascii="Amiri" w:hAnsi="Amiri" w:eastAsia="Amiri" w:cs="Amiri"/>
          <w:color w:val="111111"/>
          <w:sz w:val="28"/>
          <w:sz w:val="28"/>
          <w:szCs w:val="28"/>
          <w:rtl w:val="true"/>
          <w:lang w:bidi="ar-SA"/>
        </w:rPr>
        <w:t>الصوت الحسن يزيد القرآن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يَزِيدُ فِي الْخَلْقِ مٰا يَشٰاءُ </w:t>
      </w:r>
      <w:r>
        <w:rPr>
          <w:rStyle w:val="FootnoteAnchor"/>
          <w:rtl w:val="true"/>
        </w:rPr>
        <w:footnoteReference w:id="12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قوله تعالى إِنَّ أَنْكَرَ الْأَصْوٰاتِ لَصَوْتُ الْحَمِيرِ </w:t>
      </w:r>
      <w:r>
        <w:rPr>
          <w:rStyle w:val="FootnoteAnchor"/>
          <w:rtl w:val="true"/>
        </w:rPr>
        <w:footnoteReference w:id="121"/>
      </w:r>
      <w:r>
        <w:rPr>
          <w:rFonts w:ascii="Amiri" w:hAnsi="Amiri" w:eastAsia="Amiri" w:cs="Amiri"/>
          <w:color w:val="111111"/>
          <w:sz w:val="28"/>
          <w:sz w:val="28"/>
          <w:szCs w:val="28"/>
          <w:rtl w:val="true"/>
          <w:lang w:bidi="ar-SA"/>
        </w:rPr>
        <w:t xml:space="preserve">بناء على ما ذكره الغزالي أيضا من أنّه يدلّ بمفهومه على مدح الصوت الحسن </w:t>
      </w:r>
      <w:r>
        <w:rPr>
          <w:rStyle w:val="FootnoteAnchor"/>
          <w:rtl w:val="true"/>
        </w:rPr>
        <w:footnoteReference w:id="122"/>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قوله صلّى اللّه عليه و آله و سلّم فيما روي في بعض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يعط أمّتي أقلّ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و الصوت الحسن و الحفظ</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أجمل الجمال الشعر الحسن و نغمة الصوت الحسن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روي في بعض الأخبار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حسن الصوت</w:t>
      </w:r>
      <w:r>
        <w:rPr>
          <w:rFonts w:eastAsia="Amiri" w:cs="Amiri" w:ascii="Amiri" w:hAnsi="Amiri"/>
          <w:color w:val="111111"/>
          <w:sz w:val="28"/>
          <w:szCs w:val="28"/>
          <w:rtl w:val="true"/>
          <w:lang w:bidi="ar-SA"/>
        </w:rPr>
        <w:t xml:space="preserve">» </w:t>
      </w:r>
      <w:r>
        <w:rPr>
          <w:rStyle w:val="FootnoteAnchor"/>
          <w:rtl w:val="true"/>
        </w:rPr>
        <w:footnoteReference w:id="1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في بعضها أنّ داود كان حسن الصوت في النياحة على نفسه، و في تلاوة الزبور حتّى كان يجتمع الإنس و الجنّ و الوحوش و الطير لسماع صوته، و كان يحمل من مجلسه أربعمائة جنازة </w:t>
      </w:r>
      <w:r>
        <w:rPr>
          <w:rStyle w:val="FootnoteAnchor"/>
          <w:rtl w:val="true"/>
        </w:rPr>
        <w:footnoteReference w:id="1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في المقدّمة التاسعة من عدم الفرق بين الغناء و الصوت الحسن، نعم الانقسام إلى اللهويّ و غيره يجري في الأوّل دون الثاني، نظرا إلى إطلاق ما دلّ على مدحه من الأخبار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الاخبار تدلّ على جواز استعمال الصوت المطرب الذي لا يكون لهويّا، و إن كان غناء لغويا،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ورد بمدح الصوت الحسن في خصوص قراءة القرآن 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محمد بن الحسن بن شمّون، عن علي بن محمّد النوفلي،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الصوت عنده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عليه السّلام كان يقرأ فربّما مرّ به المارّ فصعق من حسن صوته، و إنّ الامام لو أظهر من ذلك شيئا لما احتمله الناس من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رسول اللّه صلّى اللّه عليه و آله و سلّم يصلّي بالناس و يرفع صوته بالقرآن؟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كان يحمّل الناس ما يطيقونه </w:t>
      </w:r>
      <w:r>
        <w:rPr>
          <w:rStyle w:val="FootnoteAnchor"/>
          <w:rtl w:val="true"/>
        </w:rPr>
        <w:footnoteReference w:id="1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عن عليّ بن إبراهيم، عن أبيه، عن علي بن معبد، عن عبد اللّه بن القسم، عن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حلية، و حلية القرآن الصوت الحسن</w:t>
      </w:r>
      <w:r>
        <w:rPr>
          <w:rFonts w:eastAsia="Amiri" w:cs="Amiri" w:ascii="Amiri" w:hAnsi="Amiri"/>
          <w:color w:val="111111"/>
          <w:sz w:val="28"/>
          <w:szCs w:val="28"/>
          <w:rtl w:val="true"/>
          <w:lang w:bidi="ar-SA"/>
        </w:rPr>
        <w:t xml:space="preserve">» </w:t>
      </w:r>
      <w:r>
        <w:rPr>
          <w:rStyle w:val="FootnoteAnchor"/>
          <w:rtl w:val="true"/>
        </w:rPr>
        <w:footnoteReference w:id="12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عنه أيضا عن أبيه، عن ابن محبوب، عن علي بن أبي حمزة، عن أبي بصير قال 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القرآن فرفعت به صوتي جائني الشيطان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ترائي بهذا أهلك و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اقرأ قراءة ما بين القراءتين تسمع أهلك، و رجّع بالقرآن صوتك فإنّ اللّه يحبّ الصوت الحسن يرجّع فيه ترجيعا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 الجعابي، عن الحسن بن عبد اللّه التميمي، عن أبيه، عن الرضا عليه السّلام قال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حسّنوا القرآن بأصواتكم فإنّ الصوت الحسن يزيد القرآن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رواية أخرى مثله </w:t>
      </w:r>
      <w:r>
        <w:rPr>
          <w:rStyle w:val="FootnoteAnchor"/>
          <w:rtl w:val="true"/>
        </w:rPr>
        <w:footnoteReference w:id="130"/>
      </w:r>
      <w:r>
        <w:rPr>
          <w:rFonts w:ascii="Amiri" w:hAnsi="Amiri" w:eastAsia="Amiri" w:cs="Amiri"/>
          <w:color w:val="111111"/>
          <w:sz w:val="28"/>
          <w:sz w:val="28"/>
          <w:szCs w:val="28"/>
          <w:rtl w:val="true"/>
          <w:lang w:bidi="ar-SA"/>
        </w:rPr>
        <w:t>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الطبرسي في مجمع البيان عن أبي بصير عن الصادق عليه السّلام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رَتِّلِ الْقُرْآنَ تَرْتِيلًا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ان تتمكث فيه و تحسّن به صوتك</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رواه الحلّي 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محمّد بن عليّ بن 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العبّاس، عن حمّاد بن عيسى،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لا يرى أنّه صنع شيئا في الدعاء و في القراءة حتى رفع صوته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إنّ عليّ بن الحسين عليه السّلام كان أحسن الناس صوتا بالقرآن، و كان إذا قام من الليل و قرأ رفع صوته فيمرّ به مارّ الطريق من السقائين و غيرهم فيقومون فيستمعون إلى قرائته انتهى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الغزالي في إحيائه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زيّنوا القرآن بأصواتكم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ايضا عنه أنّه صلّى اللّه عليه و آله و سلّم، استمع إلى قراءة أبي موسى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اوتي هذا من مزامير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أبا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أنك تسمع لحبّرته لك تحبيرا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ايضا عنه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أشدّ إذنا للرجل الحسن الصوت بالقرآن من صاحب القينة لقينته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السيّد المرتضى رحمه اللّه في غرره و درره عنه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يأذن اللّه لشي‌ء من أهل الأرض إلّا لأصوات المؤذّنين و للصوت الحسن بالقرآن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لا يستمع اللّه لشي‌ء و لا يتقبّله و لا يثيب عليه كتقبّله و استماعه و ثوابه على ذلك، ذكره السيد في كتابه المذكور، و قد نقلنا عبارته في الشرح</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بهذه الروايات ما عرفته من أنّ تحسين الصوت لا يتصور إلّا مع الترجيع و التطريب، و هذه الاخبار دلّت على جوازه، بل استحبابه في القرآن، كما صرّح به كثير، بل أرسله جماعة إرسال المسلّمات، كما يظهر من الطبرسي </w:t>
      </w:r>
      <w:r>
        <w:rPr>
          <w:rStyle w:val="FootnoteAnchor"/>
          <w:rtl w:val="true"/>
        </w:rPr>
        <w:footnoteReference w:id="138"/>
      </w:r>
      <w:r>
        <w:rPr>
          <w:rFonts w:ascii="Amiri" w:hAnsi="Amiri" w:eastAsia="Amiri" w:cs="Amiri"/>
          <w:color w:val="111111"/>
          <w:sz w:val="28"/>
          <w:sz w:val="28"/>
          <w:szCs w:val="28"/>
          <w:rtl w:val="true"/>
          <w:lang w:bidi="ar-SA"/>
        </w:rPr>
        <w:t xml:space="preserve">و غيره، بل يظهر منه أن خلاف ذلك لم يكن معروفا بين القدماء، كما صرّح به السبزواري في الكفاية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تأويلهم حديث التغنّي بالقرآن بتحسين الصوت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الترجيع و صف عارض للصوت الحسن، يوجد بإيجاد آخر مغاير للصوت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شطط من الكلام، ضرورة عدم تحقّقه بدون 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من بعض الأخبار أنّ علي بن الحسين عليه السّلام كان يقرء القرآن فربّما مرّ به المارّ فصعق من حسن صوته، فلو لم يكن للترجيع مدخل في حسن الصوت لكان ينبغي أن يصعق السامع عند تكلّمه على الاستقامة، و لم يرد به خبر أصلا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إمكان انفكاك الصوت الحسن عن الترجيع، و لكن لا مجال لإنكار كون الصوت المشتمل على الترجيع المطرب من أفراد الصوت الحسن، فيشمله ما دلّ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خروج الصوت اللهوي منه بالإجماع، لا يوجب خروج مطلق المشتمل على الترجيع،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ما عرفته من عدم شمول الصوت الحسن للصوت اللهوي، فلا تعارض بين ما يأتي من أخبار النهي عن الغناء، و هذه الأخبار لو حملنا الغناء على الصوت اللهويّ و الصوت الحسن بغيره، لاختلاف مورد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بعدم اختصاص الغناء بالصوت اللهوي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أخباره، و أخبار الصوت الحسن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بالعموم و الخصوص من وجه، لو لم نعتبر الترجيع في الصوت الحسن، فالمرجع في مادة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الترجيع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و مقتضاه الجواز، مع ورود الأمر به في بعض الأخبار،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دلالة في هذه الروايات على المدّعى بتمامه، لثبوت القول بالفصل، اللّهمّ إلّا أن يتمسّك بالأولوية، و للتأمل فيها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الأخبار بذمّ ترك التغنّي بالقرآن مثل ما رواه السيد رحمه اللّه في الغرر، كالغزالي في الإحياء مرسلا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xml:space="preserve">» </w:t>
      </w:r>
      <w:r>
        <w:rPr>
          <w:rStyle w:val="FootnoteAnchor"/>
          <w:rtl w:val="true"/>
        </w:rPr>
        <w:footnoteReference w:id="1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أيضا كالطبرسي في مجمع البيان عن عبد الرحمن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سعدا، و قد كفّ بصره،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فأخبرته، فقال مرحبا يا بن أخي بلغني أنك حسن الصوت بالقرآن،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نزل بحزن فإذا قرأتموه فابكوا فإن لم تبكوا فتباكوا فمن لم يتغنّ بالقرآن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فيه أنّه لا يكون على أخلاقنا، و استشهد</w:t>
      </w:r>
    </w:p>
    <w:p>
      <w:pPr>
        <w:pStyle w:val="BookText"/>
        <w:rPr/>
      </w:pPr>
      <w:r>
        <w:rPr>
          <w:rFonts w:ascii="Amiri" w:hAnsi="Amiri" w:eastAsia="Amiri" w:cs="Amiri"/>
          <w:color w:val="111111"/>
          <w:sz w:val="28"/>
          <w:sz w:val="28"/>
          <w:szCs w:val="28"/>
          <w:rtl w:val="true"/>
          <w:lang w:bidi="ar-SA"/>
        </w:rPr>
        <w:t>ببيت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حاولت في أسد فجورا فانّي لست منك و لست منّي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قيل إنّه أراد صلّى اللّه عليه و آله و سلّم ليس على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بالتغنّي بالقرآن استعمال الغناء في قراءة القرآن، و ليس المراد به الصوت اللهويّ المحرّم لحرمة استعماله في غير القرآن فكيف يجوز استعمال فيه؟ فيتعيّن كون المراد به الصوت المطرب المجرّد عن اللهو، فإذا ثبت جوازه فيه ثبت في غيره بطريق أولى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مثل هذين الخبرين محتمل للوضع للتقرّب إلى خلفاء الجور المولعين بسماع الغناء و حكاية غياث </w:t>
      </w:r>
      <w:r>
        <w:rPr>
          <w:rStyle w:val="FootnoteAnchor"/>
          <w:rtl w:val="true"/>
        </w:rPr>
        <w:footnoteReference w:id="144"/>
      </w:r>
      <w:r>
        <w:rPr>
          <w:rFonts w:ascii="Amiri" w:hAnsi="Amiri" w:eastAsia="Amiri" w:cs="Amiri"/>
          <w:color w:val="111111"/>
          <w:sz w:val="28"/>
          <w:sz w:val="28"/>
          <w:szCs w:val="28"/>
          <w:rtl w:val="true"/>
          <w:lang w:bidi="ar-SA"/>
        </w:rPr>
        <w:t>بن إبراهيم مع المهدي بن المنصور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التغنّي، و لا قائل به، و لذا قال القاسم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معناه الترجيع لعظمت المحنة علينا بذلك، إذ لو كان من لم يرجّع بالقرآن فليس منه </w:t>
      </w:r>
      <w:r>
        <w:rPr>
          <w:rStyle w:val="FootnoteAnchor"/>
          <w:rtl w:val="true"/>
        </w:rPr>
        <w:footnoteReference w:id="1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السيد رحمه اللّه إنّه محال أن يخرج من دين النبي صلّى اللّه عليه و آله و سلّم و ملّته من لم يحسن صوته بالقرآن و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هو تحسين الصوت بالقرآن المأمور به في أخبار كثيرة، لا الصوت</w:t>
      </w:r>
    </w:p>
    <w:p>
      <w:pPr>
        <w:pStyle w:val="BookText"/>
        <w:rPr/>
      </w:pPr>
      <w:r>
        <w:rPr>
          <w:rFonts w:ascii="Amiri" w:hAnsi="Amiri" w:eastAsia="Amiri" w:cs="Amiri"/>
          <w:color w:val="111111"/>
          <w:sz w:val="28"/>
          <w:sz w:val="28"/>
          <w:szCs w:val="28"/>
          <w:rtl w:val="true"/>
          <w:lang w:bidi="ar-SA"/>
        </w:rPr>
        <w:t>المشتمل على الترجيع المطرب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الاستغناء بالقرآن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تغنيت إذا استغنيت،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امرء أزمنا بالعراق عفيف المناخ طويل التغنّي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اي كثير التغنّي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آل عمران غني اي مستغن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عبد اللّه بن نهيك أنّه دخل على سعد في بيته فإذا مثال رث و متاع رثّ، فقال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يتغنّ بالقرآن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لحامل القرآن أن يظنّ أنّ أحدا أعطي أفضل ممّا اعطي لأنّه لو ملك الدنيا بأسرها إن القرآن أفضل ممّا ملكه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بالقرآن، لما روي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أذن اللّه لشي‌ء كإذنه لنبيّ يتغنّى بالقرآن و يجهر به</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ليتغنّى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التلذّذ و الاستحلاء و الاستعذاب، كاستحلاء أصحاب الطرب للغناء و التذاذهم به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التغنّي من غنى الرجل بالمكان و المغني إذا طال مقامه، قال السيّد</w:t>
      </w:r>
    </w:p>
    <w:p>
      <w:pPr>
        <w:pStyle w:val="BookText"/>
        <w:rPr/>
      </w:pPr>
      <w:r>
        <w:rPr>
          <w:rFonts w:ascii="Amiri" w:hAnsi="Amiri" w:eastAsia="Amiri" w:cs="Amiri"/>
          <w:color w:val="111111"/>
          <w:sz w:val="28"/>
          <w:sz w:val="28"/>
          <w:szCs w:val="28"/>
          <w:rtl w:val="true"/>
          <w:lang w:bidi="ar-SA"/>
        </w:rPr>
        <w:t>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الخبر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يقم على القرآن فيتجاوزه إلى غيره و يتعدّاه إلى سواه و يتّخذه مغني و منزل مقام،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يمكن دفع الأوّل، بانجباره برواية من لا يعمل بخبر الآحاد و لو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خلاف الأصل و الظاهر، نعم لو كان احتمال الوضع مساويا لعدمه وجب التوقّف على ما صرّح به المحقق الداماد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الاخبار على ثلاثة 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يجب تصديقه و هو ما نصّ الأئمّة على صحّة وروده، و ضرب يجب تكذيبه و هو ما نصّوا على وضعه، و ضرب يجب التوقّف فيه لاحتماله الأمرين كسائر الاخبار، و لا يجوز الإفراط في نقل أخبار الآحاد و الانقياد لكلّ خبر كما هو مذهب الحشوية، إذ في الاخبار موضوعات بيّنة </w:t>
      </w:r>
      <w:r>
        <w:rPr>
          <w:rStyle w:val="FootnoteAnchor"/>
          <w:rtl w:val="true"/>
        </w:rPr>
        <w:footnoteReference w:id="153"/>
      </w:r>
      <w:r>
        <w:rPr>
          <w:rFonts w:ascii="IRNazanin" w:hAnsi="IRNazanin" w:eastAsia="IRNazanin"/>
          <w:color w:val="111111"/>
          <w:sz w:val="28"/>
          <w:sz w:val="28"/>
          <w:szCs w:val="28"/>
          <w:rtl w:val="true"/>
          <w:lang w:bidi="fa-IR"/>
        </w:rPr>
        <w:t xml:space="preserve">انتهى </w:t>
      </w:r>
      <w:r>
        <w:rPr>
          <w:rStyle w:val="FootnoteAnchor"/>
          <w:rtl w:val="true"/>
        </w:rPr>
        <w:footnoteReference w:id="154"/>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قرينة على إرادة الاستحباب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عدم الانفكاك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خلاف الظاهر، فلا يعارض احتمالها ما هو الظاهر من التغنّي و المتبادر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رجحان قراءة القرآن بالحزن مثل ما رواه الكليني عن علي بن إبراهيم، عن أبيه، عن ابن أبي عمير، عمّن ذكره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 نزل بالحزن فاقرءوه بالحزن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عنه أيضا، عن أبيه، عن القاسم بن محمد، عن سليم بن داود المنقري،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أشدّ خوفا على نفسه من موسى بن جعفر عليه السّلام و لا أرجى الناس</w:t>
      </w:r>
    </w:p>
    <w:p>
      <w:pPr>
        <w:pStyle w:val="BookText"/>
        <w:rPr/>
      </w:pPr>
      <w:r>
        <w:rPr>
          <w:rFonts w:ascii="Amiri" w:hAnsi="Amiri" w:eastAsia="Amiri" w:cs="Amiri"/>
          <w:color w:val="111111"/>
          <w:sz w:val="28"/>
          <w:sz w:val="28"/>
          <w:szCs w:val="28"/>
          <w:rtl w:val="true"/>
          <w:lang w:bidi="ar-SA"/>
        </w:rPr>
        <w:t>منه، و كانت قرائته حزنا فكأنّه يخاطب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القراءة بالحزن لا تنفك عن الترجيع المطرب، و فيه نظر،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بقراءة القرآن بألحان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إبراهيم الأحمر، عن عبد اللّه بن حمّاد، عن عبد اللّه بن سنان، عن الصادق عليه السّلام قال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القرآن بألحان العرب و أصواتها و إيّاكم و لحون أهل الفسق</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رواه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القرآن بلحون العرب و أصواتها و إيّاكم و لحون أهل العشق و لحون أهل الكتابين</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الألحان و اللحون جمع اللحن و هو التطريب و التغريد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به جماعة من أهل اللغة،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هو ألحن الناس إذا كان أحسنهم قراءة أو غناء </w:t>
      </w:r>
      <w:r>
        <w:rPr>
          <w:rStyle w:val="FootnoteAnchor"/>
          <w:rtl w:val="true"/>
        </w:rPr>
        <w:footnoteReference w:id="159"/>
      </w:r>
      <w:r>
        <w:rPr>
          <w:rFonts w:ascii="Amiri" w:hAnsi="Amiri" w:eastAsia="Amiri" w:cs="Amiri"/>
          <w:color w:val="111111"/>
          <w:sz w:val="28"/>
          <w:sz w:val="28"/>
          <w:szCs w:val="28"/>
          <w:rtl w:val="true"/>
          <w:lang w:bidi="ar-SA"/>
        </w:rPr>
        <w:t xml:space="preserve">و تفسير اللحن باللغة أو باللهجة خلاف الظاهر و إن صرّح بالأول الطريحي </w:t>
      </w:r>
      <w:r>
        <w:rPr>
          <w:rStyle w:val="FootnoteAnchor"/>
          <w:rtl w:val="true"/>
        </w:rPr>
        <w:footnoteReference w:id="160"/>
      </w:r>
      <w:r>
        <w:rPr>
          <w:rFonts w:ascii="Amiri" w:hAnsi="Amiri" w:eastAsia="Amiri" w:cs="Amiri"/>
          <w:color w:val="111111"/>
          <w:sz w:val="28"/>
          <w:sz w:val="28"/>
          <w:szCs w:val="28"/>
          <w:rtl w:val="true"/>
          <w:lang w:bidi="ar-SA"/>
        </w:rPr>
        <w:t xml:space="preserve">و المحدث البحراني </w:t>
      </w:r>
      <w:r>
        <w:rPr>
          <w:rStyle w:val="FootnoteAnchor"/>
          <w:rtl w:val="true"/>
        </w:rPr>
        <w:footnoteReference w:id="161"/>
      </w:r>
      <w:r>
        <w:rPr>
          <w:rFonts w:ascii="Amiri" w:hAnsi="Amiri" w:eastAsia="Amiri" w:cs="Amiri"/>
          <w:color w:val="111111"/>
          <w:sz w:val="28"/>
          <w:sz w:val="28"/>
          <w:szCs w:val="28"/>
          <w:rtl w:val="true"/>
          <w:lang w:bidi="ar-SA"/>
        </w:rPr>
        <w:t xml:space="preserve">و بالثاني بعض المحققين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الأصوات المستقيمة مشتركة بين العرب و العجم غير مختصة بطائفة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زيد ابنه بنداء العرب و عمرو بنداء العجم، لكون النداء على استقامة مشتركا بين جميع الطوائف، و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قرأ القرآن بلحن العرب، و عمرو بلحن العجم </w:t>
      </w:r>
      <w:r>
        <w:rPr>
          <w:rStyle w:val="FootnoteAnchor"/>
          <w:rtl w:val="true"/>
        </w:rPr>
        <w:footnoteReference w:id="16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الحاصل أنّ مجرد الصوت من دون ترجيع و تطريب لا يسمّى لحنا كما لا يسمّى غناء، و المراد بالغناء في ذيل الحديث الأوّل هو الصوت اللهويّ المحرّم،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يحتمل صرف الغناء عن معناه اللغوي، كذلك يحتمل صرف اللحن عن معناه الحقيقي، و لا مرجّح، فيتطرق الإجمال المخلّ بالاستدلال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تعارف استعمال الغناء و غلبة إرادة المعنى العرفيّ منه ممّا يرجّح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ورد أنّه كانت النساء يغنين عند قدوم رسول اللّه صلّى اللّه عليه و آله و سلّم المدينة بقولهنّ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 البدر علينا من ثنيّات الوداع وجب الشكر علينا ما دعا للّه داع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لم ينكره عليهنّ،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الغزاليّ في كتاب إحياء العلوم من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 آله و سلّم و عندي جاريتان تغنيان بغناء بعاث </w:t>
      </w:r>
      <w:r>
        <w:rPr>
          <w:rStyle w:val="FootnoteAnchor"/>
          <w:rtl w:val="true"/>
        </w:rPr>
        <w:footnoteReference w:id="165"/>
      </w:r>
      <w:r>
        <w:rPr>
          <w:rFonts w:ascii="Amiri" w:hAnsi="Amiri" w:eastAsia="Amiri" w:cs="Amiri"/>
          <w:color w:val="111111"/>
          <w:sz w:val="28"/>
          <w:sz w:val="28"/>
          <w:szCs w:val="28"/>
          <w:rtl w:val="true"/>
          <w:lang w:bidi="ar-SA"/>
        </w:rPr>
        <w:t>فاضطجع على الفراش، و حوّل وجهه، فدخل أبو بكر فانتهرني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مزمار الشيطان عند رسول اللّه؟ فاقبل عليه رسول اللّه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فلمّا غفل غمزتهما فخرجتا </w:t>
      </w:r>
      <w:r>
        <w:rPr>
          <w:rStyle w:val="FootnoteAnchor"/>
          <w:rtl w:val="true"/>
        </w:rPr>
        <w:footnoteReference w:id="16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ينشدان الأشعار التي قيلت يوم بعاث، و هو حرب كانت بين الأنصار، و لم ترد الغناء المعروف بين أهل اللهو و اللعب </w:t>
      </w:r>
      <w:r>
        <w:rPr>
          <w:rStyle w:val="FootnoteAnchor"/>
          <w:rtl w:val="true"/>
        </w:rPr>
        <w:footnoteReference w:id="1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الاستدلال بمثل هذه الرواية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الروايات على جواز شراء المغنيات و بيعها و سماع صوتها مثل ما رواه الشيخ بإسناده عن أحمد بن محمد، عن البرقي، عن عبد اللّه بن الحسن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ما تقول في النصرانية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فأشتري المغنيّة أو الجارية تحسن أن تغنّي أريد بها الرزق لا سوى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و بع</w:t>
      </w:r>
      <w:r>
        <w:rPr>
          <w:rFonts w:eastAsia="Amiri" w:cs="Amiri" w:ascii="Amiri" w:hAnsi="Amiri"/>
          <w:color w:val="111111"/>
          <w:sz w:val="28"/>
          <w:szCs w:val="28"/>
          <w:rtl w:val="true"/>
          <w:lang w:bidi="ar-SA"/>
        </w:rPr>
        <w:t xml:space="preserve">» </w:t>
      </w:r>
      <w:r>
        <w:rPr>
          <w:rStyle w:val="FootnoteAnchor"/>
          <w:rtl w:val="true"/>
        </w:rPr>
        <w:footnoteReference w:id="1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عليّ بن الحسين عليه السّلام عن شراء جارية لها صوت؟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لو اشتريتها فذكّرتك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بقراءة القرآن و الزهد و الفضائل الّتي ليست بغناء فامّا الغناء فمحظور انتهى</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اعترض على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الأخبار معارضة بما يأتي من الروايات المصرّحة بحرمة ثمن المغنّية و كسبها و حرمة بيعها و شرائها،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ثمنها سحت و السحت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حديث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التفسير المذكور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أنّ المراد لا بأس بحسن الصوت الذي لا يصل إلى حدّ الغناء فإنّه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التفسير المذكور من كلام الصدوق رحمه اللّه و ليس بحجة حتّى ينافي المدّعى، و قد تقدّم أنّ حسن الصوت لا ينفكّ عن الغناء اللغوي، فلا وجه لما ذكره في الوسائل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 هذه الأخبار، و ما يأتي، لاختصاصه بالغناء العرفي أي الصوت اللهويّ المقترن بالملاهي، و اختصاصها بالصوت المطرب الذي لا يكون بهذه المثابة،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من جواز الحداء و النياحة على الموتى و التغنّي لزف العرائس و سيأتي الكلام في ذلك كلّه في المقصد الثالث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الحداء ليس من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غاية السقوط، ضرورة كونه صوتا مطربا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الغناء إنّما يحرم للطرب، و ليس في النياحة 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تقدّم من أنّ المراد بالمطرب هو المغيّر للحال بحزن أو سرور،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الأدلة على ما اخترناه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مستند الحاظرين فوجوه ايضا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منهم شيخنا المفيد رحمه اللّه ادّعوا الإجماع على حرمة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عرفته في المقدّمة الثانية من عدم حجية الإجماع المنقول، و عدم كونه بمنزلة خبر الواحد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من ادّعى الإجماع في المقام هو دعواه على حرمة الصوت اللهويّ المهيّج للشهوات بنفسه، أو باقترانه بالمحرّمات، كما هو الغالب المتعارف في الأعصار في مجالس الفسّاق و الفجّار، و قد عرفت أنّ حرمة هذا النوع من الغناء تعدّ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عدم الظهور، و لكنّه محتمل احتمالا مساويا لما زعم من الإطلاق، فيأتي الإجمال في المراد الموجب لسقوط الاستدلال به في هذا المجال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 الغناء الوارد في أخبار المسألة مجمل، لتردّده بين معان كثيرة، فيكون الشبهة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مرادية، بمعنى أنّ الشبهة في مفهوم الموضوع و المراد منه، فيجب الاجتناب عن جميع المعاني المحتملة من باب توقف الامتثال بالنهي عن الغناء عليه، و ليست الشبهة موضوعيّة مصداقية حتى يجري فيها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بالاجتناب عن الغناء ثابت، و لكنّه لإجماله و عدم وضوح المراد منه موجب للشك في المكلّف به، فمقتضى قاعدة الاشتغال وجوب الاجتناب عن كلّ ما يحتمل كونه منه، كما أنّ مقتضاها في التكليف الوجوبيّ كذلك، إذا كان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الإجمال، كما عرفته في المقصد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الشبهة موضوعية، بل هي على تقدير الإجمال من الشبهة الحكميّة التحريميّة التي هي مجرى أصالة الإباحة، كما بيّنّاه في المقدمة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من أدلّة النهي عن الغناء حرمة غير الصوت اللهويّ، فلا يقين بوجود فرد محرّم في الأفراد المشتبهة ليجب الاجتناب عن الجميع من باب المقدمة، لاحتمال كون الجميع مباحا و انحصار الحرمة في الصوت اللهويّ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الفرق بين ما نحن فيه و مسألة الإنائين المشتبهين، للقطع باشتمالهما على النجس المأمور بالاجتناب عنه، بخلاف ما نحن فيه، و المقايسة إنّما تتم مع القطع بأحد الإنائين نجاسة و الشك في نجاسة الآخر، فإنّها مدفوعة بالأصل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واضح لمن تدبّر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الصوت المطرب مفسدة لأغلب الناس في أغلب الأوقات و أكثر الأحوال، لكون أكثر الناس فسّاقا مبتلين بالخيالات الفاسدة و الهواجس الشيطانية و الوساوس البهيمية، و الأوحديّون المخلصون الذين يستأنسون بهذا الصوت إلى العالم الأعلى، و ينقطعون به عن شهوات الحياة الدنيا قليلون، فمقتضى الحكمة الشرعيّة تحريم هذا الصوت على الكلّ، كما في سائر المحرّمات التي لوحظ فيها دفع المفسدة عن الأغلب، فحظرت على الجميع، لتكون القاعدة كلية مطّردة، حفظا للنظام و دفعا للزوم الهرج و المرج في الأنام، و من الواضح أنّ ملاحظة حال القليل في تشريع الأحكام توجب</w:t>
      </w:r>
    </w:p>
    <w:p>
      <w:pPr>
        <w:pStyle w:val="BookText"/>
        <w:rPr/>
      </w:pPr>
      <w:r>
        <w:rPr>
          <w:rFonts w:ascii="Amiri" w:hAnsi="Amiri" w:eastAsia="Amiri" w:cs="Amiri"/>
          <w:color w:val="111111"/>
          <w:sz w:val="28"/>
          <w:sz w:val="28"/>
          <w:szCs w:val="28"/>
          <w:rtl w:val="true"/>
          <w:lang w:bidi="ar-SA"/>
        </w:rPr>
        <w:t>الهرج و المرج و اختلال النظام، و إلّا فلا ننكر أنّ الغناء يختلف باختلاف أحوال المستمعين و أخلاقهم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به الغزاليّ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للمستمع أربع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سماعه بمجرّد الطبع، أي لا حظّ له في السماع إلّا استلذاذ الألحان و النغمات، و هذا مباح، و هو أخسّ رتب السماع، إذ الإبل شريكة له فيه و كذا سائر البهائم، بل لا تستدعي هذا الذوق إلّا الحياة فلكل حيوان نوع تلذّذ بالأصوات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بفهم، و لكن ينزله على صورة مخلوق، إمّا معيّنا، و إمّا غير معيّن، و هو سماع الشباب و أرباب الشهوات، و يكون تنزيلهم للمسموع على حسب شهواتهم و مقتضى أحوالهم، و هذه الحالة أخسّ من أن نتكلّم فيها إلّا ببيان خسّتها و النهي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ينزل ما يسمعه على أحوال نفسه في معاملته للّه تعالى، و تقلب أحواله في التمكن مرّة، و التعذر اخرى، و هذا سماع المريدين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من جاوز الأحوال و المقامات، فعزب عن فهم ما سوى اللّه حتّى عزب عن نفسه و أحوالها و معاملاتها، و كان كالمدهوش الغائص في بحر عين الشهود، الذي يضاهي حاله حال النسوة اللاتي قطّعن أيديهنّ في مشاهدة جمال يوسف عليه السّلام حتّى دهش و سقط عن إحساسهنّ، الى آخره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له تأثير حسن في بعض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أكثر الناس موجب للفساد، و لذا 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كثرت الفتنة بطريقه، و زالت العصمة فيه، و تصدى للحرص عليه أقوام قلّت أعمالهم و فسدت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أكثروا الاجتماع للسماع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يتّخذ للاجتماع طعام لطلب النفوس الاجتماع لذلك لا رغبة للقلوب في السماع، كما كان من سير الصادقين، صار السماع معلولا تركن إليه النفوس طلبا للشهوات و استحلاء</w:t>
      </w:r>
    </w:p>
    <w:p>
      <w:pPr>
        <w:pStyle w:val="BookText"/>
        <w:rPr/>
      </w:pPr>
      <w:r>
        <w:rPr>
          <w:rFonts w:ascii="Amiri" w:hAnsi="Amiri" w:eastAsia="Amiri" w:cs="Amiri"/>
          <w:color w:val="111111"/>
          <w:sz w:val="28"/>
          <w:sz w:val="28"/>
          <w:szCs w:val="28"/>
          <w:rtl w:val="true"/>
          <w:lang w:bidi="ar-SA"/>
        </w:rPr>
        <w:t>لمواطن اللهو و الغفلات، و يقطع ذلك على المريد طلب المزيد، و يكون بطريقة تضييع الأوقات و قلة الحظّ من العبادات، و يكون الرغبة في الاجتماع طلبا لتناول الشهوة و استرواحا لأولى الطرب و اللهو و العشرة، و لا يخفى أنّ هذا الاجتماع مردود عند أهل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حاله اقتضت الحكمة حرمته، كشرب الخمر الذي ضرّه أكثر من 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وجهه غير خفيّ، فإنّه استحسان محض، و اجتهاد صرف، لا نلتفت إلى مثله في إثبات مثل هذا الحكم، كيف؟ و كثير ممّا أحلّ اللّه يكون بهذه المثابة، كالنظر إلى الوجوه الحسنة، فإنّ فيه مفسدة لأكثر الشبّان، مع أنّه لم يحكم بتحريمه على الكلّ، و قد حكي عن بعض التابعين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أخوف على الشاب من السبع الضاري خوفي عليه من الغلام الأمرد يقعد اليه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الصوت المطرب باعث على الفسوق و الفجور و محرّك للقلب إلى الزنا و شرب الخمور فيحكم العقل بقبحه كحكمه بقبح كثير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 إذ لا كلام في حرمة المطرب المحرّك للقلب إلى ما هو مراد الشيطان من المعاصي، و ليس كلّ صوت مطرب كذلك، ضرورة أنّ منه ما يحرّك الشوق إلى طاعة اللّه، و يوجب الانس به، و الركون إلى دار القرار، كالتغنّي بالأشعار المتضمّنة لذكر الجنّة و النار، و وصف نعم اللّه الملك الجبّار، و ذكر العبادات و الخيرات كما يرشد اليه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لو اشتريتها فذكّرتك الجنة</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يحكم العقل بحرمة مثل هذا التغني و قبحه؟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ربّما يحرّك الصوت الطيّب في قلوب بعض الناس الميل إلى المعاصي و الملاهي، فهو</w:t>
      </w:r>
    </w:p>
    <w:p>
      <w:pPr>
        <w:pStyle w:val="BookText"/>
        <w:rPr/>
      </w:pPr>
      <w:r>
        <w:rPr>
          <w:rFonts w:ascii="Amiri" w:hAnsi="Amiri" w:eastAsia="Amiri" w:cs="Amiri"/>
          <w:color w:val="111111"/>
          <w:sz w:val="28"/>
          <w:sz w:val="28"/>
          <w:szCs w:val="28"/>
          <w:rtl w:val="true"/>
          <w:lang w:bidi="ar-SA"/>
        </w:rPr>
        <w:t>مختلف باختلاف الأشخاص و الأحوال، و قد صرّح جماعة بأنّ الصوت الطيّب محرّك للقلب إلى ما هو الغالب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كان النظر في السماع باعتبار تأثيره في القلب لم يجز أن يحكم فيه مطلقا بإباحة و لا تحريم، بل يختلف ذلك بالأحوال و الأشخاص، و اختلاف طرق النغمات، فحكمه حكم ما في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74"/>
      </w:r>
      <w:r>
        <w:rPr>
          <w:rFonts w:ascii="Amiri" w:hAnsi="Amiri" w:eastAsia="Amiri" w:cs="Amiri"/>
          <w:color w:val="111111"/>
          <w:sz w:val="28"/>
          <w:sz w:val="28"/>
          <w:szCs w:val="28"/>
          <w:rtl w:val="true"/>
          <w:lang w:bidi="ar-SA"/>
        </w:rPr>
        <w:t>ابن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لا يجعل في القلب ما ليس فيه، و لكن 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للترنّم بالكلمات المسجعة الموزونة سبعة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الغزاة لتحريض الناس على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 بالرجزات التي يستعملها الشجعان في وقت اللقاء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 لترقيق القلب و إسبال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التغنّي أوقات السرور كأيّام العيد، و أوان العرس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الكلام في هذه المواضع بما لا يناسب هذه الوجيزة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العشاق تحريكا للشوق و تهييجا للعشق و تسلية للنفس، فإن كان في مشاهدة المعشوق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تأكيد اللّذة، و إن كان مع المفارقة فالغرض تهييج الشوق، و الشوق و إن كان ألما ففيه نوع لذّة، لذا انضاف إليه رجاء الوصال، فإنّ الرجاء لذيذ و اليأس مؤلم، و قوّة لذة الرجاء بحسب قوّة الشوق و الحب للشي‌ء المرجوّ، ففي هذا السماع تهييج العشق، و تحريك الشوق، و تحصيل لذة الرجاء المقدّر في الوصال، مع الإطناب في وصف حسن المحبوب، و هذا حلال إن كان المشتاق إليه مما يباح وصاله كمن يعشق زوجته أو سريّته فيصغي إلى غنائها لتتضاعف لذّته في لقائها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 من أحبّ اللّه و عشقه و اشتاق إلى لقائه، فلا ينظر إلى شي‌ء إلّا رآه فيه، و لا يقرع سمعه قارع إلّا سمعه منه أو فيه، فالسماع في حقّه مهيّج لشوقه و مؤكّد لعشقه و حبّه، و مور زناد قلبه، و مستخرج منه أحوالا من المكاشفات و الملاطفات لا يحيط الوصف بها، يعرفها من ذاقها و ينكرها من كلّ حسّه عن ذوقها، إلى آخر ما ذكره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الصوت المطرب لا ينحصر أثره في حصول الميل إلى الفسوق و الفجور حتّى يحكم العقل بحرمته مطلقا، بل هو حاكم بحرمة نوع خاصّ منه، و هو ما استدعى المحرّم أو اقترن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ما قيل فيه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مفسدة للقلب مسخطة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w:t>
      </w:r>
      <w:r>
        <w:rPr>
          <w:rStyle w:val="FootnoteAnchor"/>
          <w:rtl w:val="true"/>
        </w:rPr>
        <w:footnoteReference w:id="176"/>
      </w:r>
      <w:r>
        <w:rPr>
          <w:rFonts w:ascii="Amiri" w:hAnsi="Amiri" w:eastAsia="Amiri" w:cs="Amiri"/>
          <w:color w:val="111111"/>
          <w:sz w:val="28"/>
          <w:sz w:val="28"/>
          <w:szCs w:val="28"/>
          <w:rtl w:val="true"/>
          <w:lang w:bidi="ar-SA"/>
        </w:rPr>
        <w:t>و الغناء فإنّه يزيد الشهوة، و يهدم المروّة، و إنه لينوب عن الخمر، و يفعل ما يفعل المسكر</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أنصف المنصف و تفكّر في اجتماع أهل الزمان و قعود المغنّي بدفّه، و المشبّب بشبابته، و تصوّر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وقع مثل هذا الجلوس و الهيئة بحضرة رسول للّه صلّى اللّه عليه و آله و سلّم و هل استحضروا قوّالا و قعدوا مجتمعين لاستماعه؟ و لا شكّ بأنّه ينكر ذلك من حال رسول اللّه صلّى اللّه عليه و آله و سلّم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لم يكن بهذه المثابة، فلا حكم للعقل بقبحه، و لا سيّما إذا كان موجبا للانقطاع عن شهوات الدنيا، بل العقل حاكم بحسنه، 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اختاروا السماع حيث اختاروه إلّا بشروط و قيود و آداب يذكرون به الآخرة، و يرغبون في الجنّة، و يحذرون من النار، و</w:t>
      </w:r>
    </w:p>
    <w:p>
      <w:pPr>
        <w:pStyle w:val="BookText"/>
        <w:rPr/>
      </w:pPr>
      <w:r>
        <w:rPr>
          <w:rFonts w:ascii="Amiri" w:hAnsi="Amiri" w:eastAsia="Amiri" w:cs="Amiri"/>
          <w:color w:val="111111"/>
          <w:sz w:val="28"/>
          <w:sz w:val="28"/>
          <w:szCs w:val="28"/>
          <w:rtl w:val="true"/>
          <w:lang w:bidi="ar-SA"/>
        </w:rPr>
        <w:t>يزداد به طلبهم، و يحسن به أحوالهم،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 في سورة لقمان وَ مِنَ النّٰاسِ مَنْ يَشْتَرِي لَهْوَ الْحَدِيثِ لِيُضِلَّ عَنْ سَبِيلِ اللّٰهِ بِغَيْرِ عِلْمٍ وَ يَتَّخِذَهٰا هُزُواً أُولٰئِكَ لَهُمْ عَذٰابٌ مُهِينٌ انتهى</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فإنّ جمعا من المفسّرين قد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بالغناء و الاستماع إليه، و حكي عن عبد اللّه بن مسعود أيضا </w:t>
      </w:r>
      <w:r>
        <w:rPr>
          <w:rStyle w:val="FootnoteAnchor"/>
          <w:rtl w:val="true"/>
        </w:rPr>
        <w:footnoteReference w:id="179"/>
      </w:r>
      <w:r>
        <w:rPr>
          <w:rFonts w:ascii="Amiri" w:hAnsi="Amiri" w:eastAsia="Amiri" w:cs="Amiri"/>
          <w:color w:val="111111"/>
          <w:sz w:val="28"/>
          <w:sz w:val="28"/>
          <w:szCs w:val="28"/>
          <w:rtl w:val="true"/>
          <w:lang w:bidi="ar-SA"/>
        </w:rPr>
        <w:t>و يدلّ عليه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ابن أبي عمير، عن علي بن إسماعيل، عن ابن مسكان، عن محمّد بن مسلم، عن أبي جعفر عليه السّلام 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وعد اللّه عليه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تلا هذه الآية وَ مِنَ النّٰاسِ مَنْ يَشْتَرِي الى آخر الآية </w:t>
      </w:r>
      <w:r>
        <w:rPr>
          <w:rStyle w:val="FootnoteAnchor"/>
          <w:rtl w:val="true"/>
        </w:rPr>
        <w:footnoteReference w:id="18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عن عدّة من أصحابنا، عن سهل،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الغناء؟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عز و جلّ وَ مِنَ النّٰاسِ مَنْ 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الآية </w:t>
      </w:r>
      <w:r>
        <w:rPr>
          <w:rStyle w:val="FootnoteAnchor"/>
          <w:rtl w:val="true"/>
        </w:rPr>
        <w:footnoteReference w:id="18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رواية مهران بن محمد، عن الصادق عليه السّلام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الحسن بن هارون </w:t>
      </w:r>
      <w:r>
        <w:rPr>
          <w:rStyle w:val="FootnoteAnchor"/>
          <w:rtl w:val="true"/>
        </w:rPr>
        <w:footnoteReference w:id="183"/>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عبد الأعلى </w:t>
      </w:r>
      <w:r>
        <w:rPr>
          <w:rStyle w:val="FootnoteAnchor"/>
          <w:rtl w:val="true"/>
        </w:rPr>
        <w:footnoteReference w:id="184"/>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هذا الاستدلال وجوه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التفسير معارض بتفسير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 الحقّ و الاستهزاء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الطبرسي في المجمع </w:t>
      </w:r>
      <w:r>
        <w:rPr>
          <w:rStyle w:val="FootnoteAnchor"/>
          <w:rtl w:val="true"/>
        </w:rPr>
        <w:footnoteReference w:id="185"/>
      </w:r>
      <w:r>
        <w:rPr>
          <w:rFonts w:ascii="Amiri" w:hAnsi="Amiri" w:eastAsia="Amiri" w:cs="Amiri"/>
          <w:color w:val="111111"/>
          <w:sz w:val="28"/>
          <w:sz w:val="28"/>
          <w:szCs w:val="28"/>
          <w:rtl w:val="true"/>
          <w:lang w:bidi="ar-SA"/>
        </w:rPr>
        <w:t>عن الصادق عليه السّلام أيضا،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اللغة هو مطلق الصوت 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في عرفهم الصوت اللهويّ، و لا كلام في حرمته،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الأخبار المفسّرة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تحريم الغناء الذي يشترى ليضل عن سبيل اللّه، و لا نزاع فيه، و ليس فيها دلالة على حرمة مطلق الغناء، إذ ليس كلّ غناء بدلا من الدين مضلّا به عن سبيل اللّه، كالغناء المرقّق للقلب المذكّر للجنّة، المشوّق، إلى العالم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التفسير بمطلق الغناء ربّما يوهم عدم الفرق،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اللهو هو الباطل، و الحديث بمعنى الكلام، و الإضافة بتقدير إحدى الثلاث، فتدلّ الآية على حرمة الغناء المقترن بأباطيل الكلام كالأشعار المتضمّنة للتشبيب المحرّم و نحوها من الأحاديث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جعلنا الإضافة بيانية، أو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 على سبيل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مطلق ما يلهي عن اللّه قولا كان أم فعلا، كما عن تفسير القمّي رحمه اللّه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يرشد إليه جملة من هذه الروايات حيث جعل فيها الغناء من أفراده، لاعتبار اللهو فيه، أو في تحريمه فيخرج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يلهي عمّا يغني </w:t>
      </w:r>
      <w:r>
        <w:rPr>
          <w:rStyle w:val="FootnoteAnchor"/>
          <w:rtl w:val="true"/>
        </w:rPr>
        <w:footnoteReference w:id="187"/>
      </w:r>
      <w:r>
        <w:rPr>
          <w:rFonts w:ascii="Amiri" w:hAnsi="Amiri" w:eastAsia="Amiri" w:cs="Amiri"/>
          <w:color w:val="111111"/>
          <w:sz w:val="28"/>
          <w:sz w:val="28"/>
          <w:szCs w:val="28"/>
          <w:rtl w:val="true"/>
          <w:lang w:bidi="ar-SA"/>
        </w:rPr>
        <w:t>كالأحاديث التي لا أصل لها و الأساطير التي لا اعتبار بها، و المضاحيك، و فضول الكلام، كما في تفسير البيضاويّ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تبيينيّة إن أراد بالحديث المنكر، و تبعيضية إن أراد به</w:t>
      </w:r>
    </w:p>
    <w:p>
      <w:pPr>
        <w:pStyle w:val="BookText"/>
        <w:rPr/>
      </w:pPr>
      <w:r>
        <w:rPr>
          <w:rFonts w:ascii="IRNazanin" w:hAnsi="IRNazanin" w:eastAsia="IRNazanin"/>
          <w:color w:val="111111"/>
          <w:sz w:val="28"/>
          <w:sz w:val="28"/>
          <w:szCs w:val="28"/>
          <w:rtl w:val="true"/>
          <w:lang w:bidi="fa-IR"/>
        </w:rPr>
        <w:t>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88"/>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هو الكلام الخبريّ، فيدلّ على حرمة التغني بالكلمات الملهية فإنّ الصوت من حيث إنّه صوت لا يسمّى حديثا، كما أنّ الصوت المشتمل على كلمات حقّة لا يسمّى لهو الحديث، 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ترى أنّ نغمات الأوتار لا تسمّى لهو الحديث و قول الزور، و أنّ الأحاديث الواردة في ذمّ استماعها لا تعلّل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يمكن أن تتّصف الكلمات الحقّة من القرآن و الأحاديث بسبب الترجيع بلهو الحديث و قول الزور؟</w:t>
      </w:r>
    </w:p>
    <w:p>
      <w:pPr>
        <w:pStyle w:val="BookText"/>
        <w:rPr/>
      </w:pPr>
      <w:r>
        <w:rPr>
          <w:rFonts w:ascii="Amiri" w:hAnsi="Amiri" w:eastAsia="Amiri" w:cs="Amiri"/>
          <w:color w:val="111111"/>
          <w:sz w:val="28"/>
          <w:sz w:val="28"/>
          <w:szCs w:val="28"/>
          <w:rtl w:val="true"/>
          <w:lang w:bidi="ar-SA"/>
        </w:rPr>
        <w:t>و أيّ عقل يجوّز أن يصير القرآن الذي هو أصدق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زورا و كذبا صراحا؟ و ان تنقلب الآيات القرآنية الإنشائية بتطريب الصوت المرجّع إلى الحقيقة الخبرية و صارت أحاديث ملهية و أقوالا كاذبة؟ </w:t>
      </w:r>
      <w:r>
        <w:rPr>
          <w:rStyle w:val="FootnoteAnchor"/>
          <w:rtl w:val="true"/>
        </w:rPr>
        <w:footnoteReference w:id="189"/>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على ما صرّح به جماعة نزلت في النضر بن الحارث لمّا اشترى كتب الأعاجم، و كان يحدّث بها قريشا،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محمد صلّى اللّه عليه و آله و سلّم يحدّثكم بحديث عاد و ثمود، فانا أحدّثكم بحديث رستم و إسفنديار و الأكاسرة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أبي جهل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قريش، ألا أطعمكم من الزقّوم الذي يخوّفكم به صاحبكم، فأرسل الى زبد و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الزقوم الذي يخوّفكم به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النضر كان يشتري القيان و يحملهنّ على معاشرة من أراد الإسلام و منعه منه </w:t>
      </w:r>
      <w:r>
        <w:rPr>
          <w:rStyle w:val="FootnoteAnchor"/>
          <w:rtl w:val="true"/>
        </w:rPr>
        <w:footnoteReference w:id="192"/>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فيها على حكم الغناء أو تكون مخصوصة بغناء القيان للصدّ عن طريق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فإنّ العبرة بعموم اللفظ لا بخصوص شأن التنزيل، سيّما مع ما عرفته من الأخبار المفسّرة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الغناء لا يناسبه 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فإنّ المراد به الاستبدال عن قراءة القرآن و نحوها كما في قوله اشْتَرَوُا الضَّلٰالَةَ بِالْهُدىٰ اي استأثروها و اختاروها بدلها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وقع لهذا الإيراد بعد ورود التفسير المذكور عن أهل البيت عليهم السّلام الذين عندهم علم القرآن، فربّما تراهم يفسّرون آية بما لا تدرك حقيقته، و ربما يستدلّون بآية لا نعرف وجه دلالتها، و ليس لنا الاعتراض عليهم عليهم السّلام في ذلك، فإنّهم حجج اللّه على الخلق أجمعين، و قد أحال الإذعان بعصمتهم احتمال الخطأ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تعالى في سورة الحجّ فَاجْتَنِبُوا الرِّجْسَ مِنَ الْأَوْثٰانِ وَ اجْتَنِبُوا قَوْلَ الزُّورِ </w:t>
      </w:r>
      <w:r>
        <w:rPr>
          <w:rStyle w:val="FootnoteAnchor"/>
          <w:rtl w:val="true"/>
        </w:rPr>
        <w:footnoteReference w:id="1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قد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الروايات بالغناء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الحسين بن سعيد و محمد بن خالد، عن النضر بن سويد، عن درست،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عز و جلّ وَ اجْتَنِبُوا قَوْلَ الزُّورِ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الزور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نحوه مرسلة ابن أبي عمير عنه عليه السّلام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عبد الأعلى </w:t>
      </w:r>
      <w:r>
        <w:rPr>
          <w:rStyle w:val="FootnoteAnchor"/>
          <w:rtl w:val="true"/>
        </w:rPr>
        <w:footnoteReference w:id="196"/>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تحتمله رواية عمرو بن حزم </w:t>
      </w:r>
      <w:r>
        <w:rPr>
          <w:rStyle w:val="FootnoteAnchor"/>
          <w:rtl w:val="true"/>
        </w:rPr>
        <w:footnoteReference w:id="197"/>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عرفته من عدم الدلالة على حرمة غير المقترن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معارض بما روي عن النبي صلّى اللّه عليه و آله و سلّم من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عدلت شهادة الزور بالشرك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هذه الآية </w:t>
      </w:r>
      <w:r>
        <w:rPr>
          <w:rStyle w:val="FootnoteAnchor"/>
          <w:rtl w:val="true"/>
        </w:rPr>
        <w:footnoteReference w:id="19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حماد بن عثمان،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الزور؟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قول الرجل للّذي 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بهذا التفسير أنّ الغناء مثل قول الزور في كونه منهيّا عنه، لأنّ الغناء المحرّم هو الذي يكون في كلام هو من قول الزور،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الفرقان وَ الَّذِينَ لٰا يَشْهَدُونَ الزُّورَ وَ إِذٰا مَرُّوا بِاللَّغْوِ مَرُّوا كِرٰاماً </w:t>
      </w:r>
      <w:r>
        <w:rPr>
          <w:rStyle w:val="FootnoteAnchor"/>
          <w:rtl w:val="true"/>
        </w:rPr>
        <w:footnoteReference w:id="20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مضافا إلى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محمد بن عبد الجبّار، عن صفوان، عن أبي أيّوب الخزّاز، عن محمد بن مسلم، عن أبي الصباح، عن الصادق عليه السّلام في قوله لٰا يَشْهَدُونَ الزُّورَ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مضى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قوله تعالى في سورة النجم أَ فَمِنْ هٰذَا الْحَدِيثِ تَعْجَبُونَ وَ تَضْحَكُونَ وَ لٰا تَبْكُونَ وَ أَنْتُمْ سٰامِدُونَ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ما حكي عن ابن عباس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بمغنّون </w:t>
      </w:r>
      <w:r>
        <w:rPr>
          <w:rStyle w:val="FootnoteAnchor"/>
          <w:rtl w:val="true"/>
        </w:rPr>
        <w:footnoteReference w:id="203"/>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السمد بلغة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Style w:val="FootnoteAnchor"/>
          <w:rtl w:val="true"/>
        </w:rPr>
        <w:footnoteReference w:id="204"/>
      </w:r>
      <w:r>
        <w:rPr>
          <w:rFonts w:ascii="Amiri" w:hAnsi="Amiri" w:eastAsia="Amiri" w:cs="Amiri"/>
          <w:color w:val="111111"/>
          <w:sz w:val="28"/>
          <w:sz w:val="28"/>
          <w:szCs w:val="28"/>
          <w:rtl w:val="true"/>
          <w:lang w:bidi="ar-SA"/>
        </w:rPr>
        <w:t>و يقول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سمد فلان، إذا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حجيّة في كلام ابن عباس، مع أن حاله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جماعة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بلاهون </w:t>
      </w:r>
      <w:r>
        <w:rPr>
          <w:rStyle w:val="FootnoteAnchor"/>
          <w:rtl w:val="true"/>
        </w:rPr>
        <w:footnoteReference w:id="205"/>
      </w:r>
      <w:r>
        <w:rPr>
          <w:rFonts w:ascii="Amiri" w:hAnsi="Amiri" w:eastAsia="Amiri" w:cs="Amiri"/>
          <w:color w:val="111111"/>
          <w:sz w:val="28"/>
          <w:sz w:val="28"/>
          <w:szCs w:val="28"/>
          <w:rtl w:val="true"/>
          <w:lang w:bidi="ar-SA"/>
        </w:rPr>
        <w:t>و آخرون بمستكبرون،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سمد فلان، إذا رفع رأسه تكبّرا، و جاء السامد بمعنى الساكت، و الهائم، و الحزين، و الخاشع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و لكن في دلالته على حرمة مطلق الغناء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الإسراء وَ اسْتَفْزِزْ مَنِ اسْتَطَعْتَ مِنْهُمْ بِصَوْتِكَ </w:t>
      </w:r>
      <w:r>
        <w:rPr>
          <w:rStyle w:val="FootnoteAnchor"/>
          <w:rtl w:val="true"/>
        </w:rPr>
        <w:footnoteReference w:id="2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 عن مجاهد أنّه فسّر الصوت بالغناء و المزامير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تعالى وَ الَّذِينَ هُمْ عَنِ اللَّغْوِ مُعْرِضُونَ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 وَ إِذٰا مَرُّوا بِاللَّغْوِ مَرُّوا كِرٰاماً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بالغناء، كما يشهد له ما رواه الصدوق، عن الحسين بن أحمد البيهقي، عن محمد بن يحيى الصولي، عن عون بن محمد الكاتب </w:t>
      </w:r>
      <w:r>
        <w:rPr>
          <w:rStyle w:val="FootnoteAnchor"/>
          <w:rtl w:val="true"/>
        </w:rPr>
        <w:footnoteReference w:id="210"/>
      </w:r>
      <w:r>
        <w:rPr>
          <w:rFonts w:ascii="Amiri" w:hAnsi="Amiri" w:eastAsia="Amiri" w:cs="Amiri"/>
          <w:color w:val="111111"/>
          <w:sz w:val="28"/>
          <w:sz w:val="28"/>
          <w:szCs w:val="28"/>
          <w:rtl w:val="true"/>
          <w:lang w:bidi="ar-SA"/>
        </w:rPr>
        <w:t>عن محمّد بن أبي عباد، و</w:t>
      </w:r>
    </w:p>
    <w:p>
      <w:pPr>
        <w:pStyle w:val="BookText"/>
        <w:rPr/>
      </w:pPr>
      <w:r>
        <w:rPr>
          <w:rFonts w:ascii="Amiri" w:hAnsi="Amiri" w:eastAsia="Amiri" w:cs="Amiri"/>
          <w:color w:val="111111"/>
          <w:sz w:val="28"/>
          <w:sz w:val="28"/>
          <w:szCs w:val="28"/>
          <w:rtl w:val="true"/>
          <w:lang w:bidi="ar-SA"/>
        </w:rPr>
        <w:t xml:space="preserve">كان مستهترا </w:t>
      </w:r>
      <w:r>
        <w:rPr>
          <w:rStyle w:val="FootnoteAnchor"/>
          <w:rtl w:val="true"/>
        </w:rPr>
        <w:footnoteReference w:id="211"/>
      </w:r>
      <w:r>
        <w:rPr>
          <w:rFonts w:ascii="Amiri" w:hAnsi="Amiri" w:eastAsia="Amiri" w:cs="Amiri"/>
          <w:color w:val="111111"/>
          <w:sz w:val="28"/>
          <w:sz w:val="28"/>
          <w:szCs w:val="28"/>
          <w:rtl w:val="true"/>
          <w:lang w:bidi="ar-SA"/>
        </w:rPr>
        <w:t>بالسماع و بشرب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السماع؟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الحجاز فيه رأي، و هو في حيّز الباطل و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وَ إِذٰا مَرُّوا بِاللَّغْوِ مَرُّوا كِرٰاماً </w:t>
      </w:r>
      <w:r>
        <w:rPr>
          <w:rStyle w:val="FootnoteAnchor"/>
          <w:rtl w:val="true"/>
        </w:rPr>
        <w:footnoteReference w:id="2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تفسير الآية الاولى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و الملاهي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عن عليّ عليه السّلام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قول ليس فيه ذكر</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و في أخرى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يتقوّل الرجل عليك بالباطل أو يأتيك بما ليس فيك</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لعب و معصية </w:t>
      </w:r>
      <w:r>
        <w:rPr>
          <w:rStyle w:val="FootnoteAnchor"/>
          <w:rtl w:val="true"/>
        </w:rPr>
        <w:footnoteReference w:id="216"/>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و ما لا يعتدّ به من كلام و غيره </w:t>
      </w:r>
      <w:r>
        <w:rPr>
          <w:rStyle w:val="FootnoteAnchor"/>
          <w:rtl w:val="true"/>
        </w:rPr>
        <w:footnoteReference w:id="217"/>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بالمطرح من القول و ما لا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تدلّ الايتان عليه تحريم الغناء المقترن بما لا يرضى، لا مطلق الغناء،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اللغو، لو سلّم إطلاقه على غير القول كالصوت أيضا، كما يظهر من القاموس </w:t>
      </w:r>
      <w:r>
        <w:rPr>
          <w:rStyle w:val="FootnoteAnchor"/>
          <w:rtl w:val="true"/>
        </w:rPr>
        <w:footnoteReference w:id="218"/>
      </w:r>
      <w:r>
        <w:rPr>
          <w:rFonts w:ascii="Amiri" w:hAnsi="Amiri" w:eastAsia="Amiri" w:cs="Amiri"/>
          <w:color w:val="111111"/>
          <w:sz w:val="28"/>
          <w:sz w:val="28"/>
          <w:szCs w:val="28"/>
          <w:rtl w:val="true"/>
          <w:lang w:bidi="ar-SA"/>
        </w:rPr>
        <w:t>فلا نسلّم إطلاقه على الكلمات الحقّة بسبب اشتمال الأصوات المطربة عليها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ترى أنّ عاقلا يرضى بأن يطلق على مثل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القول الفصل و ما هو بالهزل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الترجيع المطرب؟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خصّصنا اللغو بالقول، كما يظهر من الروايتين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الأثيرية </w:t>
      </w:r>
      <w:r>
        <w:rPr>
          <w:rStyle w:val="FootnoteAnchor"/>
          <w:rtl w:val="true"/>
        </w:rPr>
        <w:footnoteReference w:id="219"/>
      </w:r>
      <w:r>
        <w:rPr>
          <w:rFonts w:ascii="Amiri" w:hAnsi="Amiri" w:eastAsia="Amiri" w:cs="Amiri"/>
          <w:color w:val="111111"/>
          <w:sz w:val="28"/>
          <w:sz w:val="28"/>
          <w:szCs w:val="28"/>
          <w:rtl w:val="true"/>
          <w:lang w:bidi="ar-SA"/>
        </w:rPr>
        <w:t xml:space="preserve">فالأمر أوضح، فإنّ الصوت من حيث هو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 و الحقّ من القول بسببه لا يصير لغوا باطلا،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يستفاد من سير الصحابة و آثارهم أنّهم كانوا يحترزون عن سماع الغناء، و ما كان ذلك إلّا لما عهدوه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عثمان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تغنيت و ما تمنيّت و لا مسست ذكري بيميني مذ بايعت بها رسول اللّه صلّى اللّه عليه و آله و سلّم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حكي أنّه مرّ على ابن عمر قوم محرمون، و فيهم رجل يتغنّى،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لا سمع اللّه لكم، ألا، لا سمع اللّه لكم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عمر في طريق، فسمع زمّارة </w:t>
      </w:r>
      <w:r>
        <w:rPr>
          <w:rStyle w:val="FootnoteAnchor"/>
          <w:rtl w:val="true"/>
        </w:rPr>
        <w:footnoteReference w:id="222"/>
      </w:r>
      <w:r>
        <w:rPr>
          <w:rFonts w:ascii="Amiri" w:hAnsi="Amiri" w:eastAsia="Amiri" w:cs="Amiri"/>
          <w:color w:val="111111"/>
          <w:sz w:val="28"/>
          <w:sz w:val="28"/>
          <w:szCs w:val="28"/>
          <w:rtl w:val="true"/>
          <w:lang w:bidi="ar-SA"/>
        </w:rPr>
        <w:t>راع، فوضع إصبعيه في أذنيه، ثمّ عدل عن الطريق، فلم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 أ تسمع ذلك؟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فأخرج إصبعيه،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رأيت رسول اللّه صلّى اللّه عليه و آله و سلّم صنع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ينبت في القلب النفاق كما ينبت الماء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رقية الزنا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العارفين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تطلب لما أهمله الرسول اللّه صلّى اللّه عليه و آله و سلّم و أصحابه، فمن يشير بأنّه فضيلة تطلب و يجتمع لها، لم يحظ بذوق</w:t>
      </w:r>
    </w:p>
    <w:p>
      <w:pPr>
        <w:pStyle w:val="BookText"/>
        <w:rPr/>
      </w:pPr>
      <w:r>
        <w:rPr>
          <w:rFonts w:ascii="Amiri" w:hAnsi="Amiri" w:eastAsia="Amiri" w:cs="Amiri"/>
          <w:color w:val="111111"/>
          <w:sz w:val="28"/>
          <w:sz w:val="28"/>
          <w:szCs w:val="28"/>
          <w:rtl w:val="true"/>
          <w:lang w:bidi="ar-SA"/>
        </w:rPr>
        <w:t>معرفة أحوال رسول اللّه صلّى اللّه عليه و آله و سلّم و أصحابه، و التابعين، و استروح إلى استحسان بعض المتأخّرين، و كثيرا ما يغلط الناس في هذا، و كلّما احتجّ عليهم بالسلف الماضين يحتجّون بالمتأخّرين، و كان السلف أقرب إلى عهد رسول اللّه و هديهم أشبه بهدي رسول اللّه صلّى اللّه عليه و آله 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الاستدلال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أفعال أمثال عثمان و ابن عمر و أقوالهم ليست بالمعوّل عليها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لم يعلم أنّ احترازهم كان عن أيّ نوع من الغناء، بل الظاهر اختصاصه بما كان مقترنا بالملاهي كما يكشف عنه زمّارة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كانوا مواظبين على فعل المستحبّات و ترك المكروهات اهتماما بكونهم على سنّة رسول اللّه صلّى اللّه عليه و آله و سلّم و لذا سمّى من تبعهم أنفسهم بأهل السّنة، و إن اعترف بعضهم بأن هذه التسمية من قبيل التسمية بالضدّ، فاحترازهم لا يتعيّن كونه للحرمة أو لخصوصية الصوت المطرب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سمع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التحريم من حيث إنه غناء، بل كانوا محرمين و لا يليق بهم الرفث، و ظهر له من مخايلهم أنّ سماعهم لم يكن لوجد و شوق إلى زيارة بيت اللّه، بل لمجرّد اللهو، فأنكر ذلك عليهم لكونه منكرا بالإضافة إلى حالهم و حال الإحرام، و حكايات الأحوال تكثر فيها وجوه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وضع إصبعيه في أذنيه فيعارضه أنه لم يأمر نافعا بذلك و لا أنكر عليه سماعه، و إنّما فعل ذلك هو لأن ينزّه سمعه في الحال، و قلبه، عن صوت ربما يحرّك اللهو، و يمنعه عن فكر كان فيه أو ذكر هو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فعل رسول اللّه صلّى اللّه عليه و آله و سلّم مع أنه لم يمنع ابن عمر لا يدلّ أيضا على التحريم، بل يدل على أن الأولى تركه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نرى أنّ الأولى تركه في أكثر الأحوال، بل أكثر مباحات الدنيا الأولى تركها إذا</w:t>
      </w:r>
    </w:p>
    <w:p>
      <w:pPr>
        <w:pStyle w:val="BookText"/>
        <w:rPr/>
      </w:pPr>
      <w:r>
        <w:rPr>
          <w:rFonts w:ascii="Amiri" w:hAnsi="Amiri" w:eastAsia="Amiri" w:cs="Amiri"/>
          <w:color w:val="111111"/>
          <w:sz w:val="28"/>
          <w:sz w:val="28"/>
          <w:szCs w:val="28"/>
          <w:rtl w:val="true"/>
          <w:lang w:bidi="ar-SA"/>
        </w:rPr>
        <w:t xml:space="preserve">علم أنّ ذلك </w:t>
      </w:r>
      <w:r>
        <w:rPr>
          <w:rStyle w:val="FootnoteAnchor"/>
          <w:rtl w:val="true"/>
        </w:rPr>
        <w:footnoteReference w:id="225"/>
      </w:r>
      <w:r>
        <w:rPr>
          <w:rFonts w:ascii="Amiri" w:hAnsi="Amiri" w:eastAsia="Amiri" w:cs="Amiri"/>
          <w:color w:val="111111"/>
          <w:sz w:val="28"/>
          <w:sz w:val="28"/>
          <w:szCs w:val="28"/>
          <w:rtl w:val="true"/>
          <w:lang w:bidi="ar-SA"/>
        </w:rPr>
        <w:t xml:space="preserve">يؤثّر في القلب، انتهى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كلّه معارض بما دلّ على الجواز، فيجب حمله على ما لا ينافيه، 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الغزالي عن عقبة بن عامر بن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يلهو به الرجل فهو باطل إلّا تأديبه فرسه و رميه بقوسه و ملاعبته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اعترض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طرق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دفعه بأن مضمونه مرويّ من طرقنا أيضا، ففي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لهو المؤمن باطل ما خلا ثلاثة المسابقة و ملاعبة الرجل أهله</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التحريم، بل يدل على عدم الفائدة، قاله الغزالي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الباطل هو ضدّ الحق كما في القاموس </w:t>
      </w:r>
      <w:r>
        <w:rPr>
          <w:rStyle w:val="FootnoteAnchor"/>
          <w:rtl w:val="true"/>
        </w:rPr>
        <w:footnoteReference w:id="230"/>
      </w:r>
      <w:r>
        <w:rPr>
          <w:rFonts w:ascii="Amiri" w:hAnsi="Amiri" w:eastAsia="Amiri" w:cs="Amiri"/>
          <w:color w:val="111111"/>
          <w:sz w:val="28"/>
          <w:sz w:val="28"/>
          <w:szCs w:val="28"/>
          <w:rtl w:val="true"/>
          <w:lang w:bidi="ar-SA"/>
        </w:rPr>
        <w:t>و غيره، فالمباح لا يخبر عنه بالباطل، و من هنا ورد في جملة من الأخبار أنّ الشطرنج و نحوه من الباطل، ففي رواية يعقوب بن يزيد عن بعض أصحابنا قال سألت أبا عبد اللّه عليه السّلام عن اللعب بالشطرنج؟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الشطرنج من الباطل</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الأشياء التي يلعب بها الناس و النرد و الشطرنج؟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ميزّ اللّه الحقّ من </w:t>
      </w:r>
      <w:r>
        <w:rPr>
          <w:rStyle w:val="FootnoteAnchor"/>
          <w:rtl w:val="true"/>
        </w:rPr>
        <w:footnoteReference w:id="232"/>
      </w:r>
      <w:r>
        <w:rPr>
          <w:rFonts w:ascii="Amiri" w:hAnsi="Amiri" w:eastAsia="Amiri" w:cs="Amiri"/>
          <w:color w:val="111111"/>
          <w:sz w:val="28"/>
          <w:sz w:val="28"/>
          <w:szCs w:val="28"/>
          <w:rtl w:val="true"/>
          <w:lang w:bidi="ar-SA"/>
        </w:rPr>
        <w:t>الباطل مع أيّهما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بالك و للباطل؟</w:t>
      </w:r>
      <w:r>
        <w:rPr>
          <w:rFonts w:eastAsia="Amiri" w:cs="Amiri" w:ascii="Amiri" w:hAnsi="Amiri"/>
          <w:color w:val="111111"/>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يؤيّد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الباطل على الحرام موجب لتخصيص الأكثر، فإنّ التفرج في البساتين و سماع أصوات الطيور و كثيرا من أنواع المداعبات و المزاحات و نحوها مما يلهو به الرجل لا يحكم عليها بالحرمة، و إن وصفت بكونها باطلة بمعنى خلوّها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غايته الدلالة على حرمة الغناء إذا كان على وجه التلهي و المدّعى حرمته مطلقا،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اللهو في هذا الخبر هو اللعب، و هو مطلق الحركات التي لا يتعلّق بها غرض عقلائي، مع انبعاثها عن القوى الشهويّة و تلذّذ النفس بها، و إن فرّق بعضهم بينهما بالتعميم في اللعب، كما في أفعال الأطفال و المجانين غير المنبعثة عن القوى الشهوية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يناسب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ممّا يلعب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 جملة هذه الحركات، ألا تراهم لا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يلعب بالغناء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 بالحمام أو بالشطرنج أو بالنرد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 إن كان يطلق عليه اللهو، و لكن لا يطلق عليه أنه من آلاته حتى يندرج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يلهو به الرجل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الكبائر الاشتغال بالملاهي التي تصدّ عن ذكر اللّه</w:t>
      </w:r>
    </w:p>
    <w:p>
      <w:pPr>
        <w:pStyle w:val="BookText"/>
        <w:rPr/>
      </w:pPr>
      <w:r>
        <w:rPr>
          <w:rFonts w:ascii="Amiri" w:hAnsi="Amiri" w:eastAsia="Amiri" w:cs="Amiri"/>
          <w:color w:val="111111"/>
          <w:sz w:val="28"/>
          <w:sz w:val="28"/>
          <w:szCs w:val="28"/>
          <w:rtl w:val="true"/>
          <w:lang w:bidi="ar-SA"/>
        </w:rPr>
        <w:t>كالغناء و ضرب الأوتار</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فيستفاد منه كونه من آلات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يتمّ لو جعلنا الملاهي جمعا للملهاة بكسر الميم أي آلة اللهو، و أمّا لو جعلناه جمعا للملهى بفتحها مصدرا ميميا بمعنى اللهو أو الملهي بضمها اسم فاعل من ألهى، فلا دلالة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ضرب الأوتار ليس من آلات اللهو، لأنه فعل الملهي لا آلته، و إنّما الآلة هي نفس الأوتار فالتمثيل به و بالغناء مناسب للفعل أو الفاعل لا الآلة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باللهو، إن كان مطلق اللعب فلا قائل بحرمته سوى محمد بن إدريس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شيخنا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تقبل شهادة من يلعب بالحمام </w:t>
      </w:r>
      <w:r>
        <w:rPr>
          <w:rStyle w:val="FootnoteAnchor"/>
          <w:rtl w:val="true"/>
        </w:rPr>
        <w:footnoteReference w:id="235"/>
      </w:r>
      <w:r>
        <w:rPr>
          <w:rFonts w:ascii="Amiri" w:hAnsi="Amiri" w:eastAsia="Amiri" w:cs="Amiri"/>
          <w:color w:val="111111"/>
          <w:sz w:val="28"/>
          <w:sz w:val="28"/>
          <w:szCs w:val="28"/>
          <w:rtl w:val="true"/>
          <w:lang w:bidi="ar-SA"/>
        </w:rPr>
        <w:t xml:space="preserve">غير واضح، لأنه سمّاه لاعبا، و اللعب بجميع الأشياء قبيح، فقد صار فاسقا بلعبه، فكيف تقبل شهادته؟ و إنّما أورد لفظ الحديث إيرادا لا اعتقادا </w:t>
      </w:r>
      <w:r>
        <w:rPr>
          <w:rStyle w:val="FootnoteAnchor"/>
          <w:rtl w:val="true"/>
        </w:rPr>
        <w:footnoteReference w:id="23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نفى عنه البعد سيّد فقهائنا المتأخرين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شذوذه بحيث كاد أن يكون مخالفا للإجماع </w:t>
      </w:r>
      <w:r>
        <w:rPr>
          <w:rStyle w:val="FootnoteAnchor"/>
          <w:rtl w:val="true"/>
        </w:rPr>
        <w:footnoteReference w:id="237"/>
      </w:r>
      <w:r>
        <w:rPr>
          <w:rFonts w:ascii="Amiri" w:hAnsi="Amiri" w:eastAsia="Amiri" w:cs="Amiri"/>
          <w:color w:val="111111"/>
          <w:sz w:val="28"/>
          <w:sz w:val="28"/>
          <w:szCs w:val="28"/>
          <w:rtl w:val="true"/>
          <w:lang w:bidi="ar-SA"/>
        </w:rPr>
        <w:t>بل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القول مخالف للسيرة الفعلية المستمرّة بين المسلمين من الأوائل و الأواخر، و لم نقف فيهم من خواصّهم و عوامهم على من أنكر على اللاعب بغير الآلات المعهودة المحرّمة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الرواية من أخبار الآحاد الشاذّة، فلا تكون حجّة، لما تقرّر في محلّه من أنّ العمل بها من شرائطها </w:t>
      </w:r>
      <w:r>
        <w:rPr>
          <w:rStyle w:val="FootnoteAnchor"/>
          <w:rtl w:val="true"/>
        </w:rPr>
        <w:footnoteReference w:id="238"/>
      </w:r>
      <w:r>
        <w:rPr>
          <w:rFonts w:ascii="Amiri" w:hAnsi="Amiri" w:eastAsia="Amiri" w:cs="Amiri"/>
          <w:color w:val="111111"/>
          <w:sz w:val="28"/>
          <w:sz w:val="28"/>
          <w:szCs w:val="28"/>
          <w:rtl w:val="true"/>
          <w:lang w:bidi="ar-SA"/>
        </w:rPr>
        <w:t>أن لا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أريد به مطلق الغفلة عن ذكر اللّه، لأنّ التكليف بوجوب ذكره على كلّ حال كما يراه أهل الحال عسر شديد يضيق به الحال، و ما دلّ بظاهره عليه من الكتاب و السنة مأوّل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أريد به مطلق ما لا فائدة فيه ممّا يسمّى لغوا، إذ لا دليل على حرمته، و إن قلنا بكراهته، نعم في بعض الروايات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بشرب الخمر و اللعب بالقمار و تعاطي ما يضحك الناس من اللغو و المزاح و ذكر عيوب الناس، انتهى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بعضها أنّ النبيّ صلّى اللّه عليه و آله و سلّم قال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الرجل ليتكلّم بالكلمة فيضحك بالناس، فيهوى ما بين السماء و الأرض</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ما يقترن بالمحرّم من السخرية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أريد به مطلق التلذذ للإجماع على إباحة كثير من التلذّذات خارج عن الثلاثة، و لو أريد به اللهو المقترن بالمعصية فلا وجه لاستثناء الثلاثة، لكونه فرع الدخول و هي خارجة قطعا،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كلام في حرمة الغناء إذا كان بهذه المثابة، نعم يمكن حمله على اللهو المقترن بشدّة الفرح الموجب للرقص و التصفيق و حركة الأعضاء على النحو المتعارف بين الأراذل من الفسّاق، و المتصنع المعروف عند الصوفية المصرّح بذمّة في جملة من الأخبار، فقد صرح بحرمته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بعض مشايخنا من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خصّ اللهو بما يكون عن بطر، و فسّر بشدة الفرح، كان الأقوى تحريمه، و يدخل في ذلك الرقص و التصفيق و الضرب بالطست بدل الدفّ و كلّ ما يفيد فائدة آلات اللهو</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أيّده </w:t>
      </w:r>
      <w:r>
        <w:rPr>
          <w:rStyle w:val="FootnoteAnchor"/>
          <w:rtl w:val="true"/>
        </w:rPr>
        <w:footnoteReference w:id="241"/>
      </w:r>
      <w:r>
        <w:rPr>
          <w:rFonts w:ascii="Amiri" w:hAnsi="Amiri" w:eastAsia="Amiri" w:cs="Amiri"/>
          <w:color w:val="111111"/>
          <w:sz w:val="28"/>
          <w:sz w:val="28"/>
          <w:szCs w:val="28"/>
          <w:rtl w:val="true"/>
          <w:lang w:bidi="ar-SA"/>
        </w:rPr>
        <w:t>بأنّ حرمة اللعب بآلات اللهو، الظاهر أنّها من حيث اللهو، لا من حيث خصوص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عن سلمان بن سماعة، عن عبد اللّه بن القاسم، عن سماعة، قال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آدم شمت به إبليس و قابيل فاجتمعا في الأرض فجعل إبليس و قابيل المعازف و الملاهي شماتة بآدم فكلّ ما كان في الأرض من هذا الضرب الّذي يتلذّذ به الناس فإنّما هو من ذلك</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انتهى و زاد الشيخ المشار اليه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الزفن و المزمار و الكومات و المكبرات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اشتباه، فإنّه في حديث السكونيّ عنه عليه السّلام قال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أنهاكم عن الزفن و المزمار</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الزفن بالزاء المعجمة بعدها الفاء 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 حرمة شدّة الفرح، المجرّدة عن هذه الحركات،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قولهم بتحريم اللهو بالصيد؟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ما لم يكن لحاجة أو تجارة، و التحريم لأخبار خاصّة لا لعموم أخبار اللهو،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حرمة المسابقة على ما عدا المنصوص بغير عوض، و الظاهر أنّه لا وجه له عدا كونه لهوا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على أن في كون الغناء مطلقا لهوا ما لا يخفى، فليتأمّل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ورد من الأخبار الخاصّة من طرق العامة و الخاصة بذمّ الغناء فهي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 آله و سلّم من طرق العامّة مثل ما رواه الغزّالي و غيره عن جابر عنه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إبليس أوّل من ناح و أوّل من 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جمع بين النياحة و الغناء، فكما يحرم الأول يحرم الثاني </w:t>
      </w:r>
      <w:r>
        <w:rPr>
          <w:rStyle w:val="FootnoteAnchor"/>
          <w:rtl w:val="true"/>
        </w:rPr>
        <w:footnoteReference w:id="2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ورد عن أبي أمامة عنه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أحد صوته بغناء إلّا بعث اللّه له شيطانين على منكبيه يضربان بأعقابهما على صدره حتى يمسك</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و رواه في جامع الاخبار أيضا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رووه عن عبد الرحمن بن عوف عنه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نهيت عن صوتين فاجرين صوت عند نغمة و صوت عند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رفعه بعضهم اليه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ينبت في القلب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الإحياء أنه قول ابن مسعود، و أن إسناده إليه غير صحيح </w:t>
      </w:r>
      <w:r>
        <w:rPr>
          <w:rStyle w:val="FootnoteAnchor"/>
          <w:rtl w:val="true"/>
        </w:rPr>
        <w:footnoteReference w:id="24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بطرقهم عنه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ملأ مسامعه من غناء لم يؤذن له أن يسمع صوت الروحانيين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 ما الروحانيون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 أهل الجنة</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ضعف الإسناد مانع من الاستناد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 ما روي عنه صلّى اللّه عليه و آله و سلّم من طرق الخاصة مثل ما رواه العياشي في تفسيره عن جابر بن عبد اللّه، 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إبليس أوّل من تغنّى و أوّل من ناح لمّا أكل آدم من الشجرة تغنّى، فلمّا هبطت حوّاء إلى الأرض ناح لذكره ما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صاحب الغناء من قبره أعمى و أخرس</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في العيون بسنده إلى الرضا عليه السّلام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عليكم استخفافا بالدين، و بيع الحكم، و قطيعة الرحم، و أن تتّخذوا القرآن مزامير، تقدّمون أحدكم و ليس بأفضلكم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53"/>
      </w:r>
      <w:r>
        <w:rPr>
          <w:rFonts w:ascii="Amiri" w:hAnsi="Amiri" w:eastAsia="Amiri" w:cs="Amiri"/>
          <w:color w:val="111111"/>
          <w:sz w:val="28"/>
          <w:sz w:val="28"/>
          <w:szCs w:val="28"/>
          <w:rtl w:val="true"/>
          <w:lang w:bidi="ar-SA"/>
        </w:rPr>
        <w:t>فإنّ اتخاذ القرآن مزامير كناية عن التغنّي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سندا، قاصرة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ما روي عن أئمتنا المعصومين صلوات اللّه عليهم أجمعين و هو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ذمّ الغناء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ما رواه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الحسين بن سعيد، عن إبراهيم بن أبي البلاد، عن زيد الشحّام،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الغناء لا تؤمن فيه الفجيعة و لا تجاب فيه الدعوة و لا يدخله الملك</w:t>
      </w:r>
      <w:r>
        <w:rPr>
          <w:rFonts w:eastAsia="Amiri" w:cs="Amiri" w:ascii="Amiri" w:hAnsi="Amiri"/>
          <w:color w:val="111111"/>
          <w:sz w:val="28"/>
          <w:szCs w:val="28"/>
          <w:rtl w:val="true"/>
          <w:lang w:bidi="ar-SA"/>
        </w:rPr>
        <w:t xml:space="preserve">» </w:t>
      </w:r>
      <w:r>
        <w:rPr>
          <w:rStyle w:val="FootnoteAnchor"/>
          <w:rtl w:val="true"/>
        </w:rPr>
        <w:footnoteReference w:id="2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عنه أيضا عن أحمد بن محمد، عن ابن فضّال، عن يونس بن يعقوب، عن عبد الأعلى قال سألت أبا عبد اللّه عليه السّلام 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w:t>
      </w:r>
    </w:p>
    <w:p>
      <w:pPr>
        <w:pStyle w:val="BookText"/>
        <w:rPr/>
      </w:pPr>
      <w:r>
        <w:rPr>
          <w:rFonts w:ascii="Amiri" w:hAnsi="Amiri" w:eastAsia="Amiri" w:cs="Amiri"/>
          <w:color w:val="111111"/>
          <w:sz w:val="28"/>
          <w:sz w:val="28"/>
          <w:szCs w:val="28"/>
          <w:rtl w:val="true"/>
          <w:lang w:bidi="ar-SA"/>
        </w:rPr>
        <w:t>رسول اللّه صلّى اللّه عليه و آله و سلّم رخّص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جئناكم جئناكم، حيّونا حيّونا نحييكم </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إنّ اللّه يقول وَ مٰا خَلَقْنَا السَّمٰاءَ وَ الْأَرْضَ وَ مٰا بَيْنَهُمٰا لٰاعِبِينَ لَوْ أَرَدْنٰا أَنْ نَتَّخِذَ لَهْواً لَاتَّخَذْنٰاهُ مِنْ لَدُنّٰا إِنْ كُنّٰا فٰاعِلِينَ بَلْ نَقْذِفُ بِالْحَقِّ عَلَى الْبٰاطِلِ فَيَدْمَغُهُ فَإِذٰا هُوَ زٰاهِقٌ وَ لَكُمُ الْوَيْلُ مِمّٰا تَصِفُونَ </w:t>
      </w:r>
      <w:r>
        <w:rPr>
          <w:rStyle w:val="FootnoteAnchor"/>
          <w:rtl w:val="true"/>
        </w:rPr>
        <w:footnoteReference w:id="25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لفلان مما يصف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منكم لم يحضر المجلس</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قدرتنا، فإنّا قادرون على ذلك، ثمّ استعار لذلك القذف و الدمغ تصويرا لإبطاله و إهداره و محقة، فجعله كأنّه جرم صلب كالصخرة، مثلا، قذف به على جرم رخو أجوف فدمغه </w:t>
      </w:r>
      <w:r>
        <w:rPr>
          <w:rStyle w:val="FootnoteAnchor"/>
          <w:rtl w:val="true"/>
        </w:rPr>
        <w:footnoteReference w:id="25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عنه أيضا عن أحمد بن محمد، عن محمّد بن سنان، 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قد عرف الموضع،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كنت مررت بفلان فدخلت إلى داره و نظرت إلى جواريه،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مجلس لا ينظر اللّه إلى أهله، آمنت اللّه على أهلك و مالك</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تصريح فيه بالغناء، لكن فهم الكليني منه ذلك فأورده في باب الغناء، و قرينته أنّه لا وجه للتهديد لولاه، لأنّ النظر إلى الجواري بإذن سيّدهنّ جائز، و قد أذن للراوي </w:t>
      </w:r>
      <w:r>
        <w:rPr>
          <w:rStyle w:val="FootnoteAnchor"/>
          <w:rtl w:val="true"/>
        </w:rPr>
        <w:footnoteReference w:id="260"/>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 علي بن إبراهيم، عن أبيه، عن ابن محبوب، عن عنبسة،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استماع اللهو و الغناء ينبت النفاق كما ينبت الماء الزرع</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عن عدّة من أصحابنا، عن سهل بن إبراهيم بن محمّد المدني، عمّن ذكره،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الغناء و أنا حاضر؟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تدخلوا بيوتا اللّه معرض عن أهلها</w:t>
      </w:r>
      <w:r>
        <w:rPr>
          <w:rFonts w:eastAsia="Amiri" w:cs="Amiri" w:ascii="Amiri" w:hAnsi="Amiri"/>
          <w:color w:val="111111"/>
          <w:sz w:val="28"/>
          <w:szCs w:val="28"/>
          <w:rtl w:val="true"/>
          <w:lang w:bidi="ar-SA"/>
        </w:rPr>
        <w:t xml:space="preserve">» </w:t>
      </w:r>
      <w:r>
        <w:rPr>
          <w:rStyle w:val="FootnoteAnchor"/>
          <w:rtl w:val="true"/>
        </w:rPr>
        <w:footnoteReference w:id="26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عنهم أيضا عن سهل، عن علي بن الريّان،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الغناء،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العبّاسيّ ذكر عنك أنّك ترخّص في الغناء؟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الزنديق، ما هكذا قلت له، سألني عن الغناء؟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 عليه السّلام فسأله عن الغناء؟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إذا ميّز اللّه بين الحقّ و الباطل، فأين يكون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حكمت</w:t>
      </w:r>
      <w:r>
        <w:rPr>
          <w:rFonts w:eastAsia="Amiri" w:cs="Amiri" w:ascii="Amiri" w:hAnsi="Amiri"/>
          <w:color w:val="111111"/>
          <w:sz w:val="28"/>
          <w:szCs w:val="28"/>
          <w:rtl w:val="true"/>
          <w:lang w:bidi="ar-SA"/>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انتهى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عنهم أيضا عن سهل، عن ميسر،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نزّه نفسه عن الغناء فانّ في الجنة شجرة يأمر اللّه الرياح أن يحرّكها فيسمع منها صوتا لم يسمع مثله و من لم يتنزّه عنه لم يسمعه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الأصوات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عن يعقوب بن يزيد، عن ابن أبي عمير، عن مهران بن محمد،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يورث النفاق و يعقّب الفقر</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غرضه كلّه أنّ يعرض نفسه على غيره، و يروّج صوته عليه، و لا يزال ينافق و يتودّد إلى الناس ليرغبوا في غنائه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العياشيّ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أطيل القعود في المخرج لأسمع غناء بعض الجيران،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السَّمْعَ وَ الْبَصَرَ وَ الْفُؤٰادَ كُلُّ أُولٰئِكَ كٰانَ عَنْهُ مَسْؤُلًا السمع ما وعى، و البصر ما رأى، و الفؤاد ما عقد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يتعمّد الغناء يجلس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عن ضعف أكثرها سندا، و قصور جملة منها دلالة على التحريم، و عدم دلالة بعضها إلّا على حرمة ما لا كلام في حرمته، و عدم ارتباط بعضها بما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فيها لفظ عامّ يشمل جميع أفراد الغناء و أنواعه، لعدم وضع المفرد المعرّف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أفاده من حيث الحكمة كما في أَحَلَّ اللّٰهُ الْبَيْعَ وَ حَرَّمَ الرِّبٰا و لكنّه مشروط بالتواطي، و هو مفقود فيما نحن فيه، لما عرفت أنّ المتعارف الشائع في زمن صدور هذه الأخبار و قبله، كما في هذه الأعصر، استعمال نوع خاصّ من الغناء، و هو الصوت المقترن بالملاهي الذي يستعمله الفسّاق في مجالسهم، فيجب حمل المطلق على خصوص هذا النوع المتبادر منه، لما بيّناه في المقدّمة الثالثة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شيوع فرد المطلق من الأمارات الموجبة للظنّ بإرادة المتكلّم ذلك الفرد خاصّة منه، سواء قلنا بصيرورته معنى حقيقيّا عرفيّا، أو بكونه فردا شائعا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هذا ينظر ما ذكره الغزّالي من أن قول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 رقية الزنا، و كذلك ما عداه من</w:t>
      </w:r>
    </w:p>
    <w:p>
      <w:pPr>
        <w:pStyle w:val="BookText"/>
        <w:rPr/>
      </w:pPr>
      <w:r>
        <w:rPr>
          <w:rFonts w:ascii="Amiri" w:hAnsi="Amiri" w:eastAsia="Amiri" w:cs="Amiri"/>
          <w:color w:val="111111"/>
          <w:sz w:val="28"/>
          <w:sz w:val="28"/>
          <w:szCs w:val="28"/>
          <w:rtl w:val="true"/>
          <w:lang w:bidi="ar-SA"/>
        </w:rPr>
        <w:t xml:space="preserve">الأقاويل القريبة منه، فهو منزّل على سماع الفسّاق و المغتلمين </w:t>
      </w:r>
      <w:r>
        <w:rPr>
          <w:rStyle w:val="FootnoteAnchor"/>
          <w:rtl w:val="true"/>
        </w:rPr>
        <w:footnoteReference w:id="270"/>
      </w:r>
      <w:r>
        <w:rPr>
          <w:rFonts w:ascii="Amiri" w:hAnsi="Amiri" w:eastAsia="Amiri" w:cs="Amiri"/>
          <w:color w:val="111111"/>
          <w:sz w:val="28"/>
          <w:sz w:val="28"/>
          <w:szCs w:val="28"/>
          <w:rtl w:val="true"/>
          <w:lang w:bidi="ar-SA"/>
        </w:rPr>
        <w:t xml:space="preserve">من الشبّان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ذكره في الكلام على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رفع أحد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من أنّه منزّل على بعض أنواع الغناء الذي قدّمناه و هو الذي يحرّك من القلب ما هو مراد الشيطان من الشهوة و عشق المخلوقين، فأمّا ما يحرّك الشوق الى اللّه، أو السرور بالعيد، أو حدوث الولد، أو قدوم الغائب، فهذا كلّه يضادّ مراد الشيطان </w:t>
      </w:r>
      <w:r>
        <w:rPr>
          <w:rStyle w:val="FootnoteAnchor"/>
          <w:rtl w:val="true"/>
        </w:rPr>
        <w:footnoteReference w:id="27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غاية ما في الباب الشكّ في شمول هذه الروايات لغير الصوت اللهويّ بنفسه أو باقترانه بالملاهي، فيبقى على حكم 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لو كان الصوت كذلك، فإنّه محرّم قطعا، يشمله هذه الأخبار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العامة أيضا من صرح بذلك، مع تجويزه السماع مطلقا،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كان ذلك الصوت من أمرد يخشى بالنظر إليه الفتنة، أو من امرأة غير محرم، و إن وجد من الأذكار و الأفكار ما ذكرنا، يحرم سماعه، لخوف الفتنة، لا لمجرد الصوت، و لكن يجعل السماع حريم الفتنة، و لكل حرام حريم ينسحب عليه حكم المنع، لوجه المصلحة كالقبلة للشابّ الصائم حيث جعلت حريم حرام الوقاع، و كالخلوة بالأجنبية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قد تقتضي المصلحة المنع من السماع إذا علم حال السامع و ما يؤدّيه إليه سماعه، فيجعل المنع حريم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فتأمل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من حمل الغناء في هذه الأخبار على ما يسمّى في العرف غناء، مراده ما ذكرناه من الصوت اللهويّ، و إلّا فلا إجمال فيه بعد ظهوره فيما ذكرناه، حتى يحكم فيه العرف، سيّما مع عدم انضباطه،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بذم المغنيّات و النهي عن بيعهنّ و شرائهنّ و التصرّف في أثمانهنّ مثل ما رواه الصدوق عن محمد بن الحسن، عن الصفّار، عن الحسن بن علي الكوفيّ، عن إسحاق بن إبراهيم، عن نضر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المنجم ملعون، و الكاهن ملعون، و الساحر ملعون، و المغنية ملعونة و من آواها ملعون، و آكل كسبها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زياد،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المغنية؟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تكون للرجل الجارية تلهيه و ما ثمنها إلّا ثمن كلب، و ثمن الكلب سحت و السحت في النار</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عنهم، عن سهل، و عن علي بن إبراهيم، عن أبيه، جميعا عن ابن فضّال، عن سعيد بن محمد الطاطريّ،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الجواري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شراؤهنّ و بيعهن حرام، و تعليمهنّ كفر، و استماعهن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عن محمد بن يحيى، عن بعض أصحابه، عن محمّد بن إسماعيل،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إسحاق بن عمر بجوار له مغنّيات أن نبيعهنّ و نحمل ثمنهنّ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الجواري بثلاثمائة ألف درهم، و حملت الثمن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لك يقال له إسحاق بن عمر أوصى عند وفاته ببيع جوار له مغنّيات، و حمل الثمن إليك، و قد بعتهنّ و هذا الثمن ثلاثماءة ألف درهم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 إنّ هذا سحت، و تعليمهنّ كفر، و الاستماع منهن نفاق</w:t>
      </w:r>
    </w:p>
    <w:p>
      <w:pPr>
        <w:pStyle w:val="BookText"/>
        <w:rPr/>
      </w:pPr>
      <w:r>
        <w:rPr>
          <w:rFonts w:ascii="IRNazanin" w:hAnsi="IRNazanin" w:eastAsia="IRNazanin"/>
          <w:color w:val="111111"/>
          <w:sz w:val="28"/>
          <w:sz w:val="28"/>
          <w:szCs w:val="28"/>
          <w:rtl w:val="true"/>
          <w:lang w:bidi="fa-IR"/>
        </w:rPr>
        <w:t>و ثمنهنّ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عبد اللّه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عن إبراهيم بن أبي البلاد، قال 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مواليك عنده جوار مغنّيات قيمتهنّ أربعة عشر ألف دينار، و قد جعل لك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فيها إن ثمن الكلب و المغنية سحت</w:t>
      </w:r>
      <w:r>
        <w:rPr>
          <w:rFonts w:eastAsia="Amiri" w:cs="Amiri" w:ascii="Amiri" w:hAnsi="Amiri"/>
          <w:color w:val="111111"/>
          <w:sz w:val="28"/>
          <w:szCs w:val="28"/>
          <w:rtl w:val="true"/>
          <w:lang w:bidi="ar-SA"/>
        </w:rPr>
        <w:t xml:space="preserve">» </w:t>
      </w:r>
      <w:r>
        <w:rPr>
          <w:rStyle w:val="FootnoteAnchor"/>
          <w:rtl w:val="true"/>
        </w:rPr>
        <w:footnoteReference w:id="2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في التوقيع عن الصاحب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ثمن المغنيّة حرام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الغناء مباحا لما حرم البيع و الشراء و التصرّف في الثمن، و لما جاز إطلاق الملعونة على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معارضة هذه الأخبار مع ما دلّ على جواز شراء المغنيّة و بيعها،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ظاهرة في المغنيّات اللائي كنّ يحضرن في مجالس الأجانب، و يتغنيّن بألحان الفسوق و الفجور لجذب الرجال إلى أنفسهنّ، بل ربما يدّعى صراحة بعضها في أن المراد بالمغنية من تتغنّى بالألحان و النغمات الملهية التي تزيّنها التصدية و ضرب الدفوف و العيدان و البرابط، كما كان الشائع في زمن الجاهلية و بعد ظهور الإسلام، و قد كانوا يضعون على المغنيّات جزية معيّنة، و كان شغلهنّ من الصباح إلى الرواح التغنّي بهذه الأصوات، و استعمال آلات اللهو لجذب الفسّاق إلى أنفسهنّ، و تحصيل ما قرّر عليهن سادتهنّ </w:t>
      </w:r>
      <w:r>
        <w:rPr>
          <w:rStyle w:val="FootnoteAnchor"/>
          <w:rtl w:val="true"/>
        </w:rPr>
        <w:footnoteReference w:id="279"/>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فلا تعارض بين هذه الأخبار و ما تقدّم من الروايات، لاختلاف موردي المنع و الإباحة، كما يشهد له رواية الدينوري </w:t>
      </w:r>
      <w:r>
        <w:rPr>
          <w:rStyle w:val="FootnoteAnchor"/>
          <w:rtl w:val="true"/>
        </w:rPr>
        <w:footnoteReference w:id="280"/>
      </w:r>
      <w:r>
        <w:rPr>
          <w:rFonts w:ascii="Amiri" w:hAnsi="Amiri" w:eastAsia="Amiri" w:cs="Amiri"/>
          <w:color w:val="111111"/>
          <w:sz w:val="28"/>
          <w:sz w:val="28"/>
          <w:szCs w:val="28"/>
          <w:rtl w:val="true"/>
          <w:lang w:bidi="ar-SA"/>
        </w:rPr>
        <w:t xml:space="preserve">و مرسلة الصدوق </w:t>
      </w:r>
      <w:r>
        <w:rPr>
          <w:rStyle w:val="FootnoteAnchor"/>
          <w:rtl w:val="true"/>
        </w:rPr>
        <w:footnoteReference w:id="281"/>
      </w:r>
      <w:r>
        <w:rPr>
          <w:rFonts w:ascii="IRNazanin" w:hAnsi="IRNazanin" w:eastAsia="IRNazanin"/>
          <w:color w:val="111111"/>
          <w:sz w:val="28"/>
          <w:sz w:val="28"/>
          <w:szCs w:val="28"/>
          <w:rtl w:val="true"/>
          <w:lang w:bidi="fa-IR"/>
        </w:rPr>
        <w:t>المتقدّمتان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التجويز في موضع واحد نصّ في الإباحة، و المنع في ألف موضع محتمل للتأويل، انتهى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ريب أنّ الجمع بما ذكرناه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هذه الأخبار محمولة على المغنّية بالصوت المقترن بالمحرّمات و لا كلام في تحريمه، و ما تقدّم محمول على الصوت المطرب المجرّد عن المحظور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بذمّ النياحة و النائحات مثل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سلمة بن الخطاب، عن إبراهيم بن محمد، عن عمرو الزعفراني،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أنعم اللّه عليه بنعمة فجاء عند تلك النعمة بمزمار، فقد كفرها، و من أصيب بمصيبة فجاء عند المصيبة بنائحة، فقد كفرها</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الشيخ بإسناده عن الحسين بن سعيد، عن عثمان بن عيسى، عن سماعة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كسب المغنّية و النائحة؟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فكرهه </w:t>
      </w:r>
      <w:r>
        <w:rPr>
          <w:rStyle w:val="FootnoteAnchor"/>
          <w:rtl w:val="true"/>
        </w:rPr>
        <w:footnoteReference w:id="28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في حديث المناهي أنه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الرّنّة عند المصيبة و نهى عن النياحة و الاستماع إليها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رواية عبد اللّه بن الحسين بن زيد بن علي، عن أبيه، عن جعفر بن محمد، عن آبائه عن علي عليه السّلام عن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النائحة إذا لم تتب قبل موتها يقوم يوم</w:t>
      </w:r>
    </w:p>
    <w:p>
      <w:pPr>
        <w:pStyle w:val="BookText"/>
        <w:rPr/>
      </w:pPr>
      <w:r>
        <w:rPr>
          <w:rFonts w:ascii="Amiri" w:hAnsi="Amiri" w:eastAsia="Amiri" w:cs="Amiri"/>
          <w:color w:val="111111"/>
          <w:sz w:val="28"/>
          <w:sz w:val="28"/>
          <w:szCs w:val="28"/>
          <w:rtl w:val="true"/>
          <w:lang w:bidi="ar-SA"/>
        </w:rPr>
        <w:t>القيامة و عليها سربال من قطران و درع من جرب</w:t>
      </w:r>
      <w:r>
        <w:rPr>
          <w:rFonts w:eastAsia="Amiri" w:cs="Amiri" w:ascii="Amiri" w:hAnsi="Amiri"/>
          <w:color w:val="111111"/>
          <w:sz w:val="28"/>
          <w:szCs w:val="28"/>
          <w:rtl w:val="true"/>
          <w:lang w:bidi="ar-SA"/>
        </w:rPr>
        <w:t xml:space="preserve">» </w:t>
      </w:r>
      <w:r>
        <w:rPr>
          <w:rStyle w:val="FootnoteAnchor"/>
          <w:rtl w:val="true"/>
        </w:rPr>
        <w:footnoteReference w:id="2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أخيه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النوح على الميّت، أ يصلح؟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الصوت المغيّر للحال، سواء كان موجبا للسرور، أو للحزن فيشمل النياحة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الدلالة، و الغضّ عن قصور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معارضة بما يأتي في الخاتمة من الروايات الدالّة على الجواز، و مقتضى الجمع حملها على النوح بالباطل، أو إسماع الأجانب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أدلّة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أنّ الترجيح لأدلّة الإباحة و أكثرية الفتوى بالمنع غير ثابتة، لعدم صراحتها في حرمة مطلق المطرب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أكثرية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الإجماع المنقول قد عرفت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حمل الأخبار المجوّزة على التقيّة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المنع مذهب كثير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بعض علمائهم بأنّ الغناء من الذنوب، و ما أباحه إلّا نفر قليل من الفقهاء، و من أباحه من الفقهاء أيضا لم ير إعلانه في المساجد و البقاع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الأحوط الاجتناب عن كلّ صوت مشتمل على الترجيع و التطريب، بل على الأوّل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أحسن المحدّث الكاشانيّ حيث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الأفعال لا يليق بذوي المروّات و إن كان مباحا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88"/>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bookmarkStart w:id="124" w:name="pg1913_17799"/>
    </w:p>
    <w:p>
      <w:pPr>
        <w:pStyle w:val="Heading4"/>
        <w:numPr>
          <w:ilvl w:val="3"/>
          <w:numId w:val="1"/>
        </w:numPr>
        <w:rPr/>
      </w:pPr>
      <w:bookmarkStart w:id="125" w:name="__RefHeading___Toc3298024_3650668749"/>
      <w:bookmarkStart w:id="126" w:name="_Toc46"/>
      <w:bookmarkEnd w:id="124"/>
      <w:bookmarkEnd w:id="125"/>
      <w:r>
        <w:rPr>
          <w:rtl w:val="true"/>
        </w:rPr>
        <w:t>تذنيبات</w:t>
      </w:r>
      <w:bookmarkEnd w:id="126"/>
    </w:p>
    <w:p>
      <w:pPr>
        <w:pStyle w:val="Heading5"/>
        <w:numPr>
          <w:ilvl w:val="4"/>
          <w:numId w:val="1"/>
        </w:numPr>
        <w:rPr/>
      </w:pPr>
      <w:bookmarkStart w:id="127" w:name="__RefHeading___Toc3298026_3650668749"/>
      <w:bookmarkStart w:id="128" w:name="_Toc47"/>
      <w:bookmarkEnd w:id="127"/>
      <w:r>
        <w:rPr>
          <w:rtl w:val="true"/>
        </w:rPr>
        <w:t>الأوّل</w:t>
      </w:r>
      <w:r>
        <w:rPr>
          <w:rtl w:val="true"/>
        </w:rPr>
        <w:t>:</w:t>
      </w:r>
      <w:bookmarkEnd w:id="128"/>
    </w:p>
    <w:p>
      <w:pPr>
        <w:pStyle w:val="BookText"/>
        <w:rPr/>
      </w:pPr>
      <w:r>
        <w:rPr>
          <w:rFonts w:ascii="Amiri" w:hAnsi="Amiri" w:eastAsia="Amiri" w:cs="Amiri"/>
          <w:color w:val="111111"/>
          <w:sz w:val="28"/>
          <w:sz w:val="28"/>
          <w:szCs w:val="28"/>
          <w:rtl w:val="true"/>
          <w:lang w:bidi="ar-SA"/>
        </w:rPr>
        <w:t>استماع الغناء المحرّم محرّم، كنفس التغنّي به بلا خلاف فيه، و يدلّ عليه جملة من الأخبار المتقدّمة، و لا فرق في ذلك بين كون المغنّي مكلّفا و غيره</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3298028_3650668749"/>
      <w:bookmarkStart w:id="130" w:name="_Toc48"/>
      <w:bookmarkEnd w:id="129"/>
      <w:r>
        <w:rPr>
          <w:rtl w:val="true"/>
        </w:rPr>
        <w:t>الثاني</w:t>
      </w:r>
      <w:r>
        <w:rPr>
          <w:rtl w:val="true"/>
        </w:rPr>
        <w:t>:</w:t>
      </w:r>
      <w:bookmarkEnd w:id="130"/>
    </w:p>
    <w:p>
      <w:pPr>
        <w:pStyle w:val="BookText"/>
        <w:rPr/>
      </w:pPr>
      <w:r>
        <w:rPr>
          <w:rFonts w:ascii="Amiri" w:hAnsi="Amiri" w:eastAsia="Amiri" w:cs="Amiri"/>
          <w:color w:val="111111"/>
          <w:sz w:val="28"/>
          <w:sz w:val="28"/>
          <w:szCs w:val="28"/>
          <w:rtl w:val="true"/>
          <w:lang w:bidi="ar-SA"/>
        </w:rPr>
        <w:t>تعليم الغناء و تعلّمه حرام، لما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يكون منه و فيه الفساد، و لا يكون منه و لا فيه شي‌ء من وجوه الصلاح فحرام تعليمه و تعلّمه و العمل به و أخذ الأجرة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روايتي عنبسة </w:t>
      </w:r>
      <w:r>
        <w:rPr>
          <w:rStyle w:val="FootnoteAnchor"/>
          <w:rtl w:val="true"/>
        </w:rPr>
        <w:footnoteReference w:id="289"/>
      </w:r>
      <w:r>
        <w:rPr>
          <w:rFonts w:ascii="Amiri" w:hAnsi="Amiri" w:eastAsia="Amiri" w:cs="Amiri"/>
          <w:color w:val="111111"/>
          <w:sz w:val="28"/>
          <w:sz w:val="28"/>
          <w:szCs w:val="28"/>
          <w:rtl w:val="true"/>
          <w:lang w:bidi="ar-SA"/>
        </w:rPr>
        <w:t xml:space="preserve">و إبراهيم </w:t>
      </w:r>
      <w:r>
        <w:rPr>
          <w:rStyle w:val="FootnoteAnchor"/>
          <w:rtl w:val="true"/>
        </w:rPr>
        <w:footnoteReference w:id="290"/>
      </w:r>
      <w:r>
        <w:rPr>
          <w:rFonts w:ascii="Amiri" w:hAnsi="Amiri" w:eastAsia="Amiri" w:cs="Amiri"/>
          <w:color w:val="111111"/>
          <w:sz w:val="28"/>
          <w:sz w:val="28"/>
          <w:szCs w:val="28"/>
          <w:rtl w:val="true"/>
          <w:lang w:bidi="ar-SA"/>
        </w:rPr>
        <w:t>المتقدّمتين دلالة واضحة على ذلك</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3298030_3650668749"/>
      <w:bookmarkStart w:id="132" w:name="_Toc49"/>
      <w:bookmarkEnd w:id="131"/>
      <w:r>
        <w:rPr>
          <w:rtl w:val="true"/>
        </w:rPr>
        <w:t>الثالث</w:t>
      </w:r>
      <w:r>
        <w:rPr>
          <w:rtl w:val="true"/>
        </w:rPr>
        <w:t>:</w:t>
      </w:r>
      <w:bookmarkEnd w:id="132"/>
    </w:p>
    <w:p>
      <w:pPr>
        <w:pStyle w:val="BookText"/>
        <w:rPr/>
      </w:pPr>
      <w:r>
        <w:rPr>
          <w:rFonts w:ascii="Amiri" w:hAnsi="Amiri" w:eastAsia="Amiri" w:cs="Amiri"/>
          <w:color w:val="111111"/>
          <w:sz w:val="28"/>
          <w:sz w:val="28"/>
          <w:szCs w:val="28"/>
          <w:rtl w:val="true"/>
          <w:lang w:bidi="ar-SA"/>
        </w:rPr>
        <w:t>يحرم الاكتساب بالغناء المحرّم، إجماعا، و الأخبار به مستفيضة</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298032_3650668749"/>
      <w:bookmarkStart w:id="134" w:name="_Toc50"/>
      <w:bookmarkEnd w:id="133"/>
      <w:r>
        <w:rPr>
          <w:rtl w:val="true"/>
        </w:rPr>
        <w:t>الرابع</w:t>
      </w:r>
      <w:r>
        <w:rPr>
          <w:rtl w:val="true"/>
        </w:rPr>
        <w:t>:</w:t>
      </w:r>
      <w:bookmarkEnd w:id="134"/>
    </w:p>
    <w:p>
      <w:pPr>
        <w:pStyle w:val="BookText"/>
        <w:rPr/>
      </w:pPr>
      <w:r>
        <w:rPr>
          <w:rFonts w:ascii="Amiri" w:hAnsi="Amiri" w:eastAsia="Amiri" w:cs="Amiri"/>
          <w:color w:val="111111"/>
          <w:sz w:val="28"/>
          <w:sz w:val="28"/>
          <w:szCs w:val="28"/>
          <w:rtl w:val="true"/>
          <w:lang w:bidi="ar-SA"/>
        </w:rPr>
        <w:t>التغنّي و استماع الغناء المحرّم من الكبائر القادحة في العدالة، لقول الباقر عليه السّلام في رواية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الغناء ممّا وعد اللّه عليه النار</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لقول الصادق عليه السّلام لمسعدة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كنت مقيما على أمر عظيم، ما كان أسوء حالك لو متّ على ذلك</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صرح جماعة في البحث عن صلاة الجماعة، و في كتاب الشهادات</w:t>
      </w:r>
      <w:r>
        <w:rPr>
          <w:rFonts w:eastAsia="Amiri" w:cs="Amiri" w:ascii="Amiri" w:hAnsi="Amiri"/>
          <w:color w:val="111111"/>
          <w:sz w:val="28"/>
          <w:szCs w:val="28"/>
          <w:rtl w:val="true"/>
          <w:lang w:bidi="ar-SA"/>
        </w:rPr>
        <w:t>.</w:t>
      </w:r>
      <w:bookmarkStart w:id="135" w:name="pg1913_17803"/>
    </w:p>
    <w:p>
      <w:pPr>
        <w:pStyle w:val="Heading3"/>
        <w:numPr>
          <w:ilvl w:val="2"/>
          <w:numId w:val="1"/>
        </w:numPr>
        <w:rPr/>
      </w:pPr>
      <w:bookmarkStart w:id="136" w:name="__RefHeading___Toc3298034_3650668749"/>
      <w:bookmarkStart w:id="137" w:name="_Toc51"/>
      <w:bookmarkEnd w:id="135"/>
      <w:bookmarkEnd w:id="136"/>
      <w:r>
        <w:rPr>
          <w:rtl w:val="true"/>
        </w:rPr>
        <w:t>المقصد الثالث</w:t>
      </w:r>
      <w:r>
        <w:rPr>
          <w:rtl w:val="true"/>
        </w:rPr>
        <w:t xml:space="preserve">: </w:t>
      </w:r>
      <w:r>
        <w:rPr>
          <w:rtl w:val="true"/>
        </w:rPr>
        <w:t>في ما يستثني من حكم الغناء على القول بالحرمة</w:t>
      </w:r>
      <w:bookmarkEnd w:id="137"/>
    </w:p>
    <w:p>
      <w:pPr>
        <w:pStyle w:val="Heading4"/>
        <w:numPr>
          <w:ilvl w:val="3"/>
          <w:numId w:val="1"/>
        </w:numPr>
        <w:rPr/>
      </w:pPr>
      <w:bookmarkStart w:id="138" w:name="__RefHeading___Toc3298036_3650668749"/>
      <w:bookmarkStart w:id="139" w:name="_Toc52"/>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إذ على المختار لا 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لو خصّ الغناء بالصوت اللهوي المحرّم فإنّه محرّم مطلقا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فالقائلون بحرمة الصوت المطرب الخالي عن اللهو مختلفون في الاستثناء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المستثنين اختلفوا في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ما استثنوه أمور</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298038_3650668749"/>
      <w:bookmarkStart w:id="141" w:name="_Toc53"/>
      <w:bookmarkEnd w:id="140"/>
      <w:r>
        <w:rPr>
          <w:rtl w:val="true"/>
        </w:rPr>
        <w:t>منها قراءة القرآن</w:t>
      </w:r>
      <w:r>
        <w:rPr>
          <w:rtl w:val="true"/>
        </w:rPr>
        <w:t>:</w:t>
      </w:r>
      <w:bookmarkEnd w:id="141"/>
    </w:p>
    <w:p>
      <w:pPr>
        <w:pStyle w:val="BookText"/>
        <w:rPr/>
      </w:pPr>
      <w:r>
        <w:rPr>
          <w:rFonts w:ascii="Amiri" w:hAnsi="Amiri" w:eastAsia="Amiri" w:cs="Amiri"/>
          <w:color w:val="111111"/>
          <w:sz w:val="28"/>
          <w:sz w:val="28"/>
          <w:szCs w:val="28"/>
          <w:rtl w:val="true"/>
          <w:lang w:bidi="ar-SA"/>
        </w:rPr>
        <w:t>صرّح باستثناءها كثير من أصحابنا و مخالفينا، و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بالقراءة بالألحان و تحسين الصوت بها بأيّ وجه كان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إلى ظاهر كلام الطبرسي رحمه اللّه </w:t>
      </w:r>
      <w:r>
        <w:rPr>
          <w:rStyle w:val="FootnoteAnchor"/>
          <w:rtl w:val="true"/>
        </w:rPr>
        <w:footnoteReference w:id="295"/>
      </w:r>
      <w:r>
        <w:rPr>
          <w:rFonts w:ascii="Amiri" w:hAnsi="Amiri" w:eastAsia="Amiri" w:cs="Amiri"/>
          <w:color w:val="111111"/>
          <w:sz w:val="28"/>
          <w:sz w:val="28"/>
          <w:szCs w:val="28"/>
          <w:rtl w:val="true"/>
          <w:lang w:bidi="ar-SA"/>
        </w:rPr>
        <w:t>قال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لم يذكر إلّا تحسين اللفظ و تزيين الصوت و تحزينه، و لا يخفى الفرق بين تحسين الصوت</w:t>
      </w:r>
      <w:bookmarkStart w:id="142" w:name="pg1913_17805"/>
    </w:p>
    <w:p>
      <w:pPr>
        <w:pStyle w:val="BookText"/>
        <w:rPr/>
      </w:pPr>
      <w:bookmarkEnd w:id="142"/>
      <w:r>
        <w:rPr>
          <w:rFonts w:ascii="IRNazanin" w:hAnsi="IRNazanin" w:eastAsia="IRNazanin"/>
          <w:color w:val="111111"/>
          <w:sz w:val="28"/>
          <w:sz w:val="28"/>
          <w:szCs w:val="28"/>
          <w:rtl w:val="true"/>
          <w:lang w:bidi="fa-IR"/>
        </w:rPr>
        <w:t>و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296"/>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فدليلهم ما أوردناه في أدلّة المختار من الأخبار، الآمر بعضها بقراءة القرآن بالصوت الحسن، و بعضها بقراءته بألحان العرب، و بعضها بالحزن، و بعضها بالترجيع، و الذامّ بعضها لترك التغنّي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أنكره جماعة، لعموم أدلّة التحريم، و ضعف ما يخصّصه دلالة أو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3298040_3650668749"/>
      <w:bookmarkStart w:id="144" w:name="_Toc54"/>
      <w:bookmarkEnd w:id="143"/>
      <w:r>
        <w:rPr>
          <w:rtl w:val="true"/>
        </w:rPr>
        <w:t>و منها الحداء بضمّ الحاء المهملة و هو</w:t>
      </w:r>
      <w:r>
        <w:rPr>
          <w:rtl w:val="true"/>
        </w:rPr>
        <w:t xml:space="preserve">: </w:t>
      </w:r>
      <w:r>
        <w:rPr>
          <w:rtl w:val="true"/>
        </w:rPr>
        <w:t>سوق الإبل بالغناء لها</w:t>
      </w:r>
      <w:r>
        <w:rPr>
          <w:rtl w:val="true"/>
        </w:rPr>
        <w:t>:</w:t>
      </w:r>
      <w:bookmarkEnd w:id="144"/>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استثناء مشهور، و لكن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الحداء قسيم للغناء، بشهادة العرف،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خارجا عن الموضوع لا عن الحكم، و لا بأس به </w:t>
      </w:r>
      <w:r>
        <w:rPr>
          <w:rStyle w:val="FootnoteAnchor"/>
          <w:rtl w:val="true"/>
        </w:rPr>
        <w:footnoteReference w:id="29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كما ترى، و قد أوضحناه في المقدمة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فلم نجد على جوازه دليلا بخصوصه، نعم، روي أنّ النبيّ صلّى اللّه عليه و آله و سلّم قال لعبد اللّه بن رواحة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 بالنوق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فاندفع يرتجز، و كان عبد اللّه جيّد الحداء و كان مع الرجال، و كان أنجشة مع النساء فلمّا سمعه تبعه، فقال صلّى اللّه عليه و آله و سلّم لأنجشه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رويدك، رفقا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رواه في المسالك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أنّ النبيّ صلّى اللّه عليه و آله و سلّم كان يحدى له في السفر، و أنّ أنجشة كان يحدو بالنساء، و البراء بن مالك يحدو بالرجال، فقال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رويدك سوقك بالقوارير</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145" w:name="pg1913_17807"/>
    </w:p>
    <w:p>
      <w:pPr>
        <w:pStyle w:val="BookText"/>
        <w:rPr/>
      </w:pPr>
      <w:bookmarkEnd w:id="145"/>
      <w:r>
        <w:rPr>
          <w:rFonts w:ascii="Amiri" w:hAnsi="Amiri" w:eastAsia="Amiri" w:cs="Amiri"/>
          <w:color w:val="111111"/>
          <w:sz w:val="28"/>
          <w:sz w:val="28"/>
          <w:szCs w:val="28"/>
          <w:rtl w:val="true"/>
          <w:lang w:bidi="ar-SA"/>
        </w:rPr>
        <w:t xml:space="preserve">أي بالآبال جمع القار و هو الإبل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خبير بأنّ ضعف الروايتين مانع من الاحتجاج بهما، كالمرويّ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زاد المسافر الحداء و الشعر</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إلّا أن يدّعى انجباره بالشهرة، و في تحققها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الحداء وراء الجمال من عادة العرب في زمان رسول اللّه صلّى اللّه عليه و آله و سلّم و زمان الصحابة، و ما هو إلّا أشعار تؤدّى بأصوات طيبة و ألحان موزونة، و لم ينقل من أحد من الصحابة إنكاره، بل ربما كانوا يلتمسون ذلك تارة لتحريك الجمال، و تارة للاستلذاذ، فلا يجوز أن يحرّم من حيث إنّه كلام مفهوم مستلذّ مؤدّى بأصوات طيبة و ألحان موزونة </w:t>
      </w:r>
      <w:r>
        <w:rPr>
          <w:rStyle w:val="FootnoteAnchor"/>
          <w:rtl w:val="true"/>
        </w:rPr>
        <w:footnoteReference w:id="302"/>
      </w:r>
      <w:r>
        <w:rPr>
          <w:rFonts w:ascii="IRNazanin" w:hAnsi="IRNazanin" w:eastAsia="IRNazanin"/>
          <w:color w:val="111111"/>
          <w:sz w:val="28"/>
          <w:sz w:val="28"/>
          <w:szCs w:val="28"/>
          <w:rtl w:val="true"/>
          <w:lang w:bidi="fa-IR"/>
        </w:rPr>
        <w:t>انتهى فتدبر</w:t>
      </w:r>
      <w:r>
        <w:rPr>
          <w:rFonts w:eastAsia="IRNazanin" w:cs="IRNazanin"/>
          <w:color w:val="111111"/>
          <w:sz w:val="28"/>
          <w:szCs w:val="28"/>
          <w:rtl w:val="true"/>
          <w:lang w:bidi="fa-IR"/>
        </w:rPr>
        <w:t>.</w:t>
      </w:r>
    </w:p>
    <w:p>
      <w:pPr>
        <w:pStyle w:val="Heading4"/>
        <w:numPr>
          <w:ilvl w:val="3"/>
          <w:numId w:val="1"/>
        </w:numPr>
        <w:rPr/>
      </w:pPr>
      <w:bookmarkStart w:id="146" w:name="__RefHeading___Toc3298042_3650668749"/>
      <w:bookmarkStart w:id="147" w:name="_Toc55"/>
      <w:bookmarkEnd w:id="146"/>
      <w:r>
        <w:rPr>
          <w:rtl w:val="true"/>
        </w:rPr>
        <w:t>و منها</w:t>
      </w:r>
      <w:r>
        <w:rPr>
          <w:rtl w:val="true"/>
        </w:rPr>
        <w:t xml:space="preserve">: </w:t>
      </w:r>
      <w:r>
        <w:rPr>
          <w:rtl w:val="true"/>
        </w:rPr>
        <w:t>غناء المرأة في زفّ العرائس</w:t>
      </w:r>
      <w:r>
        <w:rPr>
          <w:rtl w:val="true"/>
        </w:rPr>
        <w:t>:</w:t>
      </w:r>
      <w:bookmarkEnd w:id="147"/>
    </w:p>
    <w:p>
      <w:pPr>
        <w:pStyle w:val="BookText"/>
        <w:rPr/>
      </w:pPr>
      <w:r>
        <w:rPr>
          <w:rFonts w:ascii="Amiri" w:hAnsi="Amiri" w:eastAsia="Amiri" w:cs="Amiri"/>
          <w:color w:val="111111"/>
          <w:sz w:val="28"/>
          <w:sz w:val="28"/>
          <w:szCs w:val="28"/>
          <w:rtl w:val="true"/>
          <w:lang w:bidi="ar-SA"/>
        </w:rPr>
        <w:t xml:space="preserve">استثناه الأكثرون، لما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عدّه من أصحابنا، عن أحمد بن محمد، عن الحسين بن سعيد، عن على بن أبي حمزة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و التي تدعى إلى الأعراس ليس به بأس</w:t>
      </w:r>
      <w:r>
        <w:rPr>
          <w:rFonts w:eastAsia="Amiri" w:cs="Amiri" w:ascii="Amiri" w:hAnsi="Amiri"/>
          <w:color w:val="111111"/>
          <w:sz w:val="28"/>
          <w:szCs w:val="28"/>
          <w:rtl w:val="true"/>
          <w:lang w:bidi="ar-SA"/>
        </w:rPr>
        <w:t xml:space="preserve">» </w:t>
      </w:r>
      <w:r>
        <w:rPr>
          <w:rStyle w:val="FootnoteAnchor"/>
          <w:rtl w:val="true"/>
        </w:rPr>
        <w:footnoteReference w:id="30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عن أحمد بن حكم الخياط، عن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التي تزفّ العرائس لا بأس بكسبها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عنهم عن أحمد عن الحسين، عن النضر بن سويد، عن يحيى الحلبي، عن أيّوب</w:t>
      </w:r>
      <w:bookmarkStart w:id="148" w:name="pg1913_17809"/>
    </w:p>
    <w:p>
      <w:pPr>
        <w:pStyle w:val="BookText"/>
        <w:rPr/>
      </w:pPr>
      <w:bookmarkEnd w:id="148"/>
      <w:r>
        <w:rPr>
          <w:rFonts w:ascii="Amiri" w:hAnsi="Amiri" w:eastAsia="Amiri" w:cs="Amiri"/>
          <w:color w:val="111111"/>
          <w:sz w:val="28"/>
          <w:sz w:val="28"/>
          <w:szCs w:val="28"/>
          <w:rtl w:val="true"/>
          <w:lang w:bidi="ar-SA"/>
        </w:rPr>
        <w:t>بن الحرّ،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المغنية التي تزفّ العرائس ليس به بأس و ليست بالتي تدخل عليها الرجال</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العجب منع التلازم بين إباحة الأجرة و إباحة الغناء، ضرورة حرمة أعواض المحرّمات، مع أنّه لا قائل بالتفرقة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الكسب هو العمل أي الغناء، دون 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 عليه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كالقول بأنّ الأجرة لمجرد الزفّ دون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أصحّ طريقا و أخصّ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عن الحلّي من المخالفة </w:t>
      </w:r>
      <w:r>
        <w:rPr>
          <w:rStyle w:val="FootnoteAnchor"/>
          <w:rtl w:val="true"/>
        </w:rPr>
        <w:footnoteReference w:id="307"/>
      </w:r>
      <w:r>
        <w:rPr>
          <w:rFonts w:ascii="Amiri" w:hAnsi="Amiri" w:eastAsia="Amiri" w:cs="Amiri"/>
          <w:color w:val="111111"/>
          <w:sz w:val="28"/>
          <w:sz w:val="28"/>
          <w:szCs w:val="28"/>
          <w:rtl w:val="true"/>
          <w:lang w:bidi="ar-SA"/>
        </w:rPr>
        <w:t>لعموم النهي عن الغناء، لا يلتفت إليه</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3298044_3650668749"/>
      <w:bookmarkStart w:id="150" w:name="_Toc56"/>
      <w:bookmarkEnd w:id="149"/>
      <w:r>
        <w:rPr>
          <w:rtl w:val="true"/>
        </w:rPr>
        <w:t>و منها غناء الحجيج</w:t>
      </w:r>
      <w:r>
        <w:rPr>
          <w:rtl w:val="true"/>
        </w:rPr>
        <w:t>:</w:t>
      </w:r>
      <w:bookmarkEnd w:id="150"/>
    </w:p>
    <w:p>
      <w:pPr>
        <w:pStyle w:val="BookText"/>
        <w:rPr/>
      </w:pPr>
      <w:r>
        <w:rPr>
          <w:rFonts w:ascii="Amiri" w:hAnsi="Amiri" w:eastAsia="Amiri" w:cs="Amiri"/>
          <w:color w:val="111111"/>
          <w:sz w:val="28"/>
          <w:sz w:val="28"/>
          <w:szCs w:val="28"/>
          <w:rtl w:val="true"/>
          <w:lang w:bidi="ar-SA"/>
        </w:rPr>
        <w:t>ذكره الغزالي و لم أقف في أصحابنا على من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مباح لأنها أشعار نظمت في وصف الكعبة و المقام و الحطيم و زمزم و سائر المشاعر و وصف البادية و غيرها، و أثر ذلك تهييج الشوق إلى حج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جائز ما لم يدخل فيه المزامير و الأوتار التي هي من شعار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08"/>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4"/>
        <w:numPr>
          <w:ilvl w:val="3"/>
          <w:numId w:val="1"/>
        </w:numPr>
        <w:rPr/>
      </w:pPr>
      <w:bookmarkStart w:id="151" w:name="__RefHeading___Toc3298046_3650668749"/>
      <w:bookmarkStart w:id="152" w:name="_Toc57"/>
      <w:bookmarkEnd w:id="151"/>
      <w:r>
        <w:rPr>
          <w:rtl w:val="true"/>
        </w:rPr>
        <w:t>و منها غناء الغزاة لتحريض الناس على الغزو</w:t>
      </w:r>
      <w:r>
        <w:rPr>
          <w:rtl w:val="true"/>
        </w:rPr>
        <w:t>:</w:t>
      </w:r>
      <w:bookmarkEnd w:id="15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الغزالي </w:t>
      </w:r>
      <w:r>
        <w:rPr>
          <w:rStyle w:val="FootnoteAnchor"/>
          <w:rtl w:val="true"/>
        </w:rPr>
        <w:footnoteReference w:id="309"/>
      </w:r>
      <w:r>
        <w:rPr>
          <w:rFonts w:ascii="Amiri" w:hAnsi="Amiri" w:eastAsia="Amiri" w:cs="Amiri"/>
          <w:color w:val="111111"/>
          <w:sz w:val="28"/>
          <w:sz w:val="28"/>
          <w:szCs w:val="28"/>
          <w:rtl w:val="true"/>
          <w:lang w:bidi="ar-SA"/>
        </w:rPr>
        <w:t>أيضا فتأمل</w:t>
      </w:r>
      <w:r>
        <w:rPr>
          <w:rFonts w:eastAsia="Amiri" w:cs="Amiri" w:ascii="Amiri" w:hAnsi="Amiri"/>
          <w:color w:val="111111"/>
          <w:sz w:val="28"/>
          <w:szCs w:val="28"/>
          <w:rtl w:val="true"/>
          <w:lang w:bidi="ar-SA"/>
        </w:rPr>
        <w:t>.</w:t>
      </w:r>
      <w:bookmarkStart w:id="153" w:name="pg1913_17811"/>
    </w:p>
    <w:p>
      <w:pPr>
        <w:pStyle w:val="Heading4"/>
        <w:numPr>
          <w:ilvl w:val="3"/>
          <w:numId w:val="1"/>
        </w:numPr>
        <w:rPr/>
      </w:pPr>
      <w:bookmarkStart w:id="154" w:name="__RefHeading___Toc3298048_3650668749"/>
      <w:bookmarkStart w:id="155" w:name="_Toc58"/>
      <w:bookmarkEnd w:id="153"/>
      <w:bookmarkEnd w:id="154"/>
      <w:r>
        <w:rPr>
          <w:rtl w:val="true"/>
        </w:rPr>
        <w:t>و منها التغنّي في أيام العيد و إبّان الفرح من قدوم الغائب و ولادة الولد</w:t>
      </w:r>
      <w:r>
        <w:rPr>
          <w:rtl w:val="true"/>
        </w:rPr>
        <w:t>:</w:t>
      </w:r>
      <w:bookmarkEnd w:id="155"/>
    </w:p>
    <w:p>
      <w:pPr>
        <w:pStyle w:val="BookText"/>
        <w:rPr/>
      </w:pPr>
      <w:r>
        <w:rPr>
          <w:rFonts w:ascii="Amiri" w:hAnsi="Amiri" w:eastAsia="Amiri" w:cs="Amiri"/>
          <w:color w:val="111111"/>
          <w:sz w:val="28"/>
          <w:sz w:val="28"/>
          <w:szCs w:val="28"/>
          <w:rtl w:val="true"/>
          <w:lang w:bidi="ar-SA"/>
        </w:rPr>
        <w:t xml:space="preserve">لما تقدّم من روايتي علي بن جعفر، و ربما يستدلّ له بما رواه البخاريّ و مسلم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 أبا بكر دخل عليها و عندها جاريتان في أيام منى تدفّفان و تضربان، و النبيّ صلّى اللّه عليه و آله و سلّم متغشّ بثوبه، فانتهرهما أبو بكر، فكشف النبيّ صلّى اللّه عليه و آله و سلّم عن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دعهما يا أبا بكر فإنّها أيام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ما ترى، فإنّه مرويّ من طرق العامّة، مع أنّه لا دلالة فيه على جواز التغنّي بل على جواز التلهّي بالدفّ، و حرمته مجمع عليه بيننا،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عدم انفكاكه عن التغنّي عادة، و لكن قد عرفت أنّ الصوت المقترن بالملاهي لا كلام في حرمته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نفي البأس عن الغناء في إحدى الروايتين مقيّد بعدم العصيان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ثانيتهما بعدم الزمر به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جوّز مخالفونا الدفّ و نحوه من الملاهي مطلقا أو في بعض الأحيان، و رووا في ذلك روايات من طرقهم، موضوعة، قد افتروا بها على رسول اللّه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إحياء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السماع في أيام السرور تأكيدا أو تهييجا له مباح، إن كان ذلك السرور مباحا، كالغناء في أيّام العيد، و في العرس، و في وقت قدوم الغائب، و في وقت الوليمة و العقيقة، و عند ولادة المولود، و عند ختانه، و عند حفظه القرآن العزيز، و كلّ ذلك مباح لأجل إظهار السرور به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جوازه أنّ من الألحان ما يثير الفرح و السرور و الطرب، فكلّما جاز السرور به جاز إثارة السرور فيه</w:t>
      </w:r>
      <w:r>
        <w:rPr>
          <w:rFonts w:eastAsia="Amiri" w:cs="Amiri" w:ascii="Amiri" w:hAnsi="Amiri"/>
          <w:color w:val="111111"/>
          <w:sz w:val="28"/>
          <w:szCs w:val="28"/>
          <w:rtl w:val="true"/>
          <w:lang w:bidi="ar-SA"/>
        </w:rPr>
        <w:t>.</w:t>
      </w:r>
      <w:bookmarkStart w:id="156" w:name="pg1913_17813"/>
    </w:p>
    <w:p>
      <w:pPr>
        <w:pStyle w:val="BookText"/>
        <w:rPr/>
      </w:pPr>
      <w:bookmarkEnd w:id="156"/>
      <w:r>
        <w:rPr>
          <w:rFonts w:ascii="Amiri" w:hAnsi="Amiri" w:eastAsia="Amiri" w:cs="Amiri"/>
          <w:color w:val="111111"/>
          <w:sz w:val="28"/>
          <w:sz w:val="28"/>
          <w:szCs w:val="28"/>
          <w:rtl w:val="true"/>
          <w:lang w:bidi="ar-SA"/>
        </w:rPr>
        <w:t xml:space="preserve">و يدلّ على هذا من النقل إنشاد النساء على السطوح بالدفّ و الالحان عند قدوم رسول اللّه صلّى اللّه عليه و آله و سلّم انتهى </w:t>
      </w:r>
      <w:r>
        <w:rPr>
          <w:rStyle w:val="FootnoteAnchor"/>
          <w:rtl w:val="true"/>
        </w:rPr>
        <w:footnoteReference w:id="31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3298050_3650668749"/>
      <w:bookmarkStart w:id="158" w:name="_Toc59"/>
      <w:bookmarkEnd w:id="157"/>
      <w:r>
        <w:rPr>
          <w:rtl w:val="true"/>
        </w:rPr>
        <w:t>و منها الغناء في الخطب و المناجاة و الدعاء و غيرها مما يقصد به الترغيب إلى اللّه و الشوق إلى الجنة</w:t>
      </w:r>
      <w:r>
        <w:rPr>
          <w:rtl w:val="true"/>
        </w:rPr>
        <w:t>:</w:t>
      </w:r>
      <w:bookmarkEnd w:id="158"/>
    </w:p>
    <w:p>
      <w:pPr>
        <w:pStyle w:val="BookText"/>
        <w:rPr/>
      </w:pPr>
      <w:r>
        <w:rPr>
          <w:rFonts w:ascii="Amiri" w:hAnsi="Amiri" w:eastAsia="Amiri" w:cs="Amiri"/>
          <w:color w:val="111111"/>
          <w:sz w:val="28"/>
          <w:sz w:val="28"/>
          <w:szCs w:val="28"/>
          <w:rtl w:val="true"/>
          <w:lang w:bidi="ar-SA"/>
        </w:rPr>
        <w:t>ذكره بعض أصحابنا مستدلّا عليه بالأصل، و مرسلة الصدوق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لو اشتريتها فذكّر تك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Style w:val="FootnoteAnchor"/>
          <w:rtl w:val="true"/>
        </w:rPr>
        <w:footnoteReference w:id="313"/>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4"/>
        <w:numPr>
          <w:ilvl w:val="3"/>
          <w:numId w:val="1"/>
        </w:numPr>
        <w:rPr/>
      </w:pPr>
      <w:bookmarkStart w:id="159" w:name="__RefHeading___Toc3298052_3650668749"/>
      <w:bookmarkStart w:id="160" w:name="_Toc60"/>
      <w:bookmarkEnd w:id="159"/>
      <w:r>
        <w:rPr>
          <w:rtl w:val="true"/>
        </w:rPr>
        <w:t>و منها الغناء في المراثي</w:t>
      </w:r>
      <w:r>
        <w:rPr>
          <w:rtl w:val="true"/>
        </w:rPr>
        <w:t>:</w:t>
      </w:r>
      <w:bookmarkEnd w:id="160"/>
    </w:p>
    <w:p>
      <w:pPr>
        <w:pStyle w:val="BookText"/>
        <w:rPr/>
      </w:pPr>
      <w:r>
        <w:rPr>
          <w:rFonts w:ascii="Amiri" w:hAnsi="Amiri" w:eastAsia="Amiri" w:cs="Amiri"/>
          <w:color w:val="111111"/>
          <w:sz w:val="28"/>
          <w:sz w:val="28"/>
          <w:szCs w:val="28"/>
          <w:rtl w:val="true"/>
          <w:lang w:bidi="ar-SA"/>
        </w:rPr>
        <w:t xml:space="preserve">على قول نقله المحقّق الكركي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و نسبه السبزواري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Style w:val="FootnoteAnchor"/>
          <w:rtl w:val="true"/>
        </w:rPr>
        <w:footnoteReference w:id="315"/>
      </w:r>
      <w:r>
        <w:rPr>
          <w:rFonts w:ascii="IRNazanin" w:hAnsi="IRNazanin" w:eastAsia="IRNazanin"/>
          <w:color w:val="111111"/>
          <w:sz w:val="28"/>
          <w:sz w:val="28"/>
          <w:szCs w:val="28"/>
          <w:rtl w:val="true"/>
          <w:lang w:bidi="fa-IR"/>
        </w:rPr>
        <w:t>إلى بعضهم، ثم نفى عنه البعد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نعرف قائله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يميل اليه المقدّس الأردبيلي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الإرشاد</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و قواه الفاضل النراقي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 اختاره كثير من معاصرينا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ممّا تعارف في بلاد المسلمين من زمن الشارع إلى زماننا هذا، من غير نكير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نشاهد من كثير من المحتاطين من العلماء و غيرهم أنّهم يقومون من مجالس المراثي المشتملة على الترجيع، بل لا يحضرونها من أوّل الأمر، خوفا من استماع الغناء، بل</w:t>
      </w:r>
    </w:p>
    <w:p>
      <w:pPr>
        <w:pStyle w:val="BookText"/>
        <w:rPr/>
      </w:pPr>
      <w:r>
        <w:rPr>
          <w:rFonts w:ascii="Amiri" w:hAnsi="Amiri" w:eastAsia="Amiri" w:cs="Amiri"/>
          <w:color w:val="111111"/>
          <w:sz w:val="28"/>
          <w:sz w:val="28"/>
          <w:szCs w:val="28"/>
          <w:rtl w:val="true"/>
          <w:lang w:bidi="ar-SA"/>
        </w:rPr>
        <w:t>كثيرا من الأحيان ينهون عن ذلك كما ينهون عن سائر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 المدقّقين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أوضح تسويلات الشيطان أنّ الرجل المتستر قد تدعوه نفسه لأجل التفرّج و التنزّه و التلذّذ إلى ما يوجب نشاطه و دفع الكسالة عنه من الزمزمة الملهية، فيجعل ذلك في بيت من الشعر المنظوم في الحكم و المراثي و نحوها، فيتغنّى به، أو يحضر عند من يفعل ذلك، و ربّما يعدّ مجلسا لأجل إحضار أصحاب الألحان، و يسميه مجلس المرثية، فيحصل له بذلك ما لا يحصل من ضرب الأوتار من النشاط و الانبساط، و ربما يبكي في خلال ذلك لأجل الغموم المركوزة في قلبه الغائبة عن خاطره من فقد ما يستحضره القوى الشهوية، و يتخيّل أنّه يبكي في المرثية و فاز بالمرتبة العالية، و قد أشرف على النزول إلى دركات الهاوية، فلا ملجأ إلّا إلى اللّه من شرّ الشيطان و النفس الغاوية </w:t>
      </w:r>
      <w:r>
        <w:rPr>
          <w:rStyle w:val="FootnoteAnchor"/>
          <w:rtl w:val="true"/>
        </w:rPr>
        <w:footnoteReference w:id="3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فدعوى جريان السيرة من المسلمين على التغنّي في المراثي، بحيث تكشف عن إباحته، محلّ مناقشة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النياحة و إباحة كسب النائحة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يأتي من الأخبار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التغنّي من لوازم النياحة، و أثره لا ينحصر في السرور و الفرح،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الغناء إنّما يحرم للطرب، و ليس في المراثي طرب، فإنّها موضوعة للحزن،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الطرب معتبر في مفهوم الغناء، فلا يكون ما يقصد به الحزن 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إذ قد عرفت أنّ الطرب المأخوذ في مفهوم الغناء أعمّ من الفرح و الحزن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 بأنّ الغناء أثره منحصر في الأوّل يكذّبه الوجدان، ضرورة أنّه ربّما يهيج الحزن و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ذلك مذموما كالحزن على ما فات المنهيّ عن </w:t>
      </w:r>
      <w:r>
        <w:rPr>
          <w:rStyle w:val="FootnoteAnchor"/>
          <w:rtl w:val="true"/>
        </w:rPr>
        <w:footnoteReference w:id="320"/>
      </w:r>
      <w:r>
        <w:rPr>
          <w:rFonts w:ascii="Amiri" w:hAnsi="Amiri" w:eastAsia="Amiri" w:cs="Amiri"/>
          <w:color w:val="111111"/>
          <w:sz w:val="28"/>
          <w:sz w:val="28"/>
          <w:szCs w:val="28"/>
          <w:rtl w:val="true"/>
          <w:lang w:bidi="ar-SA"/>
        </w:rPr>
        <w:t xml:space="preserve">الأسى عليه في الكتاب العزيز </w:t>
      </w:r>
      <w:r>
        <w:rPr>
          <w:rStyle w:val="FootnoteAnchor"/>
          <w:rtl w:val="true"/>
        </w:rPr>
        <w:footnoteReference w:id="321"/>
      </w:r>
      <w:r>
        <w:rPr>
          <w:rFonts w:ascii="Amiri" w:hAnsi="Amiri" w:eastAsia="Amiri" w:cs="Amiri"/>
          <w:color w:val="111111"/>
          <w:sz w:val="28"/>
          <w:sz w:val="28"/>
          <w:szCs w:val="28"/>
          <w:rtl w:val="true"/>
          <w:lang w:bidi="ar-SA"/>
        </w:rPr>
        <w:t>، و كالحزن على فراق محبوب غير محبوب شرعا، فإنّه طلب لمعصية اللّه، كما أنّ الأول تسخّط لقضاء اللّه، و ربما يكون تأسّفا على ما لا تدارك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الحزن لمّا كان مذموما كان تحريكه بالنياحة مذموما، فلذلك ورد النهي الصريح عن 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التغنّي بالمراثي قد يوجب الفرح، لما نشاهد من أنّ المكروب المهموم قد يحضره فيصير منبسطا مبتهجا مرفوع الهمّ باستماع الألحان الطيّبة و النغمات الموزونة، فيحصل له بذلك من الفرح و الانبساط ما لا يحصل له من ضرب الأوتار و المزامير، كما عرفته من كلام بعض المدققين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أحسن في ردّ الأردبيلي رحمه اللّه لمّا استدلّ بهذا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نظره إلى المراثي المتعارفة لأهل الدّيانة التي لا يقصدونها إلّا للتفجّع، و كأنّه لم يحدث في عصره المراثي الّتي يكتفي بها أهل اللهو و المترفون من الرجال و النساء عن حضور مجالس اللهو و ضرب العود و الأوتار و التغنّي بالقصب و المزمار، كما هو الشائع في زماننا الذي قد أخبر النبي صلّى اللّه عليه و آله و سلّم بنظيره في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يتّخذون القرآن مزامير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زيارة سيّدنا و مولانا أبي عبد اللّه عليه السّلام صار سفرها من أسفار اللهو و النزهة لكثير من المترفين، و قد أخبر النبي صلّى اللّه عليه و آله و سلّم بنظيره في سفر الحج، و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يحجّ أغنياء أمتي للنزهة و الأوساط للتجارة و الفقراء للسمعة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كلامه صلّى اللّه عليه و آله و سلّم كالكتاب العزيز، وارد في مورده و جار في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البكاء على الحسين عليه السّلام و سائر المظلومين من أهل البيت عليهم السّلام و أصحابهم، و التفجّع في مصائبهم و رزاياهم أمر مطلوب شرعا، لتواتر الأخبار بالحثّ عليه، و الغناء معين عليه، و رجحان الإعانة على البرّ ثابت بالكتاب و السنّة، فيكون الغناء المعين على البكاء مطلوبا،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المفضي إلى المحمود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يقتضي استحباب التغنّي بالمراثي، و 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 باستحبابه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أنّ المستثني ربما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الأحوط تركه،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الغناء معينا على البكاء ممنوع، و إن سلّم كون الصوت معينا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القميّ رحمه اللّه بعد منع كون الغناء مبكيا على الحسين عليه السّلام بل إنّما هو مقتضى طبيعته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الأشعار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حصول بكاء مركّب من الحلال و الحرام </w:t>
      </w:r>
      <w:r>
        <w:rPr>
          <w:rStyle w:val="FootnoteAnchor"/>
          <w:rtl w:val="true"/>
        </w:rPr>
        <w:footnoteReference w:id="3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المدقّق التستري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الغناء معينا على البكاء و التفجّع فهو ممنوع، بناء على ما عرفت من كونه هو الصوت اللهوي، بل، و على ظاهر تعريف المشهور من الترجيع المطرب، لأنّ الطرب الحاصل منه إن كان سرورا فهو مناف للتفجّع لا معين، و إن كان حزنا فهو على ما هو المركوز في النفس الحيوانية من فقد المشتهيات النفسانية لا على ما أصاب سادة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نظر، فإن الصوت على استقامته من حيث هو لا يوجب البكاء و الحزن، كما لا يوجب ضحكا و لا سرورا، و لكن إذا اشتمل على ترجيع و تطريب فقد يثير حزنا، فإذا أصاب إلى الدماغ دمعت العين، و إذا أصاب إلى الروح تموّج و ظهر منه الصياح، كما صرّح</w:t>
      </w:r>
    </w:p>
    <w:p>
      <w:pPr>
        <w:pStyle w:val="BookText"/>
        <w:rPr/>
      </w:pPr>
      <w:r>
        <w:rPr>
          <w:rFonts w:ascii="Amiri" w:hAnsi="Amiri" w:eastAsia="Amiri" w:cs="Amiri"/>
          <w:color w:val="111111"/>
          <w:sz w:val="28"/>
          <w:sz w:val="28"/>
          <w:szCs w:val="28"/>
          <w:rtl w:val="true"/>
          <w:lang w:bidi="ar-SA"/>
        </w:rPr>
        <w:t>به جمع، فإن كان ذلك لأمر مذموم كان مذموما، و إن كان لأمر محمود مطلوب شرعا كان محمودا، و لا ريب في كونه معينا عليه، و من هنا جازت النياحة بالحقّ كما يأتي، و هي لا تنفكّ عن الغناء، كما صرّح به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مجال لإنكار كون الغناء معينا على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سببا تامّا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يلزم في صدق الإعانة كون المعين علة تامّة للمعان عليه، بل يكفي مجرد كونه ممّا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حزنا فهو على ما هو المركوز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مسلّم في الجملة، لا مطلقا، لتفاوت المستمعين في ذلك قطعا، لما عرفته من أنّ الغناء، مهيّج لما هو الغالب على القلب من الحالات و الصفات، فمن غلب عليه هواه هيّجه للشهوات، و أوجب البكاء على ما فقده من المشتهيات وفات، و من غلب عليه حبّ مولاه حرّك قلبه للحزن على ما يتذكّره من مصائب من كان يتولّاه، و 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غلب عليه عشق نزل كل ما يسمعه عليه و يهيّج قلبه إليه، فكم من محبّ لأهل بيت العصمة عليهم السّلام تدمع عينه بترنّم الأشعار المنشدة في مصائبهم، و التغنّي بالقصائد المنظومة فيما هجم عليهم من مبغضيهم، من غير التفات في هذه الحال إلى ما فاته من المشتهيات الحيوانية، و لا تذكّر لما أصابه من الآفات الزمانية، نعم، كثير من المراثي المحدثة في هذه الأزمنة سيّما في بلاد العجم الّتي يقيمها أهل الدنيا رياء و سمعة مشتمل على ألحان الفسوق و الفجور مقترن بملهيات أكثر من التصانيف المستعملة في مجالس شرب الخمور، و مع ذلك يسمّون هذه المجالس بمجالس التعزية، و لكنّها في نظر المتأمّل مجالس العيش و النشاط، و هي أشبه شي‌ء بالمجالس التي يقيمها أهل التصوّف لأغراض نفسانية و خيالات شيطانية، فيسمّونها مجالس الذكر، و يزعمون أنّها رياض الجنة الّتي ورد الحثّ في بعض الأخبار على حضورها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لنعم ما قال المحدّث الكاشاني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المغترين قوم تسمّوا بأهل الذكر و التصوّف، يدّعون البراءة من التصنع و التكلّف، يلبسون خرقا و يجلسون حلقا، يخترعون الأذكار، و يتغنّون بالأشعار، يعلنون بالتهليل و ليس لهم إلى العلم و المعرفة سبيل، ابتدعوا شهيقا و نهيقا، و اخترعوا رقصا و تصفيقا، قد خاضوا الفتن، و أخذوا بالبدع دون السّنن، رفعوا أصواتهم بالنداء، و صاحوا الصيحة الشنعاء </w:t>
      </w:r>
      <w:r>
        <w:rPr>
          <w:rStyle w:val="FootnoteAnchor"/>
          <w:rtl w:val="true"/>
        </w:rPr>
        <w:footnoteReference w:id="326"/>
      </w:r>
      <w:r>
        <w:rPr>
          <w:rFonts w:ascii="Amiri" w:hAnsi="Amiri" w:eastAsia="Amiri" w:cs="Amiri"/>
          <w:color w:val="111111"/>
          <w:sz w:val="28"/>
          <w:sz w:val="28"/>
          <w:szCs w:val="28"/>
          <w:rtl w:val="true"/>
          <w:lang w:bidi="ar-SA"/>
        </w:rPr>
        <w:t>،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مثل هذا التغنّي غير معين على البكاء على مصيبات سادات الزمان، و لا شك في حرمته، و لكن ذلك لا يوجب السلب الكلّي، كما هو ظاهر كلامه، و لا غرو في كون الغناء بالنسبة إلى بعض المستمعين مباحا، و إلى بعضهم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قد يكون حراما محضا، و قد يكون مباحا، و قد يكون مكروها، و قد يكون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لأكثر الناس من الشبّان و من غلبت عليهم شهوة الدنيا، فلا يحرّك السماع منهم إلّا ما هو الغالب على قلوبهم من الصفات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لا ينزله على صورة المخلوقين، و لكنه يتّخذه عادة له في أكثر الأوقات على سبيل اللهو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لمن لا حظّ له إلّا التلذّذ بالصوت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لمن غلب عليه حبّ اللّه، و لم يحرك السماع منه إلّا الصفات المحمودة </w:t>
      </w:r>
      <w:r>
        <w:rPr>
          <w:rStyle w:val="FootnoteAnchor"/>
          <w:rtl w:val="true"/>
        </w:rPr>
        <w:footnoteReference w:id="327"/>
      </w:r>
      <w:r>
        <w:rPr>
          <w:rFonts w:ascii="IRNazanin" w:hAnsi="IRNazanin" w:eastAsia="IRNazanin"/>
          <w:color w:val="111111"/>
          <w:sz w:val="28"/>
          <w:sz w:val="28"/>
          <w:szCs w:val="28"/>
          <w:rtl w:val="true"/>
          <w:lang w:bidi="fa-IR"/>
        </w:rPr>
        <w:t>انتهى فتأمّل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 أن الصوت المشتمل على الترجيع و التطريب قد يعين على البكاء على الحسين عليه السّلام و أشباهه من أهل البيت و أتباعه من أنصارهم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من أنه لو سلّم كون الغناء معينا على البكاء، فكونه معينا على البكاء على شخص معيّن غير مسلّم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الصوت اللهويّ فلا شك في عدم كونه معينا على البكاء على المظلومين عليهم السّلام و إن أوجب مطلق البكاء في بعض الأحوال، و قد عرفت أنّه لا كلام في حرمته مطلقا، و أنّه لا يقبل الاستثناء، بل استعماله في مثل المراثي أشدّ جرما و أكثر إثما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نظر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الغناء في القرآن كالزنا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رجحان التعاون على البرّ لا يشمل ما لو كان الإعانة بالحرام، كما في المقام، بل تخصيص عموم هذا الدليل بغير الحرام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بأن حرمة الغناء المعين على البكاء أوّل الكلام، إذ هي فرع دلالة أخبار الغناء على حرمة مطلقه، و قد عرفت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كون الغناء مقدّمة لمباح لا يوجب جوازه، بل لا بدّ من ملاحظة دليله، فإن دلّ على الحرمة حكم 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لوقوعه مقدّمة شرعا لكونه منهيا عنه، فلا يكون مقدورا عليه شرعا، و إلّا فيحكم بإباحته للأصل، لا لكونه مقدمة للمباح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الغرض بيان أنّ مقتضى عموم دليل التعاون إباحة كلّ ما يصلح للاستعانة به، و من جملته الغناء، فخروجه موقوف على ثبوت حرمته مطلقا، فما لم يثبت اكتفينا في الحكم بإباحته بمجرّد كونه مقدّمة لمباح، و لا ينافي ذلك دلالة الأصل أيضا عليه، فليتأمّل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التعارض بين أدلّة التعاون على البرّ، و أدلّة الغناء، بالعموم و الخصوص من وجه، لاقتضاء الاولى جواز التعاون و لو بالغناء، و الثانية حرمة الغناء و إن حصل به</w:t>
      </w:r>
    </w:p>
    <w:p>
      <w:pPr>
        <w:pStyle w:val="BookText"/>
        <w:rPr/>
      </w:pPr>
      <w:r>
        <w:rPr>
          <w:rFonts w:ascii="Amiri" w:hAnsi="Amiri" w:eastAsia="Amiri" w:cs="Amiri"/>
          <w:color w:val="111111"/>
          <w:sz w:val="28"/>
          <w:sz w:val="28"/>
          <w:szCs w:val="28"/>
          <w:rtl w:val="true"/>
          <w:lang w:bidi="ar-SA"/>
        </w:rPr>
        <w:t>التعاون على البر، فيتعارضان في مادة الاجتماع أي الغناء المعين على البرّ، فكما يمكن تخصيص عموم الثانية بخصوص الاولى فيحكم بجوازه، يمكن العكس فيحكم بحرمته، و المرجع في مثل هذا التعارض المرجّح، و هو في جانب عموم الثانية ظهورا في الدلالة، و أكثرية في عدد الرواية، و اعتضادا بدعوى الإجماع كما مرّت إليها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المرجّح لما عرفته من عدم دلالة هذه الأخبار على حرمة مطلق الغناء، فالكثرة بالعدد لا تصلح مرجحة لما ذكر، و كذلك الإجماع المنقول مع أنّه معارض بدعوى السيرة على الجواز على أنه مرجّح بالموافقة للكتاب، غاية الأمر التكافؤ فيرجع إلى الأصل، و قضيّته الإباحة 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حرمة الغناء حاكمة على أدلّة رجحان التعاون، نظير أدلّة نفي العسر و الحرج و الضرر و الضرار، بالنسبة إلى سائر الأدلة، بمعنى أنّ أدلة الحرمة بمدلولها اللفظي متعرّضة لحال أدلّة رجحان التعاون، و رافعة للحكم الثابت بها عن بعض أفراد موضوعها، و مبيّنة لمقدار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الحكم في أدلة التعاون بعد ملاحظة أدلة الحرمة هو رجحان التعاون بوصف حصوله بالمباح، فيكون التعاون بالحرام خارجا عن موضوع الحكم فلا تعارض بينهما، و إن كان فهو في بادي الرأي، لا في نفس الأمر، و عند التأمل كما في العام و الخاص المطلق، و المطلق و المقيد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هذا أشار شيخ فقهائنا المتأخّرين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تعارض العموم من وجه، المحتاج إلى ترجيح، بل فهم أهل العرف كاف فيه نحو العام و الخاص و المطلق و المقيّد، و إلّا لتحقّق التعارض من وجه، بين ما دلّ على قضاء حاجة المؤمن مثلا، و النهي عن اللواط و الزنا و الكذب و غيرها من المحرمات، المعلوم بطلانه بضرورة الشرع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يطاع من حيث يعصى</w:t>
      </w:r>
      <w:r>
        <w:rPr>
          <w:rFonts w:eastAsia="Amiri" w:cs="Amiri" w:ascii="Amiri" w:hAnsi="Amiri"/>
          <w:color w:val="111111"/>
          <w:sz w:val="28"/>
          <w:szCs w:val="28"/>
          <w:rtl w:val="true"/>
          <w:lang w:bidi="ar-SA"/>
        </w:rPr>
        <w:t xml:space="preserve">» </w:t>
      </w:r>
      <w:r>
        <w:rPr>
          <w:rStyle w:val="FootnoteAnchor"/>
          <w:rtl w:val="true"/>
        </w:rPr>
        <w:footnoteReference w:id="3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إليه يرجع ما ذكره المدقّق التستري في متاجره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المستحبّات لا تقاوم أدلّة المحرمات خصوصا التي تكون من مقدّماتها، فإنّ مرجع أدلّة الاستحباب إلى استحباب إيجاد الشي‌ء بسببه المباح لا سببه المحرّم، ألا ترى أنّه لا يجوز إدخال السرور في قلب مؤمن و إجابته بالمحرّمات كالزنا و اللواط و الغناء، و السرّ في ذلك أنّ دليل الاستحباب إنّما يدلّ على كون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مستحبّا</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لو خلّي و طبعه، خاليا عمّا يوجب لزوم أحد طرفيه، و لا ينافي ذلك طروّ عنوان من الخارج يوجب لزوم فعله أو تركه، كما إذا صار مقدّمة لواجب، أو صادفه عنوان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المؤمن و إدخال السرور في قلبه ليس في </w:t>
      </w:r>
      <w:r>
        <w:rPr>
          <w:rStyle w:val="FootnoteAnchor"/>
          <w:rtl w:val="true"/>
        </w:rPr>
        <w:footnoteReference w:id="331"/>
      </w:r>
      <w:r>
        <w:rPr>
          <w:rFonts w:ascii="Amiri" w:hAnsi="Amiri" w:eastAsia="Amiri" w:cs="Amiri"/>
          <w:color w:val="111111"/>
          <w:sz w:val="28"/>
          <w:sz w:val="28"/>
          <w:szCs w:val="28"/>
          <w:rtl w:val="true"/>
          <w:lang w:bidi="ar-SA"/>
        </w:rPr>
        <w:t>نفسه شي‌ء ملزم لفعله أو تركه، فإذا تحقّق في ضمن الزنا طرأ عليه عنوان ملزم لتركه، كما إذا أمر به الوالد أو السيّد طرأ عليه عنوان ملزم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جهات الأحكام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الإباحة و الاستحباب 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تزاحم جهة الوجوب و الحرمة، فالحكم لهما مع اجتماع جهتهما مع إحدى الجهات الثلاث </w:t>
      </w:r>
      <w:r>
        <w:rPr>
          <w:rStyle w:val="FootnoteAnchor"/>
          <w:rtl w:val="true"/>
        </w:rPr>
        <w:footnoteReference w:id="3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حسن، لو سلّمنا دلالة أدلّة حرمة الغناء على حرمته مطلقا، و لكن قد عرفت أنّ مدلولها الحرمة في الجملة، فتدبّر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ذكره بعض المحقّقين من المعاصرين من أنّ ما قاله الفاضل المعاصر من الغرائب، و التمثيل بما ذكره غير صحيح، فانّ اختلاف العنوان في الأمر و النهي لا يرفع التعارض، إلّا إذا كان الرجحان توصّليا تبعيّا من باب المقدّمة لواجب أو مندوب فهو لا يعارض الحرمة</w:t>
      </w:r>
    </w:p>
    <w:p>
      <w:pPr>
        <w:pStyle w:val="BookText"/>
        <w:rPr/>
      </w:pPr>
      <w:r>
        <w:rPr>
          <w:rFonts w:ascii="Amiri" w:hAnsi="Amiri" w:eastAsia="Amiri" w:cs="Amiri"/>
          <w:color w:val="111111"/>
          <w:sz w:val="28"/>
          <w:sz w:val="28"/>
          <w:szCs w:val="28"/>
          <w:rtl w:val="true"/>
          <w:lang w:bidi="ar-SA"/>
        </w:rPr>
        <w:t>الأصلية، كما في العبور عن ملك الغير إلى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وجهه أنّ رجحان المقدّمة من باب التوقّف العقلي للمأمور به بحكم العقل، و هو يكون حيث لم تمكن المقدّمة مع إمكان حصول الغرض بغيرها، لعدم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رجحانها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الحكمان أصليّين فالتعارض حاصل في مورد التخالف، و إن اختلف العنوان، لعدم </w:t>
      </w:r>
      <w:r>
        <w:rPr>
          <w:rStyle w:val="FootnoteAnchor"/>
          <w:rtl w:val="true"/>
        </w:rPr>
        <w:footnoteReference w:id="333"/>
      </w:r>
      <w:r>
        <w:rPr>
          <w:rFonts w:ascii="Amiri" w:hAnsi="Amiri" w:eastAsia="Amiri" w:cs="Amiri"/>
          <w:color w:val="111111"/>
          <w:sz w:val="28"/>
          <w:sz w:val="28"/>
          <w:szCs w:val="28"/>
          <w:rtl w:val="true"/>
          <w:lang w:bidi="ar-SA"/>
        </w:rPr>
        <w:t>إمكان الجمع بين الامتثالين، و التعارض بالعموم من وجه كلّه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التنظير بالزنا في حصول قضاء حاجة المؤمن، فلا مناسبة له بالمقام، فإنّ أصل الحاجة و هي الزنا محرّمة على المحتاج، فكيف يحسن قضائها؟ بل يحسن من الغير الإعانة على منعها، بخلاف البكاء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الفاضل المشار اليه قد بنى ما ذكره على الحكومة، فيهدم ما أسّسه المحقّق المعاصر، ضرورة عدم التعارض الحقيقي بين الحاكم و المحكوم كما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رجحان التعاون إنّما هو للتوصّل إلى البرّ، فقد سلّم أنّه لا يعارض الحرمة الأصلية، و أيّ فرق بين التوصّل إلى المسجد بالعبور عن ملك الغير، و التوصّل إلى البكاء بالغناء المفروض تحريمه؟</w:t>
      </w:r>
    </w:p>
    <w:p>
      <w:pPr>
        <w:pStyle w:val="BookText"/>
        <w:rPr/>
      </w:pPr>
      <w:r>
        <w:rPr>
          <w:rFonts w:ascii="Amiri" w:hAnsi="Amiri" w:eastAsia="Amiri" w:cs="Amiri"/>
          <w:color w:val="111111"/>
          <w:sz w:val="28"/>
          <w:sz w:val="28"/>
          <w:szCs w:val="28"/>
          <w:rtl w:val="true"/>
          <w:lang w:bidi="ar-SA"/>
        </w:rPr>
        <w:t>و دعوى أنّ التعاون مطلوب في نفسه، مجازفة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من أن محلّ البحث من باب تعارض الحكمين الأصليّين بالعموم من وجه، إذ الأمر بالإعانة على البرّ هو الأمر بإيجاد ما توقّف عليه، و هو في الفرض من أفراد الغناء المعين على البكاء أو الإبكاء، فيحصل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محلّه،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الأمر بالتعاون منساق لبيان حكم آخر، فلا ينصرف إلى محلّ النهي، و قد اعترف هو أيضا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إطلاق الأمر كذلك يقدّم جانب الحرمة، كالأمر بالمسافرة و النهي عن ركوب الدابّة المغصوبة، و الأمر بالإفطار و النهي عن أكل المتنجّس و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التنظير بالزنا،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 بين الأمر بقضاء الحاجة و الأمر بالتعاون و النهي عن الزنا و النهي عن الغناء؟ فكما أنّ النهي عن الزنا حاكم على الأمر بقضاء الحاجة فكذلك النهي عن الغناء حاكم على الأمر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يراد بحاجة المؤمن حاجته الشرعية، كما يشعر به الإضافة إلى المؤمن،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ظهر أيضا ضعف ما ذكره والده النحرير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ترجيح جانب الحرمة على الجواز بعد التعارض غير ثابت، إلّا على وجه الأولوية، و هو أمر آخر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مقتضى التحكيم لزوم ترجيح جانب الحرمة لا أولويته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العامّ المشتمل على النهي المستلزم لطلب انتفاء الطبيعة رأسا أقوى من دلالة الأمر الذي لا يقتضي إلّا الامتثال الحاصل بوجود بعض الأفراد، قاله المحقّق القمي رحمه اللّه في بعض تحقيقاته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إرجاعه إلى بعض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يقرأ المرثية،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يغنّي،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يقرأ المرثيّة، و كذا الكلام في قراءة القرآن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الغناء صفة للفظ و المقروء، لا للصوت و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فاسد، كما دلّ عليه كلام العلماء، و أهل اللّغة في عدم إدراجهم المقروء في تعريف الغناء، بل إنّما جعلوه تعريفا للصوت و إن فرض اصطلاح جديد و عرف خاصّ فهو ممّا لا يعتنى به، فلا بدّ من حمل كلام الشارع على العرف السابق لأصالة عدم تغيّر العرف </w:t>
      </w:r>
      <w:r>
        <w:rPr>
          <w:rStyle w:val="FootnoteAnchor"/>
          <w:rtl w:val="true"/>
        </w:rPr>
        <w:footnoteReference w:id="336"/>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المستثنيات عن الغناء الحرام، على القول بحرمة مطلق الصوت المطرب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تبيّن ممّا 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جوازه إذا لم يكن لهويّا و لا مقترنا بالملاهي و المحرّمات من غير فرق فيه بين ما كان من هذه المستثنيات و غيره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فرق في الغناء الذي حكم بحرمته بين المستثنيات و غيرها، فافهم و اغتنم، و كن من الشاكرين</w:t>
      </w:r>
      <w:r>
        <w:rPr>
          <w:rFonts w:eastAsia="Amiri" w:cs="Amiri" w:ascii="Amiri" w:hAnsi="Amiri"/>
          <w:color w:val="111111"/>
          <w:sz w:val="28"/>
          <w:szCs w:val="28"/>
          <w:rtl w:val="true"/>
          <w:lang w:bidi="ar-SA"/>
        </w:rPr>
        <w:t>.</w:t>
      </w:r>
      <w:bookmarkStart w:id="161" w:name="pg1913_17839"/>
    </w:p>
    <w:p>
      <w:pPr>
        <w:pStyle w:val="Heading3"/>
        <w:numPr>
          <w:ilvl w:val="2"/>
          <w:numId w:val="1"/>
        </w:numPr>
        <w:rPr/>
      </w:pPr>
      <w:bookmarkStart w:id="162" w:name="__RefHeading___Toc3298054_3650668749"/>
      <w:bookmarkStart w:id="163" w:name="_Toc61"/>
      <w:bookmarkEnd w:id="161"/>
      <w:bookmarkEnd w:id="162"/>
      <w:r>
        <w:rPr>
          <w:rtl w:val="true"/>
        </w:rPr>
        <w:t>و أمّا الخاتمة ففي بيان حكم النياحة</w:t>
      </w:r>
      <w:bookmarkEnd w:id="163"/>
    </w:p>
    <w:p>
      <w:pPr>
        <w:pStyle w:val="Heading4"/>
        <w:numPr>
          <w:ilvl w:val="3"/>
          <w:numId w:val="1"/>
        </w:numPr>
        <w:rPr/>
      </w:pPr>
      <w:bookmarkStart w:id="164" w:name="__RefHeading___Toc3298056_3650668749"/>
      <w:bookmarkStart w:id="165" w:name="_Toc62"/>
      <w:bookmarkEnd w:id="164"/>
      <w:r>
        <w:rPr>
          <w:rtl w:val="true"/>
        </w:rPr>
        <w:t>اشارة</w:t>
      </w:r>
      <w:bookmarkEnd w:id="165"/>
    </w:p>
    <w:p>
      <w:pPr>
        <w:pStyle w:val="BookText"/>
        <w:rPr/>
      </w:pPr>
      <w:r>
        <w:rPr>
          <w:rFonts w:ascii="Amiri" w:hAnsi="Amiri" w:eastAsia="Amiri" w:cs="Amiri"/>
          <w:color w:val="111111"/>
          <w:sz w:val="28"/>
          <w:sz w:val="28"/>
          <w:szCs w:val="28"/>
          <w:rtl w:val="true"/>
          <w:lang w:bidi="ar-SA"/>
        </w:rPr>
        <w:t xml:space="preserve">قال الفيروزآبادي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ناحت المرأة زوجها و عليه، نوحا، و نواحا بالضّم، و نياحا و نياحة بكسرهما، و مناحا، و الاسم النياحة </w:t>
      </w:r>
      <w:r>
        <w:rPr>
          <w:rStyle w:val="FootnoteAnchor"/>
          <w:rtl w:val="true"/>
        </w:rPr>
        <w:footnoteReference w:id="33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الحسين بن أحمد الزوزني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النوح و 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نوحه كردن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 كيفية خاصّة من الصوت في نوع من المقروء، و هو ما يشمل على إظهار الويل و العويل على الميّت، و لو بان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ويلاه، يا ويلاه، واي 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معناها، أو بعدّ بعض محاسنه و ذكر سوانحه و مصائبه، و مع ذلك يظهر الألم و الوجع عليه،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الرثاء و النوحة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كيفية الصوت في النوحة دون المرثيّة، و اعتبار كونه شعرا في المرثيّة دون النوحة </w:t>
      </w:r>
      <w:r>
        <w:rPr>
          <w:rStyle w:val="FootnoteAnchor"/>
          <w:rtl w:val="true"/>
        </w:rPr>
        <w:footnoteReference w:id="33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فاعلم أنّه قد اختلفت كلمة أصحابنا الأخيار، كالأخبار المأثورة عن أئمّتنا الأبرار، في النياحة على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الاتّفاق على حرمتها إذا كانت بالباطل و الكذب، كوصف الميّت بما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أنّها تحرم، و هذا ظاهر الشيخ رحمه اللّه في كتاب الجنائز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عليه</w:t>
      </w:r>
    </w:p>
    <w:p>
      <w:pPr>
        <w:pStyle w:val="BookText"/>
        <w:rPr/>
      </w:pPr>
      <w:r>
        <w:rPr>
          <w:rFonts w:ascii="IRNazanin" w:hAnsi="IRNazanin" w:eastAsia="IRNazanin"/>
          <w:color w:val="111111"/>
          <w:sz w:val="28"/>
          <w:sz w:val="28"/>
          <w:szCs w:val="28"/>
          <w:rtl w:val="true"/>
          <w:lang w:bidi="fa-IR"/>
        </w:rPr>
        <w:t xml:space="preserve">الإجماع </w:t>
      </w:r>
      <w:r>
        <w:rPr>
          <w:rStyle w:val="FootnoteAnchor"/>
          <w:rtl w:val="true"/>
        </w:rPr>
        <w:footnoteReference w:id="340"/>
      </w:r>
      <w:r>
        <w:rPr>
          <w:rFonts w:ascii="Amiri" w:hAnsi="Amiri" w:eastAsia="Amiri" w:cs="Amiri"/>
          <w:color w:val="111111"/>
          <w:sz w:val="28"/>
          <w:sz w:val="28"/>
          <w:szCs w:val="28"/>
          <w:rtl w:val="true"/>
          <w:lang w:bidi="ar-SA"/>
        </w:rPr>
        <w:t xml:space="preserve">و ابن حمزة في كتاب الطهارة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ما رواه الكليني عن محمد بن يحيى، عن سلمة بن الخطّاب، عن إبراهيم بن محمّد، عن عمرو الزعفراني، عن الصادق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أصيب بمصيبة فجاء عند تلك المصيبة بنائحة فقد كفرها</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رواه الصدوق رحمه اللّه في حديث المناهي أنّه صلّى اللّه عليه و آله و سلّم نهى عن الرنّة عند المصيبة و نهى عن النياحة و الاستماع إليها و نهى عن تصفيق </w:t>
      </w:r>
      <w:r>
        <w:rPr>
          <w:rStyle w:val="FootnoteAnchor"/>
          <w:rtl w:val="true"/>
        </w:rPr>
        <w:footnoteReference w:id="343"/>
      </w:r>
      <w:r>
        <w:rPr>
          <w:rFonts w:ascii="IRNazanin" w:hAnsi="IRNazanin" w:eastAsia="IRNazanin"/>
          <w:color w:val="111111"/>
          <w:sz w:val="28"/>
          <w:sz w:val="28"/>
          <w:szCs w:val="28"/>
          <w:rtl w:val="true"/>
          <w:lang w:bidi="fa-IR"/>
        </w:rPr>
        <w:t xml:space="preserve">الوجه </w:t>
      </w:r>
      <w:r>
        <w:rPr>
          <w:rStyle w:val="FootnoteAnchor"/>
          <w:rtl w:val="true"/>
        </w:rPr>
        <w:footnoteReference w:id="34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تقدّمت جملة من الأخبار تدلّ على هذا،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هو مذهب الأكثرين، حيث قيّدوا الحرمة بما إذا كان بالباطل، و هو الأقوى، بل الظاهر أنّ من أطلق الحرمة مراده ذلك، فلا مخالف صريحا في الجواز إذا كان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الأصل، و السيرة المستمرّة من زمن النبي صلّى اللّه عليه و آله و سلّم إلى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عن علي بن الحكم، عن يونس بن يعقوب، عن الصادق عليه السّلام قال قال لي أبي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أوقف لي من مالي كذا و كذا لنوادب تندبنني عشر سنين بمنى أيّام منى</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عنهم عن احمد بن محمد، عن علي بن الحكم، عن مالك بن عطيّة، عن أبي حمزة،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الوليد بن مغيرة، فقالت أمّ سلمة للنبي صلّى اللّه عليه و آله و سلّم و إنّ</w:t>
      </w:r>
    </w:p>
    <w:p>
      <w:pPr>
        <w:pStyle w:val="BookText"/>
        <w:rPr/>
      </w:pPr>
      <w:r>
        <w:rPr>
          <w:rFonts w:ascii="Amiri" w:hAnsi="Amiri" w:eastAsia="Amiri" w:cs="Amiri"/>
          <w:color w:val="111111"/>
          <w:sz w:val="28"/>
          <w:sz w:val="28"/>
          <w:szCs w:val="28"/>
          <w:rtl w:val="true"/>
          <w:lang w:bidi="ar-SA"/>
        </w:rPr>
        <w:t>آل المغيرة قد أقاموا مناحة، فأذهب إليهم؟ فأذن لها، فلبست ثيابها و تهيّأت و كانت من حسنها كأنّها جانّ، و كانت إذا قامت فأرخت شعرها جلّل جسدها، و عقدت بطرفيه خلخالها، فندبت ابن عمّها بين يدي رسول اللّه صلّى اللّه عليه و آله و سلّم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أنعى الوليد بن الوليد أبا الوليد فتى العشيرة</w:t>
      </w:r>
    </w:p>
    <w:p>
      <w:pPr>
        <w:pStyle w:val="BookText"/>
        <w:rPr/>
      </w:pPr>
      <w:r>
        <w:rPr>
          <w:rFonts w:ascii="Amiri" w:hAnsi="Amiri" w:eastAsia="Amiri" w:cs="Amiri"/>
          <w:color w:val="111111"/>
          <w:sz w:val="28"/>
          <w:sz w:val="28"/>
          <w:szCs w:val="28"/>
          <w:rtl w:val="true"/>
          <w:lang w:bidi="ar-SA"/>
        </w:rPr>
        <w:t>حامي الحقيقة ماجد يسمو إلى طلب الوتيرة</w:t>
      </w:r>
    </w:p>
    <w:p>
      <w:pPr>
        <w:pStyle w:val="BookText"/>
        <w:rPr/>
      </w:pPr>
      <w:r>
        <w:rPr>
          <w:rFonts w:ascii="Amiri" w:hAnsi="Amiri" w:eastAsia="Amiri" w:cs="Amiri"/>
          <w:color w:val="111111"/>
          <w:sz w:val="28"/>
          <w:sz w:val="28"/>
          <w:szCs w:val="28"/>
          <w:rtl w:val="true"/>
          <w:lang w:bidi="ar-SA"/>
        </w:rPr>
        <w:t>قد كان غيثا في السنين و جعفرا غدقا و ميرة</w:t>
      </w:r>
    </w:p>
    <w:p>
      <w:pPr>
        <w:pStyle w:val="BookText"/>
        <w:rPr/>
      </w:pPr>
      <w:r>
        <w:rPr>
          <w:rFonts w:ascii="Amiri" w:hAnsi="Amiri" w:eastAsia="Amiri" w:cs="Amiri"/>
          <w:color w:val="111111"/>
          <w:sz w:val="28"/>
          <w:sz w:val="28"/>
          <w:szCs w:val="28"/>
          <w:rtl w:val="true"/>
          <w:lang w:bidi="ar-SA"/>
        </w:rPr>
        <w:t xml:space="preserve">فما عاب رسول اللّه صلّى اللّه عليه و آله و سلّم ذلك، و لا قال شيئا </w:t>
      </w:r>
      <w:r>
        <w:rPr>
          <w:rStyle w:val="FootnoteAnchor"/>
          <w:rtl w:val="true"/>
        </w:rPr>
        <w:footnoteReference w:id="3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رواه عن علي بن إبراهيم، عن أبيه، و عن محمد بن يحيى، عن أحمد بن محمد، عن محمد بن إسماعيل،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معنا في الحيّ، و لها جارية نائحة، فجائت إلى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أنت تعلم أنّ معيشتي من اللّه ثمّ من هذه الجارية، فأحببت أنّ تسأل أبا عبد اللّه عليه السّلام عن ذلك، فإن كان حلالا، و إلّا بعتها، و أكلت من ثمنها حتّى يأتي اللّه بالفرج، فقال لها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لأعظم أبا عبد اللّه عليه السّلام أن أسأله عن هذه المسألة، قال فلمّا قدمنا إليه أخبرته أنا بذلك،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تشارط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تشارط و تقبل ما أعطيت</w:t>
      </w:r>
      <w:r>
        <w:rPr>
          <w:rFonts w:eastAsia="Amiri" w:cs="Amiri" w:ascii="Amiri" w:hAnsi="Amiri"/>
          <w:color w:val="111111"/>
          <w:sz w:val="28"/>
          <w:szCs w:val="28"/>
          <w:rtl w:val="true"/>
          <w:lang w:bidi="ar-SA"/>
        </w:rPr>
        <w:t xml:space="preserve">» </w:t>
      </w:r>
      <w:r>
        <w:rPr>
          <w:rStyle w:val="FootnoteAnchor"/>
          <w:rtl w:val="true"/>
        </w:rPr>
        <w:footnoteReference w:id="34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ليعلم أنّ النياحة على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ما يمدح، و منها ما يذمّ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نياحة الشخص على نفسه بتذكّر ذنوبه، و تقصيراته في أمر دينه و آخرته، أو بحرمانه عن كمالات نفسانية توجب الزلفى إلى اللّه، أو بعروض حجب خلقية من الاشتغال بصحبة غير اللّه، و الابتلاء بمعاشرة من لا فائدة في معاشرته سوى البعد عن 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نياحة آدم من هذا القبيل، ففي بعض الروايات أنّه بكى و ناح ثلاثماءة سنة لم</w:t>
      </w:r>
    </w:p>
    <w:p>
      <w:pPr>
        <w:pStyle w:val="BookText"/>
        <w:rPr/>
      </w:pPr>
      <w:r>
        <w:rPr>
          <w:rFonts w:ascii="Amiri" w:hAnsi="Amiri" w:eastAsia="Amiri" w:cs="Amiri"/>
          <w:color w:val="111111"/>
          <w:sz w:val="28"/>
          <w:sz w:val="28"/>
          <w:szCs w:val="28"/>
          <w:rtl w:val="true"/>
          <w:lang w:bidi="ar-SA"/>
        </w:rPr>
        <w:t xml:space="preserve">يرفع فيها رأسه إلى السماء حياء من ربّه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نياحة داود عليه السّلام فقد كان يبكي و يبكي، و يحزن و يحزن، حتّى كانت الجنائز ترفع من مجالس نياحته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النبي صلّى اللّه عليه و آله و سلّم أنّ داود كان حسن الصوت في النياحة على نفسه في تلاوة الزبور، حتّى كان يجتمع الإنس و الجنّ و الوحوش و الطير لسماع صوته، و كان يحمل من مجلسه أربعمائة جنازة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النياحة على المظلومين من آل محمّد صلّى اللّه عليه و آله و سلّم و لا سيّما الحسين عليه السّلام و أصحابه الذين بذلوا مهجهم دونه عليه السّلام فقد تواترت الأخبار بالحثّ على هذه النياحة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 على فراق المحبوب المحرّم، و على ما فات من زخارف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الحزن على الأموات من هذا القبيل، فإنّه تسخّط لقضاء اللّه و تأسّف على ما لا تدارك له، فهذا الحزن لمّا كان مذموما كان تحريكه بالنياحة مذموما، فلذلك ورد النهي الصريح عن النياحة </w:t>
      </w:r>
      <w:r>
        <w:rPr>
          <w:rStyle w:val="FootnoteAnchor"/>
          <w:rtl w:val="true"/>
        </w:rPr>
        <w:footnoteReference w:id="35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نظر، فإنّ مطلق الحزن لا يستلزم التسخّط لقضاء اللّه، فإنّه قد ينشأ من حرقة القلب قهرا فيتبعه النياحة، و من هنا ورد أخبار كثيرة بجواز النوح و البكاء على الموتى، فقد روى الصدوق رحمه اللّه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سعد بن عبد اللّه، عن أحمد بن محمد بن عيسى، عن محمد بن إسماعيل بن بزيع، عن ظريف بن ناصح، عن الحسين بن زيد 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ماتت ابنة لأبي عبد اللّه عليه السّلام فناح عليها سنة، ثم مات له ولد آخر فناح عليه سنة، ثم مات إسماعيل فجزع عليه جزعا شديدا، فقطع النوح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لأبي عبد اللّه عليه السّلام أ يناح في دارك </w:t>
      </w:r>
      <w:r>
        <w:rPr>
          <w:rStyle w:val="FootnoteAnchor"/>
          <w:rtl w:val="true"/>
        </w:rPr>
        <w:footnoteReference w:id="352"/>
      </w:r>
      <w:r>
        <w:rPr>
          <w:rFonts w:ascii="Amiri" w:hAnsi="Amiri" w:eastAsia="Amiri" w:cs="Amiri"/>
          <w:color w:val="111111"/>
          <w:sz w:val="28"/>
          <w:sz w:val="28"/>
          <w:szCs w:val="28"/>
          <w:rtl w:val="true"/>
          <w:lang w:bidi="ar-SA"/>
        </w:rPr>
        <w:t>؟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حمزة لا بواكي له</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الشيخ بإسناده عن أحمد بن محمد، عن علي بن الحكم، عن أبان بن عثمان، عن محمّد بن الحسين الواسطي،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خليل الرحمن سأل ربّه أن يرزقه ابنة تبكيه بعد موته</w:t>
      </w:r>
      <w:r>
        <w:rPr>
          <w:rFonts w:eastAsia="Amiri" w:cs="Amiri" w:ascii="Amiri" w:hAnsi="Amiri"/>
          <w:color w:val="111111"/>
          <w:sz w:val="28"/>
          <w:szCs w:val="28"/>
          <w:rtl w:val="true"/>
          <w:lang w:bidi="ar-SA"/>
        </w:rPr>
        <w:t xml:space="preserve">» </w:t>
      </w:r>
      <w:r>
        <w:rPr>
          <w:rStyle w:val="FootnoteAnchor"/>
          <w:rtl w:val="true"/>
        </w:rPr>
        <w:footnoteReference w:id="35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ناحت على أبيها و أنّه أمر بالنوحة على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أنّ الصادق عليه السّلام سئل عن أجر النائح؟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قد نيح على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تحتاج المرأة في المأتم إلى النوح ليسيل دمعها و لا ينبغي لها </w:t>
      </w:r>
      <w:r>
        <w:rPr>
          <w:rStyle w:val="FootnoteAnchor"/>
          <w:rtl w:val="true"/>
        </w:rPr>
        <w:footnoteReference w:id="356"/>
      </w:r>
      <w:r>
        <w:rPr>
          <w:rFonts w:ascii="Amiri" w:hAnsi="Amiri" w:eastAsia="Amiri" w:cs="Amiri"/>
          <w:color w:val="111111"/>
          <w:sz w:val="28"/>
          <w:sz w:val="28"/>
          <w:szCs w:val="28"/>
          <w:rtl w:val="true"/>
          <w:lang w:bidi="ar-SA"/>
        </w:rPr>
        <w:t>أن تقول هجرا، فإذا جائها الليل فلا تؤذي الملائكة بالنوح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الهجر بضمّ الهاء الإفحاش، و الخنا،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تعداد أفعاله القبيحة و صفاته المذمومة، و الأولى إرادة وصفه بما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الكراهة على الحرمة، لحرمة ما ذكر قطعا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يراد بالهجر ما يشعر بعدم الرضا بالقضاء كما هو المتعارف بين الجهّال عند المصائب، فيكون مكروها، بل يمكن القول بحرمته إذا كان فيه تسخّط للقضاء، كما يظهر من بعض الأخبار</w:t>
      </w:r>
      <w:r>
        <w:rPr>
          <w:rFonts w:eastAsia="Amiri" w:cs="Amiri" w:ascii="Amiri" w:hAnsi="Amiri"/>
          <w:color w:val="111111"/>
          <w:sz w:val="28"/>
          <w:szCs w:val="28"/>
          <w:rtl w:val="true"/>
          <w:lang w:bidi="ar-SA"/>
        </w:rPr>
        <w:t>.</w:t>
      </w:r>
      <w:bookmarkStart w:id="166" w:name="pg1913_17849"/>
    </w:p>
    <w:p>
      <w:pPr>
        <w:pStyle w:val="BookText"/>
        <w:rPr/>
      </w:pPr>
      <w:bookmarkEnd w:id="166"/>
      <w:r>
        <w:rPr>
          <w:rFonts w:ascii="Amiri" w:hAnsi="Amiri" w:eastAsia="Amiri" w:cs="Amiri"/>
          <w:color w:val="111111"/>
          <w:sz w:val="28"/>
          <w:sz w:val="28"/>
          <w:szCs w:val="28"/>
          <w:rtl w:val="true"/>
          <w:lang w:bidi="ar-SA"/>
        </w:rPr>
        <w:t>و بكراهة النوح في الليل المستفادة من هذه الرواية صرّح جماعة من فقهائنا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جواز نياحة المرأة مع إسماعها الأجانب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بعض الأخبار، و اشتهار نياحة جملة من النسوة من أهل بيت أئمتنا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أنّ صوتها عورة، كما في بعض الأخبار،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ذلك بين النياحة على الحسين عليه السّلام و غيره، فليتأمّل</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298058_3650668749"/>
      <w:bookmarkStart w:id="168" w:name="_Toc63"/>
      <w:bookmarkEnd w:id="167"/>
      <w:r>
        <w:rPr>
          <w:rtl w:val="true"/>
        </w:rPr>
        <w:t>تذنيبات</w:t>
      </w:r>
      <w:r>
        <w:rPr>
          <w:rtl w:val="true"/>
        </w:rPr>
        <w:t>:</w:t>
      </w:r>
      <w:bookmarkEnd w:id="168"/>
    </w:p>
    <w:p>
      <w:pPr>
        <w:pStyle w:val="Heading5"/>
        <w:numPr>
          <w:ilvl w:val="4"/>
          <w:numId w:val="1"/>
        </w:numPr>
        <w:rPr/>
      </w:pPr>
      <w:bookmarkStart w:id="169" w:name="__RefHeading___Toc3298060_3650668749"/>
      <w:bookmarkStart w:id="170" w:name="_Toc64"/>
      <w:bookmarkEnd w:id="169"/>
      <w:r>
        <w:rPr>
          <w:rtl w:val="true"/>
        </w:rPr>
        <w:t>الأوّل</w:t>
      </w:r>
      <w:r>
        <w:rPr>
          <w:rtl w:val="true"/>
        </w:rPr>
        <w:t>:</w:t>
      </w:r>
      <w:bookmarkEnd w:id="170"/>
    </w:p>
    <w:p>
      <w:pPr>
        <w:pStyle w:val="BookText"/>
        <w:rPr/>
      </w:pPr>
      <w:r>
        <w:rPr>
          <w:rFonts w:ascii="Amiri" w:hAnsi="Amiri" w:eastAsia="Amiri" w:cs="Amiri"/>
          <w:color w:val="111111"/>
          <w:sz w:val="28"/>
          <w:sz w:val="28"/>
          <w:szCs w:val="28"/>
          <w:rtl w:val="true"/>
          <w:lang w:bidi="ar-SA"/>
        </w:rPr>
        <w:t xml:space="preserve">قال الشهيد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الوقف على النوائح، لأنّه فعل مباح، فجاز صرف المال اليه، و لخبر يونس بن يعقوب عن الصادق عليه السّلام فساق روايته التي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بذلك تنبيه الناس على فضائله عليه السّلام و إظهارها ليقتدى بها، و يعلم ما كان عليه أهل البيت ليقتفى آثارهم لزوال التقيّة بعد الموت انتهى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 w:name="__RefHeading___Toc3298062_3650668749"/>
      <w:bookmarkStart w:id="172" w:name="_Toc65"/>
      <w:bookmarkEnd w:id="171"/>
      <w:r>
        <w:rPr>
          <w:rtl w:val="true"/>
        </w:rPr>
        <w:t>الثاني</w:t>
      </w:r>
      <w:r>
        <w:rPr>
          <w:rtl w:val="true"/>
        </w:rPr>
        <w:t>:</w:t>
      </w:r>
      <w:bookmarkEnd w:id="172"/>
    </w:p>
    <w:p>
      <w:pPr>
        <w:pStyle w:val="BookText"/>
        <w:rPr/>
      </w:pPr>
      <w:r>
        <w:rPr>
          <w:rFonts w:ascii="Amiri" w:hAnsi="Amiri" w:eastAsia="Amiri" w:cs="Amiri"/>
          <w:color w:val="111111"/>
          <w:sz w:val="28"/>
          <w:sz w:val="28"/>
          <w:szCs w:val="28"/>
          <w:rtl w:val="true"/>
          <w:lang w:bidi="ar-SA"/>
        </w:rPr>
        <w:t>صرّح أيضا بأنّ المراثي المنظومة جائزة عندنا، لأنّها نوع من النوح،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دلّلنا على جوازه، و قد سمع الأئمّة عليهم السّلام المراثي و لم ينكروها</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3298064_3650668749"/>
      <w:bookmarkStart w:id="174" w:name="_Toc66"/>
      <w:bookmarkEnd w:id="173"/>
      <w:r>
        <w:rPr>
          <w:rtl w:val="true"/>
        </w:rPr>
        <w:t>الثالث</w:t>
      </w:r>
      <w:r>
        <w:rPr>
          <w:rtl w:val="true"/>
        </w:rPr>
        <w:t>:</w:t>
      </w:r>
      <w:bookmarkEnd w:id="174"/>
    </w:p>
    <w:p>
      <w:pPr>
        <w:pStyle w:val="BookText"/>
        <w:rPr/>
      </w:pPr>
      <w:r>
        <w:rPr>
          <w:rFonts w:ascii="Amiri" w:hAnsi="Amiri" w:eastAsia="Amiri" w:cs="Amiri"/>
          <w:color w:val="111111"/>
          <w:sz w:val="28"/>
          <w:sz w:val="28"/>
          <w:szCs w:val="28"/>
          <w:rtl w:val="true"/>
          <w:lang w:bidi="ar-SA"/>
        </w:rPr>
        <w:t>روى جماعة من علماء العامّة، كالبخاري و مسلم، عن عبد اللّه بن عمر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ليعذّب ببكاء أهله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الذي عليه أصحابنا أن الميّت لا يعذّب ببكاء الحيّ عليه، و إن كان بنوح محرّم، إذ لٰا تَزِرُ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الرواية غير معوّل عليها عندنا، و على فرض صحّتها مصروفة الظاهر، لمخالفتها لقواعد العدل، فيمكن إرادة التألّم من العذاب،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 و يتألّم باطلاعه على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أوّلها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الجاهلية كانوا ينوحون، و يعدّدون جرائمه كالقتل و شنّ الغارات، و هم يظنّونها خصالا محمودة، فهو يعذّب بما يبكون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يشكل أنّ ظاهر الحديث المنع عن البكاء بسبب استلزامه عذاب الميّت بحيث ينتفي التعذيب بسبب انتفاء البكاء، قضيّة للعليّة، و التعذيب بجرائمه غير منتف بكا عليه أولا؟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كانوا يوصون بالندب و النياحة، و ذلك حمل منهم على المعصية و هو ذنب، فإذا عمل بوصيّتهم زيدوا عذابا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ذنب الميت الحمل على الحرام و الأمر به، فلا يختلف عذابه بالامتثال و عدمه، و لو كان للامتثال أثر لبقي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بكاء أهله عليه،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الميّت يعذّب بأعماله، و هم يبكون عليه، فما ينفعه بكاؤهم، و يكون زجرا عن البكاء لعدم نفعه </w:t>
      </w:r>
      <w:r>
        <w:rPr>
          <w:rStyle w:val="FootnoteAnchor"/>
          <w:rtl w:val="true"/>
        </w:rPr>
        <w:footnoteReference w:id="3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بعض ما ذكره نظر، و لعلّ ما أشرنا إليه في تأويل الرواية أظهر، وفاقا لبعض المحقّقين من أهل النظر، فتدبّر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ليكن هذا آخر ما أردنا إيراده في هذا المختصر، و قد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بذريعة الاستغناء في تحقيق مسألة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و على رسوله أفضل التحيّات و الثناء</w:t>
      </w:r>
      <w:r>
        <w:rPr>
          <w:rFonts w:eastAsia="Amiri" w:cs="Amiri" w:ascii="Amiri" w:hAnsi="Amiri"/>
          <w:color w:val="111111"/>
          <w:sz w:val="28"/>
          <w:szCs w:val="28"/>
          <w:rtl w:val="true"/>
          <w:lang w:bidi="ar-SA"/>
        </w:rPr>
        <w:t>.</w:t>
      </w:r>
      <w:bookmarkStart w:id="175" w:name="pg1913_17878"/>
    </w:p>
    <w:p>
      <w:pPr>
        <w:pStyle w:val="Heading2"/>
        <w:numPr>
          <w:ilvl w:val="1"/>
          <w:numId w:val="1"/>
        </w:numPr>
        <w:rPr/>
      </w:pPr>
      <w:bookmarkStart w:id="176" w:name="__RefHeading___Toc3298066_3650668749"/>
      <w:bookmarkStart w:id="177" w:name="_Toc67"/>
      <w:bookmarkEnd w:id="175"/>
      <w:bookmarkEnd w:id="176"/>
      <w:r>
        <w:rPr>
          <w:rtl w:val="true"/>
        </w:rPr>
        <w:t>فهرس مصادر التحقيق</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بن محمد بن النعمان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حامد محمد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المعارف بالرياض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اتحاف السادة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الحسيني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إيقاظ النائمين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ماجد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و مطبوع ضمن التمهيد لعلوم القرآن،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باقر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 الطبعة الحديثة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 في شرح القاموس لمحمد مرتضى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مكتبة الحياة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التمهيد لعلوم القرآن لمحمد هادي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التنقيح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المقداد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تلبيس إبليس لأبي الفرج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كتابفروشى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المقباس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لميرزا ابى القاسم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الرضوان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للمحقق الكركي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نشر كتاب بتصحيح الشيخ حسن المصطفوي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للملإ حبيب اللّه الشريف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حسن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الجوامع الفقهية لجمع من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العظمى المرعشي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للشيخ يوسف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في محاسن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علمية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النابغة الذبياني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العلوي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 إلى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البراءة 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للملإ حبيب اللّه الشريف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المرعشي النجفي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لمير 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المسائل للسيد على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يزيد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ناصر خسرو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شواهد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الصراح من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عمر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بشرح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بحاشية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الأيام للملإ احمد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 عليه السّلام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الاعلمى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غزالى نامه لجلال الدين همائى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كتابفروشى فروغى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الأصول 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الطوسية للشيخ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الجديدة للوحيد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الحجري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للملإ حبيب اللّه الشريف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 الفوائد للشهيد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المفيد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الأصول لميرزا أبو القاسم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الأحكام للعلامة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للفيروزآبادي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القصائد الهاشميات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 لأبي العباس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 لأبي العباس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للشيخ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الأحكام لمحمد باقر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أصفهان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للشيخ الصدوق صححه الغفاري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الألقاب للملإ حبيب اللّه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بوذر جمهرى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أدب الحوزة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الغزالي للبدويّ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 لحسين بن أحمد الزوزني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كتابفروشى باستان 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للفيومى</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للمسعودي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الامام الهادي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الداورى قم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منتقد المنافع للملإ حبيب اللّه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الارب لعبد الرحيم صفي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كتابخانۀ سنائى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تبريز بخط طاهر خوشنويس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المكاسب للشيخ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سيد محمد كلانتر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المكاسب للشيخ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الطبع الحجري بخط محمد تقي الگلپايگاني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 البرهان للمولى أحمد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 لمحمد بن ابى بكر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للطريحي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الافهام للشهيد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 لابن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جواد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الذخائر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لمولى احمد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آية اللّه النجفي المرعشي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لمولى محمد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 الحجري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الامام احمد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للشيخ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البيضاء للفيض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للشيخ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 للطبرسي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مقتنيات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لمير سيد على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ابتدعتها السياسة في الإسلام لعبد الواحد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الاعلمى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مجرد الفقه و الفتاوى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قدس 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الثقلين لابن جمعة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إسماعيليان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للشيخ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طهران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للفيض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الحديثة مكتبة الإمام أمير المؤمنين أصفهان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تصرّفنا في الترجمة بالحذف و تعديل الضمائر، قليلا بما لا يغيّر المفاد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للمؤلف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لباب الألقاب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ضروب الأغصان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باختلاف في الاختصاص المنسوب الى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نقلها المصنف في موسوعته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منتقد المنافع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المتاجر من النسخة الخطية، نقلا عن رسالة إيقاظ النائمين للسيد ماجد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ضمن كتاب التمهيد لعلوم القرآن للأستاذ الشيخ محمد هادي معرفة 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العبارة في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فيها اختزال و تلخيص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الطوسية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أصل البراءة و الاحتياط للمؤلف ره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بخطه الشريف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الصواب،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أصول الشريعة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رحمه اللّه في المقنعة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كسب المغنيّات حرام و تعلّم ذلك و تعليمه محظور في شرع الإسلام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الجديدة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في آخر الفصول الغروية، أيضا انظر عوائد الأيام للنراقي رحمه اللّه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بحر العلوم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شرطي حمل المطلق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إيقاظ النائمين، و قد سبق ذكرها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بحت تعارض الأحوال من قوانين الأصول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إيقاظ النائمين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ره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العبارات من رسالة إيقاظ النائمين فراجع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يكتسب به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المعيشة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طويلة فراجع الأغاني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خبر أبى مسكين بطوله في مروج الذهب للمسعودي،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ذيل مادّة غنّ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للزوزنى،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الصراح من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عمر بن خالد القرشي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مفتاح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مختار الصحاح،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بيروت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محمد كلانتر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لابن يعيش،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بخطّ عبد الرحيم،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للفيروزآبادي،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الأنصاري،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مفاتيح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منتقد المنافع،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مجلد المتاجر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للنراقى،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و درر القلائد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للفيومى،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مادّة غنّ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المنتقد مجلد المتاجر،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في المنتقد أيضا،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بعد على صاحب العبارة و الرسالة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إيقاظ النائمين و قد سبق ذكره، راجع التمهيد في علوم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سرّ الأدب و لكن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المنتقد مجلد المتاجر،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سرّ الأدب للثعالبي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الفرح</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شواهد المغني لجلال الدين السيوطي،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مطلع قصيدة للكميت بن زيد الأسدي، أنظر تمامها في القصائد الهاشميات،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و رد في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في أسد الغابة في معرفة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مع ما في المتن، فراجع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عتبة بن ابان بن سمعه من نسّاك البصرة، انظر أخباره في حلية الأولياء،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ربيع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ذو النون المصري على ما في الأحياء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رجوع الغزالي إلى الحقّ و استبصاره ما ربما يظهر من كتاب سرّ العالمين على ما في مقدمة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و في كونه من تأليفات الغزالي بحث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غزالى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لجلال الدين همايي،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مؤلّفات 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للبدويّ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معاني الأخبار للصدوق،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أبواب ما يكتسب 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أستغفر 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في تفسير العياشي عن ابى جعفر عن ابى عبد اللّه عليه السّلام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راجع مفاتيح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الطبع الحجري،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ط تبريز،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منتقد المنافع،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مجلد المتاجر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إتحاف السادة المتقين،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 الحديث بهذا اللفظ منقول من رسالة إيقاظ النائمين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 تقدم ذكر مصادره على اختلاف ألفاظه فيها فراجع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إيقاظ النائمين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الفطر و الأضحى، و فيه اختلاف آخر، هنا فراجع</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ما يجوز من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قرب الاسناد المطبوع في النجف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 قمري،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سالته، بدل سألته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يؤمر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راجع 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للشيخ الأنصاري ره،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ره لو لا استشهاده بقوله ليست بالتي تدخل عليها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المنتقد،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جلد المتاجر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 المراد به الفيض الكاشاني رحمه اللّه كما في المنتقد مجلد المتاجر،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المقدمة الحادية عشرة من مقدمات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ايضا راجع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أخرجه في 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مسندا عن أبى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فراجع الخصال المترجم،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و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قال محقق الكتاب في ذيل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له أصلا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مع اختلاف يسير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المستطرفات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مسند الامام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المبسوط للشيخ رحمه اللّه،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صلّى اللّه عليه و آله و سلّم حسّنوا القرآن بأصواتكم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مسند الامام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المبسوط للشيخ ره،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مسند الامام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الفرائد و درر القلائد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المبسوط للشيخ رحمه اللّه،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منتقد المنافع المجلد المتاجر،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السابع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الفرائد و درر القلائد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السيد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المبسوط للشيخ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البحار،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النابغة الذبياني،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القصة واردة أيضا في أبي البختري القاضي مع الرشيد فراجع، كتاب مذاهب ابتدعتها السياسة في الإسلام، لعبد الواحد الأنصاري،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نظيره فراجع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الحديث باختلاف يسير مع ما في المتن فراجع،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الامام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المبسوط للشيخ رحمه اللّه،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السيّد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بتة بدل بيّنة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القراءة بالحزن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تحريم الغناء في القرآن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لحن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لحن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رحمه اللّه،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إيقاظ النائمين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ايضا تلبيس إبليس لأبي الفرج ابن الجوزي،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المبسوط للشيخ رحمه اللّه،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بعاث، بضمّ الباء، يوم مشهور كان فيه حرب بين الأوس و الخزرج، و بعاث اسم حصن للأوس و بعضهم يقوله بالغين المعجمة و هو تصحيف، راجع النهاية في غريب الحديث و 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السادة المتّقين،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غنا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انه أبو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ما سبق في هذا الكتاب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هذا من قول يزيد بن الوليد بن عبد الملك بن مروان ثاني عشر خلفاء بنى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اتحاف السادة المتقين،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الدرّ المنثور في التفسير بالمأثور لجلال الدين عبد الرحمن السيوطي،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الدر المنثور في التفسير بالمأثور،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و أسرار التأويل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إيقاظ النائمين، راجع التمهيد في علوم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راجع تفسير مقتنيات الدرر،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و هذه الرواية عن أبي جعفر عليه السّلام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الصحيح رواية محمد بن عمرو بن حزم راجع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راجع تفسير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تلبيس إبليس،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تفسير مقتنيات الدرر،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راجع تفسير 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تلبيس إبليس،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تفسير مقتنيات الدرر،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بهامشه،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 في تفسير ابن عباس</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الكندي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كان مشتهرا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زمّارة، بالفتح و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مسند الامام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المراد ببعض التابعين فضيل بن عياض</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يؤثر بدون لا، و قد أضاف المؤلف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لهو المؤمن باطل إلّا في ثلاث في تأديبه الفرس و رميه عن قوسه و ملاعبته امرأته فإنّهنّ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الشيخ الأعظم الأنصاري رحمه اللّه نقله بالمعنى في المكاسب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رحمه اللّه نقله بعينه عن الشيخ رحمه اللّه اعتمادا عليه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بطل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الباطل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 الفتاوى،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شرائطه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مكارم الأخلاق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في بعض نسخ المكاسب القديمة كالمطبوعة في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محمد تقي الگلپايگاني،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الأخيرة ليست في الأحياء</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باب الجنائز، 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تلبيس إبليس لأبي الفرج الجوزي،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 الصفحة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 الصفحة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قضيت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الجديد أيضا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أيضا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هيجان شهوة النّكاح من المرأة و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فيه الغلمة راجع، لسان العرب مادة غلم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طبعه في إيران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العبارات مقتبسة من رسالة إيقاظ النائمين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لطيف على تمام الحديث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النواهي في شرح حديث المناهي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 في المطبعة العلمية بقم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طبعه الجديد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فيما بأيدينا من المنابع و لكن في شرح النووي على صحيح مسلم باب تحسين الصوت بالقرآن ذيل قول النبي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أذن اللّه لشي‌ء ما أذن لنبيّ يتغنّى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بذلك فراجع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السابع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مظانه من المسالك نعم ورد في الجواهر فراجع،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لابن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بالقوارير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 شبههن بالقوارير لأنّه يسرع إليها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مفتاح الكرامة،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للشيخ رحمه اللّه،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سرّ الأدب للثعالبي،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كناية عن الحرم و عن قتادة، المراد به ضعفة النساء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حدا، 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ليس فيه الخنا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مصدره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السرائر،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صحيح مسلم بشرح النووي،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العيدين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صحيح البخاري بحاشية السندي،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في العيدين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الأنصاري،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تبريز</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الصواب،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المنهي على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لِكَيْلٰا تَأْسَوْا عَلىٰ مٰا فٰاتَكُمْ الآية،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في محاسن الأخلاق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ملا محمد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مشارق الأحكام،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هذه الكلمة لا توجد في النسخ المطبوعة من المكاسب في زماننا و الظاهر أنها زائدة، مع إمكان توجيهها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المصدر، و الظاهر أن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فيه نفسه شي‌ء ملزم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تبريز</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لعموم إمكان الجمع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الأحكام للحاج ملّا محمّد النراقي ابن احمد بن مهدي النراقي رحمه اللّه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للزوزنى،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مصدره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الصفق بالصاد المهملة ثمّ الفاء و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الذي يسمع منه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بتصفيق الوجه لطمه عند 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 النواهي في شرح حديث المناهي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للمؤلف قدس سره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ايضا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الحديث بلفظه و كأنه منقول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 في دارك</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 الشيعة،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بحاشية السندي،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صحيح مسلم بشرح النووي،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مما استدركته عائشة على الصحابة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 الشيعة،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38706</Words>
  <Characters>159017</Characters>
  <CharactersWithSpaces>196039</CharactersWithSpaces>
  <Paragraphs>2112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2026-08-16T19:39:09Z</dcterms:created>
  <dc:creator>ghaemiyeh.com</dc:creator>
  <dc:description/>
  <dc:language>en-US</dc:language>
  <cp:lastModifiedBy/>
  <dcterms:modified xsi:type="dcterms:W3CDTF">2026-08-16T23:09:14Z</dcterms:modified>
  <cp:revision>1</cp:revision>
  <dc:subject/>
  <dc:title>ذریعة الاستغناء فی تحقیق الغناء</dc:title>
</cp:coreProperties>
</file>

<file path=docProps/custom.xml><?xml version="1.0" encoding="utf-8"?>
<Properties xmlns="http://schemas.openxmlformats.org/officeDocument/2006/custom-properties" xmlns:vt="http://schemas.openxmlformats.org/officeDocument/2006/docPropsVTypes"/>
</file>