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تعلیقات علی رسالة فی المواسعة و المضایقة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736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7736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77367_3650668749">
            <w:r>
              <w:rPr>
                <w:webHidden/>
                <w:rStyle w:val="IndexLink"/>
                <w:rtl w:val="true"/>
              </w:rPr>
              <w:t>[</w:t>
            </w:r>
            <w:r>
              <w:rPr>
                <w:rStyle w:val="IndexLink"/>
                <w:rtl w:val="true"/>
              </w:rPr>
              <w:t>الكلام في المواسعة و المضايقة</w:t>
            </w:r>
            <w:r>
              <w:rPr>
                <w:rStyle w:val="IndexLink"/>
                <w:rtl w:val="true"/>
              </w:rPr>
              <w:t>]</w:t>
              <w:tab/>
            </w:r>
            <w:r>
              <w:rPr>
                <w:rStyle w:val="IndexLink"/>
              </w:rPr>
              <w:t>5</w:t>
            </w:r>
          </w:hyperlink>
        </w:p>
        <w:p>
          <w:pPr>
            <w:pStyle w:val="Contents3"/>
            <w:tabs>
              <w:tab w:val="clear" w:pos="8459"/>
              <w:tab w:val="right" w:pos="9026" w:leader="dot"/>
            </w:tabs>
            <w:rPr/>
          </w:pPr>
          <w:hyperlink w:anchor="__RefHeading___Toc3277369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277371_3650668749">
            <w:r>
              <w:rPr>
                <w:webHidden/>
                <w:rStyle w:val="IndexLink"/>
                <w:rtl w:val="true"/>
              </w:rPr>
              <w:t>خاتمة</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_24888"/>
      <w:bookmarkStart w:id="1" w:name="pg1906_24888"/>
      <w:bookmarkEnd w:id="1"/>
    </w:p>
    <w:p>
      <w:pPr>
        <w:pStyle w:val="Heading2"/>
        <w:numPr>
          <w:ilvl w:val="1"/>
          <w:numId w:val="1"/>
        </w:numPr>
        <w:rPr/>
      </w:pPr>
      <w:bookmarkStart w:id="2" w:name="pg1906_24888"/>
      <w:bookmarkStart w:id="3" w:name="__RefHeading___Toc3277363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رسالة في المواسعة و المضايقة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لارى، سيد عبد الحسين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معارف اسلامى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على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7365_3650668749"/>
      <w:bookmarkStart w:id="6" w:name="_Toc2"/>
      <w:bookmarkEnd w:id="5"/>
      <w:r>
        <w:rPr>
          <w:rtl w:val="true"/>
        </w:rPr>
        <w:t>اشارة</w:t>
      </w:r>
      <w:bookmarkStart w:id="7" w:name="pg1906_26325"/>
      <w:bookmarkEnd w:id="6"/>
    </w:p>
    <w:p>
      <w:pPr>
        <w:pStyle w:val="Heading2"/>
        <w:numPr>
          <w:ilvl w:val="1"/>
          <w:numId w:val="1"/>
        </w:numPr>
        <w:rPr/>
      </w:pPr>
      <w:bookmarkStart w:id="8" w:name="__RefHeading___Toc3277367_3650668749"/>
      <w:bookmarkStart w:id="9" w:name="_Toc3"/>
      <w:bookmarkEnd w:id="7"/>
      <w:bookmarkEnd w:id="8"/>
      <w:r>
        <w:rPr>
          <w:rtl w:val="true"/>
        </w:rPr>
        <w:t>[</w:t>
      </w:r>
      <w:r>
        <w:rPr>
          <w:rtl w:val="true"/>
        </w:rPr>
        <w:t>الكلام في المواسعة و المضايقة</w:t>
      </w:r>
      <w:r>
        <w:rPr>
          <w:rtl w:val="true"/>
        </w:rPr>
        <w:t>]</w:t>
      </w:r>
      <w:bookmarkEnd w:id="9"/>
    </w:p>
    <w:p>
      <w:pPr>
        <w:pStyle w:val="Heading3"/>
        <w:numPr>
          <w:ilvl w:val="2"/>
          <w:numId w:val="1"/>
        </w:numPr>
        <w:rPr/>
      </w:pPr>
      <w:bookmarkStart w:id="10" w:name="__RefHeading___Toc3277369_365066874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النصوص </w:t>
      </w:r>
      <w:r>
        <w:rPr>
          <w:rStyle w:val="FootnoteAnchor"/>
          <w:rtl w:val="true"/>
        </w:rPr>
        <w:footnoteReference w:id="2"/>
      </w:r>
      <w:r>
        <w:rPr>
          <w:rFonts w:ascii="Amiri" w:hAnsi="Amiri" w:eastAsia="Amiri" w:cs="Amiri"/>
          <w:color w:val="111111"/>
          <w:sz w:val="28"/>
          <w:sz w:val="28"/>
          <w:szCs w:val="28"/>
          <w:rtl w:val="true"/>
          <w:lang w:bidi="ar-SA"/>
        </w:rPr>
        <w:t>الدالّة على رجحان تقديمها على الفائتة لأجل إدراك فضيلة وقت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القول بالتخيير أو الرجوع إلى أصالة عدم أفضليّة تقديم كلّ من الفائتة و الحاضرة على الأخرى بعد فرض تعارض أدلّة تقديم كلّ منهما على الآخر على وجه العموم من وجه و 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لأدلّة المسارعة إلى الخير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في تقديم كلّ من الفائتة على الحاضرة و العكس مسارعة إلى الخير، فلا يختصّ المسارعة بتقديم الفائتة، بل العكس أولى بالمسارعة، لاختصاصه بمزيّة درك فضيلة وقت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r>
        <w:rPr>
          <w:rStyle w:val="FootnoteAnchor"/>
          <w:rtl w:val="true"/>
        </w:rPr>
        <w:footnoteReference w:id="4"/>
      </w:r>
      <w:r>
        <w:rPr>
          <w:rFonts w:ascii="Amiri" w:hAnsi="Amiri" w:eastAsia="Amiri" w:cs="Amiri"/>
          <w:color w:val="111111"/>
          <w:sz w:val="28"/>
          <w:sz w:val="28"/>
          <w:szCs w:val="28"/>
          <w:rtl w:val="true"/>
          <w:lang w:bidi="ar-SA"/>
        </w:rPr>
        <w:t xml:space="preserve">ذلك لمجرّد رجحان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اختصاص هذه العلّة بتقديم الحاضرة، بل يعمّ تقديم كلّ منهما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كلا القولين و بيان الفرق بين المستحبين المتزاحمين مع أهميّة أحدهما و الواجبين كذلك موكول إلى محلّه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إنكار الترجيح بالأهميّة فلابتنائه على مقايسة الترجيح بالتعيين في الاحتياج إلى الدليل، و من المعلوم الفرق بينهما اسما و حكما، و ذلك لأنّ الترجيح هو الميل و الأخذ و العمل بأحد الشيئين المتساويين لمزيّة من المزايا</w:t>
      </w:r>
    </w:p>
    <w:p>
      <w:pPr>
        <w:pStyle w:val="BookText"/>
        <w:rPr/>
      </w:pPr>
      <w:r>
        <w:rPr>
          <w:rFonts w:ascii="Amiri" w:hAnsi="Amiri" w:eastAsia="Amiri" w:cs="Amiri"/>
          <w:color w:val="111111"/>
          <w:sz w:val="28"/>
          <w:sz w:val="28"/>
          <w:szCs w:val="28"/>
          <w:rtl w:val="true"/>
          <w:lang w:bidi="ar-SA"/>
        </w:rPr>
        <w:t>أو داعية من الدواعي و الأغراض النفسيّة من غير أن يحكم و يلزم بتعيين الراجح و إسقاط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يجوز الترجيح بأيّ مرجّح و مزيّة و داعية و لو لم يقم على اعتباره دليل معتبر، بخلاف التعيين فإنّه لمّا كان عبارة عن الحكم و الإلزام و الالتزام بأحد الشيئين المتساويين احتاج إلى دليل اعتبار التعيين و المعين له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القول ببقاء غير الأهمّ من الواجبين المتزاحمين على صفة الوجوب و عدم سقوطه عن وصفه فلابتنائه على مقايسة الواجبين المتزاحمين المتفاوتين بالأهميّة على المستحبّين المتزاحمين بها في البقاء على ما كان له من الحكم و عدم سقوط غير الأهمّ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الفرق بينهما اسما و حكما، من جهة أنّ حكم الاستحباب قابل للمراتب، فلا يسقط استحباب غير الأهمّ بمزاحمة الأهمّ و ترجيحه على غير الأهمّ، بخلاف حكم الوجوب و هو ما يستحقّ تاركه العقاب فإنّه بهذا المعنى لا يقبل التعدّد، و بقاء المزاحم للأهمّ منه على صفة الوجوب، بل لمجرّد الترجيح بالأهميّة بتعيين الأهمّ، و يسقط غير الأهمّ عن الوجوب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التمكّن من فعلها إلّا بعد ما اذن في تأخّره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تقديم أحد فائتي اليوم و ما قبله إلّا بعد إذن الشارع في تأخير الآخر منهما المفروض عدمه، فإنّ الترجيح بلا مرجّح و التعيين بلا معيّن قبيح، فتعيّن التخيير و عدم وجوب تقديم أحد الفائتين على الأخرى، لأصالة البراءة، و عدم التعيين و الترجيح</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 إدخاله في إطلاق كلامه الراجع إلى عدم وجوب الترتيب إذا كان عليه أكثر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التعرّض فيها لحكم فائتة الأكثر من يوم، فضلا عن إطلاقه الشامل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6"/>
      </w:r>
      <w:r>
        <w:rPr>
          <w:rFonts w:ascii="Amiri" w:hAnsi="Amiri" w:eastAsia="Amiri" w:cs="Amiri"/>
          <w:color w:val="111111"/>
          <w:sz w:val="28"/>
          <w:sz w:val="28"/>
          <w:szCs w:val="28"/>
          <w:rtl w:val="true"/>
          <w:lang w:bidi="ar-SA"/>
        </w:rPr>
        <w:t>ظاهر العذر في كلامه ما عدا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ظهور العذر فيما عدا الصلاة، فإنّ الاشتغال بالفائتة الفوريّة عذر شرعيّ في تأخير الحاضرة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المراد بالوقت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يتضيّق وقت الحاضرة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فيحتمل أن يكون وقت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وقت الفائت و القضاء من قولهم وقت الذكر محتمل لإرادة التذكّر بعد النسيان و هو المضايقة، أو مطلق الوقت الصالح للقضاء،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الصَّلٰاةَ لِذِكْرِي </w:t>
      </w:r>
      <w:r>
        <w:rPr>
          <w:rStyle w:val="FootnoteAnchor"/>
          <w:rtl w:val="true"/>
        </w:rPr>
        <w:footnoteReference w:id="8"/>
      </w:r>
      <w:r>
        <w:rPr>
          <w:rFonts w:ascii="Amiri" w:hAnsi="Amiri" w:eastAsia="Amiri" w:cs="Amiri"/>
          <w:color w:val="111111"/>
          <w:sz w:val="28"/>
          <w:sz w:val="28"/>
          <w:szCs w:val="28"/>
          <w:rtl w:val="true"/>
          <w:lang w:bidi="ar-SA"/>
        </w:rPr>
        <w:t xml:space="preserve">أي في وقتها، و قوله جَعَلَ اللَّيْلَ وَ النَّهٰارَ خِلْفَةً لِمَنْ أَرٰادَ أَنْ يَذَّكَّرَ </w:t>
      </w:r>
      <w:r>
        <w:rPr>
          <w:rStyle w:val="FootnoteAnchor"/>
          <w:rtl w:val="true"/>
        </w:rPr>
        <w:footnoteReference w:id="9"/>
      </w:r>
      <w:r>
        <w:rPr>
          <w:rFonts w:ascii="Amiri" w:hAnsi="Amiri" w:eastAsia="Amiri" w:cs="Amiri"/>
          <w:color w:val="111111"/>
          <w:sz w:val="28"/>
          <w:sz w:val="28"/>
          <w:szCs w:val="28"/>
          <w:rtl w:val="true"/>
          <w:lang w:bidi="ar-SA"/>
        </w:rPr>
        <w:t>، أي أراد قضاء ما فاته الليل بالنهار و بالعكس كذلك وقت الحاضرة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وقت مختصّ أو مشترك أو اختياري للمختار أو اضطراري لذوي الأعذار، و المختصّ مقدار ما يسع الصلاة من أوّل الوقت أو آخره و المشترك ما بين الوقتين، و لا خلاف في ذلك، كما لا خلاف في اعتبار الترتيب في الأداء، إنّما الخلاف و المعقود في هذه الرسالة في اعتبار الترتيب و الفوريّة في خصوص القضاء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الأداء فلا خلاف في اعتبار الترتيب فيه، كما لا خلاف في التوسعة فيه في الجملة و إن اختلف في التوسعة الكلّية فيه للمختار أو لذوي الأعذار، كما</w:t>
      </w:r>
    </w:p>
    <w:p>
      <w:pPr>
        <w:pStyle w:val="BookText"/>
        <w:rPr/>
      </w:pPr>
      <w:r>
        <w:rPr>
          <w:rFonts w:ascii="IRNazanin" w:hAnsi="IRNazanin" w:eastAsia="IRNazanin"/>
          <w:color w:val="111111"/>
          <w:sz w:val="28"/>
          <w:sz w:val="28"/>
          <w:szCs w:val="28"/>
          <w:rtl w:val="true"/>
          <w:lang w:bidi="fa-IR"/>
        </w:rPr>
        <w:t>هو ظاهر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من الوقت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يتضيّق وقت الحاضرة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إن كان من القائلين بتضييق وقت الأداء الاختياري للمختار فهو وقت الفضيلة لكلّ فريضة، كما هو ظاهر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 رضوان اللّٰه و آخر الوقت غفران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 آخر الوقت لذوي الأعذار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القائلين بالتوسعة الكلّية في وقت الأداء و الاختيار فوقت الأداء الاختياري من أوّل الوقت إلى أن يبقى من آخره الاختياري مقدار أداء تمام الصلاة و من آخره الاضطراري مقدار ركعة،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فقد أدرك الصلاة كلّه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يعلم الفرق و التفاوت بين الحكمين و سرّ الاختلاف بين المسألتين، حيث حكموا بأداء الظهرين للمدرك من الوقت مقدار خمس ركعات للصلاتين، و لم يحكموا بأداء العشاءين للمدرك منه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التفاوت أنّ المدرك من وقت الظهرين خمس ركعات مدرك وقت اختياري الظهر و اضطراري العصر، بخلاف المدرك من وقت العشاءين أربع ركعات فإنّه مدرك وقت اختياري العشاء فقط، فلا يجوز له تفويت الاختياري إلى الوقت الاضطراري بالاختيار إلّا لذوي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وجهه مع ضعفه يظهر بالتأمّل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وجهه فلأنّ مقتضى الفوريّة الحقيقيّة العدول عن الحاضرة إلى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ضعفه فلأنّ تأخير الفائتة إلى إتمام الحاضرة من المعاذير</w:t>
      </w:r>
    </w:p>
    <w:p>
      <w:pPr>
        <w:pStyle w:val="BookText"/>
        <w:rPr/>
      </w:pPr>
      <w:r>
        <w:rPr>
          <w:rFonts w:ascii="Amiri" w:hAnsi="Amiri" w:eastAsia="Amiri" w:cs="Amiri"/>
          <w:color w:val="111111"/>
          <w:sz w:val="28"/>
          <w:sz w:val="28"/>
          <w:szCs w:val="28"/>
          <w:rtl w:val="true"/>
          <w:lang w:bidi="ar-SA"/>
        </w:rPr>
        <w:t>الشرعيّة الغير المنافية للفوريّة بعد ما كان العدول منافيا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حقّقنا في الأصول عدم جريان استصحاب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حقّقه في التنبيه الثامن من تنبيهات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المراد من صحّة الأجزاء السابقة إمّا موافقتها للأمر المتعلّق بها، و إمّا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موافقها للأمر المتعلّق بها فالمفروض أنّها متيقّنة سواء فسد العمل أم لا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إلى آخر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صحّة صلاة المتيمّم الواجد للماء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موضوع الاستصحاب على المسامحة العرفيّة لا المداقة، و إلّا لانسدّ باب الاستصحاب، لإمكان التجزئة في غير ذي الأجزاء و لو كان بسيط، فإذا صحّ استصحاب صحّة صلاة المتيمّم الواجد للماء في أثناء الصلاة مع انتقاض تيمّمه بوجدان الماء قبل الدخول في الصلاة إجماعا صحّ استصحاب صحّة صلاة من ذكر الفائتة في أثنائها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فإنّه لا يخلو من 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أصالة عدم مشروعيّة الحاضرة محكوم بأصالة عدم وجوب تقديم الفائتة، و عدم اشتراط تقديمها في صحّة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فأصالة الإباحة و عدم التحريم لا ينفع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الشكّ فيها مسبّب عن الشكّ في تعلّق الأمر بذلك الضدّ و عدمه المسبّب عن الشكّ في تضييق الفائتة و عدمه المتقدّم فيها أصالة عدم تعلّق الأمر بالضدّ، بل و عدم تضييق الفائتة من جهة تقدّم الأصل في السبب على الأصل في المسبّب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دائر بين حرمة الحاضرة و وجوبها فلا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أصالة عدم كلّ من الحرمة و الوجوب و إن جرى و اقتضى الإباحة و الجواز، لكن مجرّد ذلك لا يقتضي مشروعيّة العبادة المتوقّف عليها الصحّة إلّا على الأصل المثبت و استصحاب الرجحان بعد نفي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إلى استصحاب أمر محقّق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كليّة الأحكام و الخطابات و التكاليف الشرعيّة و العرفيّة متعلّقة بأنواع الكلّيات المشروطة بأنواع الشروط المفقودة، بل المعدومة شروطها و مشروطها، كقوله وَ لِلّٰهِ عَلَى النّٰاسِ حِجُّ الْبَيْتِ مَنِ اسْتَطٰاعَ إِلَيْهِ </w:t>
      </w:r>
      <w:r>
        <w:rPr>
          <w:rStyle w:val="FootnoteAnchor"/>
          <w:rtl w:val="true"/>
        </w:rPr>
        <w:footnoteReference w:id="16"/>
      </w:r>
      <w:r>
        <w:rPr>
          <w:rFonts w:ascii="Amiri" w:hAnsi="Amiri" w:eastAsia="Amiri" w:cs="Amiri"/>
          <w:color w:val="111111"/>
          <w:sz w:val="28"/>
          <w:sz w:val="28"/>
          <w:szCs w:val="28"/>
          <w:rtl w:val="true"/>
          <w:lang w:bidi="ar-SA"/>
        </w:rPr>
        <w:t>، و مع ذلك يقدّم استصحابها بعد تنجّز الشروط و وجود المشروط على استصحاب عدمها السابق عند الشروط و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ناظريّة الأصول الظاهريّة إلى الواقع، بل هي تنزيل مؤدّاها منزلة الواقع في خصوص ما يترتّب على الواقع من الآثار الشرعيّة المترتّبة عليها بلا واسطة عقليّة أو عاديّة، دون الآثار الغير الشرعيّة و لا الشرعيّة المترتّبة على الوسائط العقليّة أو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بنى محقّقو المتأخّرين على عدم حجّيّة الأصول المثبتة، و على جواز المخالفة الالتزاميّة الغير العمليّة للأصول الظاهريّة فيما لو دار الأمر بين وجوب الشي‌ء و حرمته بأصالة عدم كلّ من الوجوب و الحرمة فيه، فيثبت الإباحة مع كونه قولا بالفصل، و مخالفا للإجماع المركّب، و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الإطلاقات مسوقة لبيان حكم الصلاة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انصراف الإطلاقات و سوقها لبيان حكم آخر من دون صارف و سائق مع الشكّ و الريب رجم بالغيب، و لا يخلو من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w:t>
      </w:r>
    </w:p>
    <w:p>
      <w:pPr>
        <w:pStyle w:val="BookText"/>
        <w:rPr/>
      </w:pPr>
      <w:r>
        <w:rPr>
          <w:rFonts w:ascii="Amiri" w:hAnsi="Amiri" w:eastAsia="Amiri" w:cs="Amiri"/>
          <w:color w:val="111111"/>
          <w:sz w:val="28"/>
          <w:sz w:val="28"/>
          <w:szCs w:val="28"/>
          <w:rtl w:val="true"/>
          <w:lang w:bidi="ar-SA"/>
        </w:rPr>
        <w:t>تلك الإطلاقات بإطلاق لحم الغنم حلال طاهر في الانصراف عن لحم المسروق و النجس قياس مع الفارق، لوجود الصارف و السائق في المقيس عليه دون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مانعيّة الفائتة من تقديم الحاضرة فيما نحن فيه شبهة موضوعيّة لا تشخص بالإطلاق و العموم، كما لو رأت المبتدئة بعد دخول الوقت الدم المشكوك الحيضة و المانعيّة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شبهة مانعيّة الفائتة من تقديم الحاضرة شبهة حكميّة لا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لكن الإطلاق الوارد في مورد الموضوع المشتبه برفع الاشتباه و تشخيص الموضع المشتبه، فإنّ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يشخص عالميّة مشكوك العالميّة و لكن إذا فرضنا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دخول مشكوك العالمية تبيّن أنّه عالم أو داخل في حكمه، كما فيما نحن فيه، فإنّ إطلاق تقديم الحاضرة بعد دخول وقتها وارد فيمن لا يخلو ذمّته غالبا عن فائتة، بل و عن سائر الواجبات الأهميّة، بل الفوريّة بحيث يكون الخلوّ عنها تقييد المطلقات جواز الحاضرة في أوّل الوقت أو جميعه بالفرد النادر أو الأندر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كلّما ورد من الدليل على فوريّة شي‌ء يتوقّف على تأخّر الحاضرة مقيّدا لتلك الأدلّة معارضا لها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في كلّ ما دلّ </w:t>
      </w:r>
      <w:r>
        <w:rPr>
          <w:rStyle w:val="FootnoteAnchor"/>
          <w:rtl w:val="true"/>
        </w:rPr>
        <w:footnoteReference w:id="17"/>
      </w:r>
      <w:r>
        <w:rPr>
          <w:rFonts w:ascii="Amiri" w:hAnsi="Amiri" w:eastAsia="Amiri" w:cs="Amiri"/>
          <w:color w:val="111111"/>
          <w:sz w:val="28"/>
          <w:sz w:val="28"/>
          <w:szCs w:val="28"/>
          <w:rtl w:val="true"/>
          <w:lang w:bidi="ar-SA"/>
        </w:rPr>
        <w:t>على فوريّة الفائت فوريّته على وجه التعدّد المطلوبي و بيان أهميّته تقديم الفائت لا تقييد مطلوبيّة الحاضر، لعدم فائت في ذمّته، و الاحتمال يبطل الاستدلال، فتسلم الإطلاقات المذكورة في هذا الفرض عن التقييد بأصالة الإطلاق و عدم التقييد، كما تسلم أيضا في الفرض السابق</w:t>
      </w:r>
    </w:p>
    <w:p>
      <w:pPr>
        <w:pStyle w:val="BookText"/>
        <w:rPr/>
      </w:pPr>
      <w:r>
        <w:rPr>
          <w:rFonts w:ascii="Amiri" w:hAnsi="Amiri" w:eastAsia="Amiri" w:cs="Amiri"/>
          <w:color w:val="111111"/>
          <w:sz w:val="28"/>
          <w:sz w:val="28"/>
          <w:szCs w:val="28"/>
          <w:rtl w:val="true"/>
          <w:lang w:bidi="ar-SA"/>
        </w:rPr>
        <w:t>و اللاحق عن التقييد و الانصراف إلى بيان أصل تشريع حكم الصلاة في أوّل الوقت الجامعة للشرائط، لا الأعمّ من الجامعة و غيرها بأصالة الإطلاق و عدم الصارف 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يعلم أنّ جواب المصنّف </w:t>
      </w:r>
      <w:r>
        <w:rPr>
          <w:rStyle w:val="FootnoteAnchor"/>
          <w:rtl w:val="true"/>
        </w:rPr>
        <w:footnoteReference w:id="18"/>
      </w:r>
      <w:r>
        <w:rPr>
          <w:rFonts w:ascii="Amiri" w:hAnsi="Amiri" w:eastAsia="Amiri" w:cs="Amiri"/>
          <w:color w:val="111111"/>
          <w:sz w:val="28"/>
          <w:sz w:val="28"/>
          <w:szCs w:val="28"/>
          <w:rtl w:val="true"/>
          <w:lang w:bidi="ar-SA"/>
        </w:rPr>
        <w:t>عن استدلال المواسع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الإطلاق على جميع فروض الجواب من بدية إلى ختمه على طوله راجع إلى تقييد الإطلاقات المذكورة بأدلّة فوريّة الفائتة أو ترتّب الحاضرة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راجع إلى تقيّد الإطلاقات المذكورة و مقايستها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حلال أو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حرام أو نجس</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الكلب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المقيسة حرام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إطلاقها مورد حكم آخر غير الإطلاق و انصرافها إلى مجرّد بيان حكم الصلاة الجامعة للشرائط الواقعيّة في أوّل الوقت لا الأعمّ من الجامعة و غيرها، و هو ممنوع، لأصالة الإطلاق، و عدم التقييد و التقيّد، و عدم الصارف و الانصراف، و كون المقايسة بين الإطلاقين مع الفارق البيّن جدّا، و إلّا لانسدّ باب الإطلاق طرّا، لطروّ احتمال هذا المانع و الصارف في كلّ مطلق، و هو خلاف الأصل الأصيل الّذي عليه التعويل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تقييد مطلقات جواز الحاضرة في أوّل الوقت أو جميعه بصورة خلوّ الذمّة عن فائتة تقييد لها بالضرر النادر الأندر، إذ قلّما ينفكّ ذمّة مكلّف عن فائتة نفسه أو غيره بوراثة أو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المطلوب في مسألة المضايقة منع الفائتة عن صحّة الحاضرة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عموم النكرة في سياق النفي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فما يمنعك إلّا سبحتك</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يفيد عموم نفي المانع الكمالي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p>
    <w:p>
      <w:pPr>
        <w:pStyle w:val="BookText"/>
        <w:rPr/>
      </w:pPr>
      <w:r>
        <w:rPr>
          <w:rFonts w:ascii="Amiri" w:hAnsi="Amiri" w:eastAsia="Amiri" w:cs="Amiri"/>
          <w:color w:val="111111"/>
          <w:sz w:val="28"/>
          <w:sz w:val="28"/>
          <w:szCs w:val="28"/>
          <w:rtl w:val="true"/>
          <w:lang w:bidi="ar-SA"/>
        </w:rPr>
        <w:t>إلى أنّ نفي المانع الكمالي يقتضي نفي مانع الصحّة أيضا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الاستحباب المذكور إنّما يتوجّه إلى فعل الحاضرة في أوّل الوقت بعد الفراغ عن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الاستدلال باستحباب تقديم الحاضرة إنّما هو على عدم وجوب تأخيرها و تقديم الفائتة، لا على وجوب تقديم الحاضرة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الفراغ عن وجوبها فلا يدلّ على وجوبها المدّعى، فاستحباب تقديم الحاضرة دليل عدم الترتيب و عدم الفوريّة في الفائتة ممّن لا يخلو من فائتة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قد تقدّم بأبلغ وجه، فالإعادة خال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يلزم حينئذ تصرّف في تلك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كون الفور بأمر آخر لا يلزم التصرّف و التقييد في مطلقات الأمر بالقضاء إلّا على انصراف إطلاقها إلى بيان أصل وجوب القضاء دون كيفيّاته، أو على كون الفوريّة المطلوبة على وجه التعدّد المطلوبي لا التقييدي، و كلا الأمرين خلاف الأصل الأصيل الّذي عليه التعويل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الأمر حيث إنّه موضوع لطلب الفعل الغير المقيّد بزمان حصول الامتثال بالإتيان به في الزمان الثاني و الثالث و إن قلنا بدلالته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يعني المستدلّ بإطلاق أوامر القضاء على المواسعة إلّا ما اعترفت به من حصول الامتثال بالإتيان به في الزمان الثاني و الثالث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منع كون الفوريّة لا ينافي حصول الامتثال به في الزمان الثاني و الثالث إلّا على انصراف المطلق، أو كون الفوريّة على وجه التعدّد المطلوبي المخالف كلّ منهما للأصل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يصلّين على كلّ حال</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يدلّ على مشروعيّتها في مقام دفع توهّم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الإيراد بأنّ المورد و هو دفع توهّم مانعيّة الطلوع و الغروب لا يخصّص عموم الوارد، بل قد يؤكّده، نظرا إلى أنّه لو كان لقضاء الفائت توهّم مانع آخر لكان دفعه أولى 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غير ممكن في الكسوف و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جريانه في باقي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التوسعة في كلّ صلاة بحسب حاله و وقته الزائد على ما يسعه شرعا، و من المعلوم جريان هذا العموم في باقي الصلوات، إذ ما من صلاة إلّا و وقتها أوسع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لكن عدم جريان العموم في باقي السياق لا يخصّص عموم المنساق، كما لا يخصّص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فاتتك فمتى ذكرتها أدّيتها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لاحتمال أن لا يكون المراد بوقت ذكرها التذكّر بعد النسيان الفوريّة، بل مطلق ما يصلح من الوقت الموسع لذكرها، كقوله أَقِمِ الصَّلٰاةَ لِذِكْرِي </w:t>
      </w:r>
      <w:r>
        <w:rPr>
          <w:rStyle w:val="FootnoteAnchor"/>
          <w:rtl w:val="true"/>
        </w:rPr>
        <w:footnoteReference w:id="23"/>
      </w:r>
      <w:r>
        <w:rPr>
          <w:rFonts w:ascii="Amiri" w:hAnsi="Amiri" w:eastAsia="Amiri" w:cs="Amiri"/>
          <w:color w:val="111111"/>
          <w:sz w:val="28"/>
          <w:sz w:val="28"/>
          <w:szCs w:val="28"/>
          <w:rtl w:val="true"/>
          <w:lang w:bidi="ar-SA"/>
        </w:rPr>
        <w:t xml:space="preserve">و هُوَ الَّذِي جَعَلَ اللَّيْلَ وَ النَّهٰارَ خِلْفَةً لِمَنْ أَرٰادَ أَنْ يَذَّكَّرَ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يحضرني الآن تأويل حسن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المجلسي </w:t>
      </w:r>
      <w:r>
        <w:rPr>
          <w:rStyle w:val="FootnoteAnchor"/>
          <w:rtl w:val="true"/>
        </w:rPr>
        <w:footnoteReference w:id="25"/>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عامّ لمطلق وقت الوجوب، فلا يخصّص عموم كلّ حال و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العبارة المذكورة ليست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 الغالب أنّ عبارات كتب أصول أصحاب الصادقين عين الرواية لا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لكن الرأي و الفتوى بعد فرض استحسان الصادق عليه السّلام له يكون رواية بل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التأخّر و 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يعتبران بالنسبة إلى أزمنة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أزمنة إمكان قضاء الفائت في الحضر فورا و معجّلا إنّما هو تعجيل فعله في الحضر و المنع معه عن السفر الغير الضروري الأهمّ من الصلاة المضيّقة، أو في أوّل أزمنة إمكان النزول عن الراحلة في السفر الضروري الأهمّ من الصلاة المضيّقة في الحضر، سواء كان ليلا أو نهارا، فإطلاق تأخيره إلى مطلق السفر، خصوصا إلى مطلق الليل دليل المواسعة و عدم المضايقة فيه بوجه، خصوصا بملاحظة ترك الاستفصال بين السفر الضروري و غيره المفيد لعموم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فمدفوع بأنّ مقام السؤال لا يقتضي ذلك،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اقتضاء السؤال لذلك إنّما هو مبنيّ على انصراف السؤال إلى خصوص السؤال عن القصر و الإتمام في قضاء الفائت حضرا في السفر، كما يومئ إليه تخصيص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يصلّي كما يصلّي في الحضر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 هو بعيد عن حال السائل و إن دفع توهّمه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Amiri" w:hAnsi="Amiri" w:eastAsia="Amiri" w:cs="Amiri"/>
          <w:color w:val="111111"/>
          <w:sz w:val="28"/>
          <w:sz w:val="28"/>
          <w:szCs w:val="28"/>
          <w:rtl w:val="true"/>
          <w:lang w:bidi="ar-SA"/>
        </w:rPr>
        <w:t>أصالة عدم الانصراف، كما يومئ إليه تفصيله عليه السّلام بين الليل و النهار دون السفر الضروري و غيره، فيقيّد ترك الاستفصال عموم الجواب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المنع التحريمي عن قضاء الفريضة بالنهار ممّا أجمع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كذلك إلّا أنّ النهي عن قضاء الفوائت في النهار لعلّه لرفع توهّم الحضر و هو وجوب الفور و التعجيل في النهار، أو للإرشاد إلى أنّ تعجيل قضاء الفوائت في نهار السفر معرّض للحظر و الضرر أو العسر و المشقّة أو خوف انقطاعه عن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خصوصا على تفصيلي المحقّق </w:t>
      </w:r>
      <w:r>
        <w:rPr>
          <w:rStyle w:val="FootnoteAnchor"/>
          <w:rtl w:val="true"/>
        </w:rPr>
        <w:footnoteReference w:id="27"/>
      </w: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الخصوصيّة تخصيصهما المضايقة و الترتيب بفائتة اليوم دون غيرها، فنفي الفوريّة لا يستلزم نفي الترتيب، خصوصا نفيه عن فائتة اليوم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كان القضاء مستحبّا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القضاء للنافلة أو المعادة أو الاحتياط أو التبرّع عن الغير، لكن القضاء بالمستحبّ خلاف ظاهر الدين و القضاء و أرجحيّة استحباب أداء النوافل المرتّبة على قضاء المستحبّ، فإنّ هذا الاحتمال لا يحتاج إلى السؤال و ينافي شاهد الحال ممّن هو من أهل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مخالف للأخبار</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 للأخبار هو وجوب القضاء على المغمى عليه المستوعب، لجميع الوقت المستحيل عادة في سبعة عشر ليلة دون غير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فالأولى 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لم يكن محمل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و الأشهر حملها على الكراهة مطلقا، أو بالنسبة إلى من كان عبدة الشمس دون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الحكم قضاء الأوّل في الليل و الثاني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الحكم المذكور فإنّه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بقضاء فوائت الليل في النهار و النهار في الليل لا ينفي التوسعة، سيّما بعد التصريح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بعد المغرب و إن شاء بعد العشاء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 حمل النهار على نهار آخر لا يوم الفوت</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النهار على نهار آخر أدلّ على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أخصّ من المدّعى من جهة اختصاص أوسعيّته بغير فائتة اليوم الّذي لا يضايق عنه المفصّل من أهل المضايقة كالمحقّق </w:t>
      </w:r>
      <w:r>
        <w:rPr>
          <w:rStyle w:val="FootnoteAnchor"/>
          <w:rtl w:val="true"/>
        </w:rPr>
        <w:footnoteReference w:id="32"/>
      </w:r>
      <w:r>
        <w:rPr>
          <w:rFonts w:ascii="Amiri" w:hAnsi="Amiri" w:eastAsia="Amiri" w:cs="Amiri"/>
          <w:color w:val="111111"/>
          <w:sz w:val="28"/>
          <w:sz w:val="28"/>
          <w:szCs w:val="28"/>
          <w:rtl w:val="true"/>
          <w:lang w:bidi="ar-SA"/>
        </w:rPr>
        <w:t xml:space="preserve">و العلّامة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الحكم فيها بتقديم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الفجر فعلى وجه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تقديم الحاضرة على الفائتة أولى من جهات كذلك تقديم الفائتة على الحاضرة أولى من جهات أخر تقدّم ذكرها في أوّل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هكذا الحكم المذكور في المغرب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ظاهره متروك بالإجماع على اعتبار</w:t>
      </w:r>
    </w:p>
    <w:p>
      <w:pPr>
        <w:pStyle w:val="BookText"/>
        <w:rPr/>
      </w:pPr>
      <w:r>
        <w:rPr>
          <w:rFonts w:ascii="Amiri" w:hAnsi="Amiri" w:eastAsia="Amiri" w:cs="Amiri"/>
          <w:color w:val="111111"/>
          <w:sz w:val="28"/>
          <w:sz w:val="28"/>
          <w:szCs w:val="28"/>
          <w:rtl w:val="true"/>
          <w:lang w:bidi="ar-SA"/>
        </w:rPr>
        <w:t>الترتيب بين الحاضرتين، و ليس الترتيب بينهما كالترتيب في الفائتة و الحاضرة في الابتناء على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معقد الإجماع على اعتبار الترتيب بين الحاضرتين إنّما هو في الوقت المختصّ لا المشترك، و في مثل العصر الّذي لا صلاة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مثل العشاء الّذي بعدها صلاة فكان بعدها قبلها و وقت الصلاة الأولى باق بعدها، بخلاف مثل العصر فلّما لم يكن بعدها صلاة لم يكن لفعل الظهر بعدها محلّ و وقت على ما هو ظاهر تعليل الفرق في النصّ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نفس السهو نقصا دون نفس النوم لا ينافي كون هذا الفرد من النوم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النوم مع الغضّ عمّا يعتريه من مناقص المقام أنقص من نفس السهو جدّا بحيث يغلب السمع و البصر و جميع الحواسّ الظاهريّة و الباطنيّة و العقل الكلّي المدرك لمعارف اللّٰه تعالى، الّذي هو المائز الكلّي بين الإنسان و البهائم، بخلاف السهو لعدم بلوغ نقصه هذا الحدّ، كما يشهد عليه عد النوم من نواقض الطهارة دون السهو، و عدّه أيضا في عداد النواقص الّتي نفيها من علائم الإمامة في خصال العشرة المستفيضة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اشتراكه صلّى اللّٰه عليه و آله مع غيره في هذا التكليف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ما فاته صلّى اللّٰه عليه و آله بنوم لا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الدليل عليه أوضح من الأخبار </w:t>
      </w:r>
      <w:r>
        <w:rPr>
          <w:rStyle w:val="FootnoteAnchor"/>
          <w:rtl w:val="true"/>
        </w:rPr>
        <w:footnoteReference w:id="37"/>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أنّه تعالى أنامه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يوجب طرحها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أدلّة اشتراك النبيّ صلّى اللّٰه عليه و آله مع الأمّة في جميع أحكام الطهارة</w:t>
      </w:r>
    </w:p>
    <w:p>
      <w:pPr>
        <w:pStyle w:val="BookText"/>
        <w:rPr/>
      </w:pPr>
      <w:r>
        <w:rPr>
          <w:rFonts w:ascii="Amiri" w:hAnsi="Amiri" w:eastAsia="Amiri" w:cs="Amiri"/>
          <w:color w:val="111111"/>
          <w:sz w:val="28"/>
          <w:sz w:val="28"/>
          <w:szCs w:val="28"/>
          <w:rtl w:val="true"/>
          <w:lang w:bidi="ar-SA"/>
        </w:rPr>
        <w:t>و النجاسة و الغسل و الجنابة و الكفّارة و الجناية لا يستلزم اشتراكه معهم في موجباتها من مناقص النوم و البول و الغائط و السهو و الظلم و الكفّارة و الجنابة و الجناية، بل تنزيهه عن جميع المناقص الخلقيّة و الخلقيّة و الحسبيّة و النسبيّة من جميع الجهات الغير المتناهية، و اختصاصه بجميع كمالات البشريّة و أوصاف الكبريائيّة الجلاليّة و الجماليّة الملكوتيّة و الجبروتيّة، الّتي لا يبلغها العقول و الأفهام و لا غوص الفطن و الأوهام من ضروريّات العقل و النقل و محكمات الكتاب و السنّة المتواترة، بحيث يكون المعارض لها مصادما لضرورة الدين و لو كان من الصحاح و الصراح، فضلا عن كونه من الآحاد، بل الضعاف، بل من الشواذّ، بل من المتشابهات، بل الموافقة للعامّة الواجبة طرحها، أو حملها على التقيّة، أو تأويلها بضرب ممّا فصّلناه في رسالة المعارف بأبلغ وجه و إن لم يبلغ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فعل ذلك رحمة لهذه الأمّة لئلّا يعير المسلم إذا هو نام عن </w:t>
      </w:r>
      <w:r>
        <w:rPr>
          <w:rStyle w:val="FootnoteAnchor"/>
          <w:rtl w:val="true"/>
        </w:rPr>
        <w:footnoteReference w:id="38"/>
      </w:r>
      <w:r>
        <w:rPr>
          <w:rFonts w:ascii="IRNazanin" w:hAnsi="IRNazanin" w:eastAsia="IRNazanin"/>
          <w:color w:val="111111"/>
          <w:sz w:val="28"/>
          <w:sz w:val="28"/>
          <w:szCs w:val="28"/>
          <w:rtl w:val="true"/>
          <w:lang w:bidi="fa-IR"/>
        </w:rPr>
        <w:t xml:space="preserve">صلاته أو سها، الخبر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امتناع اجتماع المصلحة مفسدة المنقصة الذاتيّة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 كلّ فائتة حتّى يجب الاشتغال بها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إمكان القول بهذا التفصيل و إن لم يذكر في ضمن الأقوال المتقدّمة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الفوريّة و المضايقة أن يكون المكلّف متشاغلا بالقضاء على وجه لا يعدّ متهاونا و تاركا لها رأسا، و لا يلزم من الاشتغال بها حرج و لا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القطع به في بعض الموارد ممكنا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طهارة العامّة و الحديد و غسالة الاستنجاء و القصر في</w:t>
      </w:r>
    </w:p>
    <w:p>
      <w:pPr>
        <w:pStyle w:val="BookText"/>
        <w:rPr/>
      </w:pPr>
      <w:r>
        <w:rPr>
          <w:rFonts w:ascii="Amiri" w:hAnsi="Amiri" w:eastAsia="Amiri" w:cs="Amiri"/>
          <w:color w:val="111111"/>
          <w:sz w:val="28"/>
          <w:sz w:val="28"/>
          <w:szCs w:val="28"/>
          <w:rtl w:val="true"/>
          <w:lang w:bidi="ar-SA"/>
        </w:rPr>
        <w:t>السفر، حيث يقطع فيها بعدم الفرق بين موارد العسر و غيره، و بين استنجاء الغائط و البول، فإنّ العسر المنوط به الحكم في هذه الموارد نوعي لا شخصي و حكمه للحكم، لا علّة مطّردة حتّى يدور مدارها الحكم وجودا و عدما، بل الحكم بإلحاق النادر من الضرر الغير العسر أو المورد الغير العسر بالأفراد أو الموارد العسرة الغالبة إنّما هو للغلبة، و بالدليل الخارج من إجماع أو إطلاق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غلبة الفصل بين الموردين في المسائل ممّا يمنع القطع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غلبة العسر الشخصي و إناطة الأحكام به وجودا و عدما على وجه العلّية المطّردة في كلّ باب باب من أبواب الأحكام الشرعيّة صارت بحيث لا يخرج عن مقتضاها إلى العسر النوعي و إلحاق غير العسر بالعسر إلّا بدليل قطعي مخرج، كما عرفت في موارده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الاشتغال مقدّم على البراءة عند التعارض دون العكس بأنّ هذا فيما لم يكن الشكّ في الاشتغال مسبّبا عن الشكّ في مجرى البراءة عن الواجب المشكوك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وقت للواجب لا لمجرّد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عرفا بين التوقيت بمتى و إذا دخل الوقت فصل و بين صلّ حين أو عند الزلزال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التوقيت فيما نحن فيه لرفع توهّم الحظر عن بعض الأوقات لنهيه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ظهور الآيات </w:t>
      </w:r>
      <w:r>
        <w:rPr>
          <w:rStyle w:val="FootnoteAnchor"/>
          <w:rtl w:val="true"/>
        </w:rPr>
        <w:footnoteReference w:id="40"/>
      </w:r>
      <w:r>
        <w:rPr>
          <w:rFonts w:ascii="IRNazanin" w:hAnsi="IRNazanin" w:eastAsia="IRNazanin"/>
          <w:color w:val="111111"/>
          <w:sz w:val="28"/>
          <w:sz w:val="28"/>
          <w:szCs w:val="28"/>
          <w:rtl w:val="true"/>
          <w:lang w:bidi="fa-IR"/>
        </w:rPr>
        <w:t xml:space="preserve">و الأخبار </w:t>
      </w:r>
      <w:r>
        <w:rPr>
          <w:rStyle w:val="FootnoteAnchor"/>
          <w:rtl w:val="true"/>
        </w:rPr>
        <w:footnoteReference w:id="41"/>
      </w:r>
      <w:r>
        <w:rPr>
          <w:rFonts w:ascii="Amiri" w:hAnsi="Amiri" w:eastAsia="Amiri" w:cs="Amiri"/>
          <w:color w:val="111111"/>
          <w:sz w:val="28"/>
          <w:sz w:val="28"/>
          <w:szCs w:val="28"/>
          <w:rtl w:val="true"/>
          <w:lang w:bidi="ar-SA"/>
        </w:rPr>
        <w:t>في المضايقة، لكن أولويّة</w:t>
      </w:r>
    </w:p>
    <w:p>
      <w:pPr>
        <w:pStyle w:val="BookText"/>
        <w:rPr/>
      </w:pPr>
      <w:r>
        <w:rPr>
          <w:rFonts w:ascii="Amiri" w:hAnsi="Amiri" w:eastAsia="Amiri" w:cs="Amiri"/>
          <w:color w:val="111111"/>
          <w:sz w:val="28"/>
          <w:sz w:val="28"/>
          <w:szCs w:val="28"/>
          <w:rtl w:val="true"/>
          <w:lang w:bidi="ar-SA"/>
        </w:rPr>
        <w:t>الجمع مهما أمكن من الطرح قرينة انصرافها عن الوجوب إلى الاستحباب أو إلى الأولويّة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حمل الرواية </w:t>
      </w:r>
      <w:r>
        <w:rPr>
          <w:rStyle w:val="FootnoteAnchor"/>
          <w:rtl w:val="true"/>
        </w:rPr>
        <w:footnoteReference w:id="42"/>
      </w: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إن دار بينه و بين حمل الصحيحة على الاستحباب أو طرحها لمخالفة ظاهر الإجماع و صحيحة زرارة </w:t>
      </w:r>
      <w:r>
        <w:rPr>
          <w:rStyle w:val="FootnoteAnchor"/>
          <w:rtl w:val="true"/>
        </w:rPr>
        <w:footnoteReference w:id="43"/>
      </w:r>
      <w:r>
        <w:rPr>
          <w:rFonts w:ascii="Amiri" w:hAnsi="Amiri" w:eastAsia="Amiri" w:cs="Amiri"/>
          <w:color w:val="111111"/>
          <w:sz w:val="28"/>
          <w:sz w:val="28"/>
          <w:szCs w:val="28"/>
          <w:rtl w:val="true"/>
          <w:lang w:bidi="ar-SA"/>
        </w:rPr>
        <w:t>فالأرجح بل المتعيّن حمل القضاء على الإعادة و المبادرة في الأداء، خوفا من القضاء و فوت الأداء، كما هو الغالب، خصوصا للمسافر الواجب عليه إعادة ما صلّى قصرا بالتمام الاستحباب، لأنّه أقرب المجازات جدّا إذا لم يكن حقيقة أو مجازا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قلب الاستدلال بها فيما إذا فرض تذكّر الفائتة بعد تنجّز الحاضرة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القلب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r>
        <w:rPr>
          <w:rFonts w:ascii="Amiri" w:hAnsi="Amiri" w:eastAsia="Amiri" w:cs="Amiri"/>
          <w:color w:val="111111"/>
          <w:sz w:val="28"/>
          <w:sz w:val="28"/>
          <w:szCs w:val="28"/>
          <w:rtl w:val="true"/>
          <w:lang w:bidi="ar-SA"/>
        </w:rPr>
        <w:t>يشمل وجوب الحاضرة المسبوقة بالفائتة إذا تذكّرها بعد تنجّز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عدم جواز هذا القلب فلحكومة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الصلاة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فتعيّن حمل الأمر على الاستحباب، و كون إدراك فضيلة المغرب أولى من المبادرة إلى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حمل الأمر على الاستحباب مبنيّ على حمل وقت المغرب على وقت فضيلته حتّى يلائم استحباب الترتيب و تقديم فائتة العصر في وقت فضيلة المغرب ما لم يتضيّق وقت الفضيلة، إذ لو وجب تقديم العصر الفائتة لوجب في مجموع وقت الحاضرة ما لم يتضيّق وقت أدائها لا وقت فضيلتها، فتقييد تقديمها بسعة وقت فضيلة المغرب قرينة معيّنة لحمل أمره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ظهور الأمر بتقديم العصر الفائتة على المغرب في الوجوب سيّما بقرينة سياق الأمر بالعدول من العصر إلى الظهر و من العشاء إلى المغرب أظهر جدّا من ظهور وقت المغرب في وقت فضيلته، بل ظهور وقت المغرب في وقت فضيلته مبنيّ على حمل الأمر بتقديم فائتة العصر على الأفضليّة، فلو بنى حمل الأمر على الأفضليّة على حمل وقت المغرب على وقت الفضيلة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نقل بهذا سقط الاستدلال بجميع الفقرات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منع ابتناء الاستدلال بها على أن آخر وقت إجزاء المغرب زوال الحمرة، بل الاستدلال بها مبنيّ على أنّ وقت إجزاء المغرب غير وقت فضيلته لا وقت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التعليل المذكور قرينة أخرى على استحباب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تعليل الأمر بتأخير الفائتين عن شعاع الشمس بعدم خوف فواتها بهذا التأخّر ينافي استحباب الترتيب المستلزم لاستحباب الفوريّة بالإجماع المركّب، لا أنّه قرينة أخرى عليه إلّا إذا فرضنا الأمر بالتأخير لدفع توهّم وجوب الفوريّة لا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فالأمر يدور بين تقييدها بصورة الاستدبار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صورة الاستدبار و تخصيصها بما بين اليمين و اليسار</w:t>
      </w:r>
    </w:p>
    <w:p>
      <w:pPr>
        <w:pStyle w:val="BookText"/>
        <w:rPr/>
      </w:pPr>
      <w:r>
        <w:rPr>
          <w:rFonts w:ascii="Amiri" w:hAnsi="Amiri" w:eastAsia="Amiri" w:cs="Amiri"/>
          <w:color w:val="111111"/>
          <w:sz w:val="28"/>
          <w:sz w:val="28"/>
          <w:szCs w:val="28"/>
          <w:rtl w:val="true"/>
          <w:lang w:bidi="ar-SA"/>
        </w:rPr>
        <w:t>المستحبّ فيه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الحكم في المقيس عليه أيضا، فإنّ الترتيب في أصل الفوائت ممنوع لا دليل عليه، فضلا عن الترتيب بينهما و بين الحواضر الّذي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منصرف إلى صورة التمكّن بعد ذلك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صارف لهذا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العلّة المنصوصة لتقديم الحاضرة فيما تقدّم من مرسلة الوشّاء في أخبار المواسعة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بالوقت الّذي هو فيه، فإنّه لا يأمن من الموت فيكون قد ترك صلاة فريضة في وقت قد دخلت بعذر آخر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 الآداب الخارجة و المستحبّات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فوريّة الشروع في القضاء غير الفوريّة في نفس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فوريّة العمل هو التعجيل فيه لا في أثنائه بعد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فوريّة كلّ عمل بحسب العرف إنّما هو التعجيل فيه على حسب ما هو مطلوب من حيث التماميّة و الكماليّة لا التماميّة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فرض عجزه في زمان خرج عن الإطلاق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الخروج عنه، لأنّ إطلاق أَقِيمُوا الصَّلٰاةَ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مثلا معارض بعموم أدلّة اعتبار الشروط و الأجزاء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الركوع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يقم صلبه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أدلّة اعتبار الشروط و الأجزاء حاكم على إطلاق 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العاجز في الحال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حكومة إطلاق أدلّة الرفع و نفي العسر و الحرج و سقوط الشروط و الأجزاء عن العاجز الفعلي في زمان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اضطرّوا إليه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لا ضابط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يكون له ضابط بحسب النصوص الجزئيّة الخاصّة بكلّ باب من أبواب العجز عن الشروط و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العمومات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الرفع و 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ضابط كلّي، كما عرفت، و كما عرفت الفرق، و أنّ الضابط الكلّي بين الواجبات المؤقتة و الفوريّة اعتبار فعل المؤقّت بجميع أجزائه من البدو إلى الختام في الوقت المضروب له فالتطويل بآدابه و مستحبّاته مخرج لبعض أجزائه عن الوقت الاختياري، بخلاف الفوري و إن بلغ في التعجيل ما بلغ لا يوجب التطويل بآدابه و مستحبّاته الخروج عن الفوريّة و خروج آخره عن الفور و إن بلغ التطويل فيه ما بلغ</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تعدّد الواجب الفوري كان التطويل في مستحبّات الأوّل مناف</w:t>
      </w:r>
    </w:p>
    <w:p>
      <w:pPr>
        <w:pStyle w:val="BookText"/>
        <w:rPr/>
      </w:pPr>
      <w:r>
        <w:rPr>
          <w:rFonts w:ascii="Amiri" w:hAnsi="Amiri" w:eastAsia="Amiri" w:cs="Amiri"/>
          <w:color w:val="111111"/>
          <w:sz w:val="28"/>
          <w:sz w:val="28"/>
          <w:szCs w:val="28"/>
          <w:rtl w:val="true"/>
          <w:lang w:bidi="ar-SA"/>
        </w:rPr>
        <w:t>للتعجيل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أمير المؤمنين أنّه صلّى بالكوفة صلاة الكسوف فقرأ فيها بالكهف و الأنبياء و ردّدها خمس مرّات و أطال في ركوعها حتّى سال العرق على أقدام من كان معه و غشي على كثير منهم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الصبح المتأخّرة شرعا عن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هذا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الترتيب المعتبر بين الحاضرة و الفوائت من مقتضى الفوريّة و المضايقة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نصوص </w:t>
      </w:r>
      <w:r>
        <w:rPr>
          <w:rStyle w:val="FootnoteAnchor"/>
          <w:rtl w:val="true"/>
        </w:rPr>
        <w:footnoteReference w:id="59"/>
      </w:r>
      <w:r>
        <w:rPr>
          <w:rFonts w:ascii="Amiri" w:hAnsi="Amiri" w:eastAsia="Amiri" w:cs="Amiri"/>
          <w:color w:val="111111"/>
          <w:sz w:val="28"/>
          <w:sz w:val="28"/>
          <w:szCs w:val="28"/>
          <w:rtl w:val="true"/>
          <w:lang w:bidi="ar-SA"/>
        </w:rPr>
        <w:t xml:space="preserve">اعتبار الترتيب بينهما مطلقا كنصوص </w:t>
      </w:r>
      <w:r>
        <w:rPr>
          <w:rStyle w:val="FootnoteAnchor"/>
          <w:rtl w:val="true"/>
        </w:rPr>
        <w:footnoteReference w:id="60"/>
      </w:r>
      <w:r>
        <w:rPr>
          <w:rFonts w:ascii="Amiri" w:hAnsi="Amiri" w:eastAsia="Amiri" w:cs="Amiri"/>
          <w:color w:val="111111"/>
          <w:sz w:val="28"/>
          <w:sz w:val="28"/>
          <w:szCs w:val="28"/>
          <w:rtl w:val="true"/>
          <w:lang w:bidi="ar-SA"/>
        </w:rPr>
        <w:t>العدول من كلّ لاحقة إلى سابقتها فيتعيّن ترجيح الثاني، و هو إهمال الترتيب بين الحاضرة و بين الفوائت على إهمال الترتيب بين نفس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الترجيح بينهما على الخبير بالقواعد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قلنا بكون الترتيب المعتبر بين الفوائت من مقتضى الفوريّة و المضايقة في القضاء تعيّن تقديم ما أمكن من محتملات الفوائت على الحاضرة المضيقة وقتها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بكونه مقتضى نصوص اعتبار الترتيب الواقعي بينهما مطلقا توقّف تحصيله على تأخّر محتملات الفوائت على الحاضرة المضيّقة وقتها</w:t>
      </w:r>
      <w:r>
        <w:rPr>
          <w:rFonts w:eastAsia="Amiri" w:cs="Amiri" w:ascii="Amiri" w:hAnsi="Amiri"/>
          <w:color w:val="111111"/>
          <w:sz w:val="28"/>
          <w:szCs w:val="28"/>
          <w:rtl w:val="true"/>
          <w:lang w:bidi="ar-SA"/>
        </w:rPr>
        <w:t>.</w:t>
      </w:r>
      <w:bookmarkStart w:id="12" w:name="pg1906_26370"/>
    </w:p>
    <w:p>
      <w:pPr>
        <w:pStyle w:val="Heading3"/>
        <w:numPr>
          <w:ilvl w:val="2"/>
          <w:numId w:val="1"/>
        </w:numPr>
        <w:rPr/>
      </w:pPr>
      <w:bookmarkStart w:id="13" w:name="__RefHeading___Toc3277371_3650668749"/>
      <w:bookmarkStart w:id="14" w:name="_Toc5"/>
      <w:bookmarkEnd w:id="12"/>
      <w:bookmarkEnd w:id="13"/>
      <w:r>
        <w:rPr>
          <w:rtl w:val="true"/>
        </w:rPr>
        <w:t>خاتمة</w:t>
      </w:r>
      <w:bookmarkEnd w:id="14"/>
    </w:p>
    <w:p>
      <w:pPr>
        <w:pStyle w:val="BookText"/>
        <w:rPr/>
      </w:pPr>
      <w:r>
        <w:rPr>
          <w:rFonts w:ascii="Amiri" w:hAnsi="Amiri" w:eastAsia="Amiri" w:cs="Amiri"/>
          <w:color w:val="111111"/>
          <w:sz w:val="28"/>
          <w:sz w:val="28"/>
          <w:szCs w:val="28"/>
          <w:rtl w:val="true"/>
          <w:lang w:bidi="ar-SA"/>
        </w:rPr>
        <w:t>و من جملة الفروع المترتّبة على اعتبار الترتيب في الفوائت المقضيّة اعتبار أن يكون زمان القضاء كلّ فائتة سابقة سابقا على زمان قضاء اللاحقة، فقضاء كلّ سابقة مقدّم على لاحقتها، و حصول هذا الترتيب في القاضي عن نفسه القاضي المتّحد عن غيره ممكن الحصول، و أمّا في القاضي المتعدّد عن غيره فلا يحصل هذا الترتيب إلّا باشتغال كلّ منهما في لاحقة ما فرغ عن سابقتها الآخر منهما، ليحصل الترتيب المطلق في جميع الفوائت المقضيّة المترتّبة بعضها على بعض من كلّ من القاضيين المتعدّدين، و إلّا فمجرّد ما اعتبره المعتبر للترتيب بين الفوائت في قضاء المتعدّدين من اعتبار اختلاف الزمان المضروب لقضاء كلّ منهما بحيث يعتبر اشتغال كلّ منهما في القضاء في زمان غير زمان قضاء الآخر لا يحصل الترتيب المطلق بين نفس الفوائت المقضيّة المعتبر ترتّب بعضها على بعض و إن صدرت عن قاضي متعدّد، بل إنّما يحصل الترتيب بين نفس القضاءين الصادرين عن متعدّد، و هو غير كاف في ترتيب نفس الفوائت المقضيّة المعتبر ترتّب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إلغاء هذا الشرط، أو اعتبار شرط آخر معه، و هو اشتغال كلّ قاضي في قضاء فائتة لاحقه بعد فراغه أو فراغ صاحبه عن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الملزم للترتيب من الشرطين المذكورين لم يلتزم به أحد من معتبري الترتيب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استلزام الالتزام به العسر و الحرج المنفيّ و الملتزم به من الشرطين غير ملزم للترتيب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القول بسقوط الترتيب في قضاء الفوائت، خصوصا إذا كان القاضي لها متعدّدا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المكاسب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ذيل الحديث الأوّل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المجلسي في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التصحيف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النهار الآخر لا يوم الفوات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للمغرب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لم يتقدّم منه قدّس سرّه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5388</Words>
  <Characters>22980</Characters>
  <CharactersWithSpaces>28169</CharactersWithSpaces>
  <Paragraphs>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2026-08-16T19:37:50Z</dcterms:created>
  <dc:creator>ghaemiyeh.com</dc:creator>
  <dc:description/>
  <dc:language>en-US</dc:language>
  <cp:lastModifiedBy/>
  <dcterms:modified xsi:type="dcterms:W3CDTF">2026-08-16T23:07:52Z</dcterms:modified>
  <cp:revision>1</cp:revision>
  <dc:subject/>
  <dc:title>تعلیقات علی رسالة فی المواسعة و المضایقة</dc:title>
</cp:coreProperties>
</file>

<file path=docProps/custom.xml><?xml version="1.0" encoding="utf-8"?>
<Properties xmlns="http://schemas.openxmlformats.org/officeDocument/2006/custom-properties" xmlns:vt="http://schemas.openxmlformats.org/officeDocument/2006/docPropsVTypes"/>
</file>