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الشیعه و عقیدتهم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9073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49075_3650668749">
            <w:r>
              <w:rPr>
                <w:webHidden/>
                <w:rStyle w:val="IndexLink"/>
                <w:rtl w:val="true"/>
              </w:rPr>
              <w:t>المقدّمة</w:t>
            </w:r>
            <w:r>
              <w:rPr>
                <w:rStyle w:val="IndexLink"/>
                <w:rtl w:val="true"/>
              </w:rPr>
              <w:tab/>
            </w:r>
            <w:r>
              <w:rPr>
                <w:rStyle w:val="IndexLink"/>
              </w:rPr>
              <w:t>6</w:t>
            </w:r>
          </w:hyperlink>
        </w:p>
        <w:p>
          <w:pPr>
            <w:pStyle w:val="Contents3"/>
            <w:tabs>
              <w:tab w:val="clear" w:pos="8459"/>
              <w:tab w:val="right" w:pos="9026" w:leader="dot"/>
            </w:tabs>
            <w:rPr/>
          </w:pPr>
          <w:hyperlink w:anchor="__RefHeading___Toc3049077_365066874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049079_3650668749">
            <w:r>
              <w:rPr>
                <w:webHidden/>
                <w:rStyle w:val="IndexLink"/>
                <w:rtl w:val="true"/>
              </w:rPr>
              <w:t>سمات العقيدة الإسلامية</w:t>
            </w:r>
            <w:r>
              <w:rPr>
                <w:rStyle w:val="IndexLink"/>
                <w:rtl w:val="true"/>
              </w:rPr>
              <w:tab/>
            </w:r>
            <w:r>
              <w:rPr>
                <w:rStyle w:val="IndexLink"/>
              </w:rPr>
              <w:t>7</w:t>
            </w:r>
          </w:hyperlink>
        </w:p>
        <w:p>
          <w:pPr>
            <w:pStyle w:val="Contents2"/>
            <w:tabs>
              <w:tab w:val="clear" w:pos="8743"/>
              <w:tab w:val="right" w:pos="9026" w:leader="dot"/>
            </w:tabs>
            <w:rPr/>
          </w:pPr>
          <w:hyperlink w:anchor="__RefHeading___Toc3049081_3650668749">
            <w:r>
              <w:rPr>
                <w:webHidden/>
                <w:rStyle w:val="IndexLink"/>
                <w:rtl w:val="true"/>
              </w:rPr>
              <w:t>الفصل الاوّل</w:t>
            </w:r>
            <w:r>
              <w:rPr>
                <w:rStyle w:val="IndexLink"/>
                <w:rtl w:val="true"/>
              </w:rPr>
              <w:t xml:space="preserve">: </w:t>
            </w:r>
            <w:r>
              <w:rPr>
                <w:rStyle w:val="IndexLink"/>
                <w:rtl w:val="true"/>
              </w:rPr>
              <w:t>الشيعة في موكب التاريخ‌</w:t>
            </w:r>
            <w:r>
              <w:rPr>
                <w:rStyle w:val="IndexLink"/>
                <w:rtl w:val="true"/>
              </w:rPr>
              <w:tab/>
            </w:r>
            <w:r>
              <w:rPr>
                <w:rStyle w:val="IndexLink"/>
              </w:rPr>
              <w:t>11</w:t>
            </w:r>
          </w:hyperlink>
        </w:p>
        <w:p>
          <w:pPr>
            <w:pStyle w:val="Contents3"/>
            <w:tabs>
              <w:tab w:val="clear" w:pos="8459"/>
              <w:tab w:val="right" w:pos="9026" w:leader="dot"/>
            </w:tabs>
            <w:rPr/>
          </w:pPr>
          <w:hyperlink w:anchor="__RefHeading___Toc3049083_3650668749">
            <w:r>
              <w:rPr>
                <w:webHidden/>
                <w:rStyle w:val="IndexLink"/>
                <w:rtl w:val="true"/>
              </w:rPr>
              <w:t>مبدأ التشيّع وتاريخ نشأته‌</w:t>
            </w:r>
            <w:r>
              <w:rPr>
                <w:rStyle w:val="IndexLink"/>
                <w:rtl w:val="true"/>
              </w:rPr>
              <w:tab/>
            </w:r>
            <w:r>
              <w:rPr>
                <w:rStyle w:val="IndexLink"/>
              </w:rPr>
              <w:t>11</w:t>
            </w:r>
          </w:hyperlink>
        </w:p>
        <w:p>
          <w:pPr>
            <w:pStyle w:val="Contents3"/>
            <w:tabs>
              <w:tab w:val="clear" w:pos="8459"/>
              <w:tab w:val="right" w:pos="9026" w:leader="dot"/>
            </w:tabs>
            <w:rPr/>
          </w:pPr>
          <w:hyperlink w:anchor="__RefHeading___Toc3049085_3650668749">
            <w:r>
              <w:rPr>
                <w:webHidden/>
                <w:rStyle w:val="IndexLink"/>
                <w:rtl w:val="true"/>
              </w:rPr>
              <w:t>الشيعة في كلمات المؤرخين وأصحاب الفرق‌</w:t>
            </w:r>
            <w:r>
              <w:rPr>
                <w:rStyle w:val="IndexLink"/>
                <w:rtl w:val="true"/>
              </w:rPr>
              <w:tab/>
            </w:r>
            <w:r>
              <w:rPr>
                <w:rStyle w:val="IndexLink"/>
              </w:rPr>
              <w:t>14</w:t>
            </w:r>
          </w:hyperlink>
        </w:p>
        <w:p>
          <w:pPr>
            <w:pStyle w:val="Contents3"/>
            <w:tabs>
              <w:tab w:val="clear" w:pos="8459"/>
              <w:tab w:val="right" w:pos="9026" w:leader="dot"/>
            </w:tabs>
            <w:rPr/>
          </w:pPr>
          <w:hyperlink w:anchor="__RefHeading___Toc3049087_3650668749">
            <w:r>
              <w:rPr>
                <w:webHidden/>
                <w:rStyle w:val="IndexLink"/>
                <w:rtl w:val="true"/>
              </w:rPr>
              <w:t xml:space="preserve">روّاد التشيع في عصر النبي </w:t>
            </w:r>
            <w:r>
              <w:rPr>
                <w:rStyle w:val="IndexLink"/>
                <w:rtl w:val="true"/>
              </w:rPr>
              <w:t>(</w:t>
            </w:r>
            <w:r>
              <w:rPr>
                <w:rStyle w:val="IndexLink"/>
                <w:rtl w:val="true"/>
              </w:rPr>
              <w:t>ص</w:t>
            </w:r>
            <w:r>
              <w:rPr>
                <w:rStyle w:val="IndexLink"/>
                <w:rtl w:val="true"/>
              </w:rPr>
              <w:t>)</w:t>
              <w:tab/>
            </w:r>
            <w:r>
              <w:rPr>
                <w:rStyle w:val="IndexLink"/>
              </w:rPr>
              <w:t>15</w:t>
            </w:r>
          </w:hyperlink>
        </w:p>
        <w:p>
          <w:pPr>
            <w:pStyle w:val="Contents3"/>
            <w:tabs>
              <w:tab w:val="clear" w:pos="8459"/>
              <w:tab w:val="right" w:pos="9026" w:leader="dot"/>
            </w:tabs>
            <w:rPr/>
          </w:pPr>
          <w:hyperlink w:anchor="__RefHeading___Toc3049089_3650668749">
            <w:r>
              <w:rPr>
                <w:webHidden/>
                <w:rStyle w:val="IndexLink"/>
                <w:rtl w:val="true"/>
              </w:rPr>
              <w:t>الكتب المؤلّفة حول روّاد التشيّع‌</w:t>
            </w:r>
            <w:r>
              <w:rPr>
                <w:rStyle w:val="IndexLink"/>
                <w:rtl w:val="true"/>
              </w:rPr>
              <w:tab/>
            </w:r>
            <w:r>
              <w:rPr>
                <w:rStyle w:val="IndexLink"/>
              </w:rPr>
              <w:t>16</w:t>
            </w:r>
          </w:hyperlink>
        </w:p>
        <w:p>
          <w:pPr>
            <w:pStyle w:val="Contents3"/>
            <w:tabs>
              <w:tab w:val="clear" w:pos="8459"/>
              <w:tab w:val="right" w:pos="9026" w:leader="dot"/>
            </w:tabs>
            <w:rPr/>
          </w:pPr>
          <w:hyperlink w:anchor="__RefHeading___Toc3049091_3650668749">
            <w:r>
              <w:rPr>
                <w:webHidden/>
                <w:rStyle w:val="IndexLink"/>
                <w:rtl w:val="true"/>
              </w:rPr>
              <w:t>الشيعة في العصرين</w:t>
            </w:r>
            <w:r>
              <w:rPr>
                <w:rStyle w:val="IndexLink"/>
                <w:rtl w:val="true"/>
              </w:rPr>
              <w:t xml:space="preserve">: </w:t>
            </w:r>
            <w:r>
              <w:rPr>
                <w:rStyle w:val="IndexLink"/>
                <w:rtl w:val="true"/>
              </w:rPr>
              <w:t>الأموي والعباسي‌</w:t>
            </w:r>
            <w:r>
              <w:rPr>
                <w:rStyle w:val="IndexLink"/>
                <w:rtl w:val="true"/>
              </w:rPr>
              <w:tab/>
            </w:r>
            <w:r>
              <w:rPr>
                <w:rStyle w:val="IndexLink"/>
              </w:rPr>
              <w:t>17</w:t>
            </w:r>
          </w:hyperlink>
        </w:p>
        <w:p>
          <w:pPr>
            <w:pStyle w:val="Contents3"/>
            <w:tabs>
              <w:tab w:val="clear" w:pos="8459"/>
              <w:tab w:val="right" w:pos="9026" w:leader="dot"/>
            </w:tabs>
            <w:rPr/>
          </w:pPr>
          <w:hyperlink w:anchor="__RefHeading___Toc3049093_3650668749">
            <w:r>
              <w:rPr>
                <w:webHidden/>
                <w:rStyle w:val="IndexLink"/>
                <w:rtl w:val="true"/>
              </w:rPr>
              <w:t>الشيعة في العصر الأموي‌</w:t>
            </w:r>
            <w:r>
              <w:rPr>
                <w:rStyle w:val="IndexLink"/>
                <w:rtl w:val="true"/>
              </w:rPr>
              <w:tab/>
            </w:r>
            <w:r>
              <w:rPr>
                <w:rStyle w:val="IndexLink"/>
              </w:rPr>
              <w:t>17</w:t>
            </w:r>
          </w:hyperlink>
        </w:p>
        <w:p>
          <w:pPr>
            <w:pStyle w:val="Contents3"/>
            <w:tabs>
              <w:tab w:val="clear" w:pos="8459"/>
              <w:tab w:val="right" w:pos="9026" w:leader="dot"/>
            </w:tabs>
            <w:rPr/>
          </w:pPr>
          <w:hyperlink w:anchor="__RefHeading___Toc3049095_3650668749">
            <w:r>
              <w:rPr>
                <w:webHidden/>
                <w:rStyle w:val="IndexLink"/>
                <w:rtl w:val="true"/>
              </w:rPr>
              <w:t>بيان معاوية إلى عمّاله</w:t>
            </w:r>
            <w:r>
              <w:rPr>
                <w:rStyle w:val="IndexLink"/>
                <w:rtl w:val="true"/>
              </w:rPr>
              <w:t>:</w:t>
              <w:tab/>
            </w:r>
            <w:r>
              <w:rPr>
                <w:rStyle w:val="IndexLink"/>
              </w:rPr>
              <w:t>20</w:t>
            </w:r>
          </w:hyperlink>
        </w:p>
        <w:p>
          <w:pPr>
            <w:pStyle w:val="Contents3"/>
            <w:tabs>
              <w:tab w:val="clear" w:pos="8459"/>
              <w:tab w:val="right" w:pos="9026" w:leader="dot"/>
            </w:tabs>
            <w:rPr/>
          </w:pPr>
          <w:hyperlink w:anchor="__RefHeading___Toc3049097_3650668749">
            <w:r>
              <w:rPr>
                <w:webHidden/>
                <w:rStyle w:val="IndexLink"/>
                <w:rtl w:val="true"/>
              </w:rPr>
              <w:t>ضحايا الغدر الأموي</w:t>
            </w:r>
            <w:r>
              <w:rPr>
                <w:rStyle w:val="IndexLink"/>
                <w:rtl w:val="true"/>
              </w:rPr>
              <w:t>:</w:t>
              <w:tab/>
            </w:r>
            <w:r>
              <w:rPr>
                <w:rStyle w:val="IndexLink"/>
              </w:rPr>
              <w:t>21</w:t>
            </w:r>
          </w:hyperlink>
        </w:p>
        <w:p>
          <w:pPr>
            <w:pStyle w:val="Contents3"/>
            <w:tabs>
              <w:tab w:val="clear" w:pos="8459"/>
              <w:tab w:val="right" w:pos="9026" w:leader="dot"/>
            </w:tabs>
            <w:rPr/>
          </w:pPr>
          <w:hyperlink w:anchor="__RefHeading___Toc3049099_3650668749">
            <w:r>
              <w:rPr>
                <w:webHidden/>
                <w:rStyle w:val="IndexLink"/>
                <w:rtl w:val="true"/>
              </w:rPr>
              <w:t>الشيعة في العصر العباسي‌</w:t>
            </w:r>
            <w:r>
              <w:rPr>
                <w:rStyle w:val="IndexLink"/>
                <w:rtl w:val="true"/>
              </w:rPr>
              <w:tab/>
            </w:r>
            <w:r>
              <w:rPr>
                <w:rStyle w:val="IndexLink"/>
              </w:rPr>
              <w:t>22</w:t>
            </w:r>
          </w:hyperlink>
        </w:p>
        <w:p>
          <w:pPr>
            <w:pStyle w:val="Contents3"/>
            <w:tabs>
              <w:tab w:val="clear" w:pos="8459"/>
              <w:tab w:val="right" w:pos="9026" w:leader="dot"/>
            </w:tabs>
            <w:rPr/>
          </w:pPr>
          <w:hyperlink w:anchor="__RefHeading___Toc3049101_3650668749">
            <w:r>
              <w:rPr>
                <w:webHidden/>
                <w:rStyle w:val="IndexLink"/>
                <w:rtl w:val="true"/>
              </w:rPr>
              <w:t>فرضيات وهمية لنشأة التشيع‌</w:t>
            </w:r>
            <w:r>
              <w:rPr>
                <w:rStyle w:val="IndexLink"/>
                <w:rtl w:val="true"/>
              </w:rPr>
              <w:tab/>
            </w:r>
            <w:r>
              <w:rPr>
                <w:rStyle w:val="IndexLink"/>
              </w:rPr>
              <w:t>27</w:t>
            </w:r>
          </w:hyperlink>
        </w:p>
        <w:p>
          <w:pPr>
            <w:pStyle w:val="Contents4"/>
            <w:tabs>
              <w:tab w:val="clear" w:pos="8176"/>
              <w:tab w:val="right" w:pos="9026" w:leader="dot"/>
            </w:tabs>
            <w:rPr/>
          </w:pPr>
          <w:hyperlink w:anchor="__RefHeading___Toc3049103_365066874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049105_3650668749">
            <w:r>
              <w:rPr>
                <w:webHidden/>
                <w:rStyle w:val="IndexLink"/>
                <w:rtl w:val="true"/>
              </w:rPr>
              <w:t>الفرضية الأولى</w:t>
            </w:r>
            <w:r>
              <w:rPr>
                <w:rStyle w:val="IndexLink"/>
                <w:rtl w:val="true"/>
              </w:rPr>
              <w:t xml:space="preserve">: </w:t>
            </w:r>
            <w:r>
              <w:rPr>
                <w:rStyle w:val="IndexLink"/>
                <w:rtl w:val="true"/>
              </w:rPr>
              <w:t>الشيعة ويوم السقيفة</w:t>
            </w:r>
            <w:r>
              <w:rPr>
                <w:rStyle w:val="IndexLink"/>
                <w:rtl w:val="true"/>
              </w:rPr>
              <w:t>!</w:t>
              <w:tab/>
            </w:r>
            <w:r>
              <w:rPr>
                <w:rStyle w:val="IndexLink"/>
              </w:rPr>
              <w:t>28</w:t>
            </w:r>
          </w:hyperlink>
        </w:p>
        <w:p>
          <w:pPr>
            <w:pStyle w:val="Contents4"/>
            <w:tabs>
              <w:tab w:val="clear" w:pos="8176"/>
              <w:tab w:val="right" w:pos="9026" w:leader="dot"/>
            </w:tabs>
            <w:rPr/>
          </w:pPr>
          <w:hyperlink w:anchor="__RefHeading___Toc3049107_3650668749">
            <w:r>
              <w:rPr>
                <w:webHidden/>
                <w:rStyle w:val="IndexLink"/>
                <w:rtl w:val="true"/>
              </w:rPr>
              <w:t>الفرضية الثانية</w:t>
            </w:r>
            <w:r>
              <w:rPr>
                <w:rStyle w:val="IndexLink"/>
                <w:rtl w:val="true"/>
              </w:rPr>
              <w:t xml:space="preserve">: </w:t>
            </w:r>
            <w:r>
              <w:rPr>
                <w:rStyle w:val="IndexLink"/>
                <w:rtl w:val="true"/>
              </w:rPr>
              <w:t>التشيّع صنيع عبدالله بن سبأ</w:t>
            </w:r>
            <w:r>
              <w:rPr>
                <w:rStyle w:val="IndexLink"/>
                <w:rtl w:val="true"/>
              </w:rPr>
              <w:tab/>
            </w:r>
            <w:r>
              <w:rPr>
                <w:rStyle w:val="IndexLink"/>
              </w:rPr>
              <w:t>29</w:t>
            </w:r>
          </w:hyperlink>
        </w:p>
        <w:p>
          <w:pPr>
            <w:pStyle w:val="Contents5"/>
            <w:tabs>
              <w:tab w:val="clear" w:pos="7892"/>
              <w:tab w:val="right" w:pos="9026" w:leader="dot"/>
            </w:tabs>
            <w:rPr/>
          </w:pPr>
          <w:hyperlink w:anchor="__RefHeading___Toc3049109_3650668749">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049111_3650668749">
            <w:r>
              <w:rPr>
                <w:webHidden/>
                <w:rStyle w:val="IndexLink"/>
                <w:rtl w:val="true"/>
              </w:rPr>
              <w:t>نظر المحقّقين في الموضوع</w:t>
            </w:r>
            <w:r>
              <w:rPr>
                <w:rStyle w:val="IndexLink"/>
                <w:rtl w:val="true"/>
              </w:rPr>
              <w:t>:</w:t>
              <w:tab/>
            </w:r>
            <w:r>
              <w:rPr>
                <w:rStyle w:val="IndexLink"/>
              </w:rPr>
              <w:t>31</w:t>
            </w:r>
          </w:hyperlink>
        </w:p>
        <w:p>
          <w:pPr>
            <w:pStyle w:val="Contents5"/>
            <w:tabs>
              <w:tab w:val="clear" w:pos="7892"/>
              <w:tab w:val="right" w:pos="9026" w:leader="dot"/>
            </w:tabs>
            <w:rPr/>
          </w:pPr>
          <w:hyperlink w:anchor="__RefHeading___Toc3049113_3650668749">
            <w:r>
              <w:rPr>
                <w:webHidden/>
                <w:rStyle w:val="IndexLink"/>
                <w:rtl w:val="true"/>
              </w:rPr>
              <w:t>عبدالله بن سبأ اسطورة تاريخية</w:t>
            </w:r>
            <w:r>
              <w:rPr>
                <w:rStyle w:val="IndexLink"/>
                <w:rtl w:val="true"/>
              </w:rPr>
              <w:t>:</w:t>
              <w:tab/>
            </w:r>
            <w:r>
              <w:rPr>
                <w:rStyle w:val="IndexLink"/>
              </w:rPr>
              <w:t>33</w:t>
            </w:r>
          </w:hyperlink>
        </w:p>
        <w:p>
          <w:pPr>
            <w:pStyle w:val="Contents4"/>
            <w:tabs>
              <w:tab w:val="clear" w:pos="8176"/>
              <w:tab w:val="right" w:pos="9026" w:leader="dot"/>
            </w:tabs>
            <w:rPr/>
          </w:pPr>
          <w:hyperlink w:anchor="__RefHeading___Toc3049115_3650668749">
            <w:r>
              <w:rPr>
                <w:webHidden/>
                <w:rStyle w:val="IndexLink"/>
                <w:rtl w:val="true"/>
              </w:rPr>
              <w:t>الفرضية الثالثة</w:t>
            </w:r>
            <w:r>
              <w:rPr>
                <w:rStyle w:val="IndexLink"/>
                <w:rtl w:val="true"/>
              </w:rPr>
              <w:t xml:space="preserve">: </w:t>
            </w:r>
            <w:r>
              <w:rPr>
                <w:rStyle w:val="IndexLink"/>
                <w:rtl w:val="true"/>
              </w:rPr>
              <w:t>التشيّع فارسي المنشأ</w:t>
            </w:r>
            <w:r>
              <w:rPr>
                <w:rStyle w:val="IndexLink"/>
                <w:rtl w:val="true"/>
              </w:rPr>
              <w:tab/>
            </w:r>
            <w:r>
              <w:rPr>
                <w:rStyle w:val="IndexLink"/>
              </w:rPr>
              <w:t>35</w:t>
            </w:r>
          </w:hyperlink>
        </w:p>
        <w:p>
          <w:pPr>
            <w:pStyle w:val="Contents5"/>
            <w:tabs>
              <w:tab w:val="clear" w:pos="7892"/>
              <w:tab w:val="right" w:pos="9026" w:leader="dot"/>
            </w:tabs>
            <w:rPr/>
          </w:pPr>
          <w:hyperlink w:anchor="__RefHeading___Toc3049117_3650668749">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3049119_3650668749">
            <w:r>
              <w:rPr>
                <w:webHidden/>
                <w:rStyle w:val="IndexLink"/>
                <w:rtl w:val="true"/>
              </w:rPr>
              <w:t>شهادة المستشرقين على أنّ التشيّع عربي المبدأ</w:t>
            </w:r>
            <w:r>
              <w:rPr>
                <w:rStyle w:val="IndexLink"/>
                <w:rtl w:val="true"/>
              </w:rPr>
              <w:tab/>
            </w:r>
            <w:r>
              <w:rPr>
                <w:rStyle w:val="IndexLink"/>
              </w:rPr>
              <w:t>36</w:t>
            </w:r>
          </w:hyperlink>
        </w:p>
        <w:p>
          <w:pPr>
            <w:pStyle w:val="Contents4"/>
            <w:tabs>
              <w:tab w:val="clear" w:pos="8176"/>
              <w:tab w:val="right" w:pos="9026" w:leader="dot"/>
            </w:tabs>
            <w:rPr/>
          </w:pPr>
          <w:hyperlink w:anchor="__RefHeading___Toc3049121_3650668749">
            <w:r>
              <w:rPr>
                <w:webHidden/>
                <w:rStyle w:val="IndexLink"/>
                <w:rtl w:val="true"/>
              </w:rPr>
              <w:t>الفرضية الرابعة</w:t>
            </w:r>
            <w:r>
              <w:rPr>
                <w:rStyle w:val="IndexLink"/>
                <w:rtl w:val="true"/>
              </w:rPr>
              <w:t xml:space="preserve">: </w:t>
            </w:r>
            <w:r>
              <w:rPr>
                <w:rStyle w:val="IndexLink"/>
                <w:rtl w:val="true"/>
              </w:rPr>
              <w:t>التشيّع فارسي المنحى‌</w:t>
            </w:r>
            <w:r>
              <w:rPr>
                <w:rStyle w:val="IndexLink"/>
                <w:rtl w:val="true"/>
              </w:rPr>
              <w:tab/>
            </w:r>
            <w:r>
              <w:rPr>
                <w:rStyle w:val="IndexLink"/>
              </w:rPr>
              <w:t>37</w:t>
            </w:r>
          </w:hyperlink>
        </w:p>
        <w:p>
          <w:pPr>
            <w:pStyle w:val="Contents4"/>
            <w:tabs>
              <w:tab w:val="clear" w:pos="8176"/>
              <w:tab w:val="right" w:pos="9026" w:leader="dot"/>
            </w:tabs>
            <w:rPr/>
          </w:pPr>
          <w:hyperlink w:anchor="__RefHeading___Toc3049123_3650668749">
            <w:r>
              <w:rPr>
                <w:webHidden/>
                <w:rStyle w:val="IndexLink"/>
                <w:rtl w:val="true"/>
              </w:rPr>
              <w:t>الفرضيه الخامسة</w:t>
            </w:r>
            <w:r>
              <w:rPr>
                <w:rStyle w:val="IndexLink"/>
                <w:rtl w:val="true"/>
              </w:rPr>
              <w:t xml:space="preserve">: </w:t>
            </w:r>
            <w:r>
              <w:rPr>
                <w:rStyle w:val="IndexLink"/>
                <w:rtl w:val="true"/>
              </w:rPr>
              <w:t>الشيعة ويوم الجمل‌</w:t>
            </w:r>
            <w:r>
              <w:rPr>
                <w:rStyle w:val="IndexLink"/>
                <w:rtl w:val="true"/>
              </w:rPr>
              <w:tab/>
            </w:r>
            <w:r>
              <w:rPr>
                <w:rStyle w:val="IndexLink"/>
              </w:rPr>
              <w:t>39</w:t>
            </w:r>
          </w:hyperlink>
        </w:p>
        <w:p>
          <w:pPr>
            <w:pStyle w:val="Contents4"/>
            <w:tabs>
              <w:tab w:val="clear" w:pos="8176"/>
              <w:tab w:val="right" w:pos="9026" w:leader="dot"/>
            </w:tabs>
            <w:rPr/>
          </w:pPr>
          <w:hyperlink w:anchor="__RefHeading___Toc3049125_3650668749">
            <w:r>
              <w:rPr>
                <w:webHidden/>
                <w:rStyle w:val="IndexLink"/>
                <w:rtl w:val="true"/>
              </w:rPr>
              <w:t>الفرضية السادسة</w:t>
            </w:r>
            <w:r>
              <w:rPr>
                <w:rStyle w:val="IndexLink"/>
                <w:rtl w:val="true"/>
              </w:rPr>
              <w:t xml:space="preserve">: </w:t>
            </w:r>
            <w:r>
              <w:rPr>
                <w:rStyle w:val="IndexLink"/>
                <w:rtl w:val="true"/>
              </w:rPr>
              <w:t>الشيعة ويوم صفين‌</w:t>
            </w:r>
            <w:r>
              <w:rPr>
                <w:rStyle w:val="IndexLink"/>
                <w:rtl w:val="true"/>
              </w:rPr>
              <w:tab/>
            </w:r>
            <w:r>
              <w:rPr>
                <w:rStyle w:val="IndexLink"/>
              </w:rPr>
              <w:t>40</w:t>
            </w:r>
          </w:hyperlink>
        </w:p>
        <w:p>
          <w:pPr>
            <w:pStyle w:val="Contents4"/>
            <w:tabs>
              <w:tab w:val="clear" w:pos="8176"/>
              <w:tab w:val="right" w:pos="9026" w:leader="dot"/>
            </w:tabs>
            <w:rPr/>
          </w:pPr>
          <w:hyperlink w:anchor="__RefHeading___Toc3049127_3650668749">
            <w:r>
              <w:rPr>
                <w:webHidden/>
                <w:rStyle w:val="IndexLink"/>
                <w:rtl w:val="true"/>
              </w:rPr>
              <w:t>الفرضية السابعة</w:t>
            </w:r>
            <w:r>
              <w:rPr>
                <w:rStyle w:val="IndexLink"/>
                <w:rtl w:val="true"/>
              </w:rPr>
              <w:t xml:space="preserve">: </w:t>
            </w:r>
            <w:r>
              <w:rPr>
                <w:rStyle w:val="IndexLink"/>
                <w:rtl w:val="true"/>
              </w:rPr>
              <w:t>الشّيعة والبويهيون‌</w:t>
            </w:r>
            <w:r>
              <w:rPr>
                <w:rStyle w:val="IndexLink"/>
                <w:rtl w:val="true"/>
              </w:rPr>
              <w:tab/>
            </w:r>
            <w:r>
              <w:rPr>
                <w:rStyle w:val="IndexLink"/>
              </w:rPr>
              <w:t>40</w:t>
            </w:r>
          </w:hyperlink>
        </w:p>
        <w:p>
          <w:pPr>
            <w:pStyle w:val="Contents4"/>
            <w:tabs>
              <w:tab w:val="clear" w:pos="8176"/>
              <w:tab w:val="right" w:pos="9026" w:leader="dot"/>
            </w:tabs>
            <w:rPr/>
          </w:pPr>
          <w:hyperlink w:anchor="__RefHeading___Toc3049129_3650668749">
            <w:r>
              <w:rPr>
                <w:webHidden/>
                <w:rStyle w:val="IndexLink"/>
                <w:rtl w:val="true"/>
              </w:rPr>
              <w:t>الفرضية الثامنة</w:t>
            </w:r>
            <w:r>
              <w:rPr>
                <w:rStyle w:val="IndexLink"/>
                <w:rtl w:val="true"/>
              </w:rPr>
              <w:t xml:space="preserve">: </w:t>
            </w:r>
            <w:r>
              <w:rPr>
                <w:rStyle w:val="IndexLink"/>
                <w:rtl w:val="true"/>
              </w:rPr>
              <w:t>الشيعة والصفّويون‌</w:t>
            </w:r>
            <w:r>
              <w:rPr>
                <w:rStyle w:val="IndexLink"/>
                <w:rtl w:val="true"/>
              </w:rPr>
              <w:tab/>
            </w:r>
            <w:r>
              <w:rPr>
                <w:rStyle w:val="IndexLink"/>
              </w:rPr>
              <w:t>41</w:t>
            </w:r>
          </w:hyperlink>
        </w:p>
        <w:p>
          <w:pPr>
            <w:pStyle w:val="Contents2"/>
            <w:tabs>
              <w:tab w:val="clear" w:pos="8743"/>
              <w:tab w:val="right" w:pos="9026" w:leader="dot"/>
            </w:tabs>
            <w:rPr/>
          </w:pPr>
          <w:hyperlink w:anchor="__RefHeading___Toc3049131_3650668749">
            <w:r>
              <w:rPr>
                <w:webHidden/>
                <w:rStyle w:val="IndexLink"/>
                <w:rtl w:val="true"/>
              </w:rPr>
              <w:t>الفصل الثاني</w:t>
            </w:r>
            <w:r>
              <w:rPr>
                <w:rStyle w:val="IndexLink"/>
                <w:rtl w:val="true"/>
              </w:rPr>
              <w:t xml:space="preserve">: </w:t>
            </w:r>
            <w:r>
              <w:rPr>
                <w:rStyle w:val="IndexLink"/>
                <w:rtl w:val="true"/>
              </w:rPr>
              <w:t>الأئمّة الإثنا عشر</w:t>
            </w:r>
            <w:r>
              <w:rPr>
                <w:rStyle w:val="IndexLink"/>
                <w:rtl w:val="true"/>
              </w:rPr>
              <w:tab/>
            </w:r>
            <w:r>
              <w:rPr>
                <w:rStyle w:val="IndexLink"/>
              </w:rPr>
              <w:t>43</w:t>
            </w:r>
          </w:hyperlink>
        </w:p>
        <w:p>
          <w:pPr>
            <w:pStyle w:val="Contents3"/>
            <w:tabs>
              <w:tab w:val="clear" w:pos="8459"/>
              <w:tab w:val="right" w:pos="9026" w:leader="dot"/>
            </w:tabs>
            <w:rPr/>
          </w:pPr>
          <w:hyperlink w:anchor="__RefHeading___Toc3049133_3650668749">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049135_3650668749">
            <w:r>
              <w:rPr>
                <w:webHidden/>
                <w:rStyle w:val="IndexLink"/>
                <w:rtl w:val="true"/>
              </w:rPr>
              <w:t>إلامام الأوّل</w:t>
            </w:r>
            <w:r>
              <w:rPr>
                <w:rStyle w:val="IndexLink"/>
                <w:rtl w:val="true"/>
              </w:rPr>
              <w:t>: «</w:t>
            </w:r>
            <w:r>
              <w:rPr>
                <w:rStyle w:val="IndexLink"/>
                <w:rtl w:val="true"/>
              </w:rPr>
              <w:t xml:space="preserve">أميرالمؤمنين علي بن أبي طالب </w:t>
            </w:r>
            <w:r>
              <w:rPr>
                <w:rStyle w:val="IndexLink"/>
              </w:rPr>
              <w:t>7</w:t>
            </w:r>
            <w:r>
              <w:rPr>
                <w:rStyle w:val="IndexLink"/>
                <w:rtl w:val="true"/>
              </w:rPr>
              <w:t>»</w:t>
              <w:tab/>
            </w:r>
            <w:r>
              <w:rPr>
                <w:rStyle w:val="IndexLink"/>
              </w:rPr>
              <w:t>44</w:t>
            </w:r>
          </w:hyperlink>
        </w:p>
        <w:p>
          <w:pPr>
            <w:pStyle w:val="Contents4"/>
            <w:tabs>
              <w:tab w:val="clear" w:pos="8176"/>
              <w:tab w:val="right" w:pos="9026" w:leader="dot"/>
            </w:tabs>
            <w:rPr/>
          </w:pPr>
          <w:hyperlink w:anchor="__RefHeading___Toc3049137_365066874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049139_3650668749">
            <w:r>
              <w:rPr>
                <w:webHidden/>
                <w:rStyle w:val="IndexLink"/>
                <w:rtl w:val="true"/>
              </w:rPr>
              <w:t xml:space="preserve">تنصيب علي </w:t>
            </w:r>
            <w:r>
              <w:rPr>
                <w:rStyle w:val="IndexLink"/>
                <w:rtl w:val="true"/>
              </w:rPr>
              <w:t>(</w:t>
            </w:r>
            <w:r>
              <w:rPr>
                <w:rStyle w:val="IndexLink"/>
                <w:rtl w:val="true"/>
              </w:rPr>
              <w:t>ع</w:t>
            </w:r>
            <w:r>
              <w:rPr>
                <w:rStyle w:val="IndexLink"/>
                <w:rtl w:val="true"/>
              </w:rPr>
              <w:t xml:space="preserve">) </w:t>
            </w:r>
            <w:r>
              <w:rPr>
                <w:rStyle w:val="IndexLink"/>
                <w:rtl w:val="true"/>
              </w:rPr>
              <w:t>للإمامة</w:t>
            </w:r>
            <w:r>
              <w:rPr>
                <w:rStyle w:val="IndexLink"/>
                <w:rtl w:val="true"/>
              </w:rPr>
              <w:tab/>
            </w:r>
            <w:r>
              <w:rPr>
                <w:rStyle w:val="IndexLink"/>
              </w:rPr>
              <w:t>44</w:t>
            </w:r>
          </w:hyperlink>
        </w:p>
        <w:p>
          <w:pPr>
            <w:pStyle w:val="Contents4"/>
            <w:tabs>
              <w:tab w:val="clear" w:pos="8176"/>
              <w:tab w:val="right" w:pos="9026" w:leader="dot"/>
            </w:tabs>
            <w:rPr/>
          </w:pPr>
          <w:hyperlink w:anchor="__RefHeading___Toc3049141_3650668749">
            <w:r>
              <w:rPr>
                <w:webHidden/>
                <w:rStyle w:val="IndexLink"/>
                <w:rtl w:val="true"/>
              </w:rPr>
              <w:t>شذرات من فضائله‌</w:t>
            </w:r>
            <w:r>
              <w:rPr>
                <w:rStyle w:val="IndexLink"/>
                <w:rtl w:val="true"/>
              </w:rPr>
              <w:tab/>
            </w:r>
            <w:r>
              <w:rPr>
                <w:rStyle w:val="IndexLink"/>
              </w:rPr>
              <w:t>46</w:t>
            </w:r>
          </w:hyperlink>
        </w:p>
        <w:p>
          <w:pPr>
            <w:pStyle w:val="Contents3"/>
            <w:tabs>
              <w:tab w:val="clear" w:pos="8459"/>
              <w:tab w:val="right" w:pos="9026" w:leader="dot"/>
            </w:tabs>
            <w:rPr/>
          </w:pPr>
          <w:hyperlink w:anchor="__RefHeading___Toc3049143_3650668749">
            <w:r>
              <w:rPr>
                <w:webHidden/>
                <w:rStyle w:val="IndexLink"/>
                <w:rtl w:val="true"/>
              </w:rPr>
              <w:t>الإمام الثاني</w:t>
            </w:r>
            <w:r>
              <w:rPr>
                <w:rStyle w:val="IndexLink"/>
                <w:rtl w:val="true"/>
              </w:rPr>
              <w:t>: «</w:t>
            </w:r>
            <w:r>
              <w:rPr>
                <w:rStyle w:val="IndexLink"/>
                <w:rtl w:val="true"/>
              </w:rPr>
              <w:t xml:space="preserve">أبو محمد الحسن بن علي المجتبى </w:t>
            </w:r>
            <w:r>
              <w:rPr>
                <w:rStyle w:val="IndexLink"/>
              </w:rPr>
              <w:t>8</w:t>
            </w:r>
            <w:r>
              <w:rPr>
                <w:rStyle w:val="IndexLink"/>
                <w:rtl w:val="true"/>
              </w:rPr>
              <w:t>»</w:t>
              <w:tab/>
            </w:r>
            <w:r>
              <w:rPr>
                <w:rStyle w:val="IndexLink"/>
              </w:rPr>
              <w:t>47</w:t>
            </w:r>
          </w:hyperlink>
        </w:p>
        <w:p>
          <w:pPr>
            <w:pStyle w:val="Contents4"/>
            <w:tabs>
              <w:tab w:val="clear" w:pos="8176"/>
              <w:tab w:val="right" w:pos="9026" w:leader="dot"/>
            </w:tabs>
            <w:rPr/>
          </w:pPr>
          <w:hyperlink w:anchor="__RefHeading___Toc3049145_365066874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049147_3650668749">
            <w:r>
              <w:rPr>
                <w:webHidden/>
                <w:rStyle w:val="IndexLink"/>
                <w:rtl w:val="true"/>
              </w:rPr>
              <w:t xml:space="preserve">شهادته ودفنه </w:t>
            </w:r>
            <w:r>
              <w:rPr>
                <w:rStyle w:val="IndexLink"/>
                <w:rtl w:val="true"/>
              </w:rPr>
              <w:t>(</w:t>
            </w:r>
            <w:r>
              <w:rPr>
                <w:rStyle w:val="IndexLink"/>
                <w:rtl w:val="true"/>
              </w:rPr>
              <w:t>ع</w:t>
            </w:r>
            <w:r>
              <w:rPr>
                <w:rStyle w:val="IndexLink"/>
                <w:rtl w:val="true"/>
              </w:rPr>
              <w:t>):</w:t>
              <w:tab/>
            </w:r>
            <w:r>
              <w:rPr>
                <w:rStyle w:val="IndexLink"/>
              </w:rPr>
              <w:t>48</w:t>
            </w:r>
          </w:hyperlink>
        </w:p>
        <w:p>
          <w:pPr>
            <w:pStyle w:val="Contents3"/>
            <w:tabs>
              <w:tab w:val="clear" w:pos="8459"/>
              <w:tab w:val="right" w:pos="9026" w:leader="dot"/>
            </w:tabs>
            <w:rPr/>
          </w:pPr>
          <w:hyperlink w:anchor="__RefHeading___Toc3049149_3650668749">
            <w:r>
              <w:rPr>
                <w:webHidden/>
                <w:rStyle w:val="IndexLink"/>
                <w:rtl w:val="true"/>
              </w:rPr>
              <w:t>الإمام الثالث</w:t>
            </w:r>
            <w:r>
              <w:rPr>
                <w:rStyle w:val="IndexLink"/>
                <w:rtl w:val="true"/>
              </w:rPr>
              <w:t>: «</w:t>
            </w:r>
            <w:r>
              <w:rPr>
                <w:rStyle w:val="IndexLink"/>
                <w:rtl w:val="true"/>
              </w:rPr>
              <w:t xml:space="preserve">أبوعبدالله الحسين بن علي </w:t>
            </w:r>
            <w:r>
              <w:rPr>
                <w:rStyle w:val="IndexLink"/>
              </w:rPr>
              <w:t>8</w:t>
            </w:r>
            <w:r>
              <w:rPr>
                <w:rStyle w:val="IndexLink"/>
                <w:rtl w:val="true"/>
              </w:rPr>
              <w:t xml:space="preserve"> </w:t>
            </w:r>
            <w:r>
              <w:rPr>
                <w:rStyle w:val="IndexLink"/>
                <w:rtl w:val="true"/>
              </w:rPr>
              <w:t>سيدالشهداءِ</w:t>
            </w:r>
            <w:r>
              <w:rPr>
                <w:rStyle w:val="IndexLink"/>
                <w:rtl w:val="true"/>
              </w:rPr>
              <w:t>»</w:t>
              <w:tab/>
            </w:r>
            <w:r>
              <w:rPr>
                <w:rStyle w:val="IndexLink"/>
              </w:rPr>
              <w:t>49</w:t>
            </w:r>
          </w:hyperlink>
        </w:p>
        <w:p>
          <w:pPr>
            <w:pStyle w:val="Contents3"/>
            <w:tabs>
              <w:tab w:val="clear" w:pos="8459"/>
              <w:tab w:val="right" w:pos="9026" w:leader="dot"/>
            </w:tabs>
            <w:rPr/>
          </w:pPr>
          <w:hyperlink w:anchor="__RefHeading___Toc3049151_3650668749">
            <w:r>
              <w:rPr>
                <w:webHidden/>
                <w:rStyle w:val="IndexLink"/>
                <w:rtl w:val="true"/>
              </w:rPr>
              <w:t>الإمام الرابع</w:t>
            </w:r>
            <w:r>
              <w:rPr>
                <w:rStyle w:val="IndexLink"/>
                <w:rtl w:val="true"/>
              </w:rPr>
              <w:t>: «</w:t>
            </w:r>
            <w:r>
              <w:rPr>
                <w:rStyle w:val="IndexLink"/>
                <w:rtl w:val="true"/>
              </w:rPr>
              <w:t xml:space="preserve">علي بن الحسين بن علي زين العابدين </w:t>
            </w:r>
            <w:r>
              <w:rPr>
                <w:rStyle w:val="IndexLink"/>
                <w:rtl w:val="true"/>
              </w:rPr>
              <w:t>(</w:t>
            </w:r>
            <w:r>
              <w:rPr>
                <w:rStyle w:val="IndexLink"/>
                <w:rtl w:val="true"/>
              </w:rPr>
              <w:t>ع</w:t>
            </w:r>
            <w:r>
              <w:rPr>
                <w:rStyle w:val="IndexLink"/>
                <w:rtl w:val="true"/>
              </w:rPr>
              <w:t>)»</w:t>
              <w:tab/>
            </w:r>
            <w:r>
              <w:rPr>
                <w:rStyle w:val="IndexLink"/>
              </w:rPr>
              <w:t>52</w:t>
            </w:r>
          </w:hyperlink>
        </w:p>
        <w:p>
          <w:pPr>
            <w:pStyle w:val="Contents3"/>
            <w:tabs>
              <w:tab w:val="clear" w:pos="8459"/>
              <w:tab w:val="right" w:pos="9026" w:leader="dot"/>
            </w:tabs>
            <w:rPr/>
          </w:pPr>
          <w:hyperlink w:anchor="__RefHeading___Toc3049153_3650668749">
            <w:r>
              <w:rPr>
                <w:webHidden/>
                <w:rStyle w:val="IndexLink"/>
                <w:rtl w:val="true"/>
              </w:rPr>
              <w:t>الإمام الخامس</w:t>
            </w:r>
            <w:r>
              <w:rPr>
                <w:rStyle w:val="IndexLink"/>
                <w:rtl w:val="true"/>
              </w:rPr>
              <w:t>: «</w:t>
            </w:r>
            <w:r>
              <w:rPr>
                <w:rStyle w:val="IndexLink"/>
                <w:rtl w:val="true"/>
              </w:rPr>
              <w:t xml:space="preserve">أبوجعفر محمد بن علي الباقر </w:t>
            </w:r>
            <w:r>
              <w:rPr>
                <w:rStyle w:val="IndexLink"/>
              </w:rPr>
              <w:t>8</w:t>
            </w:r>
            <w:r>
              <w:rPr>
                <w:rStyle w:val="IndexLink"/>
                <w:rtl w:val="true"/>
              </w:rPr>
              <w:t>»</w:t>
              <w:tab/>
            </w:r>
            <w:r>
              <w:rPr>
                <w:rStyle w:val="IndexLink"/>
              </w:rPr>
              <w:t>53</w:t>
            </w:r>
          </w:hyperlink>
        </w:p>
        <w:p>
          <w:pPr>
            <w:pStyle w:val="Contents3"/>
            <w:tabs>
              <w:tab w:val="clear" w:pos="8459"/>
              <w:tab w:val="right" w:pos="9026" w:leader="dot"/>
            </w:tabs>
            <w:rPr/>
          </w:pPr>
          <w:hyperlink w:anchor="__RefHeading___Toc3049155_3650668749">
            <w:r>
              <w:rPr>
                <w:webHidden/>
                <w:rStyle w:val="IndexLink"/>
                <w:rtl w:val="true"/>
              </w:rPr>
              <w:t>الإمام السادس</w:t>
            </w:r>
            <w:r>
              <w:rPr>
                <w:rStyle w:val="IndexLink"/>
                <w:rtl w:val="true"/>
              </w:rPr>
              <w:t>: «</w:t>
            </w:r>
            <w:r>
              <w:rPr>
                <w:rStyle w:val="IndexLink"/>
                <w:rtl w:val="true"/>
              </w:rPr>
              <w:t xml:space="preserve">أبوعبدالله جعفر بن‌محمّدالصادق </w:t>
            </w:r>
            <w:r>
              <w:rPr>
                <w:rStyle w:val="IndexLink"/>
              </w:rPr>
              <w:t>8</w:t>
            </w:r>
            <w:r>
              <w:rPr>
                <w:rStyle w:val="IndexLink"/>
                <w:rtl w:val="true"/>
              </w:rPr>
              <w:t>»</w:t>
              <w:tab/>
            </w:r>
            <w:r>
              <w:rPr>
                <w:rStyle w:val="IndexLink"/>
              </w:rPr>
              <w:t>54</w:t>
            </w:r>
          </w:hyperlink>
        </w:p>
        <w:p>
          <w:pPr>
            <w:pStyle w:val="Contents3"/>
            <w:tabs>
              <w:tab w:val="clear" w:pos="8459"/>
              <w:tab w:val="right" w:pos="9026" w:leader="dot"/>
            </w:tabs>
            <w:rPr/>
          </w:pPr>
          <w:hyperlink w:anchor="__RefHeading___Toc3049157_3650668749">
            <w:r>
              <w:rPr>
                <w:webHidden/>
                <w:rStyle w:val="IndexLink"/>
                <w:rtl w:val="true"/>
              </w:rPr>
              <w:t>الإمام السابع</w:t>
            </w:r>
            <w:r>
              <w:rPr>
                <w:rStyle w:val="IndexLink"/>
                <w:rtl w:val="true"/>
              </w:rPr>
              <w:t>: «</w:t>
            </w:r>
            <w:r>
              <w:rPr>
                <w:rStyle w:val="IndexLink"/>
                <w:rtl w:val="true"/>
              </w:rPr>
              <w:t xml:space="preserve">أبوالحسن موسى بن جعفرالكاظم </w:t>
            </w:r>
            <w:r>
              <w:rPr>
                <w:rStyle w:val="IndexLink"/>
              </w:rPr>
              <w:t>8</w:t>
            </w:r>
            <w:r>
              <w:rPr>
                <w:rStyle w:val="IndexLink"/>
                <w:rtl w:val="true"/>
              </w:rPr>
              <w:t>»</w:t>
              <w:tab/>
            </w:r>
            <w:r>
              <w:rPr>
                <w:rStyle w:val="IndexLink"/>
              </w:rPr>
              <w:t>57</w:t>
            </w:r>
          </w:hyperlink>
        </w:p>
        <w:p>
          <w:pPr>
            <w:pStyle w:val="Contents3"/>
            <w:tabs>
              <w:tab w:val="clear" w:pos="8459"/>
              <w:tab w:val="right" w:pos="9026" w:leader="dot"/>
            </w:tabs>
            <w:rPr/>
          </w:pPr>
          <w:hyperlink w:anchor="__RefHeading___Toc3049159_3650668749">
            <w:r>
              <w:rPr>
                <w:webHidden/>
                <w:rStyle w:val="IndexLink"/>
                <w:rtl w:val="true"/>
              </w:rPr>
              <w:t>الإمام الثامن</w:t>
            </w:r>
            <w:r>
              <w:rPr>
                <w:rStyle w:val="IndexLink"/>
                <w:rtl w:val="true"/>
              </w:rPr>
              <w:t>: «</w:t>
            </w:r>
            <w:r>
              <w:rPr>
                <w:rStyle w:val="IndexLink"/>
                <w:rtl w:val="true"/>
              </w:rPr>
              <w:t xml:space="preserve">أبوالحسن علي بن موسى الرّضا </w:t>
            </w:r>
            <w:r>
              <w:rPr>
                <w:rStyle w:val="IndexLink"/>
              </w:rPr>
              <w:t>8</w:t>
            </w:r>
            <w:r>
              <w:rPr>
                <w:rStyle w:val="IndexLink"/>
                <w:rtl w:val="true"/>
              </w:rPr>
              <w:t>»</w:t>
              <w:tab/>
            </w:r>
            <w:r>
              <w:rPr>
                <w:rStyle w:val="IndexLink"/>
              </w:rPr>
              <w:t>58</w:t>
            </w:r>
          </w:hyperlink>
        </w:p>
        <w:p>
          <w:pPr>
            <w:pStyle w:val="Contents3"/>
            <w:tabs>
              <w:tab w:val="clear" w:pos="8459"/>
              <w:tab w:val="right" w:pos="9026" w:leader="dot"/>
            </w:tabs>
            <w:rPr/>
          </w:pPr>
          <w:hyperlink w:anchor="__RefHeading___Toc3049161_3650668749">
            <w:r>
              <w:rPr>
                <w:webHidden/>
                <w:rStyle w:val="IndexLink"/>
                <w:rtl w:val="true"/>
              </w:rPr>
              <w:t>الإمام التاسع</w:t>
            </w:r>
            <w:r>
              <w:rPr>
                <w:rStyle w:val="IndexLink"/>
                <w:rtl w:val="true"/>
              </w:rPr>
              <w:t>: «</w:t>
            </w:r>
            <w:r>
              <w:rPr>
                <w:rStyle w:val="IndexLink"/>
                <w:rtl w:val="true"/>
              </w:rPr>
              <w:t xml:space="preserve">أبوجعفر محمد بن علي الجواد </w:t>
            </w:r>
            <w:r>
              <w:rPr>
                <w:rStyle w:val="IndexLink"/>
              </w:rPr>
              <w:t>8</w:t>
            </w:r>
            <w:r>
              <w:rPr>
                <w:rStyle w:val="IndexLink"/>
                <w:rtl w:val="true"/>
              </w:rPr>
              <w:t>»</w:t>
              <w:tab/>
            </w:r>
            <w:r>
              <w:rPr>
                <w:rStyle w:val="IndexLink"/>
              </w:rPr>
              <w:t>60</w:t>
            </w:r>
          </w:hyperlink>
        </w:p>
        <w:p>
          <w:pPr>
            <w:pStyle w:val="Contents3"/>
            <w:tabs>
              <w:tab w:val="clear" w:pos="8459"/>
              <w:tab w:val="right" w:pos="9026" w:leader="dot"/>
            </w:tabs>
            <w:rPr/>
          </w:pPr>
          <w:hyperlink w:anchor="__RefHeading___Toc3049163_3650668749">
            <w:r>
              <w:rPr>
                <w:webHidden/>
                <w:rStyle w:val="IndexLink"/>
                <w:rtl w:val="true"/>
              </w:rPr>
              <w:t>الإمام العاشر</w:t>
            </w:r>
            <w:r>
              <w:rPr>
                <w:rStyle w:val="IndexLink"/>
                <w:rtl w:val="true"/>
              </w:rPr>
              <w:t>: «</w:t>
            </w:r>
            <w:r>
              <w:rPr>
                <w:rStyle w:val="IndexLink"/>
                <w:rtl w:val="true"/>
              </w:rPr>
              <w:t xml:space="preserve">أبوالحسن علي بن محمّد الهادي </w:t>
            </w:r>
            <w:r>
              <w:rPr>
                <w:rStyle w:val="IndexLink"/>
              </w:rPr>
              <w:t>8</w:t>
            </w:r>
            <w:r>
              <w:rPr>
                <w:rStyle w:val="IndexLink"/>
                <w:rtl w:val="true"/>
              </w:rPr>
              <w:t>»</w:t>
              <w:tab/>
            </w:r>
            <w:r>
              <w:rPr>
                <w:rStyle w:val="IndexLink"/>
              </w:rPr>
              <w:t>61</w:t>
            </w:r>
          </w:hyperlink>
        </w:p>
        <w:p>
          <w:pPr>
            <w:pStyle w:val="Contents3"/>
            <w:tabs>
              <w:tab w:val="clear" w:pos="8459"/>
              <w:tab w:val="right" w:pos="9026" w:leader="dot"/>
            </w:tabs>
            <w:rPr/>
          </w:pPr>
          <w:hyperlink w:anchor="__RefHeading___Toc3049165_3650668749">
            <w:r>
              <w:rPr>
                <w:webHidden/>
                <w:rStyle w:val="IndexLink"/>
                <w:rtl w:val="true"/>
              </w:rPr>
              <w:t>الإمام الحادي عشر</w:t>
            </w:r>
            <w:r>
              <w:rPr>
                <w:rStyle w:val="IndexLink"/>
                <w:rtl w:val="true"/>
              </w:rPr>
              <w:t>: «</w:t>
            </w:r>
            <w:r>
              <w:rPr>
                <w:rStyle w:val="IndexLink"/>
                <w:rtl w:val="true"/>
              </w:rPr>
              <w:t xml:space="preserve">أبومحمد الحسن بن علي العسكري </w:t>
            </w:r>
            <w:r>
              <w:rPr>
                <w:rStyle w:val="IndexLink"/>
              </w:rPr>
              <w:t>8</w:t>
            </w:r>
            <w:r>
              <w:rPr>
                <w:rStyle w:val="IndexLink"/>
                <w:rtl w:val="true"/>
              </w:rPr>
              <w:t>»</w:t>
              <w:tab/>
            </w:r>
            <w:r>
              <w:rPr>
                <w:rStyle w:val="IndexLink"/>
              </w:rPr>
              <w:t>62</w:t>
            </w:r>
          </w:hyperlink>
        </w:p>
        <w:p>
          <w:pPr>
            <w:pStyle w:val="Contents3"/>
            <w:tabs>
              <w:tab w:val="clear" w:pos="8459"/>
              <w:tab w:val="right" w:pos="9026" w:leader="dot"/>
            </w:tabs>
            <w:rPr/>
          </w:pPr>
          <w:hyperlink w:anchor="__RefHeading___Toc3049167_3650668749">
            <w:r>
              <w:rPr>
                <w:webHidden/>
                <w:rStyle w:val="IndexLink"/>
                <w:rtl w:val="true"/>
              </w:rPr>
              <w:t>الإمام الثاني عشر</w:t>
            </w:r>
            <w:r>
              <w:rPr>
                <w:rStyle w:val="IndexLink"/>
                <w:rtl w:val="true"/>
              </w:rPr>
              <w:t>: «</w:t>
            </w:r>
            <w:r>
              <w:rPr>
                <w:rStyle w:val="IndexLink"/>
                <w:rtl w:val="true"/>
              </w:rPr>
              <w:t xml:space="preserve">المهدي بن الحسن المنتظر </w:t>
            </w:r>
            <w:r>
              <w:rPr>
                <w:rStyle w:val="IndexLink"/>
                <w:rtl w:val="true"/>
              </w:rPr>
              <w:t>[»</w:t>
              <w:tab/>
            </w:r>
            <w:r>
              <w:rPr>
                <w:rStyle w:val="IndexLink"/>
              </w:rPr>
              <w:t>63</w:t>
            </w:r>
          </w:hyperlink>
        </w:p>
        <w:p>
          <w:pPr>
            <w:pStyle w:val="Contents4"/>
            <w:tabs>
              <w:tab w:val="clear" w:pos="8176"/>
              <w:tab w:val="right" w:pos="9026" w:leader="dot"/>
            </w:tabs>
            <w:rPr/>
          </w:pPr>
          <w:hyperlink w:anchor="__RefHeading___Toc3049169_3650668749">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3049171_3650668749">
            <w:r>
              <w:rPr>
                <w:webHidden/>
                <w:rStyle w:val="IndexLink"/>
                <w:rtl w:val="true"/>
              </w:rPr>
              <w:t xml:space="preserve">أسئلة مهمّة حول المهدي </w:t>
            </w:r>
            <w:r>
              <w:rPr>
                <w:rStyle w:val="IndexLink"/>
                <w:rtl w:val="true"/>
              </w:rPr>
              <w:t>(</w:t>
            </w:r>
            <w:r>
              <w:rPr>
                <w:rStyle w:val="IndexLink"/>
                <w:rtl w:val="true"/>
              </w:rPr>
              <w:t>عج</w:t>
            </w:r>
            <w:r>
              <w:rPr>
                <w:rStyle w:val="IndexLink"/>
                <w:rtl w:val="true"/>
              </w:rPr>
              <w:t>)</w:t>
              <w:tab/>
            </w:r>
            <w:r>
              <w:rPr>
                <w:rStyle w:val="IndexLink"/>
              </w:rPr>
              <w:t>65</w:t>
            </w:r>
          </w:hyperlink>
        </w:p>
        <w:p>
          <w:pPr>
            <w:pStyle w:val="Contents5"/>
            <w:tabs>
              <w:tab w:val="clear" w:pos="7892"/>
              <w:tab w:val="right" w:pos="9026" w:leader="dot"/>
            </w:tabs>
            <w:rPr/>
          </w:pPr>
          <w:hyperlink w:anchor="__RefHeading___Toc3049173_3650668749">
            <w:r>
              <w:rPr>
                <w:webHidden/>
                <w:rStyle w:val="IndexLink"/>
                <w:rtl w:val="true"/>
              </w:rPr>
              <w:t>السؤال الأوّل</w:t>
            </w:r>
            <w:r>
              <w:rPr>
                <w:rStyle w:val="IndexLink"/>
                <w:rtl w:val="true"/>
              </w:rPr>
              <w:t xml:space="preserve">: </w:t>
            </w:r>
            <w:r>
              <w:rPr>
                <w:rStyle w:val="IndexLink"/>
                <w:rtl w:val="true"/>
              </w:rPr>
              <w:t>كيف يكون إماماً وهو غائب؟ وما فائدته؟</w:t>
            </w:r>
            <w:r>
              <w:rPr>
                <w:rStyle w:val="IndexLink"/>
                <w:rtl w:val="true"/>
              </w:rPr>
              <w:t>!</w:t>
              <w:tab/>
            </w:r>
            <w:r>
              <w:rPr>
                <w:rStyle w:val="IndexLink"/>
              </w:rPr>
              <w:t>65</w:t>
            </w:r>
          </w:hyperlink>
        </w:p>
        <w:p>
          <w:pPr>
            <w:pStyle w:val="Contents5"/>
            <w:tabs>
              <w:tab w:val="clear" w:pos="7892"/>
              <w:tab w:val="right" w:pos="9026" w:leader="dot"/>
            </w:tabs>
            <w:rPr/>
          </w:pPr>
          <w:hyperlink w:anchor="__RefHeading___Toc3049175_3650668749">
            <w:r>
              <w:rPr>
                <w:webHidden/>
                <w:rStyle w:val="IndexLink"/>
                <w:rtl w:val="true"/>
              </w:rPr>
              <w:t>السؤال الثاني</w:t>
            </w:r>
            <w:r>
              <w:rPr>
                <w:rStyle w:val="IndexLink"/>
                <w:rtl w:val="true"/>
              </w:rPr>
              <w:t xml:space="preserve">: </w:t>
            </w:r>
            <w:r>
              <w:rPr>
                <w:rStyle w:val="IndexLink"/>
                <w:rtl w:val="true"/>
              </w:rPr>
              <w:t xml:space="preserve">لماذا غاب المهدي </w:t>
            </w:r>
            <w:r>
              <w:rPr>
                <w:rStyle w:val="IndexLink"/>
                <w:rtl w:val="true"/>
              </w:rPr>
              <w:t>[</w:t>
            </w:r>
            <w:r>
              <w:rPr>
                <w:rStyle w:val="IndexLink"/>
                <w:rtl w:val="true"/>
              </w:rPr>
              <w:t>؟</w:t>
            </w:r>
            <w:r>
              <w:rPr>
                <w:rStyle w:val="IndexLink"/>
                <w:rtl w:val="true"/>
              </w:rPr>
              <w:t>!</w:t>
              <w:tab/>
            </w:r>
            <w:r>
              <w:rPr>
                <w:rStyle w:val="IndexLink"/>
              </w:rPr>
              <w:t>68</w:t>
            </w:r>
          </w:hyperlink>
        </w:p>
        <w:p>
          <w:pPr>
            <w:pStyle w:val="Contents5"/>
            <w:tabs>
              <w:tab w:val="clear" w:pos="7892"/>
              <w:tab w:val="right" w:pos="9026" w:leader="dot"/>
            </w:tabs>
            <w:rPr/>
          </w:pPr>
          <w:hyperlink w:anchor="__RefHeading___Toc3049177_3650668749">
            <w:r>
              <w:rPr>
                <w:webHidden/>
                <w:rStyle w:val="IndexLink"/>
                <w:rtl w:val="true"/>
              </w:rPr>
              <w:t>السؤال الثالث</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وطول عمره؟</w:t>
            </w:r>
            <w:r>
              <w:rPr>
                <w:rStyle w:val="IndexLink"/>
                <w:rtl w:val="true"/>
              </w:rPr>
              <w:t>!</w:t>
              <w:tab/>
            </w:r>
            <w:r>
              <w:rPr>
                <w:rStyle w:val="IndexLink"/>
              </w:rPr>
              <w:t>68</w:t>
            </w:r>
          </w:hyperlink>
        </w:p>
        <w:p>
          <w:pPr>
            <w:pStyle w:val="Contents5"/>
            <w:tabs>
              <w:tab w:val="clear" w:pos="7892"/>
              <w:tab w:val="right" w:pos="9026" w:leader="dot"/>
            </w:tabs>
            <w:rPr/>
          </w:pPr>
          <w:hyperlink w:anchor="__RefHeading___Toc3049179_3650668749">
            <w:r>
              <w:rPr>
                <w:webHidden/>
                <w:rStyle w:val="IndexLink"/>
                <w:rtl w:val="true"/>
              </w:rPr>
              <w:t>السؤال الرابع</w:t>
            </w:r>
            <w:r>
              <w:rPr>
                <w:rStyle w:val="IndexLink"/>
                <w:rtl w:val="true"/>
              </w:rPr>
              <w:t xml:space="preserve">: </w:t>
            </w:r>
            <w:r>
              <w:rPr>
                <w:rStyle w:val="IndexLink"/>
                <w:rtl w:val="true"/>
              </w:rPr>
              <w:t>ما هي علائم ظهوره؟</w:t>
            </w:r>
            <w:r>
              <w:rPr>
                <w:rStyle w:val="IndexLink"/>
                <w:rtl w:val="true"/>
              </w:rPr>
              <w:t>!</w:t>
              <w:tab/>
            </w:r>
            <w:r>
              <w:rPr>
                <w:rStyle w:val="IndexLink"/>
              </w:rPr>
              <w:t>69</w:t>
            </w:r>
          </w:hyperlink>
        </w:p>
        <w:p>
          <w:pPr>
            <w:pStyle w:val="Contents2"/>
            <w:tabs>
              <w:tab w:val="clear" w:pos="8743"/>
              <w:tab w:val="right" w:pos="9026" w:leader="dot"/>
            </w:tabs>
            <w:rPr/>
          </w:pPr>
          <w:hyperlink w:anchor="__RefHeading___Toc3049181_3650668749">
            <w:r>
              <w:rPr>
                <w:webHidden/>
                <w:rStyle w:val="IndexLink"/>
                <w:rtl w:val="true"/>
              </w:rPr>
              <w:t>الفصل الثالث</w:t>
            </w:r>
            <w:r>
              <w:rPr>
                <w:rStyle w:val="IndexLink"/>
                <w:rtl w:val="true"/>
              </w:rPr>
              <w:t xml:space="preserve">: </w:t>
            </w:r>
            <w:r>
              <w:rPr>
                <w:rStyle w:val="IndexLink"/>
                <w:rtl w:val="true"/>
              </w:rPr>
              <w:t>دورالشيعة في بناء الحضارة الإسلامية</w:t>
            </w:r>
            <w:r>
              <w:rPr>
                <w:rStyle w:val="IndexLink"/>
                <w:rtl w:val="true"/>
              </w:rPr>
              <w:tab/>
            </w:r>
            <w:r>
              <w:rPr>
                <w:rStyle w:val="IndexLink"/>
              </w:rPr>
              <w:t>71</w:t>
            </w:r>
          </w:hyperlink>
        </w:p>
        <w:p>
          <w:pPr>
            <w:pStyle w:val="Contents3"/>
            <w:tabs>
              <w:tab w:val="clear" w:pos="8459"/>
              <w:tab w:val="right" w:pos="9026" w:leader="dot"/>
            </w:tabs>
            <w:rPr/>
          </w:pPr>
          <w:hyperlink w:anchor="__RefHeading___Toc3049183_3650668749">
            <w:r>
              <w:rPr>
                <w:webHidden/>
                <w:rStyle w:val="IndexLink"/>
                <w:rtl w:val="true"/>
              </w:rPr>
              <w:t>تمهيد</w:t>
            </w:r>
            <w:r>
              <w:rPr>
                <w:rStyle w:val="IndexLink"/>
                <w:rtl w:val="true"/>
              </w:rPr>
              <w:t>:</w:t>
              <w:tab/>
            </w:r>
            <w:r>
              <w:rPr>
                <w:rStyle w:val="IndexLink"/>
              </w:rPr>
              <w:t>71</w:t>
            </w:r>
          </w:hyperlink>
        </w:p>
        <w:p>
          <w:pPr>
            <w:pStyle w:val="Contents3"/>
            <w:tabs>
              <w:tab w:val="clear" w:pos="8459"/>
              <w:tab w:val="right" w:pos="9026" w:leader="dot"/>
            </w:tabs>
            <w:rPr/>
          </w:pPr>
          <w:hyperlink w:anchor="__RefHeading___Toc3049185_3650668749">
            <w:r>
              <w:rPr>
                <w:webHidden/>
                <w:rStyle w:val="IndexLink"/>
                <w:rtl w:val="true"/>
              </w:rPr>
              <w:t>بلدان الشيعة وأماكن تواجدهم‌</w:t>
            </w:r>
            <w:r>
              <w:rPr>
                <w:rStyle w:val="IndexLink"/>
                <w:rtl w:val="true"/>
              </w:rPr>
              <w:tab/>
            </w:r>
            <w:r>
              <w:rPr>
                <w:rStyle w:val="IndexLink"/>
              </w:rPr>
              <w:t>85</w:t>
            </w:r>
          </w:hyperlink>
        </w:p>
        <w:p>
          <w:pPr>
            <w:pStyle w:val="Contents2"/>
            <w:tabs>
              <w:tab w:val="clear" w:pos="8743"/>
              <w:tab w:val="right" w:pos="9026" w:leader="dot"/>
            </w:tabs>
            <w:rPr/>
          </w:pPr>
          <w:hyperlink w:anchor="__RefHeading___Toc3049187_3650668749">
            <w:r>
              <w:rPr>
                <w:webHidden/>
                <w:rStyle w:val="IndexLink"/>
                <w:rtl w:val="true"/>
              </w:rPr>
              <w:t>الفصل الرابع</w:t>
            </w:r>
            <w:r>
              <w:rPr>
                <w:rStyle w:val="IndexLink"/>
                <w:rtl w:val="true"/>
              </w:rPr>
              <w:t xml:space="preserve">: </w:t>
            </w:r>
            <w:r>
              <w:rPr>
                <w:rStyle w:val="IndexLink"/>
                <w:rtl w:val="true"/>
              </w:rPr>
              <w:t>مع الشيعة الإمامية في عقائدهم‌</w:t>
            </w:r>
            <w:r>
              <w:rPr>
                <w:rStyle w:val="IndexLink"/>
                <w:rtl w:val="true"/>
              </w:rPr>
              <w:tab/>
            </w:r>
            <w:r>
              <w:rPr>
                <w:rStyle w:val="IndexLink"/>
              </w:rPr>
              <w:t>87</w:t>
            </w:r>
          </w:hyperlink>
        </w:p>
        <w:p>
          <w:pPr>
            <w:pStyle w:val="Contents3"/>
            <w:tabs>
              <w:tab w:val="clear" w:pos="8459"/>
              <w:tab w:val="right" w:pos="9026" w:leader="dot"/>
            </w:tabs>
            <w:rPr/>
          </w:pPr>
          <w:hyperlink w:anchor="__RefHeading___Toc3049189_3650668749">
            <w:r>
              <w:rPr>
                <w:webHidden/>
                <w:rStyle w:val="IndexLink"/>
                <w:rtl w:val="true"/>
              </w:rPr>
              <w:t>تمهيد</w:t>
            </w:r>
            <w:r>
              <w:rPr>
                <w:rStyle w:val="IndexLink"/>
                <w:rtl w:val="true"/>
              </w:rPr>
              <w:t>:</w:t>
              <w:tab/>
            </w:r>
            <w:r>
              <w:rPr>
                <w:rStyle w:val="IndexLink"/>
              </w:rPr>
              <w:t>87</w:t>
            </w:r>
          </w:hyperlink>
        </w:p>
        <w:p>
          <w:pPr>
            <w:pStyle w:val="Contents3"/>
            <w:tabs>
              <w:tab w:val="clear" w:pos="8459"/>
              <w:tab w:val="right" w:pos="9026" w:leader="dot"/>
            </w:tabs>
            <w:rPr/>
          </w:pPr>
          <w:hyperlink w:anchor="__RefHeading___Toc3049191_3650668749">
            <w:r>
              <w:rPr>
                <w:webHidden/>
                <w:rStyle w:val="IndexLink"/>
                <w:rtl w:val="true"/>
              </w:rPr>
              <w:t>الفرق بين الشيعة الإمامية والمعتزلة</w:t>
            </w:r>
            <w:r>
              <w:rPr>
                <w:rStyle w:val="IndexLink"/>
                <w:rtl w:val="true"/>
              </w:rPr>
              <w:tab/>
            </w:r>
            <w:r>
              <w:rPr>
                <w:rStyle w:val="IndexLink"/>
              </w:rPr>
              <w:t>89</w:t>
            </w:r>
          </w:hyperlink>
        </w:p>
        <w:p>
          <w:pPr>
            <w:pStyle w:val="Contents3"/>
            <w:tabs>
              <w:tab w:val="clear" w:pos="8459"/>
              <w:tab w:val="right" w:pos="9026" w:leader="dot"/>
            </w:tabs>
            <w:rPr/>
          </w:pPr>
          <w:hyperlink w:anchor="__RefHeading___Toc3049193_3650668749">
            <w:r>
              <w:rPr>
                <w:webHidden/>
                <w:rStyle w:val="IndexLink"/>
                <w:rtl w:val="true"/>
              </w:rPr>
              <w:t>الفرق بين الشيعة الإمامية والأشاعرة</w:t>
            </w:r>
            <w:r>
              <w:rPr>
                <w:rStyle w:val="IndexLink"/>
                <w:rtl w:val="true"/>
              </w:rPr>
              <w:tab/>
            </w:r>
            <w:r>
              <w:rPr>
                <w:rStyle w:val="IndexLink"/>
              </w:rPr>
              <w:t>91</w:t>
            </w:r>
          </w:hyperlink>
        </w:p>
        <w:p>
          <w:pPr>
            <w:pStyle w:val="Contents3"/>
            <w:tabs>
              <w:tab w:val="clear" w:pos="8459"/>
              <w:tab w:val="right" w:pos="9026" w:leader="dot"/>
            </w:tabs>
            <w:rPr/>
          </w:pPr>
          <w:hyperlink w:anchor="__RefHeading___Toc3049195_3650668749">
            <w:r>
              <w:rPr>
                <w:webHidden/>
                <w:rStyle w:val="IndexLink"/>
                <w:rtl w:val="true"/>
              </w:rPr>
              <w:t>الفرق بين الشيعة الإمامية وسائِر الفرق‌</w:t>
            </w:r>
            <w:r>
              <w:rPr>
                <w:rStyle w:val="IndexLink"/>
                <w:rtl w:val="true"/>
              </w:rPr>
              <w:tab/>
            </w:r>
            <w:r>
              <w:rPr>
                <w:rStyle w:val="IndexLink"/>
              </w:rPr>
              <w:t>94</w:t>
            </w:r>
          </w:hyperlink>
        </w:p>
        <w:p>
          <w:pPr>
            <w:pStyle w:val="Contents3"/>
            <w:tabs>
              <w:tab w:val="clear" w:pos="8459"/>
              <w:tab w:val="right" w:pos="9026" w:leader="dot"/>
            </w:tabs>
            <w:rPr/>
          </w:pPr>
          <w:hyperlink w:anchor="__RefHeading___Toc3049197_3650668749">
            <w:r>
              <w:rPr>
                <w:webHidden/>
                <w:rStyle w:val="IndexLink"/>
                <w:rtl w:val="true"/>
              </w:rPr>
              <w:t>المسألة الاولى</w:t>
            </w:r>
            <w:r>
              <w:rPr>
                <w:rStyle w:val="IndexLink"/>
                <w:rtl w:val="true"/>
              </w:rPr>
              <w:t>: «</w:t>
            </w:r>
            <w:r>
              <w:rPr>
                <w:rStyle w:val="IndexLink"/>
                <w:rtl w:val="true"/>
              </w:rPr>
              <w:t>وجوب تنصيب‌الإمام‌على الله‌سبحانه</w:t>
            </w:r>
            <w:r>
              <w:rPr>
                <w:rStyle w:val="IndexLink"/>
                <w:rtl w:val="true"/>
              </w:rPr>
              <w:t>»</w:t>
              <w:tab/>
            </w:r>
            <w:r>
              <w:rPr>
                <w:rStyle w:val="IndexLink"/>
              </w:rPr>
              <w:t>94</w:t>
            </w:r>
          </w:hyperlink>
        </w:p>
        <w:p>
          <w:pPr>
            <w:pStyle w:val="Contents3"/>
            <w:tabs>
              <w:tab w:val="clear" w:pos="8459"/>
              <w:tab w:val="right" w:pos="9026" w:leader="dot"/>
            </w:tabs>
            <w:rPr/>
          </w:pPr>
          <w:hyperlink w:anchor="__RefHeading___Toc3049199_3650668749">
            <w:r>
              <w:rPr>
                <w:webHidden/>
                <w:rStyle w:val="IndexLink"/>
                <w:rtl w:val="true"/>
              </w:rPr>
              <w:t>المسألة الثانية</w:t>
            </w:r>
            <w:r>
              <w:rPr>
                <w:rStyle w:val="IndexLink"/>
                <w:rtl w:val="true"/>
              </w:rPr>
              <w:t>: «</w:t>
            </w:r>
            <w:r>
              <w:rPr>
                <w:rStyle w:val="IndexLink"/>
                <w:rtl w:val="true"/>
              </w:rPr>
              <w:t>عصمة الإمام</w:t>
            </w:r>
            <w:r>
              <w:rPr>
                <w:rStyle w:val="IndexLink"/>
                <w:rtl w:val="true"/>
              </w:rPr>
              <w:t>»</w:t>
              <w:tab/>
            </w:r>
            <w:r>
              <w:rPr>
                <w:rStyle w:val="IndexLink"/>
              </w:rPr>
              <w:t>97</w:t>
            </w:r>
          </w:hyperlink>
        </w:p>
        <w:p>
          <w:pPr>
            <w:pStyle w:val="Contents4"/>
            <w:tabs>
              <w:tab w:val="clear" w:pos="8176"/>
              <w:tab w:val="right" w:pos="9026" w:leader="dot"/>
            </w:tabs>
            <w:rPr/>
          </w:pPr>
          <w:hyperlink w:anchor="__RefHeading___Toc3049201_365066874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3049203_3650668749">
            <w:r>
              <w:rPr>
                <w:webHidden/>
                <w:rStyle w:val="IndexLink"/>
                <w:rtl w:val="true"/>
              </w:rPr>
              <w:t>حقيقة العصمة</w:t>
            </w:r>
            <w:r>
              <w:rPr>
                <w:rStyle w:val="IndexLink"/>
                <w:rtl w:val="true"/>
              </w:rPr>
              <w:tab/>
            </w:r>
            <w:r>
              <w:rPr>
                <w:rStyle w:val="IndexLink"/>
              </w:rPr>
              <w:t>97</w:t>
            </w:r>
          </w:hyperlink>
        </w:p>
        <w:p>
          <w:pPr>
            <w:pStyle w:val="Contents4"/>
            <w:tabs>
              <w:tab w:val="clear" w:pos="8176"/>
              <w:tab w:val="right" w:pos="9026" w:leader="dot"/>
            </w:tabs>
            <w:rPr/>
          </w:pPr>
          <w:hyperlink w:anchor="__RefHeading___Toc3049205_3650668749">
            <w:r>
              <w:rPr>
                <w:webHidden/>
                <w:rStyle w:val="IndexLink"/>
                <w:rtl w:val="true"/>
              </w:rPr>
              <w:t>«</w:t>
            </w:r>
            <w:r>
              <w:rPr>
                <w:rStyle w:val="IndexLink"/>
                <w:rtl w:val="true"/>
              </w:rPr>
              <w:t xml:space="preserve">الدليل على لزوم عصمة الإمام بعد النبي </w:t>
            </w:r>
            <w:r>
              <w:rPr>
                <w:rStyle w:val="IndexLink"/>
                <w:rtl w:val="true"/>
              </w:rPr>
              <w:t>(</w:t>
            </w:r>
            <w:r>
              <w:rPr>
                <w:rStyle w:val="IndexLink"/>
                <w:rtl w:val="true"/>
              </w:rPr>
              <w:t>ص</w:t>
            </w:r>
            <w:r>
              <w:rPr>
                <w:rStyle w:val="IndexLink"/>
                <w:rtl w:val="true"/>
              </w:rPr>
              <w:t>)»</w:t>
              <w:tab/>
            </w:r>
            <w:r>
              <w:rPr>
                <w:rStyle w:val="IndexLink"/>
              </w:rPr>
              <w:t>98</w:t>
            </w:r>
          </w:hyperlink>
        </w:p>
        <w:p>
          <w:pPr>
            <w:pStyle w:val="Contents4"/>
            <w:tabs>
              <w:tab w:val="clear" w:pos="8176"/>
              <w:tab w:val="right" w:pos="9026" w:leader="dot"/>
            </w:tabs>
            <w:rPr/>
          </w:pPr>
          <w:hyperlink w:anchor="__RefHeading___Toc3049207_3650668749">
            <w:r>
              <w:rPr>
                <w:webHidden/>
                <w:rStyle w:val="IndexLink"/>
                <w:rtl w:val="true"/>
              </w:rPr>
              <w:t>ما هو المراد من الظالم؟</w:t>
            </w:r>
            <w:r>
              <w:rPr>
                <w:rStyle w:val="IndexLink"/>
                <w:rtl w:val="true"/>
              </w:rPr>
              <w:tab/>
            </w:r>
            <w:r>
              <w:rPr>
                <w:rStyle w:val="IndexLink"/>
              </w:rPr>
              <w:t>100</w:t>
            </w:r>
          </w:hyperlink>
        </w:p>
        <w:p>
          <w:pPr>
            <w:pStyle w:val="Contents4"/>
            <w:tabs>
              <w:tab w:val="clear" w:pos="8176"/>
              <w:tab w:val="right" w:pos="9026" w:leader="dot"/>
            </w:tabs>
            <w:rPr/>
          </w:pPr>
          <w:hyperlink w:anchor="__RefHeading___Toc3049209_3650668749">
            <w:r>
              <w:rPr>
                <w:webHidden/>
                <w:rStyle w:val="IndexLink"/>
                <w:rtl w:val="true"/>
              </w:rPr>
              <w:t>العصمة في القول والرأي‌</w:t>
            </w:r>
            <w:r>
              <w:rPr>
                <w:rStyle w:val="IndexLink"/>
                <w:rtl w:val="true"/>
              </w:rPr>
              <w:tab/>
            </w:r>
            <w:r>
              <w:rPr>
                <w:rStyle w:val="IndexLink"/>
              </w:rPr>
              <w:t>101</w:t>
            </w:r>
          </w:hyperlink>
        </w:p>
        <w:p>
          <w:pPr>
            <w:pStyle w:val="Contents3"/>
            <w:tabs>
              <w:tab w:val="clear" w:pos="8459"/>
              <w:tab w:val="right" w:pos="9026" w:leader="dot"/>
            </w:tabs>
            <w:rPr/>
          </w:pPr>
          <w:hyperlink w:anchor="__RefHeading___Toc3049211_3650668749">
            <w:r>
              <w:rPr>
                <w:webHidden/>
                <w:rStyle w:val="IndexLink"/>
                <w:rtl w:val="true"/>
              </w:rPr>
              <w:t>المسألة الثالثة</w:t>
            </w:r>
            <w:r>
              <w:rPr>
                <w:rStyle w:val="IndexLink"/>
                <w:rtl w:val="true"/>
              </w:rPr>
              <w:t>: «</w:t>
            </w:r>
            <w:r>
              <w:rPr>
                <w:rStyle w:val="IndexLink"/>
                <w:rtl w:val="true"/>
              </w:rPr>
              <w:t xml:space="preserve">الإمام المنتظر </w:t>
            </w:r>
            <w:r>
              <w:rPr>
                <w:rStyle w:val="IndexLink"/>
                <w:rtl w:val="true"/>
              </w:rPr>
              <w:t>[»</w:t>
              <w:tab/>
            </w:r>
            <w:r>
              <w:rPr>
                <w:rStyle w:val="IndexLink"/>
              </w:rPr>
              <w:t>102</w:t>
            </w:r>
          </w:hyperlink>
        </w:p>
        <w:p>
          <w:pPr>
            <w:pStyle w:val="Contents3"/>
            <w:tabs>
              <w:tab w:val="clear" w:pos="8459"/>
              <w:tab w:val="right" w:pos="9026" w:leader="dot"/>
            </w:tabs>
            <w:rPr/>
          </w:pPr>
          <w:hyperlink w:anchor="__RefHeading___Toc3049213_3650668749">
            <w:r>
              <w:rPr>
                <w:webHidden/>
                <w:rStyle w:val="IndexLink"/>
                <w:rtl w:val="true"/>
              </w:rPr>
              <w:t>المسألة الرابعة</w:t>
            </w:r>
            <w:r>
              <w:rPr>
                <w:rStyle w:val="IndexLink"/>
                <w:rtl w:val="true"/>
              </w:rPr>
              <w:t xml:space="preserve">: </w:t>
            </w:r>
            <w:r>
              <w:rPr>
                <w:rStyle w:val="IndexLink"/>
                <w:rtl w:val="true"/>
              </w:rPr>
              <w:t>التقية</w:t>
            </w:r>
            <w:r>
              <w:rPr>
                <w:rStyle w:val="IndexLink"/>
                <w:rtl w:val="true"/>
              </w:rPr>
              <w:tab/>
            </w:r>
            <w:r>
              <w:rPr>
                <w:rStyle w:val="IndexLink"/>
              </w:rPr>
              <w:t>102</w:t>
            </w:r>
          </w:hyperlink>
        </w:p>
        <w:p>
          <w:pPr>
            <w:pStyle w:val="Contents4"/>
            <w:tabs>
              <w:tab w:val="clear" w:pos="8176"/>
              <w:tab w:val="right" w:pos="9026" w:leader="dot"/>
            </w:tabs>
            <w:rPr/>
          </w:pPr>
          <w:hyperlink w:anchor="__RefHeading___Toc3049215_3650668749">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3049217_3650668749">
            <w:r>
              <w:rPr>
                <w:webHidden/>
                <w:rStyle w:val="IndexLink"/>
                <w:rtl w:val="true"/>
              </w:rPr>
              <w:t>«</w:t>
            </w:r>
            <w:r>
              <w:rPr>
                <w:rStyle w:val="IndexLink"/>
                <w:rtl w:val="true"/>
              </w:rPr>
              <w:t>غايتها</w:t>
            </w:r>
            <w:r>
              <w:rPr>
                <w:rStyle w:val="IndexLink"/>
                <w:rtl w:val="true"/>
              </w:rPr>
              <w:t>»</w:t>
              <w:tab/>
            </w:r>
            <w:r>
              <w:rPr>
                <w:rStyle w:val="IndexLink"/>
              </w:rPr>
              <w:t>103</w:t>
            </w:r>
          </w:hyperlink>
        </w:p>
        <w:p>
          <w:pPr>
            <w:pStyle w:val="Contents4"/>
            <w:tabs>
              <w:tab w:val="clear" w:pos="8176"/>
              <w:tab w:val="right" w:pos="9026" w:leader="dot"/>
            </w:tabs>
            <w:rPr/>
          </w:pPr>
          <w:hyperlink w:anchor="__RefHeading___Toc3049219_3650668749">
            <w:r>
              <w:rPr>
                <w:webHidden/>
                <w:rStyle w:val="IndexLink"/>
                <w:rtl w:val="true"/>
              </w:rPr>
              <w:t>«</w:t>
            </w:r>
            <w:r>
              <w:rPr>
                <w:rStyle w:val="IndexLink"/>
                <w:rtl w:val="true"/>
              </w:rPr>
              <w:t>دليلها في القرآن والسنّة</w:t>
            </w:r>
            <w:r>
              <w:rPr>
                <w:rStyle w:val="IndexLink"/>
                <w:rtl w:val="true"/>
              </w:rPr>
              <w:t>»</w:t>
              <w:tab/>
            </w:r>
            <w:r>
              <w:rPr>
                <w:rStyle w:val="IndexLink"/>
              </w:rPr>
              <w:t>104</w:t>
            </w:r>
          </w:hyperlink>
        </w:p>
        <w:p>
          <w:pPr>
            <w:pStyle w:val="Contents3"/>
            <w:tabs>
              <w:tab w:val="clear" w:pos="8459"/>
              <w:tab w:val="right" w:pos="9026" w:leader="dot"/>
            </w:tabs>
            <w:rPr/>
          </w:pPr>
          <w:hyperlink w:anchor="__RefHeading___Toc3049221_3650668749">
            <w:r>
              <w:rPr>
                <w:webHidden/>
                <w:rStyle w:val="IndexLink"/>
                <w:rtl w:val="true"/>
              </w:rPr>
              <w:t>«</w:t>
            </w:r>
            <w:r>
              <w:rPr>
                <w:rStyle w:val="IndexLink"/>
                <w:rtl w:val="true"/>
              </w:rPr>
              <w:t>الظروف العصيبة الّتي مرّت بها الشيعة</w:t>
            </w:r>
            <w:r>
              <w:rPr>
                <w:rStyle w:val="IndexLink"/>
                <w:rtl w:val="true"/>
              </w:rPr>
              <w:t>»</w:t>
              <w:tab/>
            </w:r>
            <w:r>
              <w:rPr>
                <w:rStyle w:val="IndexLink"/>
              </w:rPr>
              <w:t>105</w:t>
            </w:r>
          </w:hyperlink>
        </w:p>
        <w:p>
          <w:pPr>
            <w:pStyle w:val="Contents4"/>
            <w:tabs>
              <w:tab w:val="clear" w:pos="8176"/>
              <w:tab w:val="right" w:pos="9026" w:leader="dot"/>
            </w:tabs>
            <w:rPr/>
          </w:pPr>
          <w:hyperlink w:anchor="__RefHeading___Toc3049223_365066874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049225_3650668749">
            <w:r>
              <w:rPr>
                <w:webHidden/>
                <w:rStyle w:val="IndexLink"/>
                <w:rtl w:val="true"/>
              </w:rPr>
              <w:t>حدّ التقية</w:t>
            </w:r>
            <w:r>
              <w:rPr>
                <w:rStyle w:val="IndexLink"/>
                <w:rtl w:val="true"/>
              </w:rPr>
              <w:tab/>
            </w:r>
            <w:r>
              <w:rPr>
                <w:rStyle w:val="IndexLink"/>
              </w:rPr>
              <w:t>106</w:t>
            </w:r>
          </w:hyperlink>
        </w:p>
        <w:p>
          <w:pPr>
            <w:pStyle w:val="Contents4"/>
            <w:tabs>
              <w:tab w:val="clear" w:pos="8176"/>
              <w:tab w:val="right" w:pos="9026" w:leader="dot"/>
            </w:tabs>
            <w:rPr/>
          </w:pPr>
          <w:hyperlink w:anchor="__RefHeading___Toc3049227_3650668749">
            <w:r>
              <w:rPr>
                <w:webHidden/>
                <w:rStyle w:val="IndexLink"/>
                <w:rtl w:val="true"/>
              </w:rPr>
              <w:t>«</w:t>
            </w:r>
            <w:r>
              <w:rPr>
                <w:rStyle w:val="IndexLink"/>
                <w:rtl w:val="true"/>
              </w:rPr>
              <w:t>التقية المحرّمة</w:t>
            </w:r>
            <w:r>
              <w:rPr>
                <w:rStyle w:val="IndexLink"/>
                <w:rtl w:val="true"/>
              </w:rPr>
              <w:t>»</w:t>
              <w:tab/>
            </w:r>
            <w:r>
              <w:rPr>
                <w:rStyle w:val="IndexLink"/>
              </w:rPr>
              <w:t>106</w:t>
            </w:r>
          </w:hyperlink>
        </w:p>
        <w:p>
          <w:pPr>
            <w:pStyle w:val="Contents3"/>
            <w:tabs>
              <w:tab w:val="clear" w:pos="8459"/>
              <w:tab w:val="right" w:pos="9026" w:leader="dot"/>
            </w:tabs>
            <w:rPr/>
          </w:pPr>
          <w:hyperlink w:anchor="__RefHeading___Toc3049229_3650668749">
            <w:r>
              <w:rPr>
                <w:webHidden/>
                <w:rStyle w:val="IndexLink"/>
                <w:rtl w:val="true"/>
              </w:rPr>
              <w:t>المسألة الخامسة</w:t>
            </w:r>
            <w:r>
              <w:rPr>
                <w:rStyle w:val="IndexLink"/>
                <w:rtl w:val="true"/>
              </w:rPr>
              <w:t>: «</w:t>
            </w:r>
            <w:r>
              <w:rPr>
                <w:rStyle w:val="IndexLink"/>
                <w:rtl w:val="true"/>
              </w:rPr>
              <w:t>البداء عند الشيعة الإمامية</w:t>
            </w:r>
            <w:r>
              <w:rPr>
                <w:rStyle w:val="IndexLink"/>
                <w:rtl w:val="true"/>
              </w:rPr>
              <w:t>»</w:t>
              <w:tab/>
            </w:r>
            <w:r>
              <w:rPr>
                <w:rStyle w:val="IndexLink"/>
              </w:rPr>
              <w:t>107</w:t>
            </w:r>
          </w:hyperlink>
        </w:p>
        <w:p>
          <w:pPr>
            <w:pStyle w:val="Contents4"/>
            <w:tabs>
              <w:tab w:val="clear" w:pos="8176"/>
              <w:tab w:val="right" w:pos="9026" w:leader="dot"/>
            </w:tabs>
            <w:rPr/>
          </w:pPr>
          <w:hyperlink w:anchor="__RefHeading___Toc3049231_365066874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049233_3650668749">
            <w:r>
              <w:rPr>
                <w:webHidden/>
                <w:rStyle w:val="IndexLink"/>
                <w:rtl w:val="true"/>
              </w:rPr>
              <w:t>البداء في مقام الثبوت‌</w:t>
            </w:r>
            <w:r>
              <w:rPr>
                <w:rStyle w:val="IndexLink"/>
                <w:rtl w:val="true"/>
              </w:rPr>
              <w:tab/>
            </w:r>
            <w:r>
              <w:rPr>
                <w:rStyle w:val="IndexLink"/>
              </w:rPr>
              <w:t>109</w:t>
            </w:r>
          </w:hyperlink>
        </w:p>
        <w:p>
          <w:pPr>
            <w:pStyle w:val="Contents4"/>
            <w:tabs>
              <w:tab w:val="clear" w:pos="8176"/>
              <w:tab w:val="right" w:pos="9026" w:leader="dot"/>
            </w:tabs>
            <w:rPr/>
          </w:pPr>
          <w:hyperlink w:anchor="__RefHeading___Toc3049235_3650668749">
            <w:r>
              <w:rPr>
                <w:webHidden/>
                <w:rStyle w:val="IndexLink"/>
                <w:rtl w:val="true"/>
              </w:rPr>
              <w:t>الأثر التربوي للإعتقاد في البداء</w:t>
            </w:r>
            <w:r>
              <w:rPr>
                <w:rStyle w:val="IndexLink"/>
                <w:rtl w:val="true"/>
              </w:rPr>
              <w:t>:</w:t>
              <w:tab/>
            </w:r>
            <w:r>
              <w:rPr>
                <w:rStyle w:val="IndexLink"/>
              </w:rPr>
              <w:t>111</w:t>
            </w:r>
          </w:hyperlink>
        </w:p>
        <w:p>
          <w:pPr>
            <w:pStyle w:val="Contents4"/>
            <w:tabs>
              <w:tab w:val="clear" w:pos="8176"/>
              <w:tab w:val="right" w:pos="9026" w:leader="dot"/>
            </w:tabs>
            <w:rPr/>
          </w:pPr>
          <w:hyperlink w:anchor="__RefHeading___Toc3049237_3650668749">
            <w:r>
              <w:rPr>
                <w:webHidden/>
                <w:rStyle w:val="IndexLink"/>
                <w:rtl w:val="true"/>
              </w:rPr>
              <w:t>«</w:t>
            </w:r>
            <w:r>
              <w:rPr>
                <w:rStyle w:val="IndexLink"/>
                <w:rtl w:val="true"/>
              </w:rPr>
              <w:t>البداء في مقام الإثبات</w:t>
            </w:r>
            <w:r>
              <w:rPr>
                <w:rStyle w:val="IndexLink"/>
                <w:rtl w:val="true"/>
              </w:rPr>
              <w:t>»</w:t>
              <w:tab/>
            </w:r>
            <w:r>
              <w:rPr>
                <w:rStyle w:val="IndexLink"/>
              </w:rPr>
              <w:t>111</w:t>
            </w:r>
          </w:hyperlink>
        </w:p>
        <w:p>
          <w:pPr>
            <w:pStyle w:val="Contents4"/>
            <w:tabs>
              <w:tab w:val="clear" w:pos="8176"/>
              <w:tab w:val="right" w:pos="9026" w:leader="dot"/>
            </w:tabs>
            <w:rPr/>
          </w:pPr>
          <w:hyperlink w:anchor="__RefHeading___Toc3049239_3650668749">
            <w:r>
              <w:rPr>
                <w:webHidden/>
                <w:rStyle w:val="IndexLink"/>
                <w:rtl w:val="true"/>
              </w:rPr>
              <w:t>«</w:t>
            </w:r>
            <w:r>
              <w:rPr>
                <w:rStyle w:val="IndexLink"/>
                <w:rtl w:val="true"/>
              </w:rPr>
              <w:t>تلميحات للبداء في الذكر الحكيم</w:t>
            </w:r>
            <w:r>
              <w:rPr>
                <w:rStyle w:val="IndexLink"/>
                <w:rtl w:val="true"/>
              </w:rPr>
              <w:t>:»</w:t>
              <w:tab/>
            </w:r>
            <w:r>
              <w:rPr>
                <w:rStyle w:val="IndexLink"/>
              </w:rPr>
              <w:t>112</w:t>
            </w:r>
          </w:hyperlink>
        </w:p>
        <w:p>
          <w:pPr>
            <w:pStyle w:val="Contents5"/>
            <w:tabs>
              <w:tab w:val="clear" w:pos="7892"/>
              <w:tab w:val="right" w:pos="9026" w:leader="dot"/>
            </w:tabs>
            <w:rPr/>
          </w:pPr>
          <w:hyperlink w:anchor="__RefHeading___Toc3049241_3650668749">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049243_3650668749">
            <w:r>
              <w:rPr>
                <w:webHidden/>
                <w:rStyle w:val="IndexLink"/>
                <w:rtl w:val="true"/>
              </w:rPr>
              <w:t>تتمه البحث‌</w:t>
            </w:r>
            <w:r>
              <w:rPr>
                <w:rStyle w:val="IndexLink"/>
                <w:rtl w:val="true"/>
              </w:rPr>
              <w:tab/>
            </w:r>
            <w:r>
              <w:rPr>
                <w:rStyle w:val="IndexLink"/>
              </w:rPr>
              <w:t>113</w:t>
            </w:r>
          </w:hyperlink>
        </w:p>
        <w:p>
          <w:pPr>
            <w:pStyle w:val="Contents5"/>
            <w:tabs>
              <w:tab w:val="clear" w:pos="7892"/>
              <w:tab w:val="right" w:pos="9026" w:leader="dot"/>
            </w:tabs>
            <w:rPr/>
          </w:pPr>
          <w:hyperlink w:anchor="__RefHeading___Toc3049245_3650668749">
            <w:r>
              <w:rPr>
                <w:webHidden/>
                <w:rStyle w:val="IndexLink"/>
                <w:rtl w:val="true"/>
              </w:rPr>
              <w:t>الأمر الأول‌</w:t>
            </w:r>
            <w:r>
              <w:rPr>
                <w:rStyle w:val="IndexLink"/>
                <w:rtl w:val="true"/>
              </w:rPr>
              <w:tab/>
            </w:r>
            <w:r>
              <w:rPr>
                <w:rStyle w:val="IndexLink"/>
              </w:rPr>
              <w:t>113</w:t>
            </w:r>
          </w:hyperlink>
        </w:p>
        <w:p>
          <w:pPr>
            <w:pStyle w:val="Contents5"/>
            <w:tabs>
              <w:tab w:val="clear" w:pos="7892"/>
              <w:tab w:val="right" w:pos="9026" w:leader="dot"/>
            </w:tabs>
            <w:rPr/>
          </w:pPr>
          <w:hyperlink w:anchor="__RefHeading___Toc3049247_3650668749">
            <w:r>
              <w:rPr>
                <w:webHidden/>
                <w:rStyle w:val="IndexLink"/>
                <w:rtl w:val="true"/>
              </w:rPr>
              <w:t>الأمرالثاني</w:t>
            </w:r>
            <w:r>
              <w:rPr>
                <w:rStyle w:val="IndexLink"/>
                <w:rtl w:val="true"/>
              </w:rPr>
              <w:t>:</w:t>
              <w:tab/>
            </w:r>
            <w:r>
              <w:rPr>
                <w:rStyle w:val="IndexLink"/>
              </w:rPr>
              <w:t>114</w:t>
            </w:r>
          </w:hyperlink>
        </w:p>
        <w:p>
          <w:pPr>
            <w:pStyle w:val="Contents3"/>
            <w:tabs>
              <w:tab w:val="clear" w:pos="8459"/>
              <w:tab w:val="right" w:pos="9026" w:leader="dot"/>
            </w:tabs>
            <w:rPr/>
          </w:pPr>
          <w:hyperlink w:anchor="__RefHeading___Toc3049249_3650668749">
            <w:r>
              <w:rPr>
                <w:webHidden/>
                <w:rStyle w:val="IndexLink"/>
                <w:rtl w:val="true"/>
              </w:rPr>
              <w:t>المسألة السادسة</w:t>
            </w:r>
            <w:r>
              <w:rPr>
                <w:rStyle w:val="IndexLink"/>
                <w:rtl w:val="true"/>
              </w:rPr>
              <w:t>: «</w:t>
            </w:r>
            <w:r>
              <w:rPr>
                <w:rStyle w:val="IndexLink"/>
                <w:rtl w:val="true"/>
              </w:rPr>
              <w:t>الرجعة في الكتاب والسّنة</w:t>
            </w:r>
            <w:r>
              <w:rPr>
                <w:rStyle w:val="IndexLink"/>
                <w:rtl w:val="true"/>
              </w:rPr>
              <w:t>»</w:t>
              <w:tab/>
            </w:r>
            <w:r>
              <w:rPr>
                <w:rStyle w:val="IndexLink"/>
              </w:rPr>
              <w:t>114</w:t>
            </w:r>
          </w:hyperlink>
        </w:p>
        <w:p>
          <w:pPr>
            <w:pStyle w:val="Contents3"/>
            <w:tabs>
              <w:tab w:val="clear" w:pos="8459"/>
              <w:tab w:val="right" w:pos="9026" w:leader="dot"/>
            </w:tabs>
            <w:rPr/>
          </w:pPr>
          <w:hyperlink w:anchor="__RefHeading___Toc3049251_3650668749">
            <w:r>
              <w:rPr>
                <w:webHidden/>
                <w:rStyle w:val="IndexLink"/>
                <w:rtl w:val="true"/>
              </w:rPr>
              <w:t>المسألة السابعة</w:t>
            </w:r>
            <w:r>
              <w:rPr>
                <w:rStyle w:val="IndexLink"/>
                <w:rtl w:val="true"/>
              </w:rPr>
              <w:t xml:space="preserve">: </w:t>
            </w:r>
            <w:r>
              <w:rPr>
                <w:rStyle w:val="IndexLink"/>
                <w:rtl w:val="true"/>
              </w:rPr>
              <w:t>زواج المتعة</w:t>
            </w:r>
            <w:r>
              <w:rPr>
                <w:rStyle w:val="IndexLink"/>
                <w:rtl w:val="true"/>
              </w:rPr>
              <w:tab/>
            </w:r>
            <w:r>
              <w:rPr>
                <w:rStyle w:val="IndexLink"/>
              </w:rPr>
              <w:t>116</w:t>
            </w:r>
          </w:hyperlink>
        </w:p>
        <w:p>
          <w:pPr>
            <w:pStyle w:val="Contents3"/>
            <w:tabs>
              <w:tab w:val="clear" w:pos="8459"/>
              <w:tab w:val="right" w:pos="9026" w:leader="dot"/>
            </w:tabs>
            <w:rPr/>
          </w:pPr>
          <w:hyperlink w:anchor="__RefHeading___Toc3049253_3650668749">
            <w:r>
              <w:rPr>
                <w:webHidden/>
                <w:rStyle w:val="IndexLink"/>
                <w:rtl w:val="true"/>
              </w:rPr>
              <w:t>المسألة الثامنة</w:t>
            </w:r>
            <w:r>
              <w:rPr>
                <w:rStyle w:val="IndexLink"/>
                <w:rtl w:val="true"/>
              </w:rPr>
              <w:t xml:space="preserve">: </w:t>
            </w:r>
            <w:r>
              <w:rPr>
                <w:rStyle w:val="IndexLink"/>
                <w:rtl w:val="true"/>
              </w:rPr>
              <w:t>متعة الحجّ‌</w:t>
            </w:r>
            <w:r>
              <w:rPr>
                <w:rStyle w:val="IndexLink"/>
                <w:rtl w:val="true"/>
              </w:rPr>
              <w:tab/>
            </w:r>
            <w:r>
              <w:rPr>
                <w:rStyle w:val="IndexLink"/>
              </w:rPr>
              <w:t>118</w:t>
            </w:r>
          </w:hyperlink>
        </w:p>
        <w:p>
          <w:pPr>
            <w:pStyle w:val="Contents3"/>
            <w:tabs>
              <w:tab w:val="clear" w:pos="8459"/>
              <w:tab w:val="right" w:pos="9026" w:leader="dot"/>
            </w:tabs>
            <w:rPr/>
          </w:pPr>
          <w:hyperlink w:anchor="__RefHeading___Toc3049255_3650668749">
            <w:r>
              <w:rPr>
                <w:webHidden/>
                <w:rStyle w:val="IndexLink"/>
                <w:rtl w:val="true"/>
              </w:rPr>
              <w:t>المسألة التاسعة</w:t>
            </w:r>
            <w:r>
              <w:rPr>
                <w:rStyle w:val="IndexLink"/>
                <w:rtl w:val="true"/>
              </w:rPr>
              <w:t xml:space="preserve">: </w:t>
            </w:r>
            <w:r>
              <w:rPr>
                <w:rStyle w:val="IndexLink"/>
                <w:rtl w:val="true"/>
              </w:rPr>
              <w:t>مسح الأرجل في الوضوء</w:t>
            </w:r>
            <w:r>
              <w:rPr>
                <w:rStyle w:val="IndexLink"/>
                <w:rtl w:val="true"/>
              </w:rPr>
              <w:tab/>
            </w:r>
            <w:r>
              <w:rPr>
                <w:rStyle w:val="IndexLink"/>
              </w:rPr>
              <w:t>119</w:t>
            </w:r>
          </w:hyperlink>
        </w:p>
        <w:p>
          <w:pPr>
            <w:pStyle w:val="Contents3"/>
            <w:tabs>
              <w:tab w:val="clear" w:pos="8459"/>
              <w:tab w:val="right" w:pos="9026" w:leader="dot"/>
            </w:tabs>
            <w:rPr/>
          </w:pPr>
          <w:hyperlink w:anchor="__RefHeading___Toc3049257_3650668749">
            <w:r>
              <w:rPr>
                <w:webHidden/>
                <w:rStyle w:val="IndexLink"/>
                <w:rtl w:val="true"/>
              </w:rPr>
              <w:t>المسألة العاشرة</w:t>
            </w:r>
            <w:r>
              <w:rPr>
                <w:rStyle w:val="IndexLink"/>
                <w:rtl w:val="true"/>
              </w:rPr>
              <w:t xml:space="preserve">: </w:t>
            </w:r>
            <w:r>
              <w:rPr>
                <w:rStyle w:val="IndexLink"/>
                <w:rtl w:val="true"/>
              </w:rPr>
              <w:t>السجود على الأرض‌</w:t>
            </w:r>
            <w:r>
              <w:rPr>
                <w:rStyle w:val="IndexLink"/>
                <w:rtl w:val="true"/>
              </w:rPr>
              <w:tab/>
            </w:r>
            <w:r>
              <w:rPr>
                <w:rStyle w:val="IndexLink"/>
              </w:rPr>
              <w:t>120</w:t>
            </w:r>
          </w:hyperlink>
        </w:p>
        <w:p>
          <w:pPr>
            <w:pStyle w:val="Contents3"/>
            <w:tabs>
              <w:tab w:val="clear" w:pos="8459"/>
              <w:tab w:val="right" w:pos="9026" w:leader="dot"/>
            </w:tabs>
            <w:rPr/>
          </w:pPr>
          <w:hyperlink w:anchor="__RefHeading___Toc3049259_3650668749">
            <w:r>
              <w:rPr>
                <w:webHidden/>
                <w:rStyle w:val="IndexLink"/>
                <w:rtl w:val="true"/>
              </w:rPr>
              <w:t>المسألة الحادية عشرة</w:t>
            </w:r>
            <w:r>
              <w:rPr>
                <w:rStyle w:val="IndexLink"/>
                <w:rtl w:val="true"/>
              </w:rPr>
              <w:t xml:space="preserve">: </w:t>
            </w:r>
            <w:r>
              <w:rPr>
                <w:rStyle w:val="IndexLink"/>
                <w:rtl w:val="true"/>
              </w:rPr>
              <w:t>عدالة الصحابة كلّهم</w:t>
            </w:r>
            <w:r>
              <w:rPr>
                <w:rStyle w:val="IndexLink"/>
                <w:rtl w:val="true"/>
              </w:rPr>
              <w:t>!</w:t>
              <w:tab/>
            </w:r>
            <w:r>
              <w:rPr>
                <w:rStyle w:val="IndexLink"/>
              </w:rPr>
              <w:t>122</w:t>
            </w:r>
          </w:hyperlink>
        </w:p>
        <w:p>
          <w:pPr>
            <w:pStyle w:val="Contents4"/>
            <w:tabs>
              <w:tab w:val="clear" w:pos="8176"/>
              <w:tab w:val="right" w:pos="9026" w:leader="dot"/>
            </w:tabs>
            <w:rPr/>
          </w:pPr>
          <w:hyperlink w:anchor="__RefHeading___Toc3049261_365066874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049263_3650668749">
            <w:r>
              <w:rPr>
                <w:webHidden/>
                <w:rStyle w:val="IndexLink"/>
                <w:rtl w:val="true"/>
              </w:rPr>
              <w:t>الصحابة في القرآن الكريم‌</w:t>
            </w:r>
            <w:r>
              <w:rPr>
                <w:rStyle w:val="IndexLink"/>
                <w:rtl w:val="true"/>
              </w:rPr>
              <w:tab/>
            </w:r>
            <w:r>
              <w:rPr>
                <w:rStyle w:val="IndexLink"/>
              </w:rPr>
              <w:t>124</w:t>
            </w:r>
          </w:hyperlink>
        </w:p>
        <w:p>
          <w:pPr>
            <w:pStyle w:val="Contents3"/>
            <w:tabs>
              <w:tab w:val="clear" w:pos="8459"/>
              <w:tab w:val="right" w:pos="9026" w:leader="dot"/>
            </w:tabs>
            <w:rPr/>
          </w:pPr>
          <w:hyperlink w:anchor="__RefHeading___Toc3049265_3650668749">
            <w:r>
              <w:rPr>
                <w:webHidden/>
                <w:rStyle w:val="IndexLink"/>
                <w:rtl w:val="true"/>
              </w:rPr>
              <w:t>المسألة الثانية عشرة</w:t>
            </w:r>
            <w:r>
              <w:rPr>
                <w:rStyle w:val="IndexLink"/>
                <w:rtl w:val="true"/>
              </w:rPr>
              <w:t xml:space="preserve">: </w:t>
            </w:r>
            <w:r>
              <w:rPr>
                <w:rStyle w:val="IndexLink"/>
                <w:rtl w:val="true"/>
              </w:rPr>
              <w:t xml:space="preserve">في عالمية رسالة النبي </w:t>
            </w:r>
            <w:r>
              <w:rPr>
                <w:rStyle w:val="IndexLink"/>
              </w:rPr>
              <w:t>9</w:t>
            </w:r>
            <w:r>
              <w:rPr>
                <w:rStyle w:val="IndexLink"/>
                <w:rtl w:val="true"/>
              </w:rPr>
              <w:t xml:space="preserve"> </w:t>
            </w:r>
            <w:r>
              <w:rPr>
                <w:rStyle w:val="IndexLink"/>
                <w:rtl w:val="true"/>
              </w:rPr>
              <w:t>و خاتميتها</w:t>
            </w:r>
            <w:r>
              <w:rPr>
                <w:rStyle w:val="IndexLink"/>
                <w:rtl w:val="true"/>
              </w:rPr>
              <w:tab/>
            </w:r>
            <w:r>
              <w:rPr>
                <w:rStyle w:val="IndexLink"/>
              </w:rPr>
              <w:t>126</w:t>
            </w:r>
          </w:hyperlink>
        </w:p>
        <w:p>
          <w:pPr>
            <w:pStyle w:val="Contents4"/>
            <w:tabs>
              <w:tab w:val="clear" w:pos="8176"/>
              <w:tab w:val="right" w:pos="9026" w:leader="dot"/>
            </w:tabs>
            <w:rPr/>
          </w:pPr>
          <w:hyperlink w:anchor="__RefHeading___Toc3049267_365066874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049269_3650668749">
            <w:r>
              <w:rPr>
                <w:webHidden/>
                <w:rStyle w:val="IndexLink"/>
                <w:rtl w:val="true"/>
              </w:rPr>
              <w:t>الخاتمية في الذكر الحكيم‌</w:t>
            </w:r>
            <w:r>
              <w:rPr>
                <w:rStyle w:val="IndexLink"/>
                <w:rtl w:val="true"/>
              </w:rPr>
              <w:tab/>
            </w:r>
            <w:r>
              <w:rPr>
                <w:rStyle w:val="IndexLink"/>
              </w:rPr>
              <w:t>127</w:t>
            </w:r>
          </w:hyperlink>
        </w:p>
        <w:p>
          <w:pPr>
            <w:pStyle w:val="Contents4"/>
            <w:tabs>
              <w:tab w:val="clear" w:pos="8176"/>
              <w:tab w:val="right" w:pos="9026" w:leader="dot"/>
            </w:tabs>
            <w:rPr/>
          </w:pPr>
          <w:hyperlink w:anchor="__RefHeading___Toc3049271_3650668749">
            <w:r>
              <w:rPr>
                <w:webHidden/>
                <w:rStyle w:val="IndexLink"/>
                <w:rtl w:val="true"/>
              </w:rPr>
              <w:t>الخاتمية في الأحاديث النبوية</w:t>
            </w:r>
            <w:r>
              <w:rPr>
                <w:rStyle w:val="IndexLink"/>
                <w:rtl w:val="true"/>
              </w:rPr>
              <w:tab/>
            </w:r>
            <w:r>
              <w:rPr>
                <w:rStyle w:val="IndexLink"/>
              </w:rPr>
              <w:t>129</w:t>
            </w:r>
          </w:hyperlink>
        </w:p>
        <w:p>
          <w:pPr>
            <w:pStyle w:val="Contents4"/>
            <w:tabs>
              <w:tab w:val="clear" w:pos="8176"/>
              <w:tab w:val="right" w:pos="9026" w:leader="dot"/>
            </w:tabs>
            <w:rPr/>
          </w:pPr>
          <w:hyperlink w:anchor="__RefHeading___Toc3049273_3650668749">
            <w:r>
              <w:rPr>
                <w:webHidden/>
                <w:rStyle w:val="IndexLink"/>
                <w:rtl w:val="true"/>
              </w:rPr>
              <w:t>الخاتمية في أحاديث العترة الطاهرة</w:t>
            </w:r>
            <w:r>
              <w:rPr>
                <w:rStyle w:val="IndexLink"/>
                <w:rtl w:val="true"/>
              </w:rPr>
              <w:tab/>
            </w:r>
            <w:r>
              <w:rPr>
                <w:rStyle w:val="IndexLink"/>
              </w:rPr>
              <w:t>130</w:t>
            </w:r>
          </w:hyperlink>
        </w:p>
        <w:p>
          <w:pPr>
            <w:pStyle w:val="Contents4"/>
            <w:tabs>
              <w:tab w:val="clear" w:pos="8176"/>
              <w:tab w:val="right" w:pos="9026" w:leader="dot"/>
            </w:tabs>
            <w:rPr/>
          </w:pPr>
          <w:hyperlink w:anchor="__RefHeading___Toc3049275_3650668749">
            <w:r>
              <w:rPr>
                <w:webHidden/>
                <w:rStyle w:val="IndexLink"/>
                <w:rtl w:val="true"/>
              </w:rPr>
              <w:t>أسئِلَة حول الخاتمية</w:t>
            </w:r>
            <w:r>
              <w:rPr>
                <w:rStyle w:val="IndexLink"/>
                <w:rtl w:val="true"/>
              </w:rPr>
              <w:tab/>
            </w:r>
            <w:r>
              <w:rPr>
                <w:rStyle w:val="IndexLink"/>
              </w:rPr>
              <w:t>130</w:t>
            </w:r>
          </w:hyperlink>
        </w:p>
        <w:p>
          <w:pPr>
            <w:pStyle w:val="Contents4"/>
            <w:tabs>
              <w:tab w:val="clear" w:pos="8176"/>
              <w:tab w:val="right" w:pos="9026" w:leader="dot"/>
            </w:tabs>
            <w:rPr/>
          </w:pPr>
          <w:hyperlink w:anchor="__RefHeading___Toc3049277_3650668749">
            <w:r>
              <w:rPr>
                <w:webHidden/>
                <w:rStyle w:val="IndexLink"/>
                <w:rtl w:val="true"/>
              </w:rPr>
              <w:t>المرونة التشريع الإسلامي</w:t>
            </w:r>
            <w:r>
              <w:rPr>
                <w:rStyle w:val="IndexLink"/>
                <w:rtl w:val="true"/>
              </w:rPr>
              <w:t>:</w:t>
              <w:tab/>
            </w:r>
            <w:r>
              <w:rPr>
                <w:rStyle w:val="IndexLink"/>
              </w:rPr>
              <w:t>136</w:t>
            </w:r>
          </w:hyperlink>
        </w:p>
        <w:p>
          <w:pPr>
            <w:pStyle w:val="Contents4"/>
            <w:tabs>
              <w:tab w:val="clear" w:pos="8176"/>
              <w:tab w:val="right" w:pos="9026" w:leader="dot"/>
            </w:tabs>
            <w:rPr/>
          </w:pPr>
          <w:hyperlink w:anchor="__RefHeading___Toc3049279_3650668749">
            <w:r>
              <w:rPr>
                <w:webHidden/>
                <w:rStyle w:val="IndexLink"/>
                <w:rtl w:val="true"/>
              </w:rPr>
              <w:t>الشيعة والخاتمية</w:t>
            </w:r>
            <w:r>
              <w:rPr>
                <w:rStyle w:val="IndexLink"/>
                <w:rtl w:val="true"/>
              </w:rPr>
              <w:t>:</w:t>
              <w:tab/>
            </w:r>
            <w:r>
              <w:rPr>
                <w:rStyle w:val="IndexLink"/>
              </w:rPr>
              <w:t>139</w:t>
            </w:r>
          </w:hyperlink>
        </w:p>
        <w:p>
          <w:pPr>
            <w:pStyle w:val="Contents4"/>
            <w:tabs>
              <w:tab w:val="clear" w:pos="8176"/>
              <w:tab w:val="right" w:pos="9026" w:leader="dot"/>
            </w:tabs>
            <w:rPr/>
          </w:pPr>
          <w:hyperlink w:anchor="__RefHeading___Toc3049281_3650668749">
            <w:r>
              <w:rPr>
                <w:webHidden/>
                <w:rStyle w:val="IndexLink"/>
              </w:rPr>
              <w:t>1</w:t>
            </w:r>
            <w:r>
              <w:rPr>
                <w:rStyle w:val="IndexLink"/>
                <w:rtl w:val="true"/>
              </w:rPr>
              <w:t xml:space="preserve">- </w:t>
            </w:r>
            <w:r>
              <w:rPr>
                <w:rStyle w:val="IndexLink"/>
                <w:rtl w:val="true"/>
              </w:rPr>
              <w:t xml:space="preserve">كتاب علي </w:t>
            </w:r>
            <w:r>
              <w:rPr>
                <w:rStyle w:val="IndexLink"/>
                <w:rtl w:val="true"/>
              </w:rPr>
              <w:t>(</w:t>
            </w:r>
            <w:r>
              <w:rPr>
                <w:rStyle w:val="IndexLink"/>
                <w:rtl w:val="true"/>
              </w:rPr>
              <w:t>ع</w:t>
            </w:r>
            <w:r>
              <w:rPr>
                <w:rStyle w:val="IndexLink"/>
                <w:rtl w:val="true"/>
              </w:rPr>
              <w:t xml:space="preserve">) </w:t>
            </w:r>
            <w:r>
              <w:rPr>
                <w:rStyle w:val="IndexLink"/>
                <w:rtl w:val="true"/>
              </w:rPr>
              <w:t xml:space="preserve">وإملاء رسول الله </w:t>
            </w:r>
            <w:r>
              <w:rPr>
                <w:rStyle w:val="IndexLink"/>
                <w:rtl w:val="true"/>
              </w:rPr>
              <w:t>(</w:t>
            </w:r>
            <w:r>
              <w:rPr>
                <w:rStyle w:val="IndexLink"/>
                <w:rtl w:val="true"/>
              </w:rPr>
              <w:t>ص</w:t>
            </w:r>
            <w:r>
              <w:rPr>
                <w:rStyle w:val="IndexLink"/>
                <w:rtl w:val="true"/>
              </w:rPr>
              <w:t>)</w:t>
              <w:tab/>
            </w:r>
            <w:r>
              <w:rPr>
                <w:rStyle w:val="IndexLink"/>
              </w:rPr>
              <w:t>139</w:t>
            </w:r>
          </w:hyperlink>
        </w:p>
        <w:p>
          <w:pPr>
            <w:pStyle w:val="Contents4"/>
            <w:tabs>
              <w:tab w:val="clear" w:pos="8176"/>
              <w:tab w:val="right" w:pos="9026" w:leader="dot"/>
            </w:tabs>
            <w:rPr/>
          </w:pPr>
          <w:hyperlink w:anchor="__RefHeading___Toc3049283_3650668749">
            <w:r>
              <w:rPr>
                <w:webHidden/>
                <w:rStyle w:val="IndexLink"/>
                <w:rtl w:val="true"/>
              </w:rPr>
              <w:t>ما هو مصدر روايات أهل البيت؟</w:t>
            </w:r>
            <w:r>
              <w:rPr>
                <w:rStyle w:val="IndexLink"/>
                <w:rtl w:val="true"/>
              </w:rPr>
              <w:tab/>
            </w:r>
            <w:r>
              <w:rPr>
                <w:rStyle w:val="IndexLink"/>
              </w:rPr>
              <w:t>141</w:t>
            </w:r>
          </w:hyperlink>
        </w:p>
        <w:p>
          <w:pPr>
            <w:pStyle w:val="Contents2"/>
            <w:tabs>
              <w:tab w:val="clear" w:pos="8743"/>
              <w:tab w:val="right" w:pos="9026" w:leader="dot"/>
            </w:tabs>
            <w:rPr/>
          </w:pPr>
          <w:hyperlink w:anchor="__RefHeading___Toc3049285_3650668749">
            <w:r>
              <w:rPr>
                <w:webHidden/>
                <w:rStyle w:val="IndexLink"/>
                <w:rtl w:val="true"/>
              </w:rPr>
              <w:t>الفصل الخامس</w:t>
            </w:r>
            <w:r>
              <w:rPr>
                <w:rStyle w:val="IndexLink"/>
                <w:rtl w:val="true"/>
              </w:rPr>
              <w:t>: «</w:t>
            </w:r>
            <w:r>
              <w:rPr>
                <w:rStyle w:val="IndexLink"/>
                <w:rtl w:val="true"/>
              </w:rPr>
              <w:t>رؤية الله</w:t>
            </w:r>
            <w:r>
              <w:rPr>
                <w:rStyle w:val="IndexLink"/>
                <w:rtl w:val="true"/>
              </w:rPr>
              <w:t xml:space="preserve">» </w:t>
            </w:r>
            <w:r>
              <w:rPr>
                <w:rStyle w:val="IndexLink"/>
                <w:rtl w:val="true"/>
              </w:rPr>
              <w:t>في ضوء الكتاب‌</w:t>
            </w:r>
            <w:r>
              <w:rPr>
                <w:rStyle w:val="IndexLink"/>
                <w:rtl w:val="true"/>
              </w:rPr>
              <w:tab/>
            </w:r>
            <w:r>
              <w:rPr>
                <w:rStyle w:val="IndexLink"/>
              </w:rPr>
              <w:t>144</w:t>
            </w:r>
          </w:hyperlink>
        </w:p>
        <w:p>
          <w:pPr>
            <w:pStyle w:val="Contents3"/>
            <w:tabs>
              <w:tab w:val="clear" w:pos="8459"/>
              <w:tab w:val="right" w:pos="9026" w:leader="dot"/>
            </w:tabs>
            <w:rPr/>
          </w:pPr>
          <w:hyperlink w:anchor="__RefHeading___Toc3049287_3650668749">
            <w:r>
              <w:rPr>
                <w:webHidden/>
                <w:rStyle w:val="IndexLink"/>
                <w:rtl w:val="true"/>
              </w:rPr>
              <w:t>والسّنة والعقل‌</w:t>
            </w:r>
            <w:r>
              <w:rPr>
                <w:rStyle w:val="IndexLink"/>
                <w:rtl w:val="true"/>
              </w:rPr>
              <w:tab/>
            </w:r>
            <w:r>
              <w:rPr>
                <w:rStyle w:val="IndexLink"/>
              </w:rPr>
              <w:t>144</w:t>
            </w:r>
          </w:hyperlink>
        </w:p>
        <w:p>
          <w:pPr>
            <w:pStyle w:val="Contents3"/>
            <w:tabs>
              <w:tab w:val="clear" w:pos="8459"/>
              <w:tab w:val="right" w:pos="9026" w:leader="dot"/>
            </w:tabs>
            <w:rPr/>
          </w:pPr>
          <w:hyperlink w:anchor="__RefHeading___Toc3049289_3650668749">
            <w:r>
              <w:rPr>
                <w:webHidden/>
                <w:rStyle w:val="IndexLink"/>
                <w:rtl w:val="true"/>
              </w:rPr>
              <w:t>«</w:t>
            </w:r>
            <w:r>
              <w:rPr>
                <w:rStyle w:val="IndexLink"/>
                <w:rtl w:val="true"/>
              </w:rPr>
              <w:t>الرؤية بالأبصار لا بالقلب ولا بالرؤيا</w:t>
            </w:r>
            <w:r>
              <w:rPr>
                <w:rStyle w:val="IndexLink"/>
                <w:rtl w:val="true"/>
              </w:rPr>
              <w:t>»</w:t>
              <w:tab/>
            </w:r>
            <w:r>
              <w:rPr>
                <w:rStyle w:val="IndexLink"/>
              </w:rPr>
              <w:t>145</w:t>
            </w:r>
          </w:hyperlink>
        </w:p>
        <w:p>
          <w:pPr>
            <w:pStyle w:val="Contents3"/>
            <w:tabs>
              <w:tab w:val="clear" w:pos="8459"/>
              <w:tab w:val="right" w:pos="9026" w:leader="dot"/>
            </w:tabs>
            <w:rPr/>
          </w:pPr>
          <w:hyperlink w:anchor="__RefHeading___Toc3049291_3650668749">
            <w:r>
              <w:rPr>
                <w:webHidden/>
                <w:rStyle w:val="IndexLink"/>
                <w:rtl w:val="true"/>
              </w:rPr>
              <w:t>«</w:t>
            </w:r>
            <w:r>
              <w:rPr>
                <w:rStyle w:val="IndexLink"/>
                <w:rtl w:val="true"/>
              </w:rPr>
              <w:t xml:space="preserve">الرؤية في كلمات الإمام علي </w:t>
            </w:r>
            <w:r>
              <w:rPr>
                <w:rStyle w:val="IndexLink"/>
              </w:rPr>
              <w:t>7</w:t>
            </w:r>
            <w:r>
              <w:rPr>
                <w:rStyle w:val="IndexLink"/>
                <w:rtl w:val="true"/>
              </w:rPr>
              <w:t>»</w:t>
              <w:tab/>
            </w:r>
            <w:r>
              <w:rPr>
                <w:rStyle w:val="IndexLink"/>
              </w:rPr>
              <w:t>146</w:t>
            </w:r>
          </w:hyperlink>
        </w:p>
        <w:p>
          <w:pPr>
            <w:pStyle w:val="Contents3"/>
            <w:tabs>
              <w:tab w:val="clear" w:pos="8459"/>
              <w:tab w:val="right" w:pos="9026" w:leader="dot"/>
            </w:tabs>
            <w:rPr/>
          </w:pPr>
          <w:hyperlink w:anchor="__RefHeading___Toc3049293_3650668749">
            <w:r>
              <w:rPr>
                <w:webHidden/>
                <w:rStyle w:val="IndexLink"/>
                <w:rtl w:val="true"/>
              </w:rPr>
              <w:t>«</w:t>
            </w:r>
            <w:r>
              <w:rPr>
                <w:rStyle w:val="IndexLink"/>
                <w:rtl w:val="true"/>
              </w:rPr>
              <w:t>الرؤية في منطق العلم والعقل</w:t>
            </w:r>
            <w:r>
              <w:rPr>
                <w:rStyle w:val="IndexLink"/>
                <w:rtl w:val="true"/>
              </w:rPr>
              <w:t>»</w:t>
              <w:tab/>
            </w:r>
            <w:r>
              <w:rPr>
                <w:rStyle w:val="IndexLink"/>
              </w:rPr>
              <w:t>147</w:t>
            </w:r>
          </w:hyperlink>
        </w:p>
        <w:p>
          <w:pPr>
            <w:pStyle w:val="Contents3"/>
            <w:tabs>
              <w:tab w:val="clear" w:pos="8459"/>
              <w:tab w:val="right" w:pos="9026" w:leader="dot"/>
            </w:tabs>
            <w:rPr/>
          </w:pPr>
          <w:hyperlink w:anchor="__RefHeading___Toc3049295_3650668749">
            <w:r>
              <w:rPr>
                <w:webHidden/>
                <w:rStyle w:val="IndexLink"/>
                <w:rtl w:val="true"/>
              </w:rPr>
              <w:t>«</w:t>
            </w:r>
            <w:r>
              <w:rPr>
                <w:rStyle w:val="IndexLink"/>
                <w:rtl w:val="true"/>
              </w:rPr>
              <w:t>محاولة يائسة في تجويز الرؤية</w:t>
            </w:r>
            <w:r>
              <w:rPr>
                <w:rStyle w:val="IndexLink"/>
                <w:rtl w:val="true"/>
              </w:rPr>
              <w:t>»</w:t>
              <w:tab/>
            </w:r>
            <w:r>
              <w:rPr>
                <w:rStyle w:val="IndexLink"/>
              </w:rPr>
              <w:t>148</w:t>
            </w:r>
          </w:hyperlink>
        </w:p>
        <w:p>
          <w:pPr>
            <w:pStyle w:val="Contents3"/>
            <w:tabs>
              <w:tab w:val="clear" w:pos="8459"/>
              <w:tab w:val="right" w:pos="9026" w:leader="dot"/>
            </w:tabs>
            <w:rPr/>
          </w:pPr>
          <w:hyperlink w:anchor="__RefHeading___Toc3049297_3650668749">
            <w:r>
              <w:rPr>
                <w:webHidden/>
                <w:rStyle w:val="IndexLink"/>
                <w:rtl w:val="true"/>
              </w:rPr>
              <w:t>موقف الذكر الحكيم من أمر الرؤية</w:t>
            </w:r>
            <w:r>
              <w:rPr>
                <w:rStyle w:val="IndexLink"/>
                <w:rtl w:val="true"/>
              </w:rPr>
              <w:t>:</w:t>
              <w:tab/>
            </w:r>
            <w:r>
              <w:rPr>
                <w:rStyle w:val="IndexLink"/>
              </w:rPr>
              <w:t>149</w:t>
            </w:r>
          </w:hyperlink>
        </w:p>
        <w:p>
          <w:pPr>
            <w:pStyle w:val="Contents3"/>
            <w:tabs>
              <w:tab w:val="clear" w:pos="8459"/>
              <w:tab w:val="right" w:pos="9026" w:leader="dot"/>
            </w:tabs>
            <w:rPr/>
          </w:pPr>
          <w:hyperlink w:anchor="__RefHeading___Toc3049299_3650668749">
            <w:r>
              <w:rPr>
                <w:webHidden/>
                <w:rStyle w:val="IndexLink"/>
                <w:rtl w:val="true"/>
              </w:rPr>
              <w:t>دراسة أدّلة النافين‌</w:t>
            </w:r>
            <w:r>
              <w:rPr>
                <w:rStyle w:val="IndexLink"/>
                <w:rtl w:val="true"/>
              </w:rPr>
              <w:tab/>
            </w:r>
            <w:r>
              <w:rPr>
                <w:rStyle w:val="IndexLink"/>
              </w:rPr>
              <w:t>151</w:t>
            </w:r>
          </w:hyperlink>
        </w:p>
        <w:p>
          <w:pPr>
            <w:pStyle w:val="Contents3"/>
            <w:tabs>
              <w:tab w:val="clear" w:pos="8459"/>
              <w:tab w:val="right" w:pos="9026" w:leader="dot"/>
            </w:tabs>
            <w:rPr/>
          </w:pPr>
          <w:hyperlink w:anchor="__RefHeading___Toc3049301_3650668749">
            <w:r>
              <w:rPr>
                <w:webHidden/>
                <w:rStyle w:val="IndexLink"/>
                <w:rtl w:val="true"/>
              </w:rPr>
              <w:t>شبهات المخالفين‌</w:t>
            </w:r>
            <w:r>
              <w:rPr>
                <w:rStyle w:val="IndexLink"/>
                <w:rtl w:val="true"/>
              </w:rPr>
              <w:tab/>
            </w:r>
            <w:r>
              <w:rPr>
                <w:rStyle w:val="IndexLink"/>
              </w:rPr>
              <w:t>154</w:t>
            </w:r>
          </w:hyperlink>
        </w:p>
        <w:p>
          <w:pPr>
            <w:pStyle w:val="Contents3"/>
            <w:tabs>
              <w:tab w:val="clear" w:pos="8459"/>
              <w:tab w:val="right" w:pos="9026" w:leader="dot"/>
            </w:tabs>
            <w:rPr/>
          </w:pPr>
          <w:hyperlink w:anchor="__RefHeading___Toc3049303_3650668749">
            <w:r>
              <w:rPr>
                <w:webHidden/>
                <w:rStyle w:val="IndexLink"/>
                <w:rtl w:val="true"/>
              </w:rPr>
              <w:t>الشبهة الاولى</w:t>
            </w:r>
            <w:r>
              <w:rPr>
                <w:rStyle w:val="IndexLink"/>
                <w:rtl w:val="true"/>
              </w:rPr>
              <w:t>:</w:t>
              <w:tab/>
            </w:r>
            <w:r>
              <w:rPr>
                <w:rStyle w:val="IndexLink"/>
              </w:rPr>
              <w:t>154</w:t>
            </w:r>
          </w:hyperlink>
        </w:p>
        <w:p>
          <w:pPr>
            <w:pStyle w:val="Contents3"/>
            <w:tabs>
              <w:tab w:val="clear" w:pos="8459"/>
              <w:tab w:val="right" w:pos="9026" w:leader="dot"/>
            </w:tabs>
            <w:rPr/>
          </w:pPr>
          <w:hyperlink w:anchor="__RefHeading___Toc3049305_3650668749">
            <w:r>
              <w:rPr>
                <w:webHidden/>
                <w:rStyle w:val="IndexLink"/>
                <w:rtl w:val="true"/>
              </w:rPr>
              <w:t>الشبهة الثانية</w:t>
            </w:r>
            <w:r>
              <w:rPr>
                <w:rStyle w:val="IndexLink"/>
                <w:rtl w:val="true"/>
              </w:rPr>
              <w:t>:</w:t>
              <w:tab/>
            </w:r>
            <w:r>
              <w:rPr>
                <w:rStyle w:val="IndexLink"/>
              </w:rPr>
              <w:t>155</w:t>
            </w:r>
          </w:hyperlink>
        </w:p>
        <w:p>
          <w:pPr>
            <w:pStyle w:val="Contents3"/>
            <w:tabs>
              <w:tab w:val="clear" w:pos="8459"/>
              <w:tab w:val="right" w:pos="9026" w:leader="dot"/>
            </w:tabs>
            <w:rPr/>
          </w:pPr>
          <w:hyperlink w:anchor="__RefHeading___Toc3049307_3650668749">
            <w:r>
              <w:rPr>
                <w:webHidden/>
                <w:rStyle w:val="IndexLink"/>
                <w:rtl w:val="true"/>
              </w:rPr>
              <w:t>رؤية الله في الذكر الحكيم</w:t>
            </w:r>
            <w:r>
              <w:rPr>
                <w:rStyle w:val="IndexLink"/>
                <w:rtl w:val="true"/>
              </w:rPr>
              <w:t>: «</w:t>
            </w:r>
            <w:r>
              <w:rPr>
                <w:rStyle w:val="IndexLink"/>
                <w:rtl w:val="true"/>
              </w:rPr>
              <w:t>دراسة أدلة المثبتين</w:t>
            </w:r>
            <w:r>
              <w:rPr>
                <w:rStyle w:val="IndexLink"/>
                <w:rtl w:val="true"/>
              </w:rPr>
              <w:t>»</w:t>
              <w:tab/>
            </w:r>
            <w:r>
              <w:rPr>
                <w:rStyle w:val="IndexLink"/>
              </w:rPr>
              <w:t>156</w:t>
            </w:r>
          </w:hyperlink>
        </w:p>
        <w:p>
          <w:pPr>
            <w:pStyle w:val="Contents3"/>
            <w:tabs>
              <w:tab w:val="clear" w:pos="8459"/>
              <w:tab w:val="right" w:pos="9026" w:leader="dot"/>
            </w:tabs>
            <w:rPr/>
          </w:pPr>
          <w:hyperlink w:anchor="__RefHeading___Toc3049309_3650668749">
            <w:r>
              <w:rPr>
                <w:webHidden/>
                <w:rStyle w:val="IndexLink"/>
                <w:rtl w:val="true"/>
              </w:rPr>
              <w:t>«</w:t>
            </w:r>
            <w:r>
              <w:rPr>
                <w:rStyle w:val="IndexLink"/>
                <w:rtl w:val="true"/>
              </w:rPr>
              <w:t>خمس آيات على مائدة التفسير</w:t>
            </w:r>
            <w:r>
              <w:rPr>
                <w:rStyle w:val="IndexLink"/>
                <w:rtl w:val="true"/>
              </w:rPr>
              <w:t>»</w:t>
              <w:tab/>
            </w:r>
            <w:r>
              <w:rPr>
                <w:rStyle w:val="IndexLink"/>
              </w:rPr>
              <w:t>157</w:t>
            </w:r>
          </w:hyperlink>
        </w:p>
        <w:p>
          <w:pPr>
            <w:pStyle w:val="Contents3"/>
            <w:tabs>
              <w:tab w:val="clear" w:pos="8459"/>
              <w:tab w:val="right" w:pos="9026" w:leader="dot"/>
            </w:tabs>
            <w:rPr/>
          </w:pPr>
          <w:hyperlink w:anchor="__RefHeading___Toc3049311_3650668749">
            <w:r>
              <w:rPr>
                <w:webHidden/>
                <w:rStyle w:val="IndexLink"/>
                <w:rtl w:val="true"/>
              </w:rPr>
              <w:t>رؤية الله في الأحاديث النبوية</w:t>
            </w:r>
            <w:r>
              <w:rPr>
                <w:rStyle w:val="IndexLink"/>
                <w:rtl w:val="true"/>
              </w:rPr>
              <w:tab/>
            </w:r>
            <w:r>
              <w:rPr>
                <w:rStyle w:val="IndexLink"/>
              </w:rPr>
              <w:t>162</w:t>
            </w:r>
          </w:hyperlink>
        </w:p>
        <w:p>
          <w:pPr>
            <w:pStyle w:val="Contents3"/>
            <w:tabs>
              <w:tab w:val="clear" w:pos="8459"/>
              <w:tab w:val="right" w:pos="9026" w:leader="dot"/>
            </w:tabs>
            <w:rPr/>
          </w:pPr>
          <w:hyperlink w:anchor="__RefHeading___Toc3049313_3650668749">
            <w:r>
              <w:rPr>
                <w:webHidden/>
                <w:rStyle w:val="IndexLink"/>
                <w:rtl w:val="true"/>
              </w:rPr>
              <w:t>الرؤية القلبية</w:t>
            </w:r>
            <w:r>
              <w:rPr>
                <w:rStyle w:val="IndexLink"/>
                <w:rtl w:val="true"/>
              </w:rPr>
              <w:tab/>
            </w:r>
            <w:r>
              <w:rPr>
                <w:rStyle w:val="IndexLink"/>
              </w:rPr>
              <w:t>163</w:t>
            </w:r>
          </w:hyperlink>
        </w:p>
        <w:p>
          <w:pPr>
            <w:pStyle w:val="Contents3"/>
            <w:tabs>
              <w:tab w:val="clear" w:pos="8459"/>
              <w:tab w:val="right" w:pos="9026" w:leader="dot"/>
            </w:tabs>
            <w:rPr/>
          </w:pPr>
          <w:hyperlink w:anchor="__RefHeading___Toc3049315_3650668749">
            <w:r>
              <w:rPr>
                <w:webHidden/>
                <w:rStyle w:val="IndexLink"/>
                <w:rtl w:val="true"/>
              </w:rPr>
              <w:t xml:space="preserve">تكفير </w:t>
            </w:r>
            <w:r>
              <w:rPr>
                <w:rStyle w:val="IndexLink"/>
                <w:rtl w:val="true"/>
              </w:rPr>
              <w:t>«</w:t>
            </w:r>
            <w:r>
              <w:rPr>
                <w:rStyle w:val="IndexLink"/>
                <w:rtl w:val="true"/>
              </w:rPr>
              <w:t>إبن باز</w:t>
            </w:r>
            <w:r>
              <w:rPr>
                <w:rStyle w:val="IndexLink"/>
                <w:rtl w:val="true"/>
              </w:rPr>
              <w:t xml:space="preserve">» </w:t>
            </w:r>
            <w:r>
              <w:rPr>
                <w:rStyle w:val="IndexLink"/>
                <w:rtl w:val="true"/>
              </w:rPr>
              <w:t>لمن لايقول بالرؤية</w:t>
            </w:r>
            <w:r>
              <w:rPr>
                <w:rStyle w:val="IndexLink"/>
                <w:rtl w:val="true"/>
              </w:rPr>
              <w:tab/>
            </w:r>
            <w:r>
              <w:rPr>
                <w:rStyle w:val="IndexLink"/>
              </w:rPr>
              <w:t>164</w:t>
            </w:r>
          </w:hyperlink>
        </w:p>
        <w:p>
          <w:pPr>
            <w:pStyle w:val="Contents3"/>
            <w:tabs>
              <w:tab w:val="clear" w:pos="8459"/>
              <w:tab w:val="right" w:pos="9026" w:leader="dot"/>
            </w:tabs>
            <w:rPr/>
          </w:pPr>
          <w:hyperlink w:anchor="__RefHeading___Toc3049317_3650668749">
            <w:r>
              <w:rPr>
                <w:webHidden/>
                <w:rStyle w:val="IndexLink"/>
                <w:rtl w:val="true"/>
              </w:rPr>
              <w:t>تحليل هذه الفتيا</w:t>
            </w:r>
            <w:r>
              <w:rPr>
                <w:rStyle w:val="IndexLink"/>
                <w:rtl w:val="true"/>
              </w:rPr>
              <w:t>:</w:t>
              <w:tab/>
            </w:r>
            <w:r>
              <w:rPr>
                <w:rStyle w:val="IndexLink"/>
              </w:rPr>
              <w:t>164</w:t>
            </w:r>
          </w:hyperlink>
        </w:p>
        <w:p>
          <w:pPr>
            <w:pStyle w:val="Contents2"/>
            <w:tabs>
              <w:tab w:val="clear" w:pos="8743"/>
              <w:tab w:val="right" w:pos="9026" w:leader="dot"/>
            </w:tabs>
            <w:rPr/>
          </w:pPr>
          <w:hyperlink w:anchor="__RefHeading___Toc3049319_3650668749">
            <w:r>
              <w:rPr>
                <w:webHidden/>
                <w:rStyle w:val="IndexLink"/>
                <w:rtl w:val="true"/>
              </w:rPr>
              <w:t>الخاتمة</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_25339"/>
      <w:bookmarkStart w:id="1" w:name="pg1887_25339"/>
      <w:bookmarkEnd w:id="1"/>
    </w:p>
    <w:p>
      <w:pPr>
        <w:pStyle w:val="Heading2"/>
        <w:numPr>
          <w:ilvl w:val="1"/>
          <w:numId w:val="1"/>
        </w:numPr>
        <w:rPr/>
      </w:pPr>
      <w:bookmarkStart w:id="2" w:name="pg1887_25339"/>
      <w:bookmarkStart w:id="3" w:name="__RefHeading___Toc3049073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قائمي، آفرين خلاصه‌كننده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علي عقائدالشيعه‌الاماميه و تاريخهم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تاريخ‌الشيعه و عقيد‌تهم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من اضواء علي عقائد‌الشيعه‌الاماميه و تاريخهم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جعفر السبحاني ؛ الملخص آفرين القائمي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سبحاني‌تبريزي،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اضواء علي عقائد‌الشيعه‌الاماميه و تاريخهم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۶۳۰۱۷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۱۳۳۸۴۱۸</w:t>
      </w:r>
    </w:p>
    <w:p>
      <w:pPr>
        <w:pStyle w:val="Heading2"/>
        <w:numPr>
          <w:ilvl w:val="1"/>
          <w:numId w:val="1"/>
        </w:numPr>
        <w:rPr/>
      </w:pPr>
      <w:bookmarkStart w:id="5" w:name="__RefHeading___Toc3049075_3650668749"/>
      <w:bookmarkStart w:id="6" w:name="_Toc2"/>
      <w:bookmarkEnd w:id="5"/>
      <w:r>
        <w:rPr>
          <w:rtl w:val="true"/>
        </w:rPr>
        <w:t>المقدّمة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049077_3650668749"/>
      <w:bookmarkStart w:id="8" w:name="_Toc3"/>
      <w:bookmarkEnd w:id="7"/>
      <w:r>
        <w:rPr>
          <w:rtl w:val="true"/>
        </w:rPr>
        <w:t>اشارة</w:t>
      </w:r>
      <w:bookmarkStart w:id="9" w:name="pg1887_25348"/>
      <w:bookmarkEnd w:id="8"/>
    </w:p>
    <w:p>
      <w:pPr>
        <w:pStyle w:val="Heading3"/>
        <w:numPr>
          <w:ilvl w:val="2"/>
          <w:numId w:val="1"/>
        </w:numPr>
        <w:rPr/>
      </w:pPr>
      <w:bookmarkStart w:id="10" w:name="__RefHeading___Toc3049079_3650668749"/>
      <w:bookmarkStart w:id="11" w:name="_Toc4"/>
      <w:bookmarkEnd w:id="9"/>
      <w:bookmarkEnd w:id="10"/>
      <w:r>
        <w:rPr>
          <w:rtl w:val="true"/>
        </w:rPr>
        <w:t>سمات العقيدة الإسلامية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للعقيدة الإسلامية صفات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فهمها وتعلّمها؛ لأنّها عقيدة شاملة لاتختص بالفلاسفة والمتكلّمين والمفكرين بالرغم من عمقها، إلّا أنّ ذلك لايعني سذاجتها وابتذالها وعدم خضوعها للبراهين العقلية، فللعقيدة براهينها الواضحة التي يمكن أن يقف عليها كلّ من درسها وإنّ من العوامل التي ساعدت على سرعة انتشار الإسلام في مختلف الحضارات وتغلغله بين الأوساط اتّصافه بسهولة العقيدة ويسرالتكليف ومن المعلوم أنّ الإذعان بشي‌ءٍ متوقّف على ثبوت مقدّمات بديهية أو نظرية منتهية إليه حتّى يستتبعها اليقين</w:t>
      </w:r>
    </w:p>
    <w:p>
      <w:pPr>
        <w:pStyle w:val="BookText"/>
        <w:rPr/>
      </w:pPr>
      <w:r>
        <w:rPr>
          <w:rFonts w:ascii="Amiri" w:hAnsi="Amiri" w:eastAsia="Amiri" w:cs="Amiri"/>
          <w:color w:val="111111"/>
          <w:sz w:val="28"/>
          <w:sz w:val="28"/>
          <w:szCs w:val="28"/>
          <w:rtl w:val="true"/>
          <w:lang w:bidi="ar-SA"/>
        </w:rPr>
        <w:t>والإذعان واطمئنان القلب ورسوخ الفكرة في القلب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يفرض علينا أن نستجيب للعقل، باعتباره العمود الفقري للعقائد التي يبتني عليها صرح النبوّة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نرى أنّ الكتاب العزيز يثبت هذا الأصل بدلالة العقل وإرشاده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يفرض علينا أن نفتح قلوبنا لنداء العقل ودعوته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رفض العقل في مجال البرهنة على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بعض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سبباً لتغلغل الخرافة في عقائد كثير من الطوائف الإسلامية، وعلى أثر ذلك دخلت أخبار التجسيم والتشبيه في الصحاح والمسانيد عن طريق الأحبار والرهبان الذّين تظاهروا بالإسلام وأبطنوا اليهودية والنصرانية وخدعوا عقول المسلمين، فحشروا عقائدهم الخرافية بين المحدّثين والسذّج من الناس الذين اغترّوا بإسلامهم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معنى ذلك أنّ المرجع الوحيد في العقيدة هوالعقل دون الشرع، بل إنّ اللبنات الأوّلية لصرح العقيدة الإسلامية يجب أن</w:t>
      </w:r>
    </w:p>
    <w:p>
      <w:pPr>
        <w:pStyle w:val="BookText"/>
        <w:rPr/>
      </w:pPr>
      <w:r>
        <w:rPr>
          <w:rFonts w:ascii="Amiri" w:hAnsi="Amiri" w:eastAsia="Amiri" w:cs="Amiri"/>
          <w:color w:val="111111"/>
          <w:sz w:val="28"/>
          <w:sz w:val="28"/>
          <w:szCs w:val="28"/>
          <w:rtl w:val="true"/>
          <w:lang w:bidi="ar-SA"/>
        </w:rPr>
        <w:t>تكون خاضعة للبرهان، وأمّا الأمور الفرعية فلا مانع أن‌تثبت بالنقل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لاتناقض حكم العقل،</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صدورها عن الشارع،</w:t>
      </w:r>
    </w:p>
    <w:p>
      <w:pPr>
        <w:pStyle w:val="BookText"/>
        <w:rPr/>
      </w:pPr>
      <w:r>
        <w:rPr>
          <w:rFonts w:ascii="Amiri" w:hAnsi="Amiri" w:eastAsia="Amiri" w:cs="Amiri"/>
          <w:color w:val="111111"/>
          <w:sz w:val="28"/>
          <w:sz w:val="28"/>
          <w:szCs w:val="28"/>
          <w:rtl w:val="true"/>
          <w:lang w:bidi="ar-SA"/>
        </w:rPr>
        <w:t>فعندما نثبت بحكم العقل نبوّة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ما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العقائد والأحكام، لكن بشرط الاطمئنان بصدوره عن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ركّز هذا الكتاب على بيان المشتركات التي تجمع بين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العقيدة والشريعة والفكر، إلى جانب بيان الفوارق التي ساقها إليهم الدليل والبرهان، هذا في الوقت الذي نذعن فيه لما قاله رائدنا السيد شرف‌الدين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خاطب علماء السنّة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مايجمعنا؛ أكثر ممّا يفرّقنا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الشاعر المخلق محمد حسن عبدالغني المصري، شاعرالأهرام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لتجمعنا العقيدة أُمّةً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دين الهدى أتباعاً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يؤلّف الاسلامُ بين قلوبنا مهما ذهبنا في الهوى أشياعاً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نرجو من الله سبحانه أن يكون هذاالكتاب مساهمة متواضعة في سبيل تقريب الخطى بين المسلمين وتوثيق أواصر الأخوة وتعزير التعاون المشترك بينهم كي يكونوا صفّاً واحداً أمام أعدائهم، إنّه على ذلك لقدير وبالإجابة جدير</w:t>
      </w:r>
      <w:r>
        <w:rPr>
          <w:rFonts w:eastAsia="Amiri" w:cs="Amiri" w:ascii="Amiri" w:hAnsi="Amiri"/>
          <w:color w:val="111111"/>
          <w:sz w:val="28"/>
          <w:szCs w:val="28"/>
          <w:rtl w:val="true"/>
          <w:lang w:bidi="ar-SA"/>
        </w:rPr>
        <w:t>.</w:t>
      </w:r>
      <w:bookmarkStart w:id="12" w:name="pg1887_25355"/>
    </w:p>
    <w:p>
      <w:pPr>
        <w:pStyle w:val="Heading2"/>
        <w:numPr>
          <w:ilvl w:val="1"/>
          <w:numId w:val="1"/>
        </w:numPr>
        <w:rPr/>
      </w:pPr>
      <w:bookmarkStart w:id="13" w:name="__RefHeading___Toc3049081_3650668749"/>
      <w:bookmarkStart w:id="14" w:name="_Toc5"/>
      <w:bookmarkEnd w:id="12"/>
      <w:bookmarkEnd w:id="13"/>
      <w:r>
        <w:rPr>
          <w:rtl w:val="true"/>
        </w:rPr>
        <w:t>الفصل الاوّل</w:t>
      </w:r>
      <w:r>
        <w:rPr>
          <w:rtl w:val="true"/>
        </w:rPr>
        <w:t xml:space="preserve">: </w:t>
      </w:r>
      <w:r>
        <w:rPr>
          <w:rtl w:val="true"/>
        </w:rPr>
        <w:t>الشيعة في موكب التاريخ‌</w:t>
      </w:r>
      <w:bookmarkEnd w:id="14"/>
    </w:p>
    <w:p>
      <w:pPr>
        <w:pStyle w:val="Heading3"/>
        <w:numPr>
          <w:ilvl w:val="2"/>
          <w:numId w:val="1"/>
        </w:numPr>
        <w:rPr/>
      </w:pPr>
      <w:bookmarkStart w:id="15" w:name="__RefHeading___Toc3049083_3650668749"/>
      <w:bookmarkStart w:id="16" w:name="_Toc6"/>
      <w:bookmarkEnd w:id="15"/>
      <w:r>
        <w:rPr>
          <w:rtl w:val="true"/>
        </w:rPr>
        <w:t>مبدأ التشيّع وتاريخ نشأته‌</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التشيّع يظهر بأوضح صورة من خلال الالتفاف والمشايعة للوصي الذي اختاره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له بأمرالله تعالى، فإذا اعتبرنا أنّ التشيّع يرتكز أساساً على استمرار القيادة بالوصي، فلانجد له تاريخاً سوى تاريخ الإسلام، والنصوص الواردة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وبوضوح على أنّ الإستجابة اللاحقة استمرار حقيقي لما سبقها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كذلك فإنّ جميع من استجابوا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وانقادوا له انقياداً حقيقياً يعدّون بلاشك روّاد التشيّع الأوائل وحاملي بذوره؛ فالشيعة هم</w:t>
      </w:r>
    </w:p>
    <w:p>
      <w:pPr>
        <w:pStyle w:val="BookText"/>
        <w:rPr/>
      </w:pPr>
      <w:r>
        <w:rPr>
          <w:rFonts w:ascii="Amiri" w:hAnsi="Amiri" w:eastAsia="Amiri" w:cs="Amiri"/>
          <w:color w:val="111111"/>
          <w:sz w:val="28"/>
          <w:sz w:val="28"/>
          <w:szCs w:val="28"/>
          <w:rtl w:val="true"/>
          <w:lang w:bidi="ar-SA"/>
        </w:rPr>
        <w:t>المسلمون من المهاجرين والأنصار ومن تبعهم بإحسانٍ في الأجيال اللاحقة، من الذين بقوا على ما كانوا عليه في عصر الرسول في أمر القيادة، ولم يغيّروه ولم‌يتعدّوا عنه إلى غيره ولم‌يأخذوا بآرائهم الخاصّة في مقابل النصوص، وصاروا بذلك المصداق الأبرز لقوله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ففزعوا في الأصول والفروع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وانحازوا عن الطائفة الأخرى من الذين لم يتعبّدوا بنصوص الخلافة والولاية وزعامة العترة، حيث تركوا النصوص وأخذوا 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عساكر عن جابربن‌عبدالله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عندالنبي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وسلّم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وشيعته لهم الفائزون يوم القيامة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فكان أصحاب النبي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سلّم 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روى ابن حجر في صواعقه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وكان النبي عندي فأتته فاطمة فتبعها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وأصحابك في الجنّة، أنت وشيعتك في الجنّة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أنّك معي في الجنّة والحسن والحسين وذريتنا خلف ظهورنا وأزواجنا خلف ذريتنا وشيعتنا عن أيماننا وشمائلنا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علي على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هم العارفون بالله العاملون بأمرالله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المتظافرة الغنية عن ملاحظة أسنادها تعرب عن كون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متميّزاً بين أصحاب النبي بأنّ له شيعة وأتباعاً ولهم مواصفات وصفات كانوا مشهورين بها في حياة النبي وبعدها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هذه النصوص لايصحّ للباحث أن يلتجأ إلى فروض ظنّية أو وهمية في تحديد تكوّن الشيعة وظهورها</w:t>
      </w:r>
      <w:r>
        <w:rPr>
          <w:rFonts w:eastAsia="Amiri" w:cs="Amiri" w:ascii="Amiri" w:hAnsi="Amiri"/>
          <w:color w:val="111111"/>
          <w:sz w:val="28"/>
          <w:szCs w:val="28"/>
          <w:rtl w:val="true"/>
          <w:lang w:bidi="ar-SA"/>
        </w:rPr>
        <w:t>.</w:t>
      </w:r>
      <w:bookmarkStart w:id="17" w:name="pg1887_25361"/>
    </w:p>
    <w:p>
      <w:pPr>
        <w:pStyle w:val="Heading3"/>
        <w:numPr>
          <w:ilvl w:val="2"/>
          <w:numId w:val="1"/>
        </w:numPr>
        <w:rPr/>
      </w:pPr>
      <w:bookmarkStart w:id="18" w:name="__RefHeading___Toc3049085_3650668749"/>
      <w:bookmarkStart w:id="19" w:name="_Toc7"/>
      <w:bookmarkEnd w:id="17"/>
      <w:bookmarkEnd w:id="18"/>
      <w:r>
        <w:rPr>
          <w:rtl w:val="true"/>
        </w:rPr>
        <w:t>الشيعة في كلمات المؤرخين وأصحاب الفرق‌</w:t>
      </w:r>
      <w:bookmarkEnd w:id="19"/>
    </w:p>
    <w:p>
      <w:pPr>
        <w:pStyle w:val="BookText"/>
        <w:rPr/>
      </w:pPr>
      <w:r>
        <w:rPr>
          <w:rFonts w:ascii="Amiri" w:hAnsi="Amiri" w:eastAsia="Amiri" w:cs="Amiri"/>
          <w:color w:val="111111"/>
          <w:sz w:val="28"/>
          <w:sz w:val="28"/>
          <w:szCs w:val="28"/>
          <w:rtl w:val="true"/>
          <w:lang w:bidi="ar-SA"/>
        </w:rPr>
        <w:t>قد غلب استعمال لفظ الشيعة بعد عصر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له فيمن يوالي علياً وأهل بيته ويعتقد بإمامته ووصايته، ويظهر ذلك من خلال كلمات المؤرّخين وأصحاب المقالات والتّي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المسعودي في حوادث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علياً أقام ومن معه من شيعته في منزله بعد أن تمّت البيعة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أحمد بن خالدالبرقي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علي ينقسمون إلى الأصحاب، ثم الأصفياء، ثمّ الأولياء، ثم شرطة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الأصفياء سلمان الفارسي والمقداد وأبوذر وعمّار وأبوليلى وشبير وأبوسنان وأبوعمرة وأبوسعيد الخدري وأبوبرزة وجابربن عبدالله والبراءبن‌عازب وطرفة الأزري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فرق الشيعة وهم فرقة علي بن أبي طالب، المسمّون شيعة علي في زمان النبي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وبعده، معروفون بانقطاعهم إليه والقول بإمامته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0" w:name="pg1887_25363"/>
    </w:p>
    <w:p>
      <w:pPr>
        <w:pStyle w:val="BookText"/>
        <w:rPr/>
      </w:pPr>
      <w:bookmarkEnd w:id="20"/>
      <w:r>
        <w:rPr>
          <w:rFonts w:ascii="Amiri" w:hAnsi="Amiri" w:eastAsia="Amiri" w:cs="Amiri"/>
          <w:color w:val="111111"/>
          <w:sz w:val="28"/>
          <w:sz w:val="28"/>
          <w:szCs w:val="28"/>
          <w:rtl w:val="true"/>
          <w:lang w:bidi="ar-SA"/>
        </w:rPr>
        <w:t>هذا كلّه يعرب عن أنّ لفيفاً من الأمّة في حياة الرّسول وبعده إلى عصر الخلفاء وما تلاهم كانوا مشهورين بالتشيّع لعلي، وأنّ لفظة الشيعة ممّا نطق بها الرّسول وتبعته الأمّة في ذلك، وما زال التشيع ينمو وينتشر بين المسلمين في الأقطار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العنصر المقوّم لإطلاق عبارة الشيعة هومشايعة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الزعامة والوصاية أوّلًا، وفي الفعل والترك ثانياً فإنّه من غير المنطقي محاولة افتراض علّة اجتماعية أوسياسية أو كلامية لتكوّن هذه الفرقة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49087_3650668749"/>
      <w:bookmarkStart w:id="22" w:name="_Toc8"/>
      <w:bookmarkEnd w:id="21"/>
      <w:r>
        <w:rPr>
          <w:rtl w:val="true"/>
        </w:rPr>
        <w:t xml:space="preserve">روّاد التشيع في عصر النبي </w:t>
      </w:r>
      <w:r>
        <w:rPr>
          <w:rtl w:val="true"/>
        </w:rPr>
        <w:t>(</w:t>
      </w:r>
      <w:r>
        <w:rPr>
          <w:rtl w:val="true"/>
        </w:rPr>
        <w:t>ص</w:t>
      </w:r>
      <w:r>
        <w:rPr>
          <w:rtl w:val="true"/>
        </w:rPr>
        <w:t>)</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وسنقتصر في حديثنا على إيراد جملة من أولئك الصحابة الذين اشتهروا بالتشيّع ونسبوا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عبدالله بن جعفر، عون بن جعفر، محمد بن جعفر، من مشاهير بني هاشم </w:t>
      </w:r>
      <w:r>
        <w:rPr>
          <w:rStyle w:val="FootnoteAnchor"/>
          <w:rtl w:val="true"/>
        </w:rPr>
        <w:footnoteReference w:id="9"/>
      </w:r>
      <w:r>
        <w:rPr>
          <w:rFonts w:ascii="Amiri" w:hAnsi="Amiri" w:eastAsia="Amiri" w:cs="Amiri"/>
          <w:color w:val="111111"/>
          <w:sz w:val="28"/>
          <w:sz w:val="28"/>
          <w:szCs w:val="28"/>
          <w:rtl w:val="true"/>
          <w:lang w:bidi="ar-SA"/>
        </w:rPr>
        <w:t>و أمّا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المقداد بن الأسود الكندي، أبوذرالغفاري، عماربن ياسر، حذيفة بن اليمان، خزيمة بن ثابت، أبوأيوب الأنصاري مضيف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سعد بن عبادة، عدي بن حاتم، بلال بن رباح الحبشي، عثمان بن حنيف، حجر</w:t>
      </w:r>
      <w:bookmarkStart w:id="23" w:name="pg1887_25365"/>
    </w:p>
    <w:p>
      <w:pPr>
        <w:pStyle w:val="BookText"/>
        <w:rPr/>
      </w:pPr>
      <w:bookmarkEnd w:id="23"/>
      <w:r>
        <w:rPr>
          <w:rFonts w:ascii="Amiri" w:hAnsi="Amiri" w:eastAsia="Amiri" w:cs="Amiri"/>
          <w:color w:val="111111"/>
          <w:sz w:val="28"/>
          <w:sz w:val="28"/>
          <w:szCs w:val="28"/>
          <w:rtl w:val="true"/>
          <w:lang w:bidi="ar-SA"/>
        </w:rPr>
        <w:t xml:space="preserve">ابن عدي، جابر بن عبدالله الأنصاري، محمد بن أبي بكر، زيد بن صوحان </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4" w:name="__RefHeading___Toc3049089_3650668749"/>
      <w:bookmarkStart w:id="25" w:name="_Toc9"/>
      <w:bookmarkEnd w:id="24"/>
      <w:r>
        <w:rPr>
          <w:rtl w:val="true"/>
        </w:rPr>
        <w:t>الكتب المؤلّفة حول روّاد التشيّع‌</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صدرالدين السيد علي المدني الحسيني الشيرازي، 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الدرجات الرفيعة في طبقات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 الباب الأوّل بترجمة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من بني هاشم لم يفارقوا علياً قط، كما قام في الباب الثاني بترجمة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محمد حسين آل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من الصحابه كانوا يشايعون علياً في حلّه وترحاله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الإمام السيد عبدالحسين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بجمع أسماء الشيعة في الصحابة حسب حروف الهجاء، ثم ابتدا بأبي رافع القبطي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وختمهم بيزيد بن حوثرة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ما يربو على المأتين من أسمائهم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الخطيب المصقع الدكتور الشيخ أحمد الوائلي بذكر</w:t>
      </w:r>
      <w:bookmarkStart w:id="26" w:name="pg1887_25367"/>
    </w:p>
    <w:p>
      <w:pPr>
        <w:pStyle w:val="BookText"/>
        <w:rPr/>
      </w:pPr>
      <w:bookmarkEnd w:id="26"/>
      <w:r>
        <w:rPr>
          <w:rFonts w:ascii="Amiri" w:hAnsi="Amiri" w:eastAsia="Amiri" w:cs="Amiri"/>
          <w:color w:val="111111"/>
          <w:sz w:val="28"/>
          <w:sz w:val="28"/>
          <w:szCs w:val="28"/>
          <w:rtl w:val="true"/>
          <w:lang w:bidi="ar-SA"/>
        </w:rPr>
        <w:t xml:space="preserve">أسماء روّاد التشيّع في عصر الرسول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بأسماء مائة وثلاثين من خلّص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الكرام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السبحاني، طبع منه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باللّغة الفارسية، ونقله إلى العربية الشيخ المحقق البارع جعفر الهادي، وطبع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من أراد أن يقف بشكل جلي على روّاد التشيّع في كتب الرجال لأهل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للجزري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امّهات كتب الرّجال المعروفة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049091_3650668749"/>
      <w:bookmarkStart w:id="28" w:name="_Toc10"/>
      <w:bookmarkEnd w:id="27"/>
      <w:r>
        <w:rPr>
          <w:rtl w:val="true"/>
        </w:rPr>
        <w:t>الشيعة في العصرين</w:t>
      </w:r>
      <w:r>
        <w:rPr>
          <w:rtl w:val="true"/>
        </w:rPr>
        <w:t xml:space="preserve">: </w:t>
      </w:r>
      <w:r>
        <w:rPr>
          <w:rtl w:val="true"/>
        </w:rPr>
        <w:t>الأموي والعباسي‌</w:t>
      </w:r>
      <w:bookmarkEnd w:id="28"/>
    </w:p>
    <w:p>
      <w:pPr>
        <w:pStyle w:val="Heading3"/>
        <w:numPr>
          <w:ilvl w:val="2"/>
          <w:numId w:val="1"/>
        </w:numPr>
        <w:rPr/>
      </w:pPr>
      <w:bookmarkStart w:id="29" w:name="__RefHeading___Toc3049093_3650668749"/>
      <w:bookmarkStart w:id="30" w:name="_Toc11"/>
      <w:bookmarkEnd w:id="29"/>
      <w:r>
        <w:rPr>
          <w:rtl w:val="true"/>
        </w:rPr>
        <w:t>الشيعة في العصر الأموي‌</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لبّى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ربّه في ليلة الحادي والعشرون من رمضان على يد أشقى الأوّلين والآخرين بويع بالخلافة ولده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أوّل من بايعه قيس بن</w:t>
      </w:r>
    </w:p>
    <w:p>
      <w:pPr>
        <w:pStyle w:val="BookText"/>
        <w:rPr/>
      </w:pPr>
      <w:r>
        <w:rPr>
          <w:rFonts w:ascii="Amiri" w:hAnsi="Amiri" w:eastAsia="Amiri" w:cs="Amiri"/>
          <w:color w:val="111111"/>
          <w:sz w:val="28"/>
          <w:sz w:val="28"/>
          <w:szCs w:val="28"/>
          <w:rtl w:val="true"/>
          <w:lang w:bidi="ar-SA"/>
        </w:rPr>
        <w:t>سعد الأنصاري ثمّ تتابع الناس على بيعته، بيد أنّ الأمور لم تستقم 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الأسباب المعروفة، أهمّها تخاذل أهل العراق أوّلًا، وكون الشيوخ الذين بايعوا علياً والتفّوا حوله كانوا من عبدة الغنائم والمناصب ولم يكن لهؤلاء نصيب في خلافة الحسن ثانياً، وإنّ عدداً غير قليل ممّن بايع الحسن كانوا من المنافقين، يراسلون معاوية بالسمع والطاعة ثالثاً، كما أنّ قسماً من جيشه كانوا من الخوارج أوأبنائهم رابعاً، إلي غيرذلك من الأسباب الّتي دفعت الإمام إلى قبول الصلح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معاوية بتتبّع شيعة علي وقتلهم، توالت المجازر تترى بعد معاوية إلى آخر عهد الدولة الأموية، فلم يكن للشيعة في تلك الأيام نصيب سوى القتل والنفي والحرمان حتى أنّ بقاء التشيّع في هذه العصور المظلمة كان معجزة من معاجزالله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الوثائق من جرائم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معاوية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قاتل حُجر وأصحابه العابدين؟ إلى أن قال أولست قاتل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لاتردنّ هذه الامّة في فتنةٍ، وإنّي أعلم لها فتنة أعظم من إمارتك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الله يا معاوية واعلم أنّ لله كتاباً لايغادر</w:t>
      </w:r>
    </w:p>
    <w:p>
      <w:pPr>
        <w:pStyle w:val="BookText"/>
        <w:rPr/>
      </w:pPr>
      <w:r>
        <w:rPr>
          <w:rFonts w:ascii="Amiri" w:hAnsi="Amiri" w:eastAsia="Amiri" w:cs="Amiri"/>
          <w:color w:val="111111"/>
          <w:sz w:val="28"/>
          <w:sz w:val="28"/>
          <w:szCs w:val="28"/>
          <w:rtl w:val="true"/>
          <w:lang w:bidi="ar-SA"/>
        </w:rPr>
        <w:t>صغيرة ولاكبيرة إلا أحصيها، واعلم أنّ الله ليس بناس لك قتلك بالظنّة وأخذك بالتهمة وإمارتك صبياً يشرب الشراب ويلعب بالكلاب، ما أراك إلا</w:t>
      </w:r>
    </w:p>
    <w:p>
      <w:pPr>
        <w:pStyle w:val="BookText"/>
        <w:rPr/>
      </w:pPr>
      <w:r>
        <w:rPr>
          <w:rFonts w:ascii="Amiri" w:hAnsi="Amiri" w:eastAsia="Amiri" w:cs="Amiri"/>
          <w:color w:val="111111"/>
          <w:sz w:val="28"/>
          <w:sz w:val="28"/>
          <w:szCs w:val="28"/>
          <w:rtl w:val="true"/>
          <w:lang w:bidi="ar-SA"/>
        </w:rPr>
        <w:t>قدأوبقت نفسك وأهلكت دينك وأضعت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رسالة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وقد أخبر أنّا أولى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فنكثت بيعتنا ونصبت الحرب لنا، ولم يزل صاحب الأمر في صعود كئود حتّى قُتل، فبويع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وعوهد، ثمّ غُدِر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فوادع معاوية وحقن دمه ودماء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عشرون ألفاً ثم غَدَروا به وخرجوا عليه وبيعته في أعناقهم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نستذلّ ونستضام ونُقْصي ونُمتهَنَ نُحرِم ونُقْتل ونَخاف ولانأمن على دمائنا ودماء أوليائنا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عنّا مالم نَقُله ولم نَفْعله ليبغّضونا إلى النّاس، وكان عِظَم ذلك وكبره زمن معاوية بعد موت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فقتلت شيعتنا بكلّ بلدة وقطعت الأيدي والأرجل على الظِّنَة، وكان مَنْ يذكر بحبّنا والإنقطاع إلينا سجن أو نهب ماله أو هدمت</w:t>
      </w:r>
      <w:bookmarkStart w:id="31" w:name="pg1887_25373"/>
    </w:p>
    <w:p>
      <w:pPr>
        <w:pStyle w:val="BookText"/>
        <w:rPr/>
      </w:pPr>
      <w:bookmarkEnd w:id="31"/>
      <w:r>
        <w:rPr>
          <w:rFonts w:ascii="Amiri" w:hAnsi="Amiri" w:eastAsia="Amiri" w:cs="Amiri"/>
          <w:color w:val="111111"/>
          <w:sz w:val="28"/>
          <w:sz w:val="28"/>
          <w:szCs w:val="28"/>
          <w:rtl w:val="true"/>
          <w:lang w:bidi="ar-SA"/>
        </w:rPr>
        <w:t>داره، ثمّ لم يزل البلاء يشتدّ ويزداد إلى زمان عبيدالله‌بن زياد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الحجّاج فقتلهم كلّ قتلة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زياد جمع الناس بالكوفة بباب قصره يحرّضهم على لعن علي أو البراءة منه، فملأ منهم المسجد والرحبة، فمن أبى ذلك عرضه على السّيف</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32" w:name="__RefHeading___Toc3049095_3650668749"/>
      <w:bookmarkStart w:id="33" w:name="_Toc12"/>
      <w:bookmarkEnd w:id="32"/>
      <w:r>
        <w:rPr>
          <w:rtl w:val="true"/>
        </w:rPr>
        <w:t>بيان معاوية إلى عمّاله</w:t>
      </w:r>
      <w:r>
        <w:rPr>
          <w:rtl w:val="true"/>
        </w:rPr>
        <w:t>:</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أبوالحسن علي بن محمد أبي السّيف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برأت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في كلّ كورة وعلى كلّ منبر يلعنون علياً ويبرأون منه ويقعون فيه وفي أهل بيته، فلم يكن بلد أشدّ بلاءً من العراق ولاسيما الكوفة، فظهر حديث كثير موضوع وبهتان منتشر ومضى على ذلك الفقهاء والقضاة والولاة حتّى انتقلت تلك الأخبار والأحاديث إلى أيدي الديّانين الذين لايستحلّون الكذب والبهتان، فقبلوها ورووها، وهم يظنّون أنّها حقّ، ولو علموا أنّها باطلة لما رووها ولاتديّنوا بها</w:t>
      </w:r>
      <w:r>
        <w:rPr>
          <w:rFonts w:eastAsia="Amiri" w:cs="Amiri" w:ascii="Amiri" w:hAnsi="Amiri"/>
          <w:color w:val="111111"/>
          <w:sz w:val="28"/>
          <w:szCs w:val="28"/>
          <w:rtl w:val="true"/>
          <w:lang w:bidi="ar-SA"/>
        </w:rPr>
        <w:t>.</w:t>
      </w:r>
      <w:bookmarkStart w:id="34" w:name="pg1887_25375"/>
    </w:p>
    <w:p>
      <w:pPr>
        <w:pStyle w:val="BookText"/>
        <w:rPr/>
      </w:pPr>
      <w:bookmarkEnd w:id="34"/>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مات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فازداد البلاء والفتنة، فلم يبق أحد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خائف على دمه أو طريد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تفاقم الأمر بعد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عبدالملك بن مروان، فاشتدّ على الشيعة وولّى عليهم الحجّاج بن يوسف، فتقرّب إليه أهل النسك والصلاح والدّين ببغض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وموالاة أعدائه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3049097_3650668749"/>
      <w:bookmarkStart w:id="36" w:name="_Toc13"/>
      <w:bookmarkEnd w:id="35"/>
      <w:r>
        <w:rPr>
          <w:rtl w:val="true"/>
        </w:rPr>
        <w:t>ضحايا الغدر الأموي</w:t>
      </w:r>
      <w:r>
        <w:rPr>
          <w:rtl w:val="true"/>
        </w:rPr>
        <w:t>:</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الكندي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تسعة نفر أصحابه من أهل الكوفة وأربعة من غيرها، قتله معاوية مع أصحابه في مرج عذراء بصورة بشعة يندى لها الجبين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العظيم الذي وصفه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سيدالشهداء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أبلت وجهه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قتله معاوية بعد ما أعطاه الأمان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وأحد أشرف رجالاتها وأبطالها، كان شهماً مطاعاً وكان قائد القوات العلوية، قتله معاوية بالسمّ في مسيره إلى مصر بيد أحد عمّاله</w:t>
      </w:r>
      <w:r>
        <w:rPr>
          <w:rFonts w:eastAsia="Amiri" w:cs="Amiri" w:ascii="Amiri" w:hAnsi="Amiri"/>
          <w:color w:val="111111"/>
          <w:sz w:val="28"/>
          <w:szCs w:val="28"/>
          <w:rtl w:val="true"/>
          <w:lang w:bidi="ar-SA"/>
        </w:rPr>
        <w:t>.</w:t>
      </w:r>
      <w:bookmarkStart w:id="37" w:name="pg1887_25377"/>
    </w:p>
    <w:p>
      <w:pPr>
        <w:pStyle w:val="BookText"/>
        <w:rPr/>
      </w:pPr>
      <w:bookmarkEnd w:id="3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تلاميذ الإمام وخواصّه عرض عليه زيادٌ البراءة واللعن، فأبى، فقطع يديه ورجليه ولسانه وصَلَبه خنقاً في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زياد وقطع يديه ورجليه وصَلَبه على جِذع 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مولى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الحجّاج أمر به، فذبح كماتذبح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الحجاج فهرب منه، فحرم قومه عطاءهم، فاستسلم للحجاج،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إضربوا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معروف بالعفّة والزهد والعبادة، وكان يصلّي في المحراب خلف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الحجاج أخذ ثم ضربت عنقه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049099_3650668749"/>
      <w:bookmarkStart w:id="39" w:name="_Toc14"/>
      <w:bookmarkEnd w:id="38"/>
      <w:r>
        <w:rPr>
          <w:rtl w:val="true"/>
        </w:rPr>
        <w:t>الشيعة في العصر العباسي‌</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تولّى منهم أبوالعباس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يتعرّض للعلويّين لكنّه تنكّر لهم ولشيعتهم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 أبوجعفرالمنصور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أسرف كثيراً في الظلم القوة والإجرام بشكل ملفت للأنظار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أين كان المؤرّخون وأصحاب الكلمات الصادقة المنصفة من هذه المواقف المخزية التي تقشعرّ لها الأبدان وهم يتحدّثون عن هذا الرجل الذي ما آلوا يشيدون بذكره ويمجّدون بأعماله، وهلّا تأمّل القرّاء في سيرة هذا الرجل ليدركوا ذلك الخطأ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لقد أسرف هذا الرجل في القتل كثيراً، وكان للعلويين النصيب الأكبر وحصّة الأسد من هذا الظلم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بعده المهدي ولدالمنصور وبقي في الحكم من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ويكفي في الإشارة إلى ظلمه للعلويين أنّه أخذ علي بن العبّاس بن الحسن بن علي بن أبي طالب فسجنه، فدسَّ إليه السمّ فتفسخ لحمه وتباينت أعضاؤه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هلك المهدي بويع ولده الهادي وكانت خلافته سنة وثلاثة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بعده الرشيد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سجلّ أسود في تعامله مع الشيعة، تبلورت أوضح صوره فيما لاقاه منه الإمام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 ابنه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الحكم أربع سنين وأشهراً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سيرة الأمين في أمر آلِ أبي طالب خلاف من تقدّم لتشاغله بما كان فيه من اللهو ثمّ</w:t>
      </w:r>
    </w:p>
    <w:p>
      <w:pPr>
        <w:pStyle w:val="BookText"/>
        <w:rPr/>
      </w:pPr>
      <w:r>
        <w:rPr>
          <w:rFonts w:ascii="Amiri" w:hAnsi="Amiri" w:eastAsia="Amiri" w:cs="Amiri"/>
          <w:color w:val="111111"/>
          <w:sz w:val="28"/>
          <w:sz w:val="28"/>
          <w:szCs w:val="28"/>
          <w:rtl w:val="true"/>
          <w:lang w:bidi="ar-SA"/>
        </w:rPr>
        <w:t>الحرب بينه وبين المأمون حتّى قتل، فلم يحدث على أحدٍ منهم في أيامه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الحكم بعده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أقوى الحكام العباسيين بعد أبيه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المأمون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إلى الحكم ابنه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تولّى الحكم بعد الواثق الذي قام بسجن الإمام محمد ابن علي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 له السمّ بمكيدة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الحكم بعد الواثق،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شديدة الوطأة على آل أبي طالب غليظاً في جماعتهم، شديد الغيظ والحقد عليهم وسوء الظنّ والتهمة لهم، وكان من ذلك أن كرب </w:t>
      </w:r>
      <w:r>
        <w:rPr>
          <w:rStyle w:val="FootnoteAnchor"/>
          <w:rtl w:val="true"/>
        </w:rPr>
        <w:footnoteReference w:id="15"/>
      </w:r>
      <w:r>
        <w:rPr>
          <w:rFonts w:ascii="Amiri" w:hAnsi="Amiri" w:eastAsia="Amiri" w:cs="Amiri"/>
          <w:color w:val="111111"/>
          <w:sz w:val="28"/>
          <w:sz w:val="28"/>
          <w:szCs w:val="28"/>
          <w:rtl w:val="true"/>
          <w:lang w:bidi="ar-SA"/>
        </w:rPr>
        <w:t>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وعفّى آثاره، ووضع على سائر الطرق مسالح له لايجدون أحداً زاره إلّا أتوه به وقتله أو أنهكه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على المدينة ومكة عمر بن الفرج، فمنع آل أبي طالب من التعرّض لمسألة النّاس ومنع النّاس من البرّ بهم حتّى كان القميص يكون بين جماعة من العلويّات يصلّين فيه واحدة بعد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بعده المنتصر ابنه، وظهر منه الميل إلى أهل البيت وخالف أباه، فلم يجر منه على أحد منهم قتل أو حبس أو مكروه فيما بلغنا، وأوّل ماأحدثه لمّا ولي الخلافة عزل صالح بن علي عن المدينة، وبعث علي بن الحسين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بعده المستعين بالأمر، فنقض كلّ ما غزله المنتصر من البرّ والإحسان، ومن جرائمه أنّه قتل يحيى بن عمر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وأدخل الأسارى من أصحاب يحيى إلى بغداد، وكانوا يساقون وهم حفاة سوقاً عنيفاً، فمن تأخّر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وثّقت هذه الجرائم في كتب التاريخ والأدب، من ذلك القصائد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تائية دعبل الخزاعي الشهيد عام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ميمية الأمير أبي فراس الحمداني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جيمية ابن الرومي التي رثى بها يحيى بن عمر بن الحسين بن زيد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اقترن تاريخ الشيعة بأنواع الظلم والنكال والقتل والتشريد بحيث لم‌ير الأمويون ولاالعباسيون ولا الملوك الغزانوة ولاالسلاجقة ولا من أتى بعدهم أيّة حرمة لنفوسهم وأعراضهم وعلومهم ومكتباتهم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طغرل بيك أول ملك من ملوك السلاجقة ورد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 على الشيعة حملة شعواء، وأمر بإحراق مكتبة الشيعة الّتي أنشأها أبونصر سابور بن أردشير وزير بهاء الدولة البويهي في محلّة بين السورين في الكرخ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مثال بيت الحكمة الذي بناه هارون‌الرّشيد، وكانت من الأهمية العلمية بمكان حيث جمع فيما هذا الوزير ماتفرّق من كتب فارس والعراق واستكتب تآليف أهل الهند والصين والروم، كما قاله محمد كردعلي، ونافت الكتب على عشرة آلاف من جلائل الآثار ومهام الأسفار، واكثرها نسخ الأصل بخطوط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جملتها مصاحف بخطّ ابن مقلة على ما ذكره ابن 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توسّعت الفتنة حتّى اتّهجت إلى شيخ الطائفة وأصحابه فأحرقوا كتبه وكرسيه الذي كان يجلس عليه للكلام، وهرب أبوجعفر الطوسي ونهبت داره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فلعلّ القارئ الكريم إِذا تأمّل بتدبّر فإنّه سيجد بوضوح أنّه قد تظافرت قوى الكفر والفسق على إهلاك الشيعة وقطع جذورهم، ومع ذلك قد كانت لهم دول ودويلات ومعاهد وكلّيات وبُلدان وحضارات وأعلام ومفاخر وعباقرة وفلاسفة</w:t>
      </w:r>
      <w:bookmarkStart w:id="40" w:name="pg1887_25387"/>
    </w:p>
    <w:p>
      <w:pPr>
        <w:pStyle w:val="BookText"/>
        <w:rPr/>
      </w:pPr>
      <w:bookmarkEnd w:id="40"/>
      <w:r>
        <w:rPr>
          <w:rFonts w:ascii="Amiri" w:hAnsi="Amiri" w:eastAsia="Amiri" w:cs="Amiri"/>
          <w:color w:val="111111"/>
          <w:sz w:val="28"/>
          <w:sz w:val="28"/>
          <w:szCs w:val="28"/>
          <w:rtl w:val="true"/>
          <w:lang w:bidi="ar-SA"/>
        </w:rPr>
        <w:t>وفقهاء ومحدّثون ووزراء وسياسيون، وهم يؤلّفون اليوم خُمس المسلمين أو رُبعهم، وقد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41" w:name="__RefHeading___Toc3049101_3650668749"/>
      <w:bookmarkStart w:id="42" w:name="_Toc15"/>
      <w:bookmarkEnd w:id="41"/>
      <w:r>
        <w:rPr>
          <w:rtl w:val="true"/>
        </w:rPr>
        <w:t>فرضيات وهمية لنشأة التشيع‌</w:t>
      </w:r>
      <w:bookmarkEnd w:id="42"/>
    </w:p>
    <w:p>
      <w:pPr>
        <w:pStyle w:val="Heading4"/>
        <w:numPr>
          <w:ilvl w:val="3"/>
          <w:numId w:val="1"/>
        </w:numPr>
        <w:rPr/>
      </w:pPr>
      <w:bookmarkStart w:id="43" w:name="__RefHeading___Toc3049103_3650668749"/>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أنه لافصل هنابين النشأتين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الإسلام ونشأة التشيع وأنّهما وجهان لعملة واحدة، إلّا أنّ هناك جماعة من المؤرّخين وكتّاب المقالات ممّن قادهم الوهم وسوء الفهم إلى اعتبار التشيّع أمراً حادثاً وطارئاً على المجتمع الإسلامي، فأخذوا يفتّشون عن مبدأه ومصدره، وأشدّ تلك الظّنون عدوانية فيه ما تلوكه أشداق بعض المتقدّمين والمتأخّرين هو كونه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اليهودي، الذي بزعمهم طاف الشرق والغرب وأفسدالأمور على الخلفاء والمسلمين، وألّب الصحابة والتابعين على عثمان، فقتل في عقر داره، ثمّ دعا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والوصاية وإلى النبي بالرجعة وكوّن مذهباً باسم الشيعة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نأتي على ذكر كل هذه الفرضية وغيرها من الفرضيات واحدة بعد الأُخرى مع رعاية التسلسل الزمني</w:t>
      </w:r>
      <w:r>
        <w:rPr>
          <w:rFonts w:eastAsia="Amiri" w:cs="Amiri" w:ascii="Amiri" w:hAnsi="Amiri"/>
          <w:color w:val="111111"/>
          <w:sz w:val="28"/>
          <w:szCs w:val="28"/>
          <w:rtl w:val="true"/>
          <w:lang w:bidi="ar-SA"/>
        </w:rPr>
        <w:t>:</w:t>
      </w:r>
      <w:bookmarkStart w:id="45" w:name="pg1887_25389"/>
    </w:p>
    <w:p>
      <w:pPr>
        <w:pStyle w:val="Heading4"/>
        <w:numPr>
          <w:ilvl w:val="3"/>
          <w:numId w:val="1"/>
        </w:numPr>
        <w:rPr/>
      </w:pPr>
      <w:bookmarkStart w:id="46" w:name="__RefHeading___Toc3049105_3650668749"/>
      <w:bookmarkStart w:id="47" w:name="_Toc17"/>
      <w:bookmarkEnd w:id="45"/>
      <w:bookmarkEnd w:id="46"/>
      <w:r>
        <w:rPr>
          <w:rtl w:val="true"/>
        </w:rPr>
        <w:t>الفرضية الأولى</w:t>
      </w:r>
      <w:r>
        <w:rPr>
          <w:rtl w:val="true"/>
        </w:rPr>
        <w:t xml:space="preserve">: </w:t>
      </w:r>
      <w:r>
        <w:rPr>
          <w:rtl w:val="true"/>
        </w:rPr>
        <w:t>الشيعة ويوم السقيفة</w:t>
      </w:r>
      <w:r>
        <w:rPr>
          <w:rtl w:val="true"/>
        </w:rPr>
        <w:t>!</w:t>
      </w:r>
      <w:bookmarkEnd w:id="47"/>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الأنصار في سقيفة بني ساعدة ليبايعوا سعد بن عبادة، فبلغ ذلك أبابكر، فأتاهم ومعه عمر وأبوعبيدة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الامراء ومنكم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عمر وبايعه الناس،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لانبايع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اليعقوبي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ومالوا مع علي بن أبي طالب، منهم العباس بن عبدالمطلب والفضل بن عباس والزبيربن العوام وخالد بن سعيد بن العاص والمقداد بن عمرو وسلمان الفارسي وأبوذرالغفاري وعمّار بن ياسر والبراء بن عازب 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المهاجرين وجلّ الأنصار كانوا لايشكون أنّ علياً هو صاحب الأمر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إعتقد البعض أنّ مبدأ التشيّع ونشأته كان في تلك اللحظات الحرجة في تاريخ الإسلام، متناسين أنّ ما اعتمدوه في بناء تصوّراتهم ما ينقضها ويثبت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ذلك ويقوي أركانه ما نقلته جميع مصادر الحديث المختلفة من نداءات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وتوصياته بحق علي وعترته وشيعته في اكثر من مناسبة ومكان و </w:t>
      </w:r>
      <w:r>
        <w:rPr>
          <w:rFonts w:eastAsia="Amiri" w:cs="Amiri" w:ascii="Amiri" w:hAnsi="Amiri"/>
          <w:color w:val="111111"/>
          <w:sz w:val="28"/>
          <w:szCs w:val="28"/>
          <w:rtl w:val="true"/>
          <w:lang w:bidi="ar-SA"/>
        </w:rPr>
        <w:t>...</w:t>
      </w:r>
      <w:bookmarkStart w:id="48" w:name="pg1887_25392"/>
    </w:p>
    <w:p>
      <w:pPr>
        <w:pStyle w:val="Heading4"/>
        <w:numPr>
          <w:ilvl w:val="3"/>
          <w:numId w:val="1"/>
        </w:numPr>
        <w:rPr/>
      </w:pPr>
      <w:bookmarkStart w:id="49" w:name="__RefHeading___Toc3049107_3650668749"/>
      <w:bookmarkStart w:id="50" w:name="_Toc18"/>
      <w:bookmarkEnd w:id="48"/>
      <w:bookmarkEnd w:id="49"/>
      <w:r>
        <w:rPr>
          <w:rtl w:val="true"/>
        </w:rPr>
        <w:t>الفرضية الثانية</w:t>
      </w:r>
      <w:r>
        <w:rPr>
          <w:rtl w:val="true"/>
        </w:rPr>
        <w:t xml:space="preserve">: </w:t>
      </w:r>
      <w:r>
        <w:rPr>
          <w:rtl w:val="true"/>
        </w:rPr>
        <w:t>التشيّع صنيع عبدالله بن سبأ</w:t>
      </w:r>
      <w:bookmarkEnd w:id="50"/>
    </w:p>
    <w:p>
      <w:pPr>
        <w:pStyle w:val="Heading5"/>
        <w:numPr>
          <w:ilvl w:val="4"/>
          <w:numId w:val="1"/>
        </w:numPr>
        <w:rPr/>
      </w:pPr>
      <w:bookmarkStart w:id="51" w:name="__RefHeading___Toc3049109_3650668749"/>
      <w:bookmarkStart w:id="52" w:name="_Toc19"/>
      <w:bookmarkEnd w:id="51"/>
      <w:r>
        <w:rPr>
          <w:rtl w:val="true"/>
        </w:rPr>
        <w:t>اشارة</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لنقرأ ما كتبه الطبري حول هذا الوهم المصطنع؛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باسم عبدالله بن سبأ المْكنّى بابن السوداء في صنعاء أظهر الإسلام في عصر عثمان واندسّ بين المسلمين مبشّراً بأنّ للنّبي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كما أنّ لعيسى بن مريم رجعة، وأنّ علياً خاتم الأوصياء كما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وأنّ عثمان غاصب حقّ هذا الوصي وظالمه فيجب مناهضته لإرجاع الحقّ إلى أهله، فمال إليه وتبعه على ذلك جماعات من المسلمين، فيهم الصحابي الكبير والتابعي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يكتبون إلى الأمصار بكتب يضعونها في عيوب ولاتهم، فنتج عن ذلك قدومهم إلى المدينة وحصرهم عثمان في داره حتى قتل فيما كلّ ذلك كان بقيادة السبأيين ومباشرتهم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هذا هو الذي ذكره الطبري، وقد أخذه من جاء بعده من المؤرّخين وكتّاب المقالات حقيقة مسلّمة، فصارت الشيعة وليدة السبأية في زعم هؤلاء عبرالقرون والأجيال، ومن الّذين وقعوا في هذا الخطأ الفاحش دون فحص وتأمل في حقايق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رضا مؤسسة مجلة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انتشاره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 عليه أعلام العصر بأنواع الردود، فألّف الشيخ المصلح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كما ردّ عليه العلّامة الشيخ عبدالله السبيتي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راية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وجدي مؤلّف دائرة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وذكره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المستشرقون المتطفّلون على موائد المسلمين فحدّث عنهم ولاحرج، فمن أراد الوقوف على كلماتهم فليرجع إلي ما ألّفه الباحث الكبير السّيد مرتضى العسكري في ذلك المجال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53" w:name="pg1887_25395"/>
    </w:p>
    <w:p>
      <w:pPr>
        <w:pStyle w:val="Heading5"/>
        <w:numPr>
          <w:ilvl w:val="4"/>
          <w:numId w:val="1"/>
        </w:numPr>
        <w:rPr/>
      </w:pPr>
      <w:bookmarkStart w:id="54" w:name="__RefHeading___Toc3049111_3650668749"/>
      <w:bookmarkStart w:id="55" w:name="_Toc20"/>
      <w:bookmarkEnd w:id="53"/>
      <w:bookmarkEnd w:id="54"/>
      <w:r>
        <w:rPr>
          <w:rtl w:val="true"/>
        </w:rPr>
        <w:t>نظر المحقّقين في الموضوع</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في تاريخ الطبري من القصّة على وجه لايصحّ نسبته إلا إلى عفاريت الأساطير ومردة الجنّ؛ إذ كيف يصح الإنسان أن يصدّق أنّ يهودياً جاء من صنعاء وأسلم في عصر عثمان واستطاع أن يغري كبار الصّحابة والتابعين ويخدعهم ويطوف في البلاد ناشراً دعواه، بل واستطاع أن يكوّن خلايا ضدّ عثمان ويستقدمهم على المدينة ويؤلّبهم على الخلافة الإسلامية فيها جموا داره ويقتلوه بمرأى ومسمع من الصحابة العدول ومن تبعهم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لا يحتمله العقل وإن وطّن على قبول العجائب والغرائب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القصّة تمسّ كرامة المسلمين والصحابة والتابعين وتصوّرهم أمّة ساذجة يغترّون بفكر يهودي وفيهم السادة والقادة والعلماء والمفكّرون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العلّامة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ابن سبأ بلغ هذا المبلغ من إلقاح الفتن وشقّ عصا المسلمين وقدعلم به وبعبثه أمراء الأمّة وساستها في البلاد وانتهى أمره إلى خليفة الوقت فلماذا لم يقع عليه الطلب ولم يبغله القبض عليه، والأخذ بتلكم الجنايات الخطيرة والتأديب بالضرب والإهانة والزّجّ إلى أعماق</w:t>
      </w:r>
    </w:p>
    <w:p>
      <w:pPr>
        <w:pStyle w:val="BookText"/>
        <w:rPr/>
      </w:pPr>
      <w:r>
        <w:rPr>
          <w:rFonts w:ascii="Amiri" w:hAnsi="Amiri" w:eastAsia="Amiri" w:cs="Amiri"/>
          <w:color w:val="111111"/>
          <w:sz w:val="28"/>
          <w:sz w:val="28"/>
          <w:szCs w:val="28"/>
          <w:rtl w:val="true"/>
          <w:lang w:bidi="ar-SA"/>
        </w:rPr>
        <w:t>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آل أمره إلى الإعدام المريح للأمّة من شرّه وفساده كما وقع ذلك كلّه على الصلحاء الأبرار الآمرين بالمعروف والناهين عن المنكر؟</w:t>
      </w:r>
      <w:r>
        <w:rPr>
          <w:rFonts w:eastAsia="Amiri" w:cs="Amiri" w:ascii="Amiri" w:hAnsi="Amiri"/>
          <w:color w:val="111111"/>
          <w:sz w:val="28"/>
          <w:szCs w:val="28"/>
          <w:rtl w:val="true"/>
          <w:lang w:bidi="ar-SA"/>
        </w:rPr>
        <w:t xml:space="preserve">! ...» </w:t>
      </w:r>
      <w:r>
        <w:rPr>
          <w:rStyle w:val="FootnoteAnchor"/>
        </w:rPr>
        <w:footnoteReference w:id="1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الطبري عن أشخاص لايصحّ الاحتجاج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الطبري إنّما هو أحد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إسماعيل الهمداني الذي كذّبه يحيى بن سعيد وضعّفه غير واحد من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عاصم بن سهل الهمداني نزيل بغداد، المتوفّى عام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ابن خراش ووهّاه بن عدي وقال يسرق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مشترك بين كذّابين لايهمّنا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كونه السري بن يحيى الثقة غير صحيح؛ لأنّه توفّي عام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الطبري مواليد عام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فلا مناص أن يكون السري أحد الرجلين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شعيب بن إبراهيم الكوفي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ليس بمعروف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w:t>
      </w:r>
      <w:bookmarkStart w:id="56" w:name="pg1887_25399"/>
    </w:p>
    <w:p>
      <w:pPr>
        <w:pStyle w:val="BookText"/>
        <w:rPr/>
      </w:pPr>
      <w:bookmarkEnd w:id="56"/>
      <w:r>
        <w:rPr>
          <w:rFonts w:ascii="Amiri" w:hAnsi="Amiri" w:eastAsia="Amiri" w:cs="Amiri"/>
          <w:color w:val="111111"/>
          <w:sz w:val="28"/>
          <w:sz w:val="28"/>
          <w:szCs w:val="28"/>
          <w:rtl w:val="true"/>
          <w:lang w:bidi="ar-SA"/>
        </w:rPr>
        <w:t>الحديث واتّهم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فليس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السّند فكيف نعتمده في تحليل نشوء طائفة كبيرة من طوائف المسلمين تؤلّف خُمسهم أو ربعهم، فالاعتماد خداع وضلال لايرتضيه العقل</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049113_3650668749"/>
      <w:bookmarkStart w:id="58" w:name="_Toc21"/>
      <w:bookmarkEnd w:id="57"/>
      <w:r>
        <w:rPr>
          <w:rtl w:val="true"/>
        </w:rPr>
        <w:t>عبدالله بن سبأ اسطورة تاريخية</w:t>
      </w:r>
      <w:r>
        <w:rPr>
          <w:rtl w:val="true"/>
        </w:rPr>
        <w:t>:</w:t>
      </w:r>
      <w:bookmarkEnd w:id="58"/>
    </w:p>
    <w:p>
      <w:pPr>
        <w:pStyle w:val="BookText"/>
        <w:rPr/>
      </w:pPr>
      <w:r>
        <w:rPr>
          <w:rFonts w:ascii="Amiri" w:hAnsi="Amiri" w:eastAsia="Amiri" w:cs="Amiri"/>
          <w:color w:val="111111"/>
          <w:sz w:val="28"/>
          <w:sz w:val="28"/>
          <w:szCs w:val="28"/>
          <w:rtl w:val="true"/>
          <w:lang w:bidi="ar-SA"/>
        </w:rPr>
        <w:t>إنّ القرائن والشواهد والاختلاف الموجود في حق الرجل ومولده وزمن إسلامه ومحتوى دعوته يشرف المحقّق على القول بأنّ عبدالله بن سبأ أقرب ما يكون إلى الاسطورة منه إلى الواقع، وإنّ خصوم الشّيعه أيام الأمويين والعبّاسيين قد بالغوا في أمر عبدالله بن سبأ هذا ليشكّكوا في بعض ما نسب من الأحداث إلى عثمان ووُلاته، من ناحية، وليشنّعوا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من ناحية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يستنتج منها كون ابن سبأ شخصية وهمية خلقها خصوم الشّيعه، ترجع إلى الأمور التالية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الثقات لم‌يشيروا في مؤلّفاتهم إلى قصّة عبدالله بن سبأ كابن سعد في طبقاته والبلاذري في فتوحاته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الوحيد عنه هو سيف بن عمر، وهو رجل معلوم الكذب ومقطوع بأنّه 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التي نسبت إلى عبدالله بن سبأ تستلزم معجزات خارقة لاتتأتّى لبشر، كما تستلزم أن يكون المسلمون الذّين خدعهم في منتهى البلاهة والسخف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تفسير مقنع لسكوت عثمان وعمّاله عنه مع ضربهم لغيره من المعارضين كمحمدبن أبي حذيفة ومحمد بن أبي بكر وعمّار بن ياسر، وأبي‌ذر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إحراق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وتعيين السنة التي عرض فيها ابن سبأ للإحراق تخلو منه كتب التاريخ الصحيحة، ولايوجد لها في هذه الكتب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أثر لابن سبأ وجماعته في وقعة صفين وفي حرب النهروان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يزيد الحقّ وضوحاً أنّنا إذا راجعنا كتب الشيعة نرى أنّ أئمتهم وعلمائهم يتبرّأون منه أشدّ التّبرؤ</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 وهو من علماء القرن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سبأ كان يدّعي النبوّة وأنّ علياً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 ثلاثة أيام فلم</w:t>
      </w:r>
      <w:bookmarkStart w:id="59" w:name="pg1887_25403"/>
    </w:p>
    <w:p>
      <w:pPr>
        <w:pStyle w:val="BookText"/>
        <w:rPr/>
      </w:pPr>
      <w:bookmarkEnd w:id="59"/>
      <w:r>
        <w:rPr>
          <w:rFonts w:ascii="Amiri" w:hAnsi="Amiri" w:eastAsia="Amiri" w:cs="Amiri"/>
          <w:color w:val="111111"/>
          <w:sz w:val="28"/>
          <w:sz w:val="28"/>
          <w:szCs w:val="28"/>
          <w:rtl w:val="true"/>
          <w:lang w:bidi="ar-SA"/>
        </w:rPr>
        <w:t>يرجع فأحرقه في النار في جملة سبعين رجلًا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مثله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حسن بن زين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نقله عنه سيف بن عمر فليس منه أثر في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الأفّاك وزمرته من اولئك الذين لايخالفون الله ورسوله وأولى الأمر ولايتخلّفون عن أوامرهم قيد أنملة كالمقداد وسلمان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049115_3650668749"/>
      <w:bookmarkStart w:id="61" w:name="_Toc22"/>
      <w:bookmarkEnd w:id="60"/>
      <w:r>
        <w:rPr>
          <w:rtl w:val="true"/>
        </w:rPr>
        <w:t>الفرضية الثالثة</w:t>
      </w:r>
      <w:r>
        <w:rPr>
          <w:rtl w:val="true"/>
        </w:rPr>
        <w:t xml:space="preserve">: </w:t>
      </w:r>
      <w:r>
        <w:rPr>
          <w:rtl w:val="true"/>
        </w:rPr>
        <w:t>التشيّع فارسي المنشأ</w:t>
      </w:r>
      <w:bookmarkEnd w:id="61"/>
    </w:p>
    <w:p>
      <w:pPr>
        <w:pStyle w:val="Heading5"/>
        <w:numPr>
          <w:ilvl w:val="4"/>
          <w:numId w:val="1"/>
        </w:numPr>
        <w:rPr/>
      </w:pPr>
      <w:bookmarkStart w:id="62" w:name="__RefHeading___Toc3049117_3650668749"/>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و هناك فرضية ثالثة اخترعها المستشرقون لتكوّن مذهب الشيعة في المجتمع الإسلامي تقول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للمذهب الشيعي نزعة فارسية؛ لأنّ العرب كانت تدين بالحرّية والفرس تدين بالملك والوراثة، ولايعرفون معنى الانتخاب ولمّا انتقل النبي إلى دارالبقاء ولم يترك ولداً،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بالخلافة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التصوّر مردود لجملة واسعة من البديهيات، منها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حسبما عرفت ظهر في عصر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وروّاد التشيع في عصر الرسول والوصي كانوا كلّهم</w:t>
      </w:r>
      <w:bookmarkStart w:id="64" w:name="pg1887_25405"/>
    </w:p>
    <w:p>
      <w:pPr>
        <w:pStyle w:val="BookText"/>
        <w:rPr/>
      </w:pPr>
      <w:bookmarkEnd w:id="64"/>
      <w:r>
        <w:rPr>
          <w:rFonts w:ascii="Amiri" w:hAnsi="Amiri" w:eastAsia="Amiri" w:cs="Amiri"/>
          <w:color w:val="111111"/>
          <w:sz w:val="28"/>
          <w:sz w:val="28"/>
          <w:szCs w:val="28"/>
          <w:rtl w:val="true"/>
          <w:lang w:bidi="ar-SA"/>
        </w:rPr>
        <w:t>عرباً، ولم يكن بينهم أيّ فارسي سوى سلمان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الفرس لم يكونوا الوحيدين ممّن اعتنقوا هذا المذهب دون غيرهم، بل اعتنقه الأتراك والهنود وغيرهم من العرب</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049119_3650668749"/>
      <w:bookmarkStart w:id="66" w:name="_Toc24"/>
      <w:bookmarkEnd w:id="65"/>
      <w:r>
        <w:rPr>
          <w:rtl w:val="true"/>
        </w:rPr>
        <w:t>شهادة المستشرقين على أنّ التشيّع عربي المبدأ</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أرى كما يدلّنا التاريخ أنّ التشيّع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قبل دخول الفرس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المستشرق 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 سكان العراق في عهد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ولم‌يقتصر هذا على الأفراد، بل شمل القبائل ورؤساء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المستشرق 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الوهم الشائع مبني على سوء فهم الحوادث التاريخية، فالحركة العلوية نشأت في أرض عربيه بحتة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المستشرق آدم متز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جزيرة العرب شيعة كلّها عدا المدن الكبرى مثل مكة وتهامة وصنعاء، وكان للشيعة غلبة في بعض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عمان، وهجروصعدة، أمّا إيران فكانت كلّها سنّة ما عدا قم، وكان أهل إصفهان يغالون في معاوية حتى اعتقد بعض أهلها أنّه نبي مرسل</w:t>
      </w:r>
      <w:r>
        <w:rPr>
          <w:rFonts w:eastAsia="Amiri" w:cs="Amiri" w:ascii="Amiri" w:hAnsi="Amiri"/>
          <w:color w:val="111111"/>
          <w:sz w:val="28"/>
          <w:szCs w:val="28"/>
          <w:rtl w:val="true"/>
          <w:lang w:bidi="ar-SA"/>
        </w:rPr>
        <w:t>.</w:t>
      </w:r>
      <w:bookmarkStart w:id="67" w:name="pg1887_25407"/>
    </w:p>
    <w:p>
      <w:pPr>
        <w:pStyle w:val="BookText"/>
        <w:rPr/>
      </w:pPr>
      <w:bookmarkEnd w:id="6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أبوزهرة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 تشيّعوا على أيدي العرب، وليس التشيّع مخلوقاً لهم، 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فارس وخراسان وما راءهما من بلدان الإسلام فقد هاجر إليها كثيرون من علماء الإسلام الّذين كانوا يتشيّعون فراراً بعقيدتهم من الأمويين أوّلًا، ثمّ العباسيين ثانياً، وأنّ التشيّع كان منتشراً في هذا البلاد انتشاراً عظيماً قبل سقوط الدولة الأموية بفرار أتباع زيد ومن قبله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 الّذين دخلوا الإسلام لم يكونوا شيعة في أوّل الأمر إلا القليل، وجلّ علماء السّنة وأجلّائهم من الفرس كالبخاري والترمذي والنسائي وابن ماجة والحاكم النيسابوري والبيهقي وهكذا غيرهم ممّن أتوا في الطبقة التالية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049121_3650668749"/>
      <w:bookmarkStart w:id="69" w:name="_Toc25"/>
      <w:bookmarkEnd w:id="68"/>
      <w:r>
        <w:rPr>
          <w:rtl w:val="true"/>
        </w:rPr>
        <w:t>الفرضية الرابعة</w:t>
      </w:r>
      <w:r>
        <w:rPr>
          <w:rtl w:val="true"/>
        </w:rPr>
        <w:t xml:space="preserve">: </w:t>
      </w:r>
      <w:r>
        <w:rPr>
          <w:rtl w:val="true"/>
        </w:rPr>
        <w:t>التشيّع فارسي المنحى‌</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هذه الفرضية وسابقتها أنّ هذه النظرية وإن كانت تعترف بأنّ التشيّع عربي المولد والمنشأ ولكنّها تدّعي أنّه اصطبغ بصبغة فارسية بعد دخول الفرس في الإسلام، وهذا هو الذي اختاره الدكتور أحمد أمين كما عرفت ولفيف من المستشرقين 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ذهبوا إليه في تفسير نشأة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يصرّح به الدكتور أحمد أمين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الفكر الفارسي استولى على التشيّع، والمقصود من الاستيلاء هو جعل الخلافة أمراً وراثياً كما كان الأمر كذلك بين الفرس في عهد ملوك بني ساسان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الحكم والملك أمراً وراثياً لم يكن من خصائص الفرس، بل إنّ النظام السائد بين ملوك الحيرة وغسّان وحمير في العراق والشام واليمن كان هوالوراثة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المناصب المعروفة لدى قريش من السقاية والرفادة وعمارة المسجد الحرام والسدانة كانت أموراً وراثية حتّى أنّ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يغيّرها، بل إنّه أمضاها كما في قضية رفعه لمفاتيح البيت إلى بني‌شيبة وإقرارهم على منصبهم هذا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فإلصاق مسألة الوراثة بالفرس دون غيرهم أمرٌ عجيب لا يقرّه العقلاء مع كونها آنذاك فكرة عامة عالمية؟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النبوّة والوصاية من الأمور الوارثية في الشرائع السماوية، لا بمعنى أنّ الوراثة هي الملاك المعيّن، بل بمعنى أنّه سبحانه جعل نورالنبوّة والإمامة في بيوتات خاصّة، فكان يتوارث نبي نبياً ووصي وصياً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وإبراهيم</w:t>
      </w:r>
      <w:bookmarkStart w:id="70" w:name="pg1887_25411"/>
    </w:p>
    <w:p>
      <w:pPr>
        <w:pStyle w:val="BookText"/>
        <w:rPr/>
      </w:pPr>
      <w:bookmarkEnd w:id="70"/>
      <w:r>
        <w:rPr>
          <w:rFonts w:ascii="Amiri" w:hAnsi="Amiri" w:eastAsia="Amiri" w:cs="Amiri"/>
          <w:color w:val="111111"/>
          <w:sz w:val="28"/>
          <w:sz w:val="28"/>
          <w:szCs w:val="28"/>
          <w:rtl w:val="true"/>
          <w:lang w:bidi="ar-SA"/>
        </w:rPr>
        <w:t>وجعلنا في ذريتهما النبوّة والكتاب</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زعم أنّ التشيّع من صنع الفرس مبدأ وصبغة فهو جاهل بتاريخ الفرس؛ وذلك لأنّ التسنّن كان هو السائد فيهم إلى 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غلب عليهم التشيّع في عصر الصفويين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نعم كانت مدن ري وقم وكاشان معقل التشيّع، ومع ذلك يقول أبوزهرة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أهل فارس إلى الآن من الشيعة، وإنّ الشيعة الأوّلين كانوا من الفرس؟</w:t>
      </w:r>
      <w:r>
        <w:rPr>
          <w:rFonts w:eastAsia="Amiri" w:cs="Amiri" w:ascii="Amiri" w:hAnsi="Amiri"/>
          <w:color w:val="111111"/>
          <w:sz w:val="28"/>
          <w:szCs w:val="28"/>
          <w:rtl w:val="true"/>
          <w:lang w:bidi="ar-SA"/>
        </w:rPr>
        <w:t>! ...</w:t>
      </w:r>
    </w:p>
    <w:p>
      <w:pPr>
        <w:pStyle w:val="Heading4"/>
        <w:numPr>
          <w:ilvl w:val="3"/>
          <w:numId w:val="1"/>
        </w:numPr>
        <w:rPr/>
      </w:pPr>
      <w:bookmarkStart w:id="71" w:name="__RefHeading___Toc3049123_3650668749"/>
      <w:bookmarkStart w:id="72" w:name="_Toc26"/>
      <w:bookmarkEnd w:id="71"/>
      <w:r>
        <w:rPr>
          <w:rtl w:val="true"/>
        </w:rPr>
        <w:t>الفرضيه الخامسة</w:t>
      </w:r>
      <w:r>
        <w:rPr>
          <w:rtl w:val="true"/>
        </w:rPr>
        <w:t xml:space="preserve">: </w:t>
      </w:r>
      <w:r>
        <w:rPr>
          <w:rtl w:val="true"/>
        </w:rPr>
        <w:t>الشيعة ويوم الجمل‌</w:t>
      </w:r>
      <w:bookmarkEnd w:id="72"/>
    </w:p>
    <w:p>
      <w:pPr>
        <w:pStyle w:val="BookText"/>
        <w:rPr/>
      </w:pPr>
      <w:r>
        <w:rPr>
          <w:rFonts w:ascii="Amiri" w:hAnsi="Amiri" w:eastAsia="Amiri" w:cs="Amiri"/>
          <w:color w:val="111111"/>
          <w:sz w:val="28"/>
          <w:sz w:val="28"/>
          <w:szCs w:val="28"/>
          <w:rtl w:val="true"/>
          <w:lang w:bidi="ar-SA"/>
        </w:rPr>
        <w:t>ذكر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قصد طلحة والزبير ليقاتلهما حتى يفيئا إلى أمرالله جلّ اسمه، وتسمى من اتّبعه على ذلك الشيعة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جرى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عثمان انقسم الإسلام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وحزب معاوية،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 في العربية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شيعة معاوية، لكن لمّا تولّى معاوية الملك في دولة الإسلام أصبح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w:t>
      </w:r>
      <w:bookmarkStart w:id="73" w:name="pg1887_25413"/>
    </w:p>
    <w:p>
      <w:pPr>
        <w:pStyle w:val="BookText"/>
        <w:rPr/>
      </w:pPr>
      <w:bookmarkEnd w:id="73"/>
      <w:r>
        <w:rPr>
          <w:rFonts w:ascii="Amiri" w:hAnsi="Amiri" w:eastAsia="Amiri" w:cs="Amiri"/>
          <w:color w:val="111111"/>
          <w:sz w:val="28"/>
          <w:sz w:val="28"/>
          <w:szCs w:val="28"/>
          <w:rtl w:val="true"/>
          <w:lang w:bidi="ar-SA"/>
        </w:rPr>
        <w:t>مقصوداً بها أتباع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تلونا عليك من النّصوص الدالّة على وجود التشيّع في عصر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بشكل جلي بعد وفاته، وهذا كان قبل أن تشُبّ نار الحرب في البصرة، وهذا دليل على وهن هذا الرأي</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049125_3650668749"/>
      <w:bookmarkStart w:id="75" w:name="_Toc27"/>
      <w:bookmarkEnd w:id="74"/>
      <w:r>
        <w:rPr>
          <w:rtl w:val="true"/>
        </w:rPr>
        <w:t>الفرضية السادسة</w:t>
      </w:r>
      <w:r>
        <w:rPr>
          <w:rtl w:val="true"/>
        </w:rPr>
        <w:t xml:space="preserve">: </w:t>
      </w:r>
      <w:r>
        <w:rPr>
          <w:rtl w:val="true"/>
        </w:rPr>
        <w:t>الشيعة ويوم صفين‌</w:t>
      </w:r>
      <w:bookmarkEnd w:id="75"/>
    </w:p>
    <w:p>
      <w:pPr>
        <w:pStyle w:val="BookText"/>
        <w:rPr/>
      </w:pPr>
      <w:r>
        <w:rPr>
          <w:rFonts w:ascii="Amiri" w:hAnsi="Amiri" w:eastAsia="Amiri" w:cs="Amiri"/>
          <w:color w:val="111111"/>
          <w:sz w:val="28"/>
          <w:sz w:val="28"/>
          <w:szCs w:val="28"/>
          <w:rtl w:val="true"/>
          <w:lang w:bidi="ar-SA"/>
        </w:rPr>
        <w:t xml:space="preserve">زعم بعض المستشرقين </w:t>
      </w:r>
      <w:r>
        <w:rPr>
          <w:rStyle w:val="FootnoteAnchor"/>
          <w:rtl w:val="true"/>
        </w:rPr>
        <w:footnoteReference w:id="23"/>
      </w:r>
      <w:r>
        <w:rPr>
          <w:rFonts w:ascii="Amiri" w:hAnsi="Amiri" w:eastAsia="Amiri" w:cs="Amiri"/>
          <w:color w:val="111111"/>
          <w:sz w:val="28"/>
          <w:sz w:val="28"/>
          <w:szCs w:val="28"/>
          <w:rtl w:val="true"/>
          <w:lang w:bidi="ar-SA"/>
        </w:rPr>
        <w:t>أنّ الشيعة تكوّنت يوم افترق جيش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التحكيم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الثابت هو أنّ ليس جميع من كان في جيشه من شيعته بالمعنى المفروض والواقعي للتشيّع، بل أغلب من انخرط في ذلك الجيش كانوا تابعين له؛ لأنّه خليفة لهم وقد بايعوه على ذلك</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049127_3650668749"/>
      <w:bookmarkStart w:id="77" w:name="_Toc28"/>
      <w:bookmarkEnd w:id="76"/>
      <w:r>
        <w:rPr>
          <w:rtl w:val="true"/>
        </w:rPr>
        <w:t>الفرضية السابعة</w:t>
      </w:r>
      <w:r>
        <w:rPr>
          <w:rtl w:val="true"/>
        </w:rPr>
        <w:t xml:space="preserve">: </w:t>
      </w:r>
      <w:r>
        <w:rPr>
          <w:rtl w:val="true"/>
        </w:rPr>
        <w:t>الشّيعة والبويهيون‌</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تقلّد آل بويه مقاليد الحكم والسلطة من عام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لهم السلطة في العراق وبعض بلاد إيران كفارس وكرمان وبلاد الجبل وهمدان وإصفهان والريّ، وقد اقصوا عن الحكم في الأخير بهجوم الغزاونة عليهم عام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8" w:name="pg1887_25416"/>
    </w:p>
    <w:p>
      <w:pPr>
        <w:pStyle w:val="BookText"/>
        <w:rPr/>
      </w:pPr>
      <w:bookmarkEnd w:id="78"/>
      <w:r>
        <w:rPr>
          <w:rFonts w:ascii="Amiri" w:hAnsi="Amiri" w:eastAsia="Amiri" w:cs="Amiri"/>
          <w:color w:val="111111"/>
          <w:sz w:val="28"/>
          <w:sz w:val="28"/>
          <w:szCs w:val="28"/>
          <w:rtl w:val="true"/>
          <w:lang w:bidi="ar-SA"/>
        </w:rPr>
        <w:t>راج مذهب الشيعة في عصرهم واستنشق رجالاته نسيم الحرية بعد أن تحمّلوا الظلم والاضطهاد طيلة حكم العباسيين خصوصاً في عهد المتوكل ومن بعده، غير أنّ تكوّن الشيعة في أيامهم شي‌ء وكونهم مروّجين ومعاضدين له شي‌ءٌ آخر، ومن السذاجة بمكان الخلط بين الحالين وعدم التمييز بينهما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049129_3650668749"/>
      <w:bookmarkStart w:id="80" w:name="_Toc29"/>
      <w:bookmarkEnd w:id="79"/>
      <w:r>
        <w:rPr>
          <w:rtl w:val="true"/>
        </w:rPr>
        <w:t>الفرضية الثامنة</w:t>
      </w:r>
      <w:r>
        <w:rPr>
          <w:rtl w:val="true"/>
        </w:rPr>
        <w:t xml:space="preserve">: </w:t>
      </w:r>
      <w:r>
        <w:rPr>
          <w:rtl w:val="true"/>
        </w:rPr>
        <w:t>الشيعة والصفّويون‌</w:t>
      </w:r>
      <w:bookmarkEnd w:id="80"/>
    </w:p>
    <w:p>
      <w:pPr>
        <w:pStyle w:val="BookText"/>
        <w:rPr/>
      </w:pPr>
      <w:r>
        <w:rPr>
          <w:rFonts w:ascii="Amiri" w:hAnsi="Amiri" w:eastAsia="Amiri" w:cs="Amiri"/>
          <w:color w:val="111111"/>
          <w:sz w:val="28"/>
          <w:sz w:val="28"/>
          <w:szCs w:val="28"/>
          <w:rtl w:val="true"/>
          <w:lang w:bidi="ar-SA"/>
        </w:rPr>
        <w:t xml:space="preserve">إنّ الصفويين هم اسرة الشيخ صفي‌الدين العارف المشهور في أردبيل المتوّفى عام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انقرضت دولة المغول قام أحد أحفاد صفي‌الدين الشاه إسماعيل عام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بتسلّم مقاليد الحكم والسيطرة على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 في الحكم إلى عام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ورثه أولاده إلى أن أُقصوا عن الحكم بسيطرة الأفاغنة على إيران عام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وقف على أحوالهم ووقف على تاريخ الشيعة يقف على أنّ عصرهم كان عصر ازدهار التشيّع، وهو أمر لامراء فيه، وليس هو عصر تكوّن التشيّع، فهذا ما لايقنع به إلا السذج والجهلاء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مرية من القول بخطأ كل الافتراضات السابقة وعدم</w:t>
      </w:r>
    </w:p>
    <w:p>
      <w:pPr>
        <w:pStyle w:val="BookText"/>
        <w:rPr/>
      </w:pPr>
      <w:r>
        <w:rPr>
          <w:rFonts w:ascii="Amiri" w:hAnsi="Amiri" w:eastAsia="Amiri" w:cs="Amiri"/>
          <w:color w:val="111111"/>
          <w:sz w:val="28"/>
          <w:sz w:val="28"/>
          <w:szCs w:val="28"/>
          <w:rtl w:val="true"/>
          <w:lang w:bidi="ar-SA"/>
        </w:rPr>
        <w:t>حجّيتها في محاولة تثبيت كون التشيّع ظاهرة طارئة على الإسلام، وإنّما هو نفس الإسلام في إطار ثبوت القيادة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بتنصيصه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شارك الشيعة جميع المسلمين في بناء الحضارة الإسلامية بجوانبها المختلفة، يتفقون مع جميع الفرق في أكثر الأصول والفروع وإن اختلفوا معهم في بعضها كاختلاف بعض الفرق مع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تفصيل عقائدهم في مبحث خاصّ بإذن الله</w:t>
      </w:r>
      <w:r>
        <w:rPr>
          <w:rFonts w:eastAsia="Amiri" w:cs="Amiri" w:ascii="Amiri" w:hAnsi="Amiri"/>
          <w:color w:val="111111"/>
          <w:sz w:val="28"/>
          <w:szCs w:val="28"/>
          <w:rtl w:val="true"/>
          <w:lang w:bidi="ar-SA"/>
        </w:rPr>
        <w:t>.</w:t>
      </w:r>
      <w:bookmarkStart w:id="81" w:name="pg1887_25419"/>
    </w:p>
    <w:p>
      <w:pPr>
        <w:pStyle w:val="Heading2"/>
        <w:numPr>
          <w:ilvl w:val="1"/>
          <w:numId w:val="1"/>
        </w:numPr>
        <w:rPr/>
      </w:pPr>
      <w:bookmarkStart w:id="82" w:name="__RefHeading___Toc3049131_3650668749"/>
      <w:bookmarkStart w:id="83" w:name="_Toc30"/>
      <w:bookmarkEnd w:id="81"/>
      <w:bookmarkEnd w:id="82"/>
      <w:r>
        <w:rPr>
          <w:rtl w:val="true"/>
        </w:rPr>
        <w:t>الفصل الثاني</w:t>
      </w:r>
      <w:r>
        <w:rPr>
          <w:rtl w:val="true"/>
        </w:rPr>
        <w:t xml:space="preserve">: </w:t>
      </w:r>
      <w:r>
        <w:rPr>
          <w:rtl w:val="true"/>
        </w:rPr>
        <w:t>الأئمّة الإثنا عشر</w:t>
      </w:r>
      <w:bookmarkEnd w:id="83"/>
    </w:p>
    <w:p>
      <w:pPr>
        <w:pStyle w:val="Heading3"/>
        <w:numPr>
          <w:ilvl w:val="2"/>
          <w:numId w:val="1"/>
        </w:numPr>
        <w:rPr/>
      </w:pPr>
      <w:bookmarkStart w:id="84" w:name="__RefHeading___Toc3049133_3650668749"/>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تعرف الشيعة الإمامية بالفرقة الإثني عشرية، ومبعث هذه التسمية هو اعتقادهم بإثني عشر إماماً من بني هاشم نصّ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للجميع، ثمّ نصّ كلّ إمام على الإمام الّذي بعده، بشكل يخلو من الشك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تضافر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هذه الأمّة إثنا عشر خليفة كعدد نقباء بني إسرائيل، وإنّ هذه الروايات مع ما فيها من المواصفات لاتنطبق إلّا على أئمّة الشّيعة والعترة الطاهرة، فيلزم علينا معرفتهم، كيف وهم أحد الثقلين اللّذين تركهما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للأمّة ونوراً على جبين الدّهر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وقف على حياتهم العلمية والاجتماعية والسياسية يقف</w:t>
      </w:r>
      <w:bookmarkStart w:id="86" w:name="pg1887_25421"/>
    </w:p>
    <w:p>
      <w:pPr>
        <w:pStyle w:val="BookText"/>
        <w:rPr/>
      </w:pPr>
      <w:bookmarkEnd w:id="86"/>
      <w:r>
        <w:rPr>
          <w:rFonts w:ascii="Amiri" w:hAnsi="Amiri" w:eastAsia="Amiri" w:cs="Amiri"/>
          <w:color w:val="111111"/>
          <w:sz w:val="28"/>
          <w:sz w:val="28"/>
          <w:szCs w:val="28"/>
          <w:rtl w:val="true"/>
          <w:lang w:bidi="ar-SA"/>
        </w:rPr>
        <w:t>على أنّهم هم المثل الأعلى في الأخلاق والقمّة الساقمة في العلم والعمل والتّقوى والإحاطة بالقرآن والسّنة، وبهم حفظ الله تعالى دينه وأعزّ رسالته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049135_3650668749"/>
      <w:bookmarkStart w:id="88" w:name="_Toc32"/>
      <w:bookmarkEnd w:id="87"/>
      <w:r>
        <w:rPr>
          <w:rtl w:val="true"/>
        </w:rPr>
        <w:t>إلامام الأوّل</w:t>
      </w:r>
      <w:r>
        <w:rPr>
          <w:rtl w:val="true"/>
        </w:rPr>
        <w:t>: «</w:t>
      </w:r>
      <w:r>
        <w:rPr>
          <w:rtl w:val="true"/>
        </w:rPr>
        <w:t xml:space="preserve">أميرالمؤمنين علي بن أبي طالب </w:t>
      </w:r>
      <w:r>
        <w:rPr/>
        <w:t>7</w:t>
      </w:r>
      <w:r>
        <w:rPr>
          <w:rtl w:val="true"/>
        </w:rPr>
        <w:t>»</w:t>
      </w:r>
      <w:bookmarkEnd w:id="88"/>
    </w:p>
    <w:p>
      <w:pPr>
        <w:pStyle w:val="Heading4"/>
        <w:numPr>
          <w:ilvl w:val="3"/>
          <w:numId w:val="1"/>
        </w:numPr>
        <w:rPr/>
      </w:pPr>
      <w:bookmarkStart w:id="89" w:name="__RefHeading___Toc3049137_3650668749"/>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إنّ الإمام علي بن أبي طالب أشهر من أن يعرّف، ولقد قام لفيف من السنّة والشيعة بتأليف كتب وموسوعات في حياته ومناقبه وفضائله وجهاده وعلومه وخطبه وقصار كلماته وسياسته وحروبه مع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الطلحة والزبير وأعوانها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المعاوية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لنا الإكتفاء بالميسور في هذا المجال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049139_3650668749"/>
      <w:bookmarkStart w:id="92" w:name="_Toc34"/>
      <w:bookmarkEnd w:id="91"/>
      <w:r>
        <w:rPr>
          <w:rtl w:val="true"/>
        </w:rPr>
        <w:t xml:space="preserve">تنصيب علي </w:t>
      </w:r>
      <w:r>
        <w:rPr>
          <w:rtl w:val="true"/>
        </w:rPr>
        <w:t>(</w:t>
      </w:r>
      <w:r>
        <w:rPr>
          <w:rtl w:val="true"/>
        </w:rPr>
        <w:t>ع</w:t>
      </w:r>
      <w:r>
        <w:rPr>
          <w:rtl w:val="true"/>
        </w:rPr>
        <w:t xml:space="preserve">) </w:t>
      </w:r>
      <w:r>
        <w:rPr>
          <w:rtl w:val="true"/>
        </w:rPr>
        <w:t>للإمامة</w:t>
      </w:r>
      <w:bookmarkEnd w:id="92"/>
    </w:p>
    <w:p>
      <w:pPr>
        <w:pStyle w:val="BookText"/>
        <w:rPr/>
      </w:pPr>
      <w:r>
        <w:rPr>
          <w:rFonts w:ascii="Amiri" w:hAnsi="Amiri" w:eastAsia="Amiri" w:cs="Amiri"/>
          <w:color w:val="111111"/>
          <w:sz w:val="28"/>
          <w:sz w:val="28"/>
          <w:szCs w:val="28"/>
          <w:rtl w:val="true"/>
          <w:lang w:bidi="ar-SA"/>
        </w:rPr>
        <w:t>لاشكّ في أنّ الدين الإسلامي دين عالمي وشريعة خاتمة، وقد كانت قيادة الأمّة الإسلامية من شؤون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على قيد الحياة، وطبع الحال يقتضي أن يوكل مقام القيادة بعده إلى أفضل أفراد الأمّة وأكملهم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هذا المسألة وهي أنّ منصب القيادة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منصب تنصيصي تعييني أو أنّه منصب انتخابي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ترى أنّ مقام القيادة منصب تنصيصي ولابدّ أن ينصّ على خليفة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بينما يرى أهل السنّة أنّ هذا المنصب انتخابي 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على الأمّة أن تقوم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فرد من أفرادها لإدارة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تقسيم الأوضاع السياسية داخل المنطقة الإسلامية وخارجها في عصر الرسالة يقضي بأنّ خليفة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يعيّن من جانب الله تعالى ولايصحّ أن يوكل هذا إلى الأمّة؛ فإنّ المجتمع الإسلامي كان مهدّداً على الدوام بالخطر الثلاثي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 الهجوم الكاسح وإلقاء بذور الفساد والاختلاف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مصالح الامّة كانت توجب أن تتوحّد صفوف المسلمين في مواجهة الخطر الخارجي، وذلك بتعيين قائد سياسي من بعده، وبذلك يسدّ الطريق على نفوذ العدوّ في جسم الامّة الإسلامية والسيطرة عليها وعلى مصيرها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المحاسبات الاجتماعية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الواجب أن يتمتّع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بتعيين قائد للأمّة، وإنّ تحصين الامّة لم‌يكن ليتحقق إلّا بتعيين قائد للأمّة وعدم ترك الأمور للأقدار، ولعلّه لهذه الجهة ولجهات اخرى طرح رسول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bookmarkStart w:id="93" w:name="pg1887_25425"/>
    </w:p>
    <w:p>
      <w:pPr>
        <w:pStyle w:val="BookText"/>
        <w:rPr/>
      </w:pPr>
      <w:bookmarkEnd w:id="93"/>
      <w:r>
        <w:rPr>
          <w:rFonts w:ascii="Amiri" w:hAnsi="Amiri" w:eastAsia="Amiri" w:cs="Amiri"/>
          <w:color w:val="111111"/>
          <w:sz w:val="28"/>
          <w:sz w:val="28"/>
          <w:szCs w:val="28"/>
          <w:rtl w:val="true"/>
          <w:lang w:bidi="ar-SA"/>
        </w:rPr>
        <w:t>الخلافة في الأيام الاولى من ميلاد الرسالة الإسلامية، وظلّ يواصل طرحها والتذكير بها طوال حياته حتّى الساعات الأخيرة منها، حيث عيّن خليفته ونصّ عليه بالنصّ القاطع الواضح الصريح في بدء دعوته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بدء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نهايتها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049141_3650668749"/>
      <w:bookmarkStart w:id="95" w:name="_Toc35"/>
      <w:bookmarkEnd w:id="94"/>
      <w:r>
        <w:rPr>
          <w:rtl w:val="true"/>
        </w:rPr>
        <w:t>شذرات من فضائله‌</w:t>
      </w:r>
      <w:bookmarkEnd w:id="95"/>
    </w:p>
    <w:p>
      <w:pPr>
        <w:pStyle w:val="BookText"/>
        <w:rPr/>
      </w:pPr>
      <w:r>
        <w:rPr>
          <w:rFonts w:ascii="Amiri" w:hAnsi="Amiri" w:eastAsia="Amiri" w:cs="Amiri"/>
          <w:color w:val="111111"/>
          <w:sz w:val="28"/>
          <w:sz w:val="28"/>
          <w:szCs w:val="28"/>
          <w:rtl w:val="true"/>
          <w:lang w:bidi="ar-SA"/>
        </w:rPr>
        <w:t>يطيب لي أن أشير إلى بعض خصائصه قياماً ببعض الوظيفة تجاه ما له من الحقوق على الإسلام والمسلمين عامّة،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خصائص لم يشاركه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في جوف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منذ 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الجميع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دون باقي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من قِبل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كتفه لطرح الأصنام الموضوعة في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يوم خيبر ودعاؤه له بأن لايصيبه حرّ ولا قرّ</w:t>
      </w:r>
      <w:r>
        <w:rPr>
          <w:rFonts w:eastAsia="Amiri" w:cs="Amiri" w:ascii="Amiri" w:hAnsi="Amiri"/>
          <w:color w:val="111111"/>
          <w:sz w:val="28"/>
          <w:szCs w:val="28"/>
          <w:rtl w:val="true"/>
          <w:lang w:bidi="ar-SA"/>
        </w:rPr>
        <w:t>.</w:t>
      </w:r>
      <w:bookmarkStart w:id="96" w:name="pg1887_25427"/>
    </w:p>
    <w:p>
      <w:pPr>
        <w:pStyle w:val="BookText"/>
        <w:rPr/>
      </w:pPr>
      <w:bookmarkEnd w:id="9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 إيمان وبغضه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النصارى به وبزوجته وأولاده دون سائرالأصحاب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تبليغه سورة براءة،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يوم الغدير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بتغسيله وتجهيزه والصلاة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جميعاً من أرباب الأديان وغيرهم ينظرون إليه كأعظم رجل عرفه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في ليلة المبيت</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049143_3650668749"/>
      <w:bookmarkStart w:id="98" w:name="_Toc36"/>
      <w:bookmarkEnd w:id="97"/>
      <w:r>
        <w:rPr>
          <w:rtl w:val="true"/>
        </w:rPr>
        <w:t>الإمام الثاني</w:t>
      </w:r>
      <w:r>
        <w:rPr>
          <w:rtl w:val="true"/>
        </w:rPr>
        <w:t>: «</w:t>
      </w:r>
      <w:r>
        <w:rPr>
          <w:rtl w:val="true"/>
        </w:rPr>
        <w:t xml:space="preserve">أبو محمد الحسن بن علي المجتبى </w:t>
      </w:r>
      <w:r>
        <w:rPr/>
        <w:t>8</w:t>
      </w:r>
      <w:r>
        <w:rPr>
          <w:rtl w:val="true"/>
        </w:rPr>
        <w:t>»</w:t>
      </w:r>
      <w:bookmarkEnd w:id="98"/>
    </w:p>
    <w:p>
      <w:pPr>
        <w:pStyle w:val="Heading4"/>
        <w:numPr>
          <w:ilvl w:val="3"/>
          <w:numId w:val="1"/>
        </w:numPr>
        <w:rPr/>
      </w:pPr>
      <w:bookmarkStart w:id="99" w:name="__RefHeading___Toc3049145_3650668749"/>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هو ثاني أئمّة أهل البيت الطاهر وأوّل السبطين وأحد سيدي شباب أهل الجنّة وريحانة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الخمسة من أصحاب الكساء، امّه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المدينة ليلة النصف من شهر رمضان سنة ثلاث أو اثنتين من الهجرة، وهو أوّل أولاد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bookmarkStart w:id="101" w:name="pg1887_25429"/>
    </w:p>
    <w:p>
      <w:pPr>
        <w:pStyle w:val="BookText"/>
        <w:rPr/>
      </w:pPr>
      <w:bookmarkEnd w:id="101"/>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إثبات إمامته ما صرّح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بيعته يوم الجمعة الحادي والعشرون من شهر رمضان سنة أربعين من الهجره، فرتّب العمّال وأمّر الأمراء وأنفذ عبدالله بن العبّاس إلى البصرة، ونظر في الأمور، فلّما بلغ معاوية وفاة أميرالمؤمنين وبيعة النّاس ابنه الحسن، دسّ رجلًا من حمير إلى الكوفة ورجلًا من بني العين إلى البصرة ليكتبا إليه بالأخبار وليفسدا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ذلك الحسن فأمر باستخراج الحميري من عند لحّام في الكوفة، فأخرج وأمر بضرب عنقه وكتب إلى البصرة باستخراج القيني من بني سليم، فأخرج وضربت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استمرّت المراسلات بين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وانجزّت إلى حوادث مريرة إلى أن أدّت إلى الصلح، واضطرّ إلى التنازل عن الخلافة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049147_3650668749"/>
      <w:bookmarkStart w:id="103" w:name="_Toc38"/>
      <w:bookmarkEnd w:id="102"/>
      <w:r>
        <w:rPr>
          <w:rtl w:val="true"/>
        </w:rPr>
        <w:t xml:space="preserve">شهادته ودفنه </w:t>
      </w:r>
      <w:r>
        <w:rPr>
          <w:rtl w:val="true"/>
        </w:rPr>
        <w:t>(</w:t>
      </w:r>
      <w:r>
        <w:rPr>
          <w:rtl w:val="true"/>
        </w:rPr>
        <w:t>ع</w:t>
      </w:r>
      <w:r>
        <w:rPr>
          <w:rtl w:val="true"/>
        </w:rPr>
        <w:t>):</w:t>
      </w:r>
      <w:bookmarkEnd w:id="10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نقض معاوية عهده مع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ذلك</w:t>
      </w:r>
      <w:bookmarkStart w:id="104" w:name="pg1887_25431"/>
    </w:p>
    <w:p>
      <w:pPr>
        <w:pStyle w:val="BookText"/>
        <w:rPr/>
      </w:pPr>
      <w:bookmarkEnd w:id="104"/>
      <w:r>
        <w:rPr>
          <w:rFonts w:ascii="Amiri" w:hAnsi="Amiri" w:eastAsia="Amiri" w:cs="Amiri"/>
          <w:color w:val="111111"/>
          <w:sz w:val="28"/>
          <w:sz w:val="28"/>
          <w:szCs w:val="28"/>
          <w:rtl w:val="true"/>
          <w:lang w:bidi="ar-SA"/>
        </w:rPr>
        <w:t>بغريب على رجل أبوه أبوسفيان وامّه هند وهو طليق ابن طلقاء عمد إلى أخذ البيعة ليزيد ولده المشهور بمجونه وتهتّكه وزندقته، وما كان شي ء أثقل عليه من أمر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إليه السمّ، فاستشهد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ومضوا به من جانب روضة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البقيع، ودفنوه عند جدّته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وكانت سنة استشهاده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ولمّا بلغ معاوية موت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وسجد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وكبّروا معه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049149_3650668749"/>
      <w:bookmarkStart w:id="106" w:name="_Toc39"/>
      <w:bookmarkEnd w:id="105"/>
      <w:r>
        <w:rPr>
          <w:rtl w:val="true"/>
        </w:rPr>
        <w:t>الإمام الثالث</w:t>
      </w:r>
      <w:r>
        <w:rPr>
          <w:rtl w:val="true"/>
        </w:rPr>
        <w:t>: «</w:t>
      </w:r>
      <w:r>
        <w:rPr>
          <w:rtl w:val="true"/>
        </w:rPr>
        <w:t xml:space="preserve">أبوعبدالله الحسين بن علي </w:t>
      </w:r>
      <w:r>
        <w:rPr/>
        <w:t>8</w:t>
      </w:r>
      <w:r>
        <w:rPr>
          <w:rtl w:val="true"/>
        </w:rPr>
        <w:t xml:space="preserve"> </w:t>
      </w:r>
      <w:r>
        <w:rPr>
          <w:rtl w:val="true"/>
        </w:rPr>
        <w:t>سيدالشهداءِ</w:t>
      </w:r>
      <w:r>
        <w:rPr>
          <w:rtl w:val="true"/>
        </w:rPr>
        <w:t>»</w:t>
      </w:r>
      <w:bookmarkEnd w:id="106"/>
    </w:p>
    <w:p>
      <w:pPr>
        <w:pStyle w:val="BookText"/>
        <w:rPr/>
      </w:pPr>
      <w:r>
        <w:rPr>
          <w:rFonts w:ascii="Amiri" w:hAnsi="Amiri" w:eastAsia="Amiri" w:cs="Amiri"/>
          <w:color w:val="111111"/>
          <w:sz w:val="28"/>
          <w:sz w:val="28"/>
          <w:szCs w:val="28"/>
          <w:rtl w:val="true"/>
          <w:lang w:bidi="ar-SA"/>
        </w:rPr>
        <w:t>هو ثالث أئمّة أهل البيت الطاهر وثاني السبطين وسيدي شباب أهل الجنّة وريحانتي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الخمسة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المدينة المنوّرة في الثالث من شعبان سنة ثلاث أو أربع من الهجرة، ولمّا استشهد أخوه الحسن في السنة الخمسين من الهجرة أوصى إليه بالإمامة فاجتمعت الشيعة حوله، يرجعون إليه في حلّهم وترحالهم، وكان لمعاوية عيون في المدينة يكتبون إليه ما يكون من الأحداث المهمة التي لا توافق هوى</w:t>
      </w:r>
    </w:p>
    <w:p>
      <w:pPr>
        <w:pStyle w:val="BookText"/>
        <w:rPr/>
      </w:pPr>
      <w:r>
        <w:rPr>
          <w:rFonts w:ascii="Amiri" w:hAnsi="Amiri" w:eastAsia="Amiri" w:cs="Amiri"/>
          <w:color w:val="111111"/>
          <w:sz w:val="28"/>
          <w:sz w:val="28"/>
          <w:szCs w:val="28"/>
          <w:rtl w:val="true"/>
          <w:lang w:bidi="ar-SA"/>
        </w:rPr>
        <w:t>السلطة الأموية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هلك معاوية في منتصف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كتب يزيد إلى الوليدبن عُتبة والي المدينة أن يأخذ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فاسترجع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وعلى الإسلام السّلام إذا بليت الأمّة براع مثل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محرّمة على آل أبي سفيان الطلقاء وأبناء الطلقاء، فإذا رأيتم معاوية على منبري فأبقروا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أهل المدينة على منبر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يفعلوا به ما أمروا، فابتلاهم بابنه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غادرالمدينة إلى مكة، ولمّا بلغ أهل الكوفة هلاك معاوية اجتمعت الشيعة في منزل سليمان بن صرد فاتّفقوا أن يكتبوا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وينفذوا رسلًا طالبين منه القدوم إليهم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جاءت رسائل أهل الكوفة تترى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أرسل ابن عمّه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ممثّلًا عنه لأخذ البيعة له منهم وللتحقّق من جدّية هذا الأمر، ثمّ خرج الإمام من مكة متوجّهاً إلى الكوفة يوم التروية أو يوماً قبله مع أهل بيته وجماعة من أصحابه وشيعته بعد إقامته في</w:t>
      </w:r>
    </w:p>
    <w:p>
      <w:pPr>
        <w:pStyle w:val="BookText"/>
        <w:rPr/>
      </w:pPr>
      <w:r>
        <w:rPr>
          <w:rFonts w:ascii="Amiri" w:hAnsi="Amiri" w:eastAsia="Amiri" w:cs="Amiri"/>
          <w:color w:val="111111"/>
          <w:sz w:val="28"/>
          <w:sz w:val="28"/>
          <w:szCs w:val="28"/>
          <w:rtl w:val="true"/>
          <w:lang w:bidi="ar-SA"/>
        </w:rPr>
        <w:t>مكة بأربعة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أخذ الإمام يقترب من الكوفه استقبله الحرّ بن يزيد الرياحي بألف فارس مبعوثاً من الوالي عبيدالله بن زياد لاستقدامه وإكراهه على إعطاء البيعة ليزيد وإرساله قهراً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قطعاً أنّه يصبح شهيداً إلّا أنه أراد يسقي بدمائه الطاهرة المقدّسة شجرة الإسلام الوارفة التي يريد الأمويون اقتلاعها من جذورها؛ كما أنّ الإمام أراد أن يكسر حاجز الخوف الذي أصاب الأمّة فجعلها حائرة متردّدة أمام طغيان الجبابرة وحكام الجور وأن تصبح ثورته مدرسة تتعلّم منها الأجيال معنى البطولة والتضحية من أجل المبادئ والعقائد، وقد تحقّق كلّ ذلك بعد استشهاد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والتاريخ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لشهادة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كبير في إيقاظ شعور الأمّة وتشجيعها على الثّورة، فلا مغالاة في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محمّدي الحدوث، حسيني البقاء والخلود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استشهد يوم الجمعة لعشر خلون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وقيل يوم السبت، وكان قد أدرك من حياة النبي</w:t>
      </w:r>
      <w:bookmarkStart w:id="107" w:name="pg1887_25437"/>
    </w:p>
    <w:p>
      <w:pPr>
        <w:pStyle w:val="BookText"/>
        <w:rPr/>
      </w:pPr>
      <w:bookmarkEnd w:id="107"/>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أو ستّ سنوات، وعاش مع أبيه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ومع أخيه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فسلام الله عليه يوم ولد ويوم استشهد ويوم يبعث حياً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049151_3650668749"/>
      <w:bookmarkStart w:id="109" w:name="_Toc40"/>
      <w:bookmarkEnd w:id="108"/>
      <w:r>
        <w:rPr>
          <w:rtl w:val="true"/>
        </w:rPr>
        <w:t>الإمام الرابع</w:t>
      </w:r>
      <w:r>
        <w:rPr>
          <w:rtl w:val="true"/>
        </w:rPr>
        <w:t>: «</w:t>
      </w:r>
      <w:r>
        <w:rPr>
          <w:rtl w:val="true"/>
        </w:rPr>
        <w:t xml:space="preserve">علي بن الحسين بن علي زين العابدين </w:t>
      </w:r>
      <w:r>
        <w:rPr>
          <w:rtl w:val="true"/>
        </w:rPr>
        <w:t>(</w:t>
      </w:r>
      <w:r>
        <w:rPr>
          <w:rtl w:val="true"/>
        </w:rPr>
        <w:t>ع</w:t>
      </w:r>
      <w:r>
        <w:rPr>
          <w:rtl w:val="true"/>
        </w:rPr>
        <w:t>)»</w:t>
      </w:r>
      <w:bookmarkEnd w:id="109"/>
    </w:p>
    <w:p>
      <w:pPr>
        <w:pStyle w:val="BookText"/>
        <w:rPr/>
      </w:pPr>
      <w:r>
        <w:rPr>
          <w:rFonts w:ascii="Amiri" w:hAnsi="Amiri" w:eastAsia="Amiri" w:cs="Amiri"/>
          <w:color w:val="111111"/>
          <w:sz w:val="28"/>
          <w:sz w:val="28"/>
          <w:szCs w:val="28"/>
          <w:rtl w:val="true"/>
          <w:lang w:bidi="ar-SA"/>
        </w:rPr>
        <w:t>هو رابع أئمّة أهل البيت الطاهر، المشهور بزين‌العابدين أو سيدهم والسجّاد وذي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ولقد تولّي الإمامة بعد استشهاد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ثروته العلمية والعرفانية فهي أدعيته التي رواها المحدّثون بأسانيدهم المتضافرة والتي جمعت بما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المنتشرة في العالم، فهي زبور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 بنا القول إنّ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عبادي وآخر اجتماعي يتّسق مع مسارالحركة الإصلاحية الّتي قادها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الظرف الصعب، فهو صاحب مدرسة إلهية تارة يعلّم المؤمن كيف يمجّدالله ويقدّسه وكيف يلج باب التوبة، واخرى يسلك به درب التعامل السليم مع المجتمع فيعلّمه أُسلوب البرّ بالوالدين ويشرح حقوق الوالد والولد والأهل</w:t>
      </w:r>
      <w:bookmarkStart w:id="110" w:name="pg1887_25439"/>
    </w:p>
    <w:p>
      <w:pPr>
        <w:pStyle w:val="BookText"/>
        <w:rPr/>
      </w:pPr>
      <w:bookmarkEnd w:id="110"/>
      <w:r>
        <w:rPr>
          <w:rFonts w:ascii="Amiri" w:hAnsi="Amiri" w:eastAsia="Amiri" w:cs="Amiri"/>
          <w:color w:val="111111"/>
          <w:sz w:val="28"/>
          <w:sz w:val="28"/>
          <w:szCs w:val="28"/>
          <w:rtl w:val="true"/>
          <w:lang w:bidi="ar-SA"/>
        </w:rPr>
        <w:t>والأصدقاء والجيران ثمّ يبيّن فاضل الأعمال وما يجب أن يلتزم به المسلم في سلوكه الاجتماعي، كلّ ذلك بأسلوب تعليمي رائع وبليغ مستلهماً جوانبها من سيرة الأنبياء وسنن المرسلين، وللإمام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معروفة باسم رسالة الحقوق، وهي من جلائل الرسائل في أنواع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بالمدينة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الثاني عشر من محرّم وقيل الخامس والعشرين منه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049153_3650668749"/>
      <w:bookmarkStart w:id="112" w:name="_Toc41"/>
      <w:bookmarkEnd w:id="111"/>
      <w:r>
        <w:rPr>
          <w:rtl w:val="true"/>
        </w:rPr>
        <w:t>الإمام الخامس</w:t>
      </w:r>
      <w:r>
        <w:rPr>
          <w:rtl w:val="true"/>
        </w:rPr>
        <w:t>: «</w:t>
      </w:r>
      <w:r>
        <w:rPr>
          <w:rtl w:val="true"/>
        </w:rPr>
        <w:t xml:space="preserve">أبوجعفر محمد بن علي الباقر </w:t>
      </w:r>
      <w:r>
        <w:rPr/>
        <w:t>8</w:t>
      </w:r>
      <w:r>
        <w:rPr>
          <w:rtl w:val="true"/>
        </w:rPr>
        <w:t>»</w:t>
      </w:r>
      <w:bookmarkEnd w:id="112"/>
    </w:p>
    <w:p>
      <w:pPr>
        <w:pStyle w:val="BookText"/>
        <w:rPr/>
      </w:pPr>
      <w:r>
        <w:rPr>
          <w:rFonts w:ascii="Amiri" w:hAnsi="Amiri" w:eastAsia="Amiri" w:cs="Amiri"/>
          <w:color w:val="111111"/>
          <w:sz w:val="28"/>
          <w:sz w:val="28"/>
          <w:szCs w:val="28"/>
          <w:rtl w:val="true"/>
          <w:lang w:bidi="ar-SA"/>
        </w:rPr>
        <w:t xml:space="preserve">هو خامس أئمّة أهل البيت الطاهر، المعروف بالباقر، وقد اشتهر به لبقره العلم وتفجيره له، ولد بالمدينة غرّة رجب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واستشهد في السابع من ذي‌الحجّة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الشريف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عاش مع 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وكانت مدة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معالم الدّين بقية الصحابة ووجوه التابعين وفقهاء المسلمين، وسارت بذكر كلامه الأخبار وأنشدّت في مدائحه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مناظراته مع المخالفين فحدّث عنها ولاحرج، وقد</w:t>
      </w:r>
      <w:bookmarkStart w:id="113" w:name="pg1887_25441"/>
    </w:p>
    <w:p>
      <w:pPr>
        <w:pStyle w:val="BookText"/>
        <w:rPr/>
      </w:pPr>
      <w:bookmarkEnd w:id="113"/>
      <w:r>
        <w:rPr>
          <w:rFonts w:ascii="Amiri" w:hAnsi="Amiri" w:eastAsia="Amiri" w:cs="Amiri"/>
          <w:color w:val="111111"/>
          <w:sz w:val="28"/>
          <w:sz w:val="28"/>
          <w:szCs w:val="28"/>
          <w:rtl w:val="true"/>
          <w:lang w:bidi="ar-SA"/>
        </w:rPr>
        <w:t>جمعها العلّامة الطبرسي في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الشيعة الإمامية أخذت كثيراً من الأحكام الشرعية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ولده البار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الروايات الفقهية التي تناولت مختلف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عنه في الحِكم والمواعظ فقد نقلها أبو نعيم الأصفهاني في حلية الأولياء والحسن بن شعبة الحرّاني في تحفه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البقيع إلى جنب قبر أبيه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049155_3650668749"/>
      <w:bookmarkStart w:id="115" w:name="_Toc42"/>
      <w:bookmarkEnd w:id="114"/>
      <w:r>
        <w:rPr>
          <w:rtl w:val="true"/>
        </w:rPr>
        <w:t>الإمام السادس</w:t>
      </w:r>
      <w:r>
        <w:rPr>
          <w:rtl w:val="true"/>
        </w:rPr>
        <w:t>: «</w:t>
      </w:r>
      <w:r>
        <w:rPr>
          <w:rtl w:val="true"/>
        </w:rPr>
        <w:t xml:space="preserve">أبوعبدالله جعفر بن‌محمّدالصادق </w:t>
      </w:r>
      <w:r>
        <w:rPr/>
        <w:t>8</w:t>
      </w:r>
      <w:r>
        <w:rPr>
          <w:rtl w:val="true"/>
        </w:rPr>
        <w:t>»</w:t>
      </w:r>
      <w:bookmarkEnd w:id="115"/>
    </w:p>
    <w:p>
      <w:pPr>
        <w:pStyle w:val="BookText"/>
        <w:rPr/>
      </w:pPr>
      <w:r>
        <w:rPr>
          <w:rFonts w:ascii="Amiri" w:hAnsi="Amiri" w:eastAsia="Amiri" w:cs="Amiri"/>
          <w:color w:val="111111"/>
          <w:sz w:val="28"/>
          <w:sz w:val="28"/>
          <w:szCs w:val="28"/>
          <w:rtl w:val="true"/>
          <w:lang w:bidi="ar-SA"/>
        </w:rPr>
        <w:t>هو الإمام السادس من أئمّة أهل البيت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بالصادق لصدقه في مقاله، وفضله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واستشهد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البقيع جنب قبر أبيه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جدّه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عنه الحديث واستفاد منه العلم جماعة من أعيان الأئمّة وأعلامهم، مثل يحيى بن سعيد الأنصاري وابن جريح ومالك بن أنس والثوري وابن عيينة وابوحنيفة وشعبة وأبو أيوب</w:t>
      </w:r>
    </w:p>
    <w:p>
      <w:pPr>
        <w:pStyle w:val="BookText"/>
        <w:rPr/>
      </w:pPr>
      <w:r>
        <w:rPr>
          <w:rFonts w:ascii="Amiri" w:hAnsi="Amiri" w:eastAsia="Amiri" w:cs="Amiri"/>
          <w:color w:val="111111"/>
          <w:sz w:val="28"/>
          <w:sz w:val="28"/>
          <w:szCs w:val="28"/>
          <w:rtl w:val="true"/>
          <w:lang w:bidi="ar-SA"/>
        </w:rPr>
        <w:t>السجستاني وغيرهم، وعدّوا أخذهم عنه منقبة شرّفوا بها وفضيلة اكتسبوها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إذا تتّبعت كتب التاريخ والتراجم والسير تقف على اتّفاق الأمّة على إمامته في العلم والقيادة الروحية وإن اختلفوا في كونه إماماً منصوصاً من قبل الله عزّوجلّ، فذهبت الشيعة إلى الثاني نظراً إلى النصوص المتواترة المذكورة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امتدّ عصر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خلافة عبدالملك بن مروان إلى وسط خلافة المنصور الدوانيقي، وقضى سنوات عمره الأولى حتّى الحادية عشرة من عمره مع جدّه زين العابدين وحتّى الثانية والثلاثين مع أبيه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فاختصّ بعد استشهاد أبيه بالزعامة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واتّسمت مدرسته بنشاط الحركة العلمية في المدينة ومكة والكوفة وغيرها من الأقطار الإسلامية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اتّسم العصر المذكور الذي عاشه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الحركات الفكرية ووفود الآراء الاعتقادية الغريبة إلى المجتمع الإسلامي، وأهمها هي حركة الغلاة الهدّامة، فكانوا يبثّون الأحاديث الكاذبة ويسندونها إلى حملة العلم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ليغروا بها العامّة، فكان المغيرة بن سعيد يدّعي الاتصال بأبي</w:t>
      </w:r>
    </w:p>
    <w:p>
      <w:pPr>
        <w:pStyle w:val="BookText"/>
        <w:rPr/>
      </w:pPr>
      <w:r>
        <w:rPr>
          <w:rFonts w:ascii="Amiri" w:hAnsi="Amiri" w:eastAsia="Amiri" w:cs="Amiri"/>
          <w:color w:val="111111"/>
          <w:sz w:val="28"/>
          <w:sz w:val="28"/>
          <w:szCs w:val="28"/>
          <w:rtl w:val="true"/>
          <w:lang w:bidi="ar-SA"/>
        </w:rPr>
        <w:t>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الأحاديث المكذوبة، فأعلن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قام بهداية الامّة إلى النهج الصواب، وتربّى على يديه آلاف من المحدّثين والفقهاء، فكانوا أربعة آلاف رجل؛ فإنّ الإمام كان بحقّ سفينة النّجاة من هذا المعترك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ما نشر عنه من الأحاديث في الأحكام التي تتجاوز عشرات آلاف، والمناظرات مع الزنادقة والملحدين في عصره والمتقشّفين من الصوفية، وقد ضبط المحققون كثيراً منها، وهي في حدّ ذاتها ثروة علمية تركها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عنه في الأحكام فقد روي عنه أبان بن تغلب ثلاثين ألف حديث حتّى أنّ الحسن‌بن‌علي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في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تسعمئة شيخ كلّ يقول حدّثني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يحضر حلقات درسه الفلاسفة وطلّاب العلم من الأنحاء القصية،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المدرسة الفلسفية في مدينة البصرة وواصل بن عطاء مؤسس مذهب المعتزلة من تلاميذه الذين نهلوا من معين علمه الفياض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استشهد الإمام شيّعه عامة الناس في المدينة وحمل إلى</w:t>
      </w:r>
      <w:bookmarkStart w:id="116" w:name="pg1887_25447"/>
    </w:p>
    <w:p>
      <w:pPr>
        <w:pStyle w:val="BookText"/>
        <w:rPr/>
      </w:pPr>
      <w:bookmarkEnd w:id="116"/>
      <w:r>
        <w:rPr>
          <w:rFonts w:ascii="Amiri" w:hAnsi="Amiri" w:eastAsia="Amiri" w:cs="Amiri"/>
          <w:color w:val="111111"/>
          <w:sz w:val="28"/>
          <w:sz w:val="28"/>
          <w:szCs w:val="28"/>
          <w:rtl w:val="true"/>
          <w:lang w:bidi="ar-SA"/>
        </w:rPr>
        <w:t>البقيع، ودفن في جوار أبيه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فسلام الله عليه يوم ولد ويوم استشهد ويوم يبعث حياً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049157_3650668749"/>
      <w:bookmarkStart w:id="118" w:name="_Toc43"/>
      <w:bookmarkEnd w:id="117"/>
      <w:r>
        <w:rPr>
          <w:rtl w:val="true"/>
        </w:rPr>
        <w:t>الإمام السابع</w:t>
      </w:r>
      <w:r>
        <w:rPr>
          <w:rtl w:val="true"/>
        </w:rPr>
        <w:t>: «</w:t>
      </w:r>
      <w:r>
        <w:rPr>
          <w:rtl w:val="true"/>
        </w:rPr>
        <w:t xml:space="preserve">أبوالحسن موسى بن جعفرالكاظم </w:t>
      </w:r>
      <w:r>
        <w:rPr/>
        <w:t>8</w:t>
      </w:r>
      <w:r>
        <w:rPr>
          <w:rtl w:val="true"/>
        </w:rPr>
        <w:t>»</w:t>
      </w:r>
      <w:bookmarkEnd w:id="118"/>
    </w:p>
    <w:p>
      <w:pPr>
        <w:pStyle w:val="BookText"/>
        <w:rPr/>
      </w:pPr>
      <w:r>
        <w:rPr>
          <w:rFonts w:ascii="Amiri" w:hAnsi="Amiri" w:eastAsia="Amiri" w:cs="Amiri"/>
          <w:color w:val="111111"/>
          <w:sz w:val="28"/>
          <w:sz w:val="28"/>
          <w:szCs w:val="28"/>
          <w:rtl w:val="true"/>
          <w:lang w:bidi="ar-SA"/>
        </w:rPr>
        <w:t xml:space="preserve">ولد بالأبواء بين مكة والمدينة يوم الأحد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عصره وفريد دهره، عظيم الحلم حتّى سمّي لذلك كاظماً، لاقى من المحن ما تنهدّ لهولها الجبال، فلم‌تحرّك منه طرفاً، بل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محتسباً كحال آبائه وأجداده، يعرف بأسماء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والكاظم، والصابر، والأمين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الإمام بعد أبيه والمقدّم على جميع بنيه، لاجتماع خصال الفضل فيه، وورود صحيح النصوص وجليّ الأقوال عليه من أبيه بأنّه ولي عهده والإمام القائم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تولّى منصب الإمامة بعد أبيه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شهدت فيه الدولة العبّاسية استقرار أركانها وثبات بنيانها، فشهد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سني حياته صنوف التضييق والمزاحمة إلّا أنّ ذلك لم‌يمنعه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يؤدّي رسالته في حماية الدّين وقيادة الأمّة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هارون‌الرّشيد باعتقال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وإيداعه</w:t>
      </w:r>
      <w:bookmarkStart w:id="119" w:name="pg1887_25449"/>
    </w:p>
    <w:p>
      <w:pPr>
        <w:pStyle w:val="BookText"/>
        <w:rPr/>
      </w:pPr>
      <w:bookmarkEnd w:id="119"/>
      <w:r>
        <w:rPr>
          <w:rFonts w:ascii="Amiri" w:hAnsi="Amiri" w:eastAsia="Amiri" w:cs="Amiri"/>
          <w:color w:val="111111"/>
          <w:sz w:val="28"/>
          <w:sz w:val="28"/>
          <w:szCs w:val="28"/>
          <w:rtl w:val="true"/>
          <w:lang w:bidi="ar-SA"/>
        </w:rPr>
        <w:t>السجن لسنين طويلة مع تأكيده على سجّانيه بالتشديد والتضييق عليه، ولم‌يزل ذلك الأمر حتى نُقل إلى سجن السندي بن شاهك وكان فاجراً فاسقاً، فغالى في سجن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تقييده حتى جاء أمر الرّشيد بدسّ السمّ للكاظم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 السندي إلى إنفاذ هذا الأمر العظيم، واستشهد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سجن ومعاناة في عام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واخرج جسمانه الطاهر ووضع على الجسر ببغداد، ونودي بوفاته، ودفن في الجانب الغربي في المقبرة المعروفة بمقابر قريش المشهورة في أيامنا هذه بالكاظمية، فالسلام عليه يوم ولد ويوم استشهد سجيناً مظلوماً مسموماً ويوم يبعث حيّاً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049159_3650668749"/>
      <w:bookmarkStart w:id="121" w:name="_Toc44"/>
      <w:bookmarkEnd w:id="120"/>
      <w:r>
        <w:rPr>
          <w:rtl w:val="true"/>
        </w:rPr>
        <w:t>الإمام الثامن</w:t>
      </w:r>
      <w:r>
        <w:rPr>
          <w:rtl w:val="true"/>
        </w:rPr>
        <w:t>: «</w:t>
      </w:r>
      <w:r>
        <w:rPr>
          <w:rtl w:val="true"/>
        </w:rPr>
        <w:t xml:space="preserve">أبوالحسن علي بن موسى الرّضا </w:t>
      </w:r>
      <w:r>
        <w:rPr/>
        <w:t>8</w:t>
      </w:r>
      <w:r>
        <w:rPr>
          <w:rtl w:val="true"/>
        </w:rPr>
        <w:t>»</w:t>
      </w:r>
      <w:bookmarkEnd w:id="121"/>
    </w:p>
    <w:p>
      <w:pPr>
        <w:pStyle w:val="BookText"/>
        <w:rPr/>
      </w:pP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الإمام الثامن من أئمّة أهل البيت القائم بالإمامة بعد أبيه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لفضله على جماعة أهل بيته وبنيه وإخوته في عصره ولعلمه وورعه وكفاءته لمنصب الإمامة، مضافاً إلى النصوص الواردة في حقّه من أبيه على إمامته، وكانت مدّة إمامته بعد أبيه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عاش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ازدهرت فيه الحضارة</w:t>
      </w:r>
    </w:p>
    <w:p>
      <w:pPr>
        <w:pStyle w:val="BookText"/>
        <w:rPr/>
      </w:pPr>
      <w:r>
        <w:rPr>
          <w:rFonts w:ascii="Amiri" w:hAnsi="Amiri" w:eastAsia="Amiri" w:cs="Amiri"/>
          <w:color w:val="111111"/>
          <w:sz w:val="28"/>
          <w:sz w:val="28"/>
          <w:szCs w:val="28"/>
          <w:rtl w:val="true"/>
          <w:lang w:bidi="ar-SA"/>
        </w:rPr>
        <w:t>الإسلامية، وكثرت الترجمة لكتب اليونانيين والرومانيين وغيرهم وازدادالتشكيك في الاصول والعقائد من قبل الملاحدة وأحبار اليهود وبطارقة النصارى ومجسّمة أهل الحديث، وفي تلك الأزمنة اتيحت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المناظرة مع المخالفين على اختلاف مذاهبهم، فظهر برهانه وعلا شأنه، يقف على ذلك من اطّلع على مناظراته واحتجاجاته مع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انتشر علم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كثر التفاف المسلمين حوله وازدادت أعدادهم ممّا دفع بالخلافة العباسية إلى مناورة ذكية ماكرة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استقدم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وجوه الطالبين إلى مقرّ الحكومة آنذاك في مرو من مدينة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بولاية العهد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في مرو يقصده البعيد والقريب من مختلف الطبقات، وقد انتشر صيته في بقاع الأرض وعظم تعلّق المسلمين به، ممّا أثار مخاوف المأمون وتوجّسه من أن ينفلت زمام الأمر من يديه على عكس ما يتمنّاه وما كان يبتغيه من ولاية العهد هذه، كلّ ذلك وغيره دفع المأمون إلي أن يريح نفسه وقومه من هذا الخطر فدسّ إليه السمّ، واستشهد في طوس من أرض خراسان في صفر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يومئذٍ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bookmarkStart w:id="122" w:name="pg1887_25453"/>
    </w:p>
    <w:p>
      <w:pPr>
        <w:pStyle w:val="BookText"/>
        <w:rPr/>
      </w:pPr>
      <w:bookmarkEnd w:id="122"/>
      <w:r>
        <w:rPr>
          <w:rFonts w:ascii="Amiri" w:hAnsi="Amiri" w:eastAsia="Amiri" w:cs="Amiri"/>
          <w:color w:val="111111"/>
          <w:sz w:val="28"/>
          <w:sz w:val="28"/>
          <w:szCs w:val="28"/>
          <w:rtl w:val="true"/>
          <w:lang w:bidi="ar-SA"/>
        </w:rPr>
        <w:t>و دفن في مدينة طوس في قبر ملاصق لقبر هارون‌الرّشيد، وقبر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مزار مهيب يتقاطر المسلمون على زيارته والتبرّك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يوم ولد ويوم استشهد ويوم يبعث حياً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049161_3650668749"/>
      <w:bookmarkStart w:id="124" w:name="_Toc45"/>
      <w:bookmarkEnd w:id="123"/>
      <w:r>
        <w:rPr>
          <w:rtl w:val="true"/>
        </w:rPr>
        <w:t>الإمام التاسع</w:t>
      </w:r>
      <w:r>
        <w:rPr>
          <w:rtl w:val="true"/>
        </w:rPr>
        <w:t>: «</w:t>
      </w:r>
      <w:r>
        <w:rPr>
          <w:rtl w:val="true"/>
        </w:rPr>
        <w:t xml:space="preserve">أبوجعفر محمد بن علي الجواد </w:t>
      </w:r>
      <w:r>
        <w:rPr/>
        <w:t>8</w:t>
      </w:r>
      <w:r>
        <w:rPr>
          <w:rtl w:val="true"/>
        </w:rPr>
        <w:t>»</w:t>
      </w:r>
      <w:bookmarkEnd w:id="124"/>
    </w:p>
    <w:p>
      <w:pPr>
        <w:pStyle w:val="BookText"/>
        <w:rPr/>
      </w:pPr>
      <w:r>
        <w:rPr>
          <w:rFonts w:ascii="Amiri" w:hAnsi="Amiri" w:eastAsia="Amiri" w:cs="Amiri"/>
          <w:color w:val="111111"/>
          <w:sz w:val="28"/>
          <w:sz w:val="28"/>
          <w:szCs w:val="28"/>
          <w:rtl w:val="true"/>
          <w:lang w:bidi="ar-SA"/>
        </w:rPr>
        <w:t>ولد بالمدينة المنوّرة في شهر رمضان من سنة خمس وتسعين بعد المائة فورث الشرف من آبائه وأجداده واستسقت عروقه من منبع النبوّة وارتوت شجرته من منهل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بأمر الولاية بعد شهادة والده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ببغداد عام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أدرك خلافة المأمون وأوائل خلافة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إمامته ووصايته فقدوردت فيها النصوص الوافرة، لقّب بالجواد والقانع والمرتضى والنجيب والتقي والزكي وغيرها من الألقاب الدالّة على علوّ شأنه وارتفاع منزلته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استشهد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الجواد في المدينة وقام بأمر الإمامة بوصية من أبيه وله من العمر تسع أو عشر سنين، وكان المأمون قد مارس معه نفس السياسة التي مارسها 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استقدام أهل البيت من موطنهم إلى دارالخلافة لكي</w:t>
      </w:r>
      <w:bookmarkStart w:id="125" w:name="pg1887_25455"/>
    </w:p>
    <w:p>
      <w:pPr>
        <w:pStyle w:val="BookText"/>
        <w:rPr/>
      </w:pPr>
      <w:bookmarkEnd w:id="125"/>
      <w:r>
        <w:rPr>
          <w:rFonts w:ascii="Amiri" w:hAnsi="Amiri" w:eastAsia="Amiri" w:cs="Amiri"/>
          <w:color w:val="111111"/>
          <w:sz w:val="28"/>
          <w:sz w:val="28"/>
          <w:szCs w:val="28"/>
          <w:rtl w:val="true"/>
          <w:lang w:bidi="ar-SA"/>
        </w:rPr>
        <w:t>يشرف على حركاتهم وسكناتهم، فزوّجه ابنته أمّ‌الفضل وحملها معه إلى المدينة، وكان حريصاً على إكرامه وتعظيمه وإجلال قدره، وسكن بها مدّة إلى أن توفي المأمون وبويع المعتصم ولم‌يزل المعتصم متفكّراً في أبي‌جعفر يخاف من اجتماع الناس حوله ووثوبه على الخلافة، فاستقدم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استشهد في آخر ذي‌القعدة من تلك السنة، وله من العمر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وأشهر، ودفن عند جدّه موسى بن جعفر في مقابر قريش؛ 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قبض مسموماً، فسلام الله على إمامنا الجواد يوم ولد ويوم مات أو استشهد بالسمّ ويوم يبعث حيا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049163_3650668749"/>
      <w:bookmarkStart w:id="127" w:name="_Toc46"/>
      <w:bookmarkEnd w:id="126"/>
      <w:r>
        <w:rPr>
          <w:rtl w:val="true"/>
        </w:rPr>
        <w:t>الإمام العاشر</w:t>
      </w:r>
      <w:r>
        <w:rPr>
          <w:rtl w:val="true"/>
        </w:rPr>
        <w:t>: «</w:t>
      </w:r>
      <w:r>
        <w:rPr>
          <w:rtl w:val="true"/>
        </w:rPr>
        <w:t xml:space="preserve">أبوالحسن علي بن محمّد الهادي </w:t>
      </w:r>
      <w:r>
        <w:rPr/>
        <w:t>8</w:t>
      </w:r>
      <w:r>
        <w:rPr>
          <w:rtl w:val="true"/>
        </w:rPr>
        <w:t>»</w:t>
      </w:r>
      <w:bookmarkEnd w:id="1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بيت الرسالة والإمامة ومقرّ الوصاية والخلافة وثمرة من شجرة النبوة،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الإمامة بعد والده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عاصر خلافة المعتصم والواثق والمتوكل والمنتصر والمستعين والمعتزّ، وله مع هؤلاء قضايا لا يتّسع المقام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فيه خصال الإمامة وثبت النصّ عليه بالإمامة والإشارة إليه من أبيه بالخلافة</w:t>
      </w:r>
      <w:r>
        <w:rPr>
          <w:rFonts w:eastAsia="Amiri" w:cs="Amiri" w:ascii="Amiri" w:hAnsi="Amiri"/>
          <w:color w:val="111111"/>
          <w:sz w:val="28"/>
          <w:szCs w:val="28"/>
          <w:rtl w:val="true"/>
          <w:lang w:bidi="ar-SA"/>
        </w:rPr>
        <w:t>.</w:t>
      </w:r>
      <w:bookmarkStart w:id="128" w:name="pg1887_25457"/>
    </w:p>
    <w:p>
      <w:pPr>
        <w:pStyle w:val="BookText"/>
        <w:rPr/>
      </w:pPr>
      <w:bookmarkEnd w:id="128"/>
      <w:r>
        <w:rPr>
          <w:rFonts w:ascii="Amiri" w:hAnsi="Amiri" w:eastAsia="Amiri" w:cs="Amiri"/>
          <w:color w:val="111111"/>
          <w:sz w:val="28"/>
          <w:sz w:val="28"/>
          <w:szCs w:val="28"/>
          <w:rtl w:val="true"/>
          <w:lang w:bidi="ar-SA"/>
        </w:rPr>
        <w:t>لقد مارس المتوكل ثمّ أخوه المعتصم من إشخاص الأئمّة أهل البيت من موطنهم وإجبارهم على الإقامة في مقرّ الخلافة وجعل العيون والحرّاس عليهم حتّى يطّلعوا على دقيق حياتهم وجليلها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الحفّاظ والرواة عن الإمام أحاديث كثيرة في شتّى المجالات من 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أبوالحسن في رجب سنة أربع وخمسين ومائتين، ودفن في داره بسرّ من رأى</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049165_3650668749"/>
      <w:bookmarkStart w:id="130" w:name="_Toc47"/>
      <w:bookmarkEnd w:id="129"/>
      <w:r>
        <w:rPr>
          <w:rtl w:val="true"/>
        </w:rPr>
        <w:t>الإمام الحادي عشر</w:t>
      </w:r>
      <w:r>
        <w:rPr>
          <w:rtl w:val="true"/>
        </w:rPr>
        <w:t>: «</w:t>
      </w:r>
      <w:r>
        <w:rPr>
          <w:rtl w:val="true"/>
        </w:rPr>
        <w:t xml:space="preserve">أبومحمد الحسن بن علي العسكري </w:t>
      </w:r>
      <w:r>
        <w:rPr/>
        <w:t>8</w:t>
      </w:r>
      <w:r>
        <w:rPr>
          <w:rtl w:val="true"/>
        </w:rPr>
        <w:t>»</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أبومحمّد الحسن بن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أهل البيت، وهو الإمام الحادي عشر، الملقّب بالعسكري، ولد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اشخص والده إلى العراق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العمر أربع سنين وعدّة شهور، وقام بأمر الإمامة والقيادة الروحية بعد شهادة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فيه خصال الفضل وبرز تقدّمه علي كافّة أهل العصر، واشتهر بكمال الفضل والعلم والزهد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لفيف من الفقهاء والمحدّثين يربو عددهم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واسشتهد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داره الّتي دفن فيها أبوه بسامراء، وخلّف ابنه المنتظر لدولة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w:t>
      </w:r>
      <w:bookmarkStart w:id="131" w:name="pg1887_25458"/>
    </w:p>
    <w:p>
      <w:pPr>
        <w:pStyle w:val="BookText"/>
        <w:rPr/>
      </w:pPr>
      <w:bookmarkEnd w:id="131"/>
      <w:r>
        <w:rPr>
          <w:rFonts w:ascii="Amiri" w:hAnsi="Amiri" w:eastAsia="Amiri" w:cs="Amiri"/>
          <w:color w:val="111111"/>
          <w:sz w:val="28"/>
          <w:sz w:val="28"/>
          <w:szCs w:val="28"/>
          <w:rtl w:val="true"/>
          <w:lang w:bidi="ar-SA"/>
        </w:rPr>
        <w:t>أخفى مولده وستر أمره لصعوبة الوقت وشدّة طلب السلطة واجتهادها في البحث عن أمره؛ ولكنّ الله سبحانه حفظه من شرار أعدائه كما حفظ سائر أوليائه كإبراهيم الخليل وموسى الكليم فقد خابت السلطة في طلبهما والاعتداء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الإمام بالعسكري لأنّه منسوب إلى عسكر، ويراد بها سرّ من رأى التي بناها المعتصم وانتقل إليها بعسكره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049167_3650668749"/>
      <w:bookmarkStart w:id="133" w:name="_Toc48"/>
      <w:bookmarkEnd w:id="132"/>
      <w:r>
        <w:rPr>
          <w:rtl w:val="true"/>
        </w:rPr>
        <w:t>الإمام الثاني عشر</w:t>
      </w:r>
      <w:r>
        <w:rPr>
          <w:rtl w:val="true"/>
        </w:rPr>
        <w:t>: «</w:t>
      </w:r>
      <w:r>
        <w:rPr>
          <w:rtl w:val="true"/>
        </w:rPr>
        <w:t xml:space="preserve">المهدي بن الحسن المنتظر </w:t>
      </w:r>
      <w:r>
        <w:rPr>
          <w:rtl w:val="true"/>
        </w:rPr>
        <w:t>[»</w:t>
      </w:r>
      <w:bookmarkEnd w:id="133"/>
    </w:p>
    <w:p>
      <w:pPr>
        <w:pStyle w:val="Heading4"/>
        <w:numPr>
          <w:ilvl w:val="3"/>
          <w:numId w:val="1"/>
        </w:numPr>
        <w:rPr/>
      </w:pPr>
      <w:bookmarkStart w:id="134" w:name="__RefHeading___Toc3049169_3650668749"/>
      <w:bookmarkStart w:id="135" w:name="_Toc49"/>
      <w:bookmarkEnd w:id="134"/>
      <w:r>
        <w:rPr>
          <w:rtl w:val="true"/>
        </w:rPr>
        <w:t>اشارة</w:t>
      </w:r>
      <w:bookmarkEnd w:id="1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أبوالقاسم 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الخلف الصالح، ولد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سنة خمس وخمسين ومئتين وله من العمر عند استشهاد أبيه خمس سنين، آتاه الله الحكم صبياً كما حدث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وجعله إماماً وهو طفل كما جعل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وهو رضيع، قال سبحانه عن لسانه وهو يخاطب قومه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اتّفق المسلمون على ظهور المهدي في آخر الزمان لإزالة</w:t>
      </w:r>
    </w:p>
    <w:p>
      <w:pPr>
        <w:pStyle w:val="BookText"/>
        <w:rPr/>
      </w:pPr>
      <w:r>
        <w:rPr>
          <w:rFonts w:ascii="Amiri" w:hAnsi="Amiri" w:eastAsia="Amiri" w:cs="Amiri"/>
          <w:color w:val="111111"/>
          <w:sz w:val="28"/>
          <w:sz w:val="28"/>
          <w:szCs w:val="28"/>
          <w:rtl w:val="true"/>
          <w:lang w:bidi="ar-SA"/>
        </w:rPr>
        <w:t>الجهل والظلم والجور، ونشر أعلام العدل وإعلاء كلمة الحق وإظهارالدّين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فهو بإذن الله ينجي العالم من ذلّ عبودية غير الله، ويلغي الأخلاق والعادات الذميمة، ويبطل القوانين الكافرة التي سنّتها الأهواء، ويقطع أواصر العصبيات القومية والعنصرية، ويمحو أسباب العداوة والبغضاء التي صارت سبباً لاختلاف الأمّة وافتراق الكلمة، ويحقّق الله سبحانه بظهوره وعده الذي وعد به المؤمنين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تشهد الأمّة بعد ظهوره عصراً ذهبياً لايبقى فيه على الأرض بيت إلّا ودخلته كلمة الإسلام، ولاتبقى قرية إلّا وينادى فيها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وعشياً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الاختلاف بين الشيعة والسنّة في ولادته، فالشيعة ذهبت إلى أنّ المهدي الموعود هو الإمام الثاني عشر الذي ولد بسامراء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واختفى بعد استشهاد أبيه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تضافرت عليه النصوص من آبائه على وجه ما ترك شكاً ولا شبهة، ووافقتهم جماعة من علماء أهل السنّة وقالوا بأنّه ولد</w:t>
      </w:r>
      <w:bookmarkStart w:id="136" w:name="pg1887_25462"/>
    </w:p>
    <w:p>
      <w:pPr>
        <w:pStyle w:val="BookText"/>
        <w:rPr/>
      </w:pPr>
      <w:bookmarkEnd w:id="136"/>
      <w:r>
        <w:rPr>
          <w:rFonts w:ascii="Amiri" w:hAnsi="Amiri" w:eastAsia="Amiri" w:cs="Amiri"/>
          <w:color w:val="111111"/>
          <w:sz w:val="28"/>
          <w:sz w:val="28"/>
          <w:szCs w:val="28"/>
          <w:rtl w:val="true"/>
          <w:lang w:bidi="ar-SA"/>
        </w:rPr>
        <w:t xml:space="preserve">وأنّه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سيولد في آخرالزمان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أهل البيت أدرى بما في البيت، فمن رجع إلى روايات أئمّة أهل‌البيت في كتبهم يظهرله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غيبتين 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رأى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أبيه وفي الغيبة الصغرى وحتى في الكبرى فحدّث عنه ولاحرج</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049171_3650668749"/>
      <w:bookmarkStart w:id="138" w:name="_Toc50"/>
      <w:bookmarkEnd w:id="137"/>
      <w:r>
        <w:rPr>
          <w:rtl w:val="true"/>
        </w:rPr>
        <w:t xml:space="preserve">أسئلة مهمّة حول المهدي </w:t>
      </w:r>
      <w:r>
        <w:rPr>
          <w:rtl w:val="true"/>
        </w:rPr>
        <w:t>(</w:t>
      </w:r>
      <w:r>
        <w:rPr>
          <w:rtl w:val="true"/>
        </w:rPr>
        <w:t>عج</w:t>
      </w:r>
      <w:r>
        <w:rPr>
          <w:rtl w:val="true"/>
        </w:rPr>
        <w:t>)</w:t>
      </w:r>
      <w:bookmarkEnd w:id="138"/>
    </w:p>
    <w:p>
      <w:pPr>
        <w:pStyle w:val="Heading5"/>
        <w:numPr>
          <w:ilvl w:val="4"/>
          <w:numId w:val="1"/>
        </w:numPr>
        <w:rPr/>
      </w:pPr>
      <w:bookmarkStart w:id="139" w:name="__RefHeading___Toc3049173_3650668749"/>
      <w:bookmarkStart w:id="140" w:name="_Toc51"/>
      <w:bookmarkEnd w:id="139"/>
      <w:r>
        <w:rPr>
          <w:rtl w:val="true"/>
        </w:rPr>
        <w:t>السؤال الأوّل</w:t>
      </w:r>
      <w:r>
        <w:rPr>
          <w:rtl w:val="true"/>
        </w:rPr>
        <w:t xml:space="preserve">: </w:t>
      </w:r>
      <w:r>
        <w:rPr>
          <w:rtl w:val="true"/>
        </w:rPr>
        <w:t>كيف يكون إماماً وهو غائب؟ وما فائدته؟</w:t>
      </w:r>
      <w:r>
        <w:rPr>
          <w:rtl w:val="true"/>
        </w:rPr>
        <w:t>!</w:t>
      </w:r>
      <w:bookmarkEnd w:id="140"/>
    </w:p>
    <w:p>
      <w:pPr>
        <w:pStyle w:val="BookText"/>
        <w:rPr/>
      </w:pPr>
      <w:r>
        <w:rPr>
          <w:rFonts w:ascii="Amiri" w:hAnsi="Amiri" w:eastAsia="Amiri" w:cs="Amiri"/>
          <w:color w:val="111111"/>
          <w:sz w:val="28"/>
          <w:sz w:val="28"/>
          <w:szCs w:val="28"/>
          <w:rtl w:val="true"/>
          <w:lang w:bidi="ar-SA"/>
        </w:rPr>
        <w:t>إنّ القيادة والهداية والقيام بوظائف الإمامة هو الغاية من تنصيب الإمام أو اختياره، وهو يتوقّف على كونه ظاهراً بين أبناء الأمّة مشاهداً لهم، فكيف يكون إماماً قائداً وهو غائب عنهم؟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على وجهين نقيضاً 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التركيز على هذا السؤال يعرب عن عدم التعرّف على أولياءالله وأنّهم بين ظاهر قائم بالأمور، ومختفٍ قائم بها من دون أن يعرفه</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نبي زمانه كما يخبر سبحانه عن مصاحب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فالقرآن إذن يدلّ على أنّ الولي ربّما يكون غائباً ولكنّه مع ذلك لايعيش في غفلة عن أمّته، بل يتصرّف في مصالحها، ويرعى شؤونها من دون أن يعرفه أبناء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 في تاريخ الأولياء فهذا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قد غاب عن قومه قرابة أربعين يوماً وكان نبياً ولياً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وجوه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علمنا بفائدة وجوده في زمن غيبته لايدلّ على عدم كونه مفيداً في زمن غيبته، ولاشك أنّ عقول البشر لاتصل إلى كثير من الأمور المهمّة في عالم التكوين والتشريع، بل لا تفهم مصلحة كثير من سننه وإن كان فعله سبحانه منزّهاً عن العبث، بعيداً عن اللغو، وعلى ذلك فيجب علينا التسليم أمام التشريع إذا وصل إلينا بصورة صحيحة كما</w:t>
      </w:r>
    </w:p>
    <w:p>
      <w:pPr>
        <w:pStyle w:val="BookText"/>
        <w:rPr/>
      </w:pPr>
      <w:r>
        <w:rPr>
          <w:rFonts w:ascii="Amiri" w:hAnsi="Amiri" w:eastAsia="Amiri" w:cs="Amiri"/>
          <w:color w:val="111111"/>
          <w:sz w:val="28"/>
          <w:sz w:val="28"/>
          <w:szCs w:val="28"/>
          <w:rtl w:val="true"/>
          <w:lang w:bidi="ar-SA"/>
        </w:rPr>
        <w:t>عرفت من تواتر الروايات على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لاتلازم عدم التصرف في الأمور وعدم الإستفادة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دلّت الروايات على أنّه يغيث المضطرين ويعود المرضى، وربّما يتكفّل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الشريفة قضاء حوائجهم وإن كان الناس لايعرفونه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الصلحاء من الأمّة الّذين يستدرّ بهم الغمام، لهم التشرّف بلقائه والاستفادة من نور وجوده، وبالتالي تستفيد الأمّة بواسطتهم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الإمام أن يتولّى التصرّف في الأمور الظاهرية بنفسه، بل له تولية غيره على التصرّف في الأمور كما فعل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وكلاء أربعة يقومون بحوائج النّاس، وكانت الصّلة بينه وبين الناس مستمرّة بهم، وفي الغيبة الكبرى نصب الفقهاء والعلماء العدول العالمين بالأحكام للقضاء وتدبير الأمور وإقامة الحدود، وجعلهم حجة على الناس، فهم يقومون في عصرالغيبة بصيانة الشرع عن التحريف وبيان الأحكام ودفع الشبهات وبكل ما يتوقّف عليه نظم 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41" w:name="pg1887_25468"/>
    </w:p>
    <w:p>
      <w:pPr>
        <w:pStyle w:val="BookText"/>
        <w:rPr/>
      </w:pPr>
      <w:bookmarkEnd w:id="141"/>
      <w:r>
        <w:rPr>
          <w:rFonts w:ascii="Amiri" w:hAnsi="Amiri" w:eastAsia="Amiri" w:cs="Amiri"/>
          <w:color w:val="111111"/>
          <w:sz w:val="28"/>
          <w:sz w:val="28"/>
          <w:szCs w:val="28"/>
          <w:rtl w:val="true"/>
          <w:lang w:bidi="ar-SA"/>
        </w:rPr>
        <w:t>فوائد كثيرة اخر تذكر في مجالها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049175_3650668749"/>
      <w:bookmarkStart w:id="143" w:name="_Toc52"/>
      <w:bookmarkEnd w:id="142"/>
      <w:r>
        <w:rPr>
          <w:rtl w:val="true"/>
        </w:rPr>
        <w:t>السؤال الثاني</w:t>
      </w:r>
      <w:r>
        <w:rPr>
          <w:rtl w:val="true"/>
        </w:rPr>
        <w:t xml:space="preserve">: </w:t>
      </w:r>
      <w:r>
        <w:rPr>
          <w:rtl w:val="true"/>
        </w:rPr>
        <w:t xml:space="preserve">لماذا غاب المهدي </w:t>
      </w:r>
      <w:r>
        <w:rPr>
          <w:rtl w:val="true"/>
        </w:rPr>
        <w:t>[</w:t>
      </w:r>
      <w:r>
        <w:rPr>
          <w:rtl w:val="true"/>
        </w:rPr>
        <w:t>؟</w:t>
      </w:r>
      <w:r>
        <w:rPr>
          <w:rtl w:val="true"/>
        </w:rPr>
        <w:t>!</w:t>
      </w:r>
      <w:bookmarkEnd w:id="143"/>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يجاب عليه بالنقض والحلّ؛</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بقصور أفهامنا أولى من ردّ الروايات المتواترة،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ظاهراً لأقدموا على قتله إطفاءً لنوره، فلأجل ذلك اقتضت المصلحة أن يكون مستوراً عن أعين النّاس إلى أن تقتضي مشيئة الله سبحانه ظهوره بعد حصول استعداد خاص في العالم لقبوله والإنضواء تحت لواء طاعته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049177_3650668749"/>
      <w:bookmarkStart w:id="145" w:name="_Toc53"/>
      <w:bookmarkEnd w:id="144"/>
      <w:r>
        <w:rPr>
          <w:rtl w:val="true"/>
        </w:rPr>
        <w:t>السؤال الثالث</w:t>
      </w:r>
      <w:r>
        <w:rPr>
          <w:rtl w:val="true"/>
        </w:rPr>
        <w:t xml:space="preserve">: </w:t>
      </w:r>
      <w:r>
        <w:rPr>
          <w:rtl w:val="true"/>
        </w:rPr>
        <w:t xml:space="preserve">الإمام المهدي </w:t>
      </w:r>
      <w:r>
        <w:rPr>
          <w:rtl w:val="true"/>
        </w:rPr>
        <w:t>[</w:t>
      </w:r>
      <w:r>
        <w:rPr>
          <w:rtl w:val="true"/>
        </w:rPr>
        <w:t>وطول عمره؟</w:t>
      </w:r>
      <w:r>
        <w:rPr>
          <w:rtl w:val="true"/>
        </w:rPr>
        <w:t>!</w:t>
      </w:r>
      <w:bookmarkEnd w:id="145"/>
    </w:p>
    <w:p>
      <w:pPr>
        <w:pStyle w:val="BookText"/>
        <w:rPr/>
      </w:pPr>
      <w:r>
        <w:rPr>
          <w:rFonts w:ascii="Amiri" w:hAnsi="Amiri" w:eastAsia="Amiri" w:cs="Amiri"/>
          <w:color w:val="111111"/>
          <w:sz w:val="28"/>
          <w:sz w:val="28"/>
          <w:szCs w:val="28"/>
          <w:rtl w:val="true"/>
          <w:lang w:bidi="ar-SA"/>
        </w:rPr>
        <w:t>الجواب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وحلّاً؛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الذكر الحكيم على أنّ شيخ الأنبياء عاش قرابة ألف سنة،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30"/>
      </w:r>
      <w:bookmarkStart w:id="146" w:name="pg1887_25470"/>
    </w:p>
    <w:p>
      <w:pPr>
        <w:pStyle w:val="BookText"/>
        <w:rPr/>
      </w:pPr>
      <w:bookmarkEnd w:id="146"/>
      <w:r>
        <w:rPr>
          <w:rFonts w:ascii="Amiri" w:hAnsi="Amiri" w:eastAsia="Amiri" w:cs="Amiri"/>
          <w:color w:val="111111"/>
          <w:sz w:val="28"/>
          <w:sz w:val="28"/>
          <w:szCs w:val="28"/>
          <w:rtl w:val="true"/>
          <w:lang w:bidi="ar-SA"/>
        </w:rPr>
        <w:t>و قد تضمّنت التوراة أسماء جماعة كثيرة من المعمّرين، وذكرت أحوالهم في سفر التكوين، وقد قام المسلمون بتأليف كتب حول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عن إمكان طول العمر يعرب عن عدم التعرّف على سعة قدرة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أضف إلى ذلك ما ثبت في علم الأحياء، من إمكان طول عمر الإنسان إذا كان مراعياً لقواعد حفظ الصحة، وأنّ موت الإنسان في فترة متدنية ليس لقصور الإقتضاء، بل لعوارض تمنع عن استمرار الحياة، ولو أمكن تحصين الإنسان منها بالأدوية والمعالجات الخاصّة لطال عمره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في حياة شخص اجتماع موجبات الصحة من كلّ وجه طال عمره إلى ما شاء الله</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049179_3650668749"/>
      <w:bookmarkStart w:id="148" w:name="_Toc54"/>
      <w:bookmarkEnd w:id="147"/>
      <w:r>
        <w:rPr>
          <w:rtl w:val="true"/>
        </w:rPr>
        <w:t>السؤال الرابع</w:t>
      </w:r>
      <w:r>
        <w:rPr>
          <w:rtl w:val="true"/>
        </w:rPr>
        <w:t xml:space="preserve">: </w:t>
      </w:r>
      <w:r>
        <w:rPr>
          <w:rtl w:val="true"/>
        </w:rPr>
        <w:t>ما هي علائم ظهوره؟</w:t>
      </w:r>
      <w:r>
        <w:rPr>
          <w:rtl w:val="true"/>
        </w:rPr>
        <w:t>!</w:t>
      </w:r>
      <w:bookmarkEnd w:id="1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ماجاء في كتب الأحاديث من الحوادث والفتن الواقعة في آخرالزمان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أمور،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الخسوف والكسوف في غير مواقعهما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الشقاق والنفاق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ذيوع الجور والظلم والهرج والمرج في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الإنسان بالموت الأحمر والأبيض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غيرذلك ممّا جاء في الأحاديث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علامات ظهوره، ولكن هناك أمور تمهّد لظهوره وتسهّل تحقيق أهدافه نشير إلى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العالمي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الصناعات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الثوري العالمي</w:t>
      </w:r>
      <w:r>
        <w:rPr>
          <w:rFonts w:eastAsia="Amiri" w:cs="Amiri" w:ascii="Amiri" w:hAnsi="Amiri"/>
          <w:color w:val="111111"/>
          <w:sz w:val="28"/>
          <w:szCs w:val="28"/>
          <w:rtl w:val="true"/>
          <w:lang w:bidi="ar-SA"/>
        </w:rPr>
        <w:t>.</w:t>
      </w:r>
      <w:bookmarkStart w:id="149" w:name="pg1887_25474"/>
    </w:p>
    <w:p>
      <w:pPr>
        <w:pStyle w:val="Heading2"/>
        <w:numPr>
          <w:ilvl w:val="1"/>
          <w:numId w:val="1"/>
        </w:numPr>
        <w:rPr/>
      </w:pPr>
      <w:bookmarkStart w:id="150" w:name="__RefHeading___Toc3049181_3650668749"/>
      <w:bookmarkStart w:id="151" w:name="_Toc55"/>
      <w:bookmarkEnd w:id="149"/>
      <w:bookmarkEnd w:id="150"/>
      <w:r>
        <w:rPr>
          <w:rtl w:val="true"/>
        </w:rPr>
        <w:t>الفصل الثالث</w:t>
      </w:r>
      <w:r>
        <w:rPr>
          <w:rtl w:val="true"/>
        </w:rPr>
        <w:t xml:space="preserve">: </w:t>
      </w:r>
      <w:r>
        <w:rPr>
          <w:rtl w:val="true"/>
        </w:rPr>
        <w:t>دورالشيعة في بناء الحضارة الإسلامية</w:t>
      </w:r>
      <w:bookmarkEnd w:id="151"/>
    </w:p>
    <w:p>
      <w:pPr>
        <w:pStyle w:val="Heading3"/>
        <w:numPr>
          <w:ilvl w:val="2"/>
          <w:numId w:val="1"/>
        </w:numPr>
        <w:rPr/>
      </w:pPr>
      <w:bookmarkStart w:id="152" w:name="__RefHeading___Toc3049183_3650668749"/>
      <w:bookmarkStart w:id="153" w:name="_Toc56"/>
      <w:bookmarkEnd w:id="152"/>
      <w:r>
        <w:rPr>
          <w:rtl w:val="true"/>
        </w:rPr>
        <w:t>تمهيد</w:t>
      </w:r>
      <w:r>
        <w:rPr>
          <w:rtl w:val="true"/>
        </w:rPr>
        <w:t>:</w:t>
      </w:r>
      <w:bookmarkEnd w:id="153"/>
    </w:p>
    <w:p>
      <w:pPr>
        <w:pStyle w:val="BookText"/>
        <w:rPr/>
      </w:pPr>
      <w:r>
        <w:rPr>
          <w:rFonts w:ascii="Amiri" w:hAnsi="Amiri" w:eastAsia="Amiri" w:cs="Amiri"/>
          <w:color w:val="111111"/>
          <w:sz w:val="28"/>
          <w:sz w:val="28"/>
          <w:szCs w:val="28"/>
          <w:rtl w:val="true"/>
          <w:lang w:bidi="ar-SA"/>
        </w:rPr>
        <w:t>إنّ الحضارة الإسلامية تعدّ بلا شكّ من أكبر الحضارات في تاريخ الإنسان وأكثرها اهتماماً بالعلم والفلسفة والأدب والفنون، وهي الأساس الوطيد الذي قامت عليه حركة النهضة الأوروبية، إنّها حضارة حقيقية ترتكز على أُسس أخلاقية وعقائدية سماوية، ضربت جذورها في أعماق البناء الإنساني واستطاعت أن تجعل منه وكما أراد خالقه له أن يكون خليفته في أرضه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مؤسس الحضارة الإسلامية هو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w:t>
      </w:r>
    </w:p>
    <w:p>
      <w:pPr>
        <w:pStyle w:val="BookText"/>
        <w:rPr/>
      </w:pPr>
      <w:r>
        <w:rPr>
          <w:rFonts w:ascii="Amiri" w:hAnsi="Amiri" w:eastAsia="Amiri" w:cs="Amiri"/>
          <w:color w:val="111111"/>
          <w:sz w:val="28"/>
          <w:sz w:val="28"/>
          <w:szCs w:val="28"/>
          <w:rtl w:val="true"/>
          <w:lang w:bidi="ar-SA"/>
        </w:rPr>
        <w:t>بسنن وقوانين دفعت البشرية إلى مكارم الأخلاق كما دفعتهم إلى متابعة العلوم والفنون واستغلال الموارد الطبيعية وتكوين مجتمع تسود فيه النظم الاجتماعية المستقيمة، فأصبحت لهم قوّة اقتصادية ونظم سياسية وتقاليد دينيّه وخُلقيّه، وأُعطوا العلوم المختلفة جلّ اهتمامهم، فبرز منهم العديد من العلماء المتفوّقين والبارعين في شتّى مناحي العلم، ورفدوا حركة تطوّر الحضارة البشرية بجهودهم المخلصة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يطيب لنا هنا ذكر مشاركة الشيعة في بناء هذه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النحو</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دراسة القرآن بين الأمّة ونشر مفاهيمه يتوقّف على معرفة العلوم الّتي تعدّ مفتاحاً له، إذ لولا هذه العلوم ونضجها لحرم جميع المسلمين حتّى العرب منهم من الاستفادة من القرآن الكريم، فقام أبوالأسود الدؤلي بوضع قواعد نحوية بأمر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فأبوالأسود إمّا واضع علم النحو أو مدوّنه، وكان من سادات التابعين، وقد صاحب علياً، وشهد معه صفين، ثمّ أقام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الخليل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شيعته، وممّن ألّف في علم النحو من قدماء الشيعة عطاء بن أبي الأسود وحمران بن أعين أخو زرارة بن أعين وأبوعثمان المازني وبكر بن محمد ويعقوب بن إسحاق السكّيت الذي قتله المتوكل لأجل تشيّعه عام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خلّف بضعة وعشرين أثراً في النحو واللغة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ابن حمدون وأحمد بن إبراهيم وأبواسحاق النّحوي وثعلبة بن ميمون وقتيبة النحوي الجعفي الكوفي، هذا في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تلاهم من الأعلام بينهم شخصيات بارزة كالشريف المرتضى والشّريف الرضي وابن الشجري، ونجم الأئمّة الرّضي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الصّرف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من دوّن الصرف أبوعثمان المازني، وكان قبل ذلك مندرجاً في علم النّحو، كما ذكره في كشف الظنون وشرحه أبوالفتح عثمان بن جنّي المتوفّى في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وأبسط كتاب في الصرف ما كتبه نجم الأئمّة محمّد بن الحسن الأسترآبادي الغروي، وله شرح الشافية في الصرف كما له شرح الكافية في</w:t>
      </w:r>
    </w:p>
    <w:p>
      <w:pPr>
        <w:pStyle w:val="BookText"/>
        <w:rPr/>
      </w:pPr>
      <w:r>
        <w:rPr>
          <w:rFonts w:ascii="Amiri" w:hAnsi="Amiri" w:eastAsia="Amiri" w:cs="Amiri"/>
          <w:color w:val="111111"/>
          <w:sz w:val="28"/>
          <w:sz w:val="28"/>
          <w:szCs w:val="28"/>
          <w:rtl w:val="true"/>
          <w:lang w:bidi="ar-SA"/>
        </w:rPr>
        <w:t>النحو، وكلا كتابيه جليل الخطر محمود الأثر قد جمع فيهما بين الدلائل والمباني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بعلم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بألفاظ اللغة من حيث اصولها واشتقاقاتها ومعانيها، وقد ظهر في ميدان هذاالعلم المهمّ جملة واسعة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الأفاضل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البصري الفراهيدي الأزدي، وهو أول من ضبط اللّغة وأوّل من استخرج علم العروض إلى الوجود،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 ذلك على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 من أعلام القرن الثاني الهجري، وكان إمامي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بن رباح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حمدون النديم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واختصره الصاحب بن العباد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كتبه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العروض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الخليل بن أحمد الفراهيدي البصري وكافي الكفاة الصاحب</w:t>
      </w:r>
    </w:p>
    <w:p>
      <w:pPr>
        <w:pStyle w:val="BookText"/>
        <w:rPr/>
      </w:pPr>
      <w:r>
        <w:rPr>
          <w:rFonts w:ascii="Amiri" w:hAnsi="Amiri" w:eastAsia="Amiri" w:cs="Amiri"/>
          <w:color w:val="111111"/>
          <w:sz w:val="28"/>
          <w:sz w:val="28"/>
          <w:szCs w:val="28"/>
          <w:rtl w:val="true"/>
          <w:lang w:bidi="ar-SA"/>
        </w:rPr>
        <w:t xml:space="preserve">بن عباد،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وهبةالدين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مصطفى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وأبوالمجد الشيخ محمد رضا الإصفهاني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وطرائف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بالشعر ما يحتوي على المضامين العالية في الحياة وما يبثّ روح الجهاد في الإنسان، فإنّا نعني بحديثنا هنا أولئك الشعراء الذين أوقفوا أشعارهم في خدمة كلمة الحق وإعلاء شأن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أسماء بعض من شعراء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 بن عبادة سيد الخزرج والصحابي الكبير والكميت بن زيد والسيد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أبوهاشم إسماعيل بن محمد الملقّب بالسيد ودعبل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نسبه إلى بديل بن ورقاء الخزاعي الذي دعا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والأمير أبوفراس الحمداني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الحجّاج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ومهيارالديلمي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المفّسرون الحقيقيون للقرآن الكريم، حيث فسّروا القرآن بالعلوم الّتي نحلهم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بأقوالهم وأفعالهم وتقريراتهم الّتي لاتشذّ عن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فضلاء الشيعة من صحابة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له إلى العصر الحاضر إما بتفسير جميع سوره أو بعضها، والغالب على التفاسير المعروفة في القرون الثلاثة الاولى هو التفسير بالأثر، ولكن انقلب النمط إلى التفسير العلمي والتحليلي من أواخر القرن الرابع، فأوّل من ألّف من الشيعة على هذا المنهاج هو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الشريف المرتضى في أماليه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الشيخ الأكبر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أجزاء كبار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واستمرار الأمر إلى عصرنا هذا، فقد قامت الشيعة في كلّ قرن بتأليف عشرات التفاسير وفق أساليب متنوّعة ولغات متعدّدة، لايحصيها إلّا المتوغّل في المعاجم فبلغ عددهم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الإمام 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عدّة كتب في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أملى رسول الله كثيراً من الأحكام عليه وكتبها الإمام، واشتهر بكتاب علي، وتبعه ثلّة من الصحابة الذين كانوا شيعة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أسماء من اهتمّ بتدوين الآثار وما له صلة بالدّين وإن لم يكن حديث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أبورافع وسلمان فارسي وأبوذر غفاري وأصبغ بن نباتة المجاشعي وعبدالله بن أبي رافع المدني وربيعة بن سميع وسليم بن قيس هلالي وعلي بن أبي رافع وعبيدالله بن الحرّ الجعفي والإمام السّجاد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وجابربن يزيد بن الحارث الجعفي وجارود بن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لم يقيموا لمنع الخلفاء وزناً ولاقيمة، وبذلك حفظوا نصوص النبي‌الأكرم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وقدّموها إلى المجتمع الإسلامي، فعلى جميع علماء المسلمين أن يتمسّكوا بهذا الحبل الذي هو 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والفقه الإسلامي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الفقه الشيعي هو الشجرة الطيبة الراسخة الجذور المتّصلة الأسس بالنّبوة والتي امتازت بالسعة والشمولية والعمق والدقّة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والقدرة على مسايرة العصور المختلفة، يعتمد في الدرجة الاولى على القرآن الكريم، ثم على السّنة المحمّدية المنقولة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العترة الطاهرة أو الثقات من أصحابهم والتابعين لهم بإحسان، وكذلك يتخذ من العقل دليلًا وأيضاً الإجماع الكاشف عن وجود النصّ في المسألة أو موافقة الإمام المعصوم مع المجمعين في عصر الحضور، ولم‌يقفل باب الاجتهاد منذ رحلة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بل فتح بابه طيلة القرون، فأنتج عبرالعصور فقهاء عظاماً وموسوعات كبيرة لم‌يشهد التاريخ لها ولهم مثيلًا، كزرارة بن أعين ومحمد ابن مسلم وبريد بن معاوية والفضل بن يسار وجميل بن دراج وعبدالله بن مسكان وعبدالله بن بُكير وحمّاد بن عثمان وحمّاد بن عيسى وأبان بن عثمان ومحمد بن أبي عمير والحسن بن محبوب، وكلّهم خرّيجو مدرسة أهل‌البيت، ولقد خلّفوا آثاراً علميةً باسم الأصل والكتاب والنوادر والجامع والمسائل وعناوين أخرى، فخلّفوا جوامع فقهية مهمّة كانت ولازالت خير زاد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صفوان بن يحيى وأحمد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المحاسن وغيره ومحمد بن أحمد بن يحيى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p>
    <w:p>
      <w:pPr>
        <w:pStyle w:val="BookText"/>
        <w:rPr/>
      </w:pPr>
      <w:r>
        <w:rPr>
          <w:rFonts w:ascii="Amiri" w:hAnsi="Amiri" w:eastAsia="Amiri" w:cs="Amiri"/>
          <w:color w:val="111111"/>
          <w:sz w:val="28"/>
          <w:sz w:val="28"/>
          <w:szCs w:val="28"/>
          <w:rtl w:val="true"/>
          <w:lang w:bidi="ar-SA"/>
        </w:rPr>
        <w:t>ابن محمد بن أبي نصر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محمّد بن قولويه أستاذ الشيخ الصّدوق ومؤلّف كامل الزيارات ومحمّد بن علي بن الحسين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من لايحضره الفقيه والمقنع والهداية ومحمد بن أحمد بن الجنيد المعروف بالإسكافي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الله أنّ علماء الشيعة قاموا بهذه الجهود في ظروف قاسية ورهيبة، وكانت الحكومات الظالمة ومرتزقتها لاينفكون عن مطاردتهم وإيداعهم في السجون وعرضهم على السّيف، وأين هؤلاء من الفقهاء الذين تنعّموا بالهدوء والاستقرار واستقبلتهم السلطات الحاكمة بصدر رحب واجيزوا مقابل أبيات معدودة من الشعر الرخيص أو كتيب أو رسالة صغيرة بالهبات والعطايا؟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أصول الفقه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افتقاد النصّ في مجال التشريع الّذي واجه فقهاء أهل السنّة بعد رحلة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دعاهم إلى التفحّص عن</w:t>
      </w:r>
    </w:p>
    <w:p>
      <w:pPr>
        <w:pStyle w:val="BookText"/>
        <w:rPr/>
      </w:pPr>
      <w:r>
        <w:rPr>
          <w:rFonts w:ascii="Amiri" w:hAnsi="Amiri" w:eastAsia="Amiri" w:cs="Amiri"/>
          <w:color w:val="111111"/>
          <w:sz w:val="28"/>
          <w:sz w:val="28"/>
          <w:szCs w:val="28"/>
          <w:rtl w:val="true"/>
          <w:lang w:bidi="ar-SA"/>
        </w:rPr>
        <w:t>الحلّ لهذه الأزمة حتّى تسدّ حاجاتهم الفقهية، فعكفوا على المقاييس الظنيّة الّتي ما أنزل الله بها من سلطان كالقياس والاستقراء والاستحسان وسدّ الذرائع وسنّة الخلفاء أو سنّة الصحابة أو رأي أهل المدينة إلى غير ذلك من القواعد أسّسوا عليها فقههم عبر قرون متمادية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فحيث إنّهم لم يفتقدوا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لوجود باب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فلم‌تكن هناك أيّة حاجة للعمل بتلك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انبرى أئمّة أهل البيت إلى إملاء ضوابط وقواعد يرجع إليها الفقيه عند فقدان النصّ أو إجماله أو تعارضه إلى غير ذلك من الحالات الّتي يواجه بها الفقيه، وتلك الأصول هي الّتي تكون أساساً لعلم أصول الفقه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عدّها مرحلة أولى ونواة بالنسبة إلى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المرحلة الثانية فقد امتازت بالسعة والشمول بإدخال كثير من المسائل الأدبية والكلامية في 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فتح هذا الباب للشيعة على مصراعيه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الأمّة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المرتضى والشيخ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زهره المتوفى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سديدالدين الحمصي المتوفّى حدود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تلتها مراحل أخرى إلى أن بلغت في القرن الرابع عشرذروتها وقمّتها، شكرالله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المغازي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قيّض الله سبحانه رجالًا في الشيعة ضبطوا سيرة النبي ومغازيه،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 رافع، وهو من أصحاب الإمام أميرالمؤمنين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في مغازي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 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أبومخنف لوط بن يحيى الأزدي الغامدي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بن السائب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وعلم الرّجال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علماء الشيعة بعد عصر التابعين بعلم الرجال وأولوه</w:t>
      </w:r>
    </w:p>
    <w:p>
      <w:pPr>
        <w:pStyle w:val="BookText"/>
        <w:rPr/>
      </w:pPr>
      <w:r>
        <w:rPr>
          <w:rFonts w:ascii="Amiri" w:hAnsi="Amiri" w:eastAsia="Amiri" w:cs="Amiri"/>
          <w:color w:val="111111"/>
          <w:sz w:val="28"/>
          <w:sz w:val="28"/>
          <w:szCs w:val="28"/>
          <w:rtl w:val="true"/>
          <w:lang w:bidi="ar-SA"/>
        </w:rPr>
        <w:t>اهتماماً كبيراً، فبرزت منهم ثلّة كبيرة من سادات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وسنحاول هنا أن نذكر أوائل المؤلّفين،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من أصحاب الإمامين الهادي والعسكري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 السرّاد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أبوعمر الكشّي، الشيخ أبوالعبّاس أحمد بن علي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وتوالى التأليف في علم الرّجال كما في قرينه علم الدراية إلى عصرنا هذا، فبلغوا قرابة خمسمائة مؤلّف، شكّرالله مساعي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سوى قليل منهم صاروا بين مشبّه ومعطّل، وبذلك استغنوا عن أيّ تعقّل وتفكّر غير أنّه سبحانه شملت عنايته أمّة من المسلمين رفضوا التشبيه والتعطيل، وسلكوا طريقاً ثالثاً، وقالوا بأنّه يمكن للإنسان التعرّف على ماوراء الطبيعة بما فيها من الجمال والكمال بلا تشبيه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ذلك في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في أحاديثه وخطبه ورسائله، فإنّ خطب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 وقصار حكمه كانت هي الحجر الأساس لكلام الشيعة وآرائهم في العقائد والمعارف، ولم‌يتوقّف نشاط الشيعة في ذلك المجال، فواصل</w:t>
      </w:r>
    </w:p>
    <w:p>
      <w:pPr>
        <w:pStyle w:val="BookText"/>
        <w:rPr/>
      </w:pPr>
      <w:r>
        <w:rPr>
          <w:rFonts w:ascii="Amiri" w:hAnsi="Amiri" w:eastAsia="Amiri" w:cs="Amiri"/>
          <w:color w:val="111111"/>
          <w:sz w:val="28"/>
          <w:sz w:val="28"/>
          <w:szCs w:val="28"/>
          <w:rtl w:val="true"/>
          <w:lang w:bidi="ar-SA"/>
        </w:rPr>
        <w:t>الأئمّة من بعده عليهم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تربية شيعتهم، فشحذوا عقولهم بالدعوة إلى التدّبر والتفكّر في المعارف حتى تربّى في مدرستهم عمالقة الفكر من عصر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ومحمد بن علي بن نعمان بن أبي طريفة البجلّي الّذي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وهشام بن الحكم وقيس الماصر الذي تعلّم الكلام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شاذان بن خليل أبومحمد الأزدي النيشابوري وشيخنا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أودّ أن اشير إلى بعض أساتذة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أبوعلي بن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فيلسوف إسلامي شيعي ظهر في المشرق، وقد ذاع صيته شرقاً وغرباً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نصيرالدين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كمال‌الدين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بن علي بن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المراد في شرح تجريد الاعتقاد شيخ الطوسي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قطب‌الدين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العلّامة الحلّي</w:t>
      </w:r>
    </w:p>
    <w:p>
      <w:pPr>
        <w:pStyle w:val="BookText"/>
        <w:rPr/>
      </w:pPr>
      <w:r>
        <w:rPr>
          <w:rFonts w:ascii="Amiri" w:hAnsi="Amiri" w:eastAsia="Amiri" w:cs="Amiri"/>
          <w:color w:val="111111"/>
          <w:sz w:val="28"/>
          <w:sz w:val="28"/>
          <w:szCs w:val="28"/>
          <w:rtl w:val="true"/>
          <w:lang w:bidi="ar-SA"/>
        </w:rPr>
        <w:t>واستاذ الشهيد الأوّل</w:t>
      </w:r>
    </w:p>
    <w:p>
      <w:pPr>
        <w:pStyle w:val="BookText"/>
        <w:rPr/>
      </w:pPr>
      <w:r>
        <w:rPr>
          <w:rFonts w:ascii="Amiri" w:hAnsi="Amiri" w:eastAsia="Amiri" w:cs="Amiri"/>
          <w:color w:val="111111"/>
          <w:sz w:val="28"/>
          <w:sz w:val="28"/>
          <w:szCs w:val="28"/>
          <w:rtl w:val="true"/>
          <w:lang w:bidi="ar-SA"/>
        </w:rPr>
        <w:t>إلى غير ذلك كالفاضل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محمدباقر المعروف بالداماد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وتلميذه المعروف بصدرالمتألهين مؤلّف الأسفار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قدماء الشيعة والعلوم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بيت آل نوبخت بيت شيعي عريق، فقد قاموا بترجمة الكثير من كتب العلوم والمعرفة من اللغة الفارسية إلى العربية، كما برع منهم من له باع طويل في كثير من العلوم ومنها العلوم الكونية والنّجوم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أبوعلي أحمد بن محمد بن يعقوب 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الشيعة وأعلام فلاسفتهم، صنّف في علوم الأوائل، وله تعليقات في المنطق ومقالات جليلة في أقسام الحكمة والرياضة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الكيمياء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أبي يعقوب 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جغرافي في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أبوالحسن علي بن الحسين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في التاريخ والجغرافية وتقويم البلدان</w:t>
      </w:r>
      <w:r>
        <w:rPr>
          <w:rFonts w:eastAsia="Amiri" w:cs="Amiri" w:ascii="Amiri" w:hAnsi="Amiri"/>
          <w:color w:val="111111"/>
          <w:sz w:val="28"/>
          <w:szCs w:val="28"/>
          <w:rtl w:val="true"/>
          <w:lang w:bidi="ar-SA"/>
        </w:rPr>
        <w:t>.</w:t>
      </w:r>
      <w:bookmarkStart w:id="154" w:name="pg1887_25503"/>
    </w:p>
    <w:p>
      <w:pPr>
        <w:pStyle w:val="Heading3"/>
        <w:numPr>
          <w:ilvl w:val="2"/>
          <w:numId w:val="1"/>
        </w:numPr>
        <w:rPr/>
      </w:pPr>
      <w:bookmarkStart w:id="155" w:name="__RefHeading___Toc3049185_3650668749"/>
      <w:bookmarkStart w:id="156" w:name="_Toc57"/>
      <w:bookmarkEnd w:id="154"/>
      <w:bookmarkEnd w:id="155"/>
      <w:r>
        <w:rPr>
          <w:rtl w:val="true"/>
        </w:rPr>
        <w:t>بلدان الشيعة وأماكن تواجدهم‌</w:t>
      </w:r>
      <w:bookmarkEnd w:id="156"/>
    </w:p>
    <w:p>
      <w:pPr>
        <w:pStyle w:val="BookText"/>
        <w:rPr/>
      </w:pPr>
      <w:r>
        <w:rPr>
          <w:rFonts w:ascii="Amiri" w:hAnsi="Amiri" w:eastAsia="Amiri" w:cs="Amiri"/>
          <w:color w:val="111111"/>
          <w:sz w:val="28"/>
          <w:sz w:val="28"/>
          <w:szCs w:val="28"/>
          <w:rtl w:val="true"/>
          <w:lang w:bidi="ar-SA"/>
        </w:rPr>
        <w:t>ينتشر الشيعة في جميع أنحاء العالم بنسب مختلفة، وربّما تعدّ بعض البلدان معقل الشيعة ومزدحمها حيث يكون المذهب السائد فيها هو مذهب التشيّع في حين تتفاوت هذه النسبة في بلدان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أسماء بعضها،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 والعراق وسورية والسعودية وتركيا وأفغانستان والباكستان والهند واليمن ومصر والإمارات العربية المتّحدة والبحرين والكويت وعمان والتّبت والصين وآذربيجان وطاجيكستان وباقي الجمهوريات المتحرّرة بانحلال الاتحاد السوفيتي، وماليزيا وأندونيسيا وسيلان وتايلند وسنغافورة وشمال أفريقيا والصومال والأرجنتين وبريطانيا وألمانيا وفرنسا وألبانيا والولايات المتحدة وكندا وغيرها من الدول المختلفة الّتي يضيق المجال بحصرها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هذه الشريعة الغرّاء من سمات العدل والمساواة ورفض التمييز العنصري والنظام الطبقي وأنّ الناس فيه كأسنان المشط لافضل لأعجمي على عربي ولا لعربي على أعجمي إلّا بالتقوى، فكان ذلك هو الدافع المهمّ للشعوب للدخول في</w:t>
      </w:r>
    </w:p>
    <w:p>
      <w:pPr>
        <w:pStyle w:val="BookText"/>
        <w:rPr/>
      </w:pPr>
      <w:r>
        <w:rPr>
          <w:rFonts w:ascii="Amiri" w:hAnsi="Amiri" w:eastAsia="Amiri" w:cs="Amiri"/>
          <w:color w:val="111111"/>
          <w:sz w:val="28"/>
          <w:sz w:val="28"/>
          <w:szCs w:val="28"/>
          <w:rtl w:val="true"/>
          <w:lang w:bidi="ar-SA"/>
        </w:rPr>
        <w:t>الإسلام والانضواء تحت رايته، من غير فرق بين قوم دون قوم وشعب دون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السبب الحقيقي لولائهم وجنوحهم إلى أهل‌البيت هو أنّهم شاهدوا أنّ علياً وأهل بيته خلافاً للخلفاء عامّتهم يكافحون فكرة القومية ويطبّقون المساواة، فكان ذلك نواة لبذر الولاء في قلوب بعضهم، يرثه الأبناء من الآباء وإن لم يكن الحب يوم ذاك ملازماً للقول بخلافتهم عن الرسول وإمامتهم بعده، بل كان حبّاً وودّاً خالصاً لأسباب نفسية لا قيادية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نسأله سبحانه أن يرفع كلمة التوحيد في ربوع العالم، ويوفّق المسلمين لتوحيد الكلمة ورصّ الصفوف، إنّه على ذلك لقدير</w:t>
      </w:r>
      <w:r>
        <w:rPr>
          <w:rFonts w:eastAsia="Amiri" w:cs="Amiri" w:ascii="Amiri" w:hAnsi="Amiri"/>
          <w:color w:val="111111"/>
          <w:sz w:val="28"/>
          <w:szCs w:val="28"/>
          <w:rtl w:val="true"/>
          <w:lang w:bidi="ar-SA"/>
        </w:rPr>
        <w:t>.</w:t>
      </w:r>
      <w:bookmarkStart w:id="157" w:name="pg1887_25507"/>
    </w:p>
    <w:p>
      <w:pPr>
        <w:pStyle w:val="Heading2"/>
        <w:numPr>
          <w:ilvl w:val="1"/>
          <w:numId w:val="1"/>
        </w:numPr>
        <w:rPr/>
      </w:pPr>
      <w:bookmarkStart w:id="158" w:name="__RefHeading___Toc3049187_3650668749"/>
      <w:bookmarkStart w:id="159" w:name="_Toc58"/>
      <w:bookmarkEnd w:id="157"/>
      <w:bookmarkEnd w:id="158"/>
      <w:r>
        <w:rPr>
          <w:rtl w:val="true"/>
        </w:rPr>
        <w:t>الفصل الرابع</w:t>
      </w:r>
      <w:r>
        <w:rPr>
          <w:rtl w:val="true"/>
        </w:rPr>
        <w:t xml:space="preserve">: </w:t>
      </w:r>
      <w:r>
        <w:rPr>
          <w:rtl w:val="true"/>
        </w:rPr>
        <w:t>مع الشيعة الإمامية في عقائدهم‌</w:t>
      </w:r>
      <w:bookmarkEnd w:id="159"/>
    </w:p>
    <w:p>
      <w:pPr>
        <w:pStyle w:val="Heading3"/>
        <w:numPr>
          <w:ilvl w:val="2"/>
          <w:numId w:val="1"/>
        </w:numPr>
        <w:rPr/>
      </w:pPr>
      <w:bookmarkStart w:id="160" w:name="__RefHeading___Toc3049189_3650668749"/>
      <w:bookmarkStart w:id="161" w:name="_Toc59"/>
      <w:bookmarkEnd w:id="160"/>
      <w:r>
        <w:rPr>
          <w:rtl w:val="true"/>
        </w:rPr>
        <w:t>تمهيد</w:t>
      </w:r>
      <w:r>
        <w:rPr>
          <w:rtl w:val="true"/>
        </w:rPr>
        <w:t>:</w:t>
      </w:r>
      <w:bookmarkEnd w:id="16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المناهج الكلامية فرّقت المسلمين إلى مذاهب، حدثت في أواخر القرن الأول الهجري، واستمرّت في القرون التالية، فنجمت عنها فرق إسلامية مختلفة كالمرجئة والجهمية والمعتزلة والحشوية والأشعرية والكرامية بفرقهم المتشعّبة فإنّ المرء لايجد لها تاريخاً متّصلًا بزمن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فالخوارج مثلًا كانوا فرقة سياسية نشأت 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حرب صفّين ثمّ تبدّلت إلى فرقة دينية في أواخر القرن الأول وأوائل القرن الثاني، والمرجئة ظهرت في الأوساط الإسلامية عند اختلاف</w:t>
      </w:r>
    </w:p>
    <w:p>
      <w:pPr>
        <w:pStyle w:val="BookText"/>
        <w:rPr/>
      </w:pPr>
      <w:r>
        <w:rPr>
          <w:rFonts w:ascii="Amiri" w:hAnsi="Amiri" w:eastAsia="Amiri" w:cs="Amiri"/>
          <w:color w:val="111111"/>
          <w:sz w:val="28"/>
          <w:sz w:val="28"/>
          <w:szCs w:val="28"/>
          <w:rtl w:val="true"/>
          <w:lang w:bidi="ar-SA"/>
        </w:rPr>
        <w:t>النّاس في الخليفة عثمان والإمام علي، ثمّ تطوّرت إلى معنى آخر، وكان من حصيلة التطوّر هو تقديم الإيمان وتأخير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الجهمية نتيجة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تستمدّ اَصولها من واصل بن عطاء تلميذ الحسن البصري المتوفّى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القدرية والكرامية والظاهرية والأشعرية، فجميعها فرق نتجت عن البحث الكلامي وصقلها الجدل عبر القرون، فلاتجد لهذه الفرق سنداً متصلًا بالنبي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عقائد الشيعة الإمامية فعلى النقيض من ذلك، ولا صلة في نشأتها بينها وبين تلك الفرق؛ لأنّها اخذت أساساً من مصادر التشريع الحقيقية للإسلام،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الحكيم أوّلًا، والسّنة النبوية ثانياً، وخطب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من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يحدّد تاريخ عقائدهم بتاريخ الإسلام وحياة أئمّتهم الطاهرين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الأمر الجدير بالذكر هو أنّ المرتكز الأساسي لبناء العقيدة الخاصّة بالشيعة الإمامية هو الاعتقاد بأنّ الإمام علياً منصوص عليه بالوصاية الخاصة على لسان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62" w:name="pg1887_25511"/>
    </w:p>
    <w:p>
      <w:pPr>
        <w:pStyle w:val="BookText"/>
        <w:rPr/>
      </w:pPr>
      <w:bookmarkEnd w:id="162"/>
      <w:r>
        <w:rPr>
          <w:rFonts w:ascii="Amiri" w:hAnsi="Amiri" w:eastAsia="Amiri" w:cs="Amiri"/>
          <w:color w:val="111111"/>
          <w:sz w:val="28"/>
          <w:sz w:val="28"/>
          <w:szCs w:val="28"/>
          <w:rtl w:val="true"/>
          <w:lang w:bidi="ar-SA"/>
        </w:rPr>
        <w:t>وأنّه وعترته الطاهرة هم المرجع الأعلى بعد الذكر الحكيم، وهذا هو العنصر المقوّم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الاصول فإنّها عقائد إسلامية لاتختصّ بالشيعة الإمامية وحدها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049191_3650668749"/>
      <w:bookmarkStart w:id="164" w:name="_Toc60"/>
      <w:bookmarkEnd w:id="163"/>
      <w:r>
        <w:rPr>
          <w:rtl w:val="true"/>
        </w:rPr>
        <w:t>الفرق بين الشيعة الإمامية والمعتزلة</w:t>
      </w:r>
      <w:bookmarkEnd w:id="164"/>
    </w:p>
    <w:p>
      <w:pPr>
        <w:pStyle w:val="BookText"/>
        <w:rPr/>
      </w:pPr>
      <w:r>
        <w:rPr>
          <w:rFonts w:ascii="Amiri" w:hAnsi="Amiri" w:eastAsia="Amiri" w:cs="Amiri"/>
          <w:color w:val="111111"/>
          <w:sz w:val="28"/>
          <w:sz w:val="28"/>
          <w:szCs w:val="28"/>
          <w:rtl w:val="true"/>
          <w:lang w:bidi="ar-SA"/>
        </w:rPr>
        <w:t>إنّ المتأمل في مجمل عقائد هاتين الفرقتين يمكنه أن يتبيّن بوضوح جوانب الاتّفاق والاختلاف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لأهل الكبائر بإسقاط العقاب عنهم أو بإخراجهم من النّار؛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للمطيعين المستحقّين للثواب، وتكون نتيجة الشفاعة ترفيع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الأمامية والأشاعرة مؤمن فاسق،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منزلته بين المنزلتين، أي بين الكفر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مخلوقتان الآن بدلالة الشرع على ذلك، وأكثر المعتزلة يذهب إلى أنّهما غير موجودتين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w:t>
      </w:r>
    </w:p>
    <w:p>
      <w:pPr>
        <w:pStyle w:val="BookText"/>
        <w:rPr/>
      </w:pPr>
      <w:r>
        <w:rPr>
          <w:rFonts w:ascii="Amiri" w:hAnsi="Amiri" w:eastAsia="Amiri" w:cs="Amiri"/>
          <w:color w:val="111111"/>
          <w:sz w:val="28"/>
          <w:sz w:val="28"/>
          <w:szCs w:val="28"/>
          <w:rtl w:val="true"/>
          <w:lang w:bidi="ar-SA"/>
        </w:rPr>
        <w:t>وجوبهما؛ فقالت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سمعاً، ولولا النصّ لم يكن دليل على الوجوب، خلافاً للمعتزلة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والأشاعرة على بطلان الإحباط،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حسابه الخاصّ، ولاترتبط الطاعات بالمعاصي ولاالمعاصي بالطاعات، والإحباط يختصّ بذنوب خاصّة كالشرك وما يتلوه، بخلاف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المتأخرة تسقط الثواب المتقدّم فمن عبدالله طول عمره ثمّ كذب فهو كمن لم‌يعبد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تشدّدت المعتزلة في تمسّكهم بالعقل، وتشدّد أهل الظاهر في تمسّكهم بظاهر النصّ، وخالفهما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الإمامية والأشاعرة على أنّ قبول التوبة بفضل من الله، ولايجب عقلًا إسقاطها للعقاب،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مسقطة للعقاب على وجه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الإمامية على أنّ الأنبياء أفضل من الملائكة، وأجمعت المعتزلة على خلاف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الإمامية على أنّ الإنسان غير مسيّر ولا مفوّض إليه، بل هو في ذلك المجال بين الأمرين، بين الجبر والتفويض،</w:t>
      </w:r>
      <w:bookmarkStart w:id="165" w:name="pg1887_25515"/>
    </w:p>
    <w:p>
      <w:pPr>
        <w:pStyle w:val="BookText"/>
        <w:rPr/>
      </w:pPr>
      <w:bookmarkEnd w:id="165"/>
      <w:r>
        <w:rPr>
          <w:rFonts w:ascii="Amiri" w:hAnsi="Amiri" w:eastAsia="Amiri" w:cs="Amiri"/>
          <w:color w:val="111111"/>
          <w:sz w:val="28"/>
          <w:sz w:val="28"/>
          <w:szCs w:val="28"/>
          <w:rtl w:val="true"/>
          <w:lang w:bidi="ar-SA"/>
        </w:rPr>
        <w:t>وأجمعت المعتزلة على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الإمامية والأشاعرة على أنّه لابدّ في أوّل التكليف وابتدائه من رسول، وخالفت المعتزلة وزعموا أنّ العقول تعمل بمجرّدها عن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الاصول التي خالفت الإمامية فيها المعتزلة، ووافقت فيها الأشاعرة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049193_3650668749"/>
      <w:bookmarkStart w:id="167" w:name="_Toc61"/>
      <w:bookmarkEnd w:id="166"/>
      <w:r>
        <w:rPr>
          <w:rtl w:val="true"/>
        </w:rPr>
        <w:t>الفرق بين الشيعة الإمامية والأشاعرة</w:t>
      </w:r>
      <w:bookmarkEnd w:id="167"/>
    </w:p>
    <w:p>
      <w:pPr>
        <w:pStyle w:val="BookText"/>
        <w:rPr/>
      </w:pPr>
      <w:r>
        <w:rPr>
          <w:rFonts w:ascii="Amiri" w:hAnsi="Amiri" w:eastAsia="Amiri" w:cs="Amiri"/>
          <w:color w:val="111111"/>
          <w:sz w:val="28"/>
          <w:sz w:val="28"/>
          <w:szCs w:val="28"/>
          <w:rtl w:val="true"/>
          <w:lang w:bidi="ar-SA"/>
        </w:rPr>
        <w:t>هناك اصول خالفت الإمامية فيها الأشاعرة، مخالفة بالدليل والبرهان وتبعاً لأئمتهم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الذاتية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صفات ذاتية كالعلم والقدرة، فهي عند الأشاعرة صفات قديمة مغايرة للذات زائدة عليها، وهي عند الإمامية عين الذات، وعند المعتزله الذات معطّلة من الصفات والذات نائبة مناب الصفات، بمعنى أنه ليس لها علم ولكن فعلها عن علم وليس لها قدرة ولكن فعلها عن قدرة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الخبرية الواردة في الكتاب والسنّة، كالوجه والأيدي والاستواء وأمثالها، فالشيعة الإمامية يؤوّلونها تأويلًا مقبولًا، لا تأويلًا مرفوضاً، أي إنّ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w:t>
      </w:r>
    </w:p>
    <w:p>
      <w:pPr>
        <w:pStyle w:val="BookText"/>
        <w:rPr/>
      </w:pPr>
      <w:r>
        <w:rPr>
          <w:rFonts w:ascii="Amiri" w:hAnsi="Amiri" w:eastAsia="Amiri" w:cs="Amiri"/>
          <w:color w:val="111111"/>
          <w:sz w:val="28"/>
          <w:sz w:val="28"/>
          <w:szCs w:val="28"/>
          <w:rtl w:val="true"/>
          <w:lang w:bidi="ar-SA"/>
        </w:rPr>
        <w:t>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أنّه بري‌ءٌ من البخل، بل هو باذل وسخي وقادر على البذل؛ وأمّا الأشاعرة وأهل الحديث والحنابلة فهم يفسّرونها بالمفهوم التصوّري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يدين، إلّا أنّهم يتهرّبون عن التجسيم والتشبيه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أو لا كأيدينا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عند الإمامية صادرة من نفس العباد، فالإنسان هو الفاعل لأفعاله بقدرة مكتسبة من الله، وإنّ قدرته المكتسبة هي المؤثّرة بإذن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الأشاعرة فذهبوا إلى أنّ أفعال العباد مخلوقة لله سبحانه، فليس للإنسان فيها صنع ولا دور وليس لقدرته أيّ تأثير في تحققّ الفعل، وأقصى ما عندهم أنّ إرادة الإنسان للعقل تقارن إيجاد الله سبحانه فعله في عالم التكوين والوجود،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الخالق، والإنسان هو الكاسب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نظرية غريبة غير مفهومة ومليئة بالألغاز التي عجز عن فهمها وإيضاحها حتّى مبتدعوها أنفسهم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في الإنسان على فعل من الأفعال تقارنه تارة وتتقدّم عليه أخرى، فلو أريد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فهي</w:t>
      </w:r>
    </w:p>
    <w:p>
      <w:pPr>
        <w:pStyle w:val="BookText"/>
        <w:rPr/>
      </w:pPr>
      <w:r>
        <w:rPr>
          <w:rFonts w:ascii="Amiri" w:hAnsi="Amiri" w:eastAsia="Amiri" w:cs="Amiri"/>
          <w:color w:val="111111"/>
          <w:sz w:val="28"/>
          <w:sz w:val="28"/>
          <w:szCs w:val="28"/>
          <w:rtl w:val="true"/>
          <w:lang w:bidi="ar-SA"/>
        </w:rPr>
        <w:t>مقارنة، ولو أريد العلة الناقصة فهي متقدّمة، خلافاً للأشاعرة فقد قالوا بالتقارن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بالأبصار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مستحيلة عند الإمامية والمعتزلة، ممكنة عند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سبحانه عند الإمامية هو فعله، فهو حادث لاقديم، وهذا خلافاً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عبارة عن الكلام النفسي القائم بذاته، فهو قديم كقدم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العقل يدرك حسن بعض الأفعال أو قبحها، بمعنى أنّ نفس الفعل من أيّ فاعل صدر، سواء أكان الفاعل قديماً أو حادثاً، واجباً أو وممكناً، يتّصف بأحدهما ويتلّقاه حكماً مطلقاً سائداً على مرّ الحقب والأزمان، لا يغيّره شي‌ءٌ؛ وهذا خلافاً للأشاعرة، فقد عزلوا العقل عن إدراك الحسن والقبيح، وبذلك خالفوا الإمامية والمعتزلة في الفروع المترتّبه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الشيعة وإن خالفوا في هذه الاصول طائفة من الطوائف الإسلامية ووافقوا طوائف اخرى، ولكن هناك اصول اتّفق الجميع فيها دون استثناء، أفما آن للمسلمين أن يتّحدوا في ظلّ هذه الاصول المؤلّفة لقلوبهم، ويستظلّوا بظلالها ويتمسّكوا</w:t>
      </w:r>
      <w:bookmarkStart w:id="168" w:name="pg1887_25521"/>
    </w:p>
    <w:p>
      <w:pPr>
        <w:pStyle w:val="BookText"/>
        <w:rPr/>
      </w:pPr>
      <w:bookmarkEnd w:id="168"/>
      <w:r>
        <w:rPr>
          <w:rFonts w:ascii="Amiri" w:hAnsi="Amiri" w:eastAsia="Amiri" w:cs="Amiri"/>
          <w:color w:val="111111"/>
          <w:sz w:val="28"/>
          <w:sz w:val="28"/>
          <w:szCs w:val="28"/>
          <w:rtl w:val="true"/>
          <w:lang w:bidi="ar-SA"/>
        </w:rPr>
        <w:t>بالعروة الوثقى، ولا يصغوا إلى النعرات المفرّقة المفترية على الشيعة وأئمتهم؟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049195_3650668749"/>
      <w:bookmarkStart w:id="170" w:name="_Toc62"/>
      <w:bookmarkEnd w:id="169"/>
      <w:r>
        <w:rPr>
          <w:rtl w:val="true"/>
        </w:rPr>
        <w:t>الفرق بين الشيعة الإمامية وسائِر الفرق‌</w:t>
      </w:r>
      <w:bookmarkEnd w:id="170"/>
    </w:p>
    <w:p>
      <w:pPr>
        <w:pStyle w:val="BookText"/>
        <w:rPr/>
      </w:pPr>
      <w:r>
        <w:rPr>
          <w:rFonts w:ascii="Amiri" w:hAnsi="Amiri" w:eastAsia="Amiri" w:cs="Amiri"/>
          <w:color w:val="111111"/>
          <w:sz w:val="28"/>
          <w:sz w:val="28"/>
          <w:szCs w:val="28"/>
          <w:rtl w:val="true"/>
          <w:lang w:bidi="ar-SA"/>
        </w:rPr>
        <w:t>إذا تعرّفت على الفوارق الموجودة بين الشيعة وبعض طوائف المسلمين؛ فهلمّ معي إلى الفوارق الجوهرية بينهم وبين سائر الطوائف التي صيّرتهم إلى الفرقتين متمايزتين واكثرها يرجع إلى مسألة القياده والخلافة بعد الرسول‌الأكرم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فنأخذ بالبحث عنها على وجه الإجمال</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049197_3650668749"/>
      <w:bookmarkStart w:id="172" w:name="_Toc63"/>
      <w:bookmarkEnd w:id="171"/>
      <w:r>
        <w:rPr>
          <w:rtl w:val="true"/>
        </w:rPr>
        <w:t>المسألة الاولى</w:t>
      </w:r>
      <w:r>
        <w:rPr>
          <w:rtl w:val="true"/>
        </w:rPr>
        <w:t>: «</w:t>
      </w:r>
      <w:r>
        <w:rPr>
          <w:rtl w:val="true"/>
        </w:rPr>
        <w:t>وجوب تنصيب‌الإمام‌على الله‌سبحانه</w:t>
      </w:r>
      <w:r>
        <w:rPr>
          <w:rtl w:val="true"/>
        </w:rPr>
        <w:t>»</w:t>
      </w:r>
      <w:bookmarkEnd w:id="172"/>
    </w:p>
    <w:p>
      <w:pPr>
        <w:pStyle w:val="BookText"/>
        <w:rPr/>
      </w:pPr>
      <w:r>
        <w:rPr>
          <w:rFonts w:ascii="Amiri" w:hAnsi="Amiri" w:eastAsia="Amiri" w:cs="Amiri"/>
          <w:color w:val="111111"/>
          <w:sz w:val="28"/>
          <w:sz w:val="28"/>
          <w:szCs w:val="28"/>
          <w:rtl w:val="true"/>
          <w:lang w:bidi="ar-SA"/>
        </w:rPr>
        <w:t>تتّفق جميع الفرق الإسلامية على أصل وجوب نصب الإمام سوى العجاردة من الخوارج ومنهم حاتم الأصمّ أحد شيوخ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يذهبون إلى وجوبه على الله تعالى، وباقي الفرق على الامّة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من وجوبه على الله سبحانه هو إصدار الحكم من العباد على الله‌سبحانه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بل</w:t>
      </w:r>
    </w:p>
    <w:p>
      <w:pPr>
        <w:pStyle w:val="BookText"/>
        <w:rPr/>
      </w:pPr>
      <w:r>
        <w:rPr>
          <w:rFonts w:ascii="Amiri" w:hAnsi="Amiri" w:eastAsia="Amiri" w:cs="Amiri"/>
          <w:color w:val="111111"/>
          <w:sz w:val="28"/>
          <w:sz w:val="28"/>
          <w:szCs w:val="28"/>
          <w:rtl w:val="true"/>
          <w:lang w:bidi="ar-SA"/>
        </w:rPr>
        <w:t>المراد كما ذكرنا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التعرّف على صفاته سبحانه، من كونه حكيماً غير عابث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مقتضى الحكمة هو لزوم النصب، فالعباد أقصر من أن يكونوا حاكمين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اختلاف المسلمين في كون النصب فرضاً على الله أو على الأمّة ينجم عن اختلافهم في حقيقة الخلافة والإمامة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ينظر إلى الإمام بوصفه رئيس دولة ليس له وظيفة إلّا تأمين الطرق والسبل وتوفير الأرزاق وإجراء الحدود والجهاد في سبيل الله إلى غير ذلك ممّا يقوم به رؤساء الدول بأشكالها المختلفة، فقد قال بوجوب نصبه على الأمّة، إذ لايشترط فيه من المواصفات إلّا الكفاءة والمقدرة على تدبير الامور، وهذا ما يمكن أن تقوم به الأمّة الإسلامية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بأنّ الإمامة استمرار لوظائف الرسالة، فمن المتّفق عليه أنّ تعهّد هذا الأمر يتوّقف على توفّر صلاحيات عالية لا ينالها الفرد إلّا إذا حظي بعناية إلهيّة خاصّة، فيخلف النبي في علمه بالاصول والفروع وفي سدّ جميع الفراغات الحاصلة بموته، ومن المعلوم أنّ هذا الأمر لاتتعرّف عليه الأمّة إلّا عن طريق الرسول، ولا يتوفّر وجوده إلّا بتربية غيبّية</w:t>
      </w:r>
    </w:p>
    <w:p>
      <w:pPr>
        <w:pStyle w:val="BookText"/>
        <w:rPr/>
      </w:pPr>
      <w:r>
        <w:rPr>
          <w:rFonts w:ascii="Amiri" w:hAnsi="Amiri" w:eastAsia="Amiri" w:cs="Amiri"/>
          <w:color w:val="111111"/>
          <w:sz w:val="28"/>
          <w:sz w:val="28"/>
          <w:szCs w:val="28"/>
          <w:rtl w:val="true"/>
          <w:lang w:bidi="ar-SA"/>
        </w:rPr>
        <w:t>وعناية سماوية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فمن جعلها سياسة زمنية وقتية يشغلها فرد من الأمّة بأحد الطرق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الإمام بعد الرسول أشبه برئيس الدولة أو أحد الحكام وتنتخبه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ولانرى الخروج على أئمتنا وولاة أمورنا وإن جاروا، ولا ندعو عليهم، ولاننزع يداً من طاعتهم، ونرى طاعتهم من طاعة الله فريضة ما لم‌يؤمروا بمعصية، وندعو لهم بالصلاح والمعافاة؛ والحجّ والجهاد ماضيان مع اولي الأمر من المسلمين برّهم وفاجرهم إلى قيام الساعة، ولا يبطلهما شي‌ءٌ ولاينقضهما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استدلّت الإمامية على وجوب نصب الإمام على الله سبحانه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الإمام الذي اختاره الله سبحانه مقرّب من الطاعات ومبعّد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تعرّفت على أنّ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وبوحي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بنصب إماماً للأمّة ليقود أمرهم ويسدّ جميع الفراغات الحاصلة بلحوقه بالرفيق الأعلى وبذلك حسم مادة النزاع وقطع الطريق على المشاغبين،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تناست الأمّة وصية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w:t>
      </w:r>
      <w:bookmarkStart w:id="173" w:name="pg1887_25527"/>
    </w:p>
    <w:p>
      <w:pPr>
        <w:pStyle w:val="Heading3"/>
        <w:numPr>
          <w:ilvl w:val="2"/>
          <w:numId w:val="1"/>
        </w:numPr>
        <w:rPr/>
      </w:pPr>
      <w:bookmarkStart w:id="174" w:name="__RefHeading___Toc3049199_3650668749"/>
      <w:bookmarkStart w:id="175" w:name="_Toc64"/>
      <w:bookmarkEnd w:id="173"/>
      <w:bookmarkEnd w:id="174"/>
      <w:r>
        <w:rPr>
          <w:rtl w:val="true"/>
        </w:rPr>
        <w:t>المسألة الثانية</w:t>
      </w:r>
      <w:r>
        <w:rPr>
          <w:rtl w:val="true"/>
        </w:rPr>
        <w:t>: «</w:t>
      </w:r>
      <w:r>
        <w:rPr>
          <w:rtl w:val="true"/>
        </w:rPr>
        <w:t>عصمة الإمام</w:t>
      </w:r>
      <w:r>
        <w:rPr>
          <w:rtl w:val="true"/>
        </w:rPr>
        <w:t>»</w:t>
      </w:r>
      <w:bookmarkEnd w:id="175"/>
    </w:p>
    <w:p>
      <w:pPr>
        <w:pStyle w:val="Heading4"/>
        <w:numPr>
          <w:ilvl w:val="3"/>
          <w:numId w:val="1"/>
        </w:numPr>
        <w:rPr/>
      </w:pPr>
      <w:bookmarkStart w:id="176" w:name="__RefHeading___Toc3049201_3650668749"/>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تفرّدت الإمامية من بين الفرق الإسلامية بإيجابها عصمة الإمام من الذّنب والخطأ، مع اتّفاق غيرهم على عدمها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049203_3650668749"/>
      <w:bookmarkStart w:id="179" w:name="_Toc66"/>
      <w:bookmarkEnd w:id="178"/>
      <w:r>
        <w:rPr>
          <w:rtl w:val="true"/>
        </w:rPr>
        <w:t>حقيقة العصمة</w:t>
      </w:r>
      <w:bookmarkEnd w:id="179"/>
    </w:p>
    <w:p>
      <w:pPr>
        <w:pStyle w:val="BookText"/>
        <w:rPr/>
      </w:pPr>
      <w:r>
        <w:rPr>
          <w:rFonts w:ascii="Amiri" w:hAnsi="Amiri" w:eastAsia="Amiri" w:cs="Amiri"/>
          <w:color w:val="111111"/>
          <w:sz w:val="28"/>
          <w:sz w:val="28"/>
          <w:szCs w:val="28"/>
          <w:rtl w:val="true"/>
          <w:lang w:bidi="ar-SA"/>
        </w:rPr>
        <w:t>العصمة قوة تمنع صاحبها من الوقوع في المعصية والخطأ، حيث لايترك واجباً ولا يفعل محرّماً، مع قدرته على الترك والفعل، و إلّا لم يستحق مدحاً ولاثواباً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قد بلغ من التقوى حدّاً لا تتغلّب عليه الشهوات والأهواء وبلغ من العلم في الشريعة وأحكامها مرتبة لا يخطأ معها أبداً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العصمة فكرة ابتدعتها الشيعة، وإنّما دلّهم عليها في حقّ العترة الطاهرة كتاب الله وسنّة رسوله،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وليس المراد من الرجس إلّا الرجس المعنوي، وأظهره هو الفسق</w:t>
      </w:r>
      <w:r>
        <w:rPr>
          <w:rFonts w:eastAsia="Amiri" w:cs="Amiri" w:ascii="Amiri" w:hAnsi="Amiri"/>
          <w:color w:val="111111"/>
          <w:sz w:val="28"/>
          <w:szCs w:val="28"/>
          <w:rtl w:val="true"/>
          <w:lang w:bidi="ar-SA"/>
        </w:rPr>
        <w:t>.</w:t>
      </w:r>
      <w:bookmarkStart w:id="180" w:name="pg1887_25529"/>
    </w:p>
    <w:p>
      <w:pPr>
        <w:pStyle w:val="BookText"/>
        <w:rPr/>
      </w:pPr>
      <w:bookmarkEnd w:id="180"/>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معه كيفما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دار معه الحقّ كيفما دار محال أن يعصي أو أن يخطأ؛ وقوله في حقّ العترة،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كانت العترة عدل القرآن والقرآن هو كلام الله تعالى، فمن المنطقي أن تكون معصومة حتى لا يخالف أحدهما الآخر</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049205_3650668749"/>
      <w:bookmarkStart w:id="182" w:name="_Toc67"/>
      <w:bookmarkEnd w:id="181"/>
      <w:r>
        <w:rPr>
          <w:rtl w:val="true"/>
        </w:rPr>
        <w:t>«</w:t>
      </w:r>
      <w:r>
        <w:rPr>
          <w:rtl w:val="true"/>
        </w:rPr>
        <w:t xml:space="preserve">الدليل على لزوم عصمة الإمام بعد النبي </w:t>
      </w:r>
      <w:r>
        <w:rPr>
          <w:rtl w:val="true"/>
        </w:rPr>
        <w:t>(</w:t>
      </w:r>
      <w:r>
        <w:rPr>
          <w:rtl w:val="true"/>
        </w:rPr>
        <w:t>ص</w:t>
      </w:r>
      <w:r>
        <w:rPr>
          <w:rtl w:val="true"/>
        </w:rPr>
        <w:t>)»</w:t>
      </w:r>
      <w:bookmarkEnd w:id="182"/>
    </w:p>
    <w:p>
      <w:pPr>
        <w:pStyle w:val="BookText"/>
        <w:rPr/>
      </w:pPr>
      <w:r>
        <w:rPr>
          <w:rFonts w:ascii="Amiri" w:hAnsi="Amiri" w:eastAsia="Amiri" w:cs="Amiri"/>
          <w:color w:val="111111"/>
          <w:sz w:val="28"/>
          <w:sz w:val="28"/>
          <w:szCs w:val="28"/>
          <w:rtl w:val="true"/>
          <w:lang w:bidi="ar-SA"/>
        </w:rPr>
        <w:t>يمكن الاستدلال على لزوم العصمة في الإمام بوجوه متعدّدة نورد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إذا كانت استمراراً لوظيفة النبوّة والرسالة وكان الإمام يملأ جميع الفراغات الحاصلة جرّاء رحلة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فلامناص من لزوم عصمته؛ وذلك لأنّ الغاية هي هداية الأمّة إلى الطريق المهيع، ولايحصل ذلك إلّا بالوثوق بقوله والاطمئنان بصحّة كلامه، فإذا جاز على الإمام الخطأ والنسيان والمعصية والخلاف ضعفت ثقة الناس به، فتنتفي الغاية من نصبه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p>
    <w:p>
      <w:pPr>
        <w:pStyle w:val="BookText"/>
        <w:rPr/>
      </w:pP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والاستدلال مبني على دعامتين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بطاعة اولي الأمر على وجه الإطلاق، ولم‌يقيد وجوب امتثال أوامرهم ونواهيهم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البديهي كونه سبحانه لايرضى لعباده الكفر والعصيان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من غير فرق بين أن يقوم به العباد ابتداءً من دون تدخّل أمر آمر ونهي ناهٍ أو يقدمون عليه بعد صدور أمر ونهي من اولي الأمر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فستكشف من إطلاق الأمر بالطاعة اشتمال المتعلّق على خصوصية تصدّه عن الأمر بغير الطاعة، وممّن صرّح بدلالة الآية على العصمة الإمام الرازي في تفسيره؟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والاستدلال بالآية على عصمة الإمام يتوقّف على تحديد مفهوم الإمامة الواردة في الآية وأنّ المقصود منها غير النّبوة والرسالة؛ لانّ إبراهيم كان نبياً ورسولًا وقائماً</w:t>
      </w:r>
      <w:bookmarkStart w:id="183" w:name="pg1887_25532"/>
    </w:p>
    <w:p>
      <w:pPr>
        <w:pStyle w:val="BookText"/>
        <w:rPr/>
      </w:pPr>
      <w:bookmarkEnd w:id="183"/>
      <w:r>
        <w:rPr>
          <w:rFonts w:ascii="Amiri" w:hAnsi="Amiri" w:eastAsia="Amiri" w:cs="Amiri"/>
          <w:color w:val="111111"/>
          <w:sz w:val="28"/>
          <w:sz w:val="28"/>
          <w:szCs w:val="28"/>
          <w:rtl w:val="true"/>
          <w:lang w:bidi="ar-SA"/>
        </w:rPr>
        <w:t>بوظائفهما طيلة سنين حتى خوطب بهذه الآية، فالمراد من الإمامة في المقام هو منصب القيادة وتنفيذ الشريعة في المجتمع بقوّة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وحكومة إلهية يبلغ المجتمع بها إلى السعادة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049207_3650668749"/>
      <w:bookmarkStart w:id="185" w:name="_Toc68"/>
      <w:bookmarkEnd w:id="184"/>
      <w:r>
        <w:rPr>
          <w:rtl w:val="true"/>
        </w:rPr>
        <w:t>ما هو المراد من الظالم؟</w:t>
      </w:r>
      <w:bookmarkEnd w:id="185"/>
    </w:p>
    <w:p>
      <w:pPr>
        <w:pStyle w:val="BookText"/>
        <w:rPr/>
      </w:pPr>
      <w:r>
        <w:rPr>
          <w:rFonts w:ascii="Amiri" w:hAnsi="Amiri" w:eastAsia="Amiri" w:cs="Amiri"/>
          <w:color w:val="111111"/>
          <w:sz w:val="28"/>
          <w:sz w:val="28"/>
          <w:szCs w:val="28"/>
          <w:rtl w:val="true"/>
          <w:lang w:bidi="ar-SA"/>
        </w:rPr>
        <w:t>أنّ الإمامة منصب إلهي لايناله الظالمون؛ لأنّ الإمام هو المطاع بين الناس المتصرّف في الأموال والنفوس، فيجب أن يكون على الصراط السوي، والظالم المتجاوز عن الحدّ لايصلح لهذا المنصب؛ كما أنّ الظالم الناكث لعهدالله والناقض لقوانينه وحدوده على شفا جرف هارٍ لايؤتمن عليه ولاتلقى إليه مقاليد الخلافة؛ لانّه على مقربة من الخيانة والتعّدي وعلى استعداد لأن يقع أداة للجائرين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المتلبس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عن الإنسان صلاحية الإمامة وإن تاب من ذنبه؛ فإنّ الناس بالنسبة إلى الظلم على اقسام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طيلة عمره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طاهراً ونقياً في جميع فترات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في بداية عمره وتائباً في آخره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طاهراً في بداية عمره وظالماً في آخره</w:t>
      </w:r>
      <w:r>
        <w:rPr>
          <w:rFonts w:eastAsia="Amiri" w:cs="Amiri" w:ascii="Amiri" w:hAnsi="Amiri"/>
          <w:color w:val="111111"/>
          <w:sz w:val="28"/>
          <w:szCs w:val="28"/>
          <w:rtl w:val="true"/>
          <w:lang w:bidi="ar-SA"/>
        </w:rPr>
        <w:t>.</w:t>
      </w:r>
      <w:bookmarkStart w:id="186" w:name="pg1887_25534"/>
    </w:p>
    <w:p>
      <w:pPr>
        <w:pStyle w:val="BookText"/>
        <w:rPr/>
      </w:pPr>
      <w:bookmarkEnd w:id="186"/>
      <w:r>
        <w:rPr>
          <w:rFonts w:ascii="Amiri" w:hAnsi="Amiri" w:eastAsia="Amiri" w:cs="Amiri"/>
          <w:color w:val="111111"/>
          <w:sz w:val="28"/>
          <w:sz w:val="28"/>
          <w:szCs w:val="28"/>
          <w:rtl w:val="true"/>
          <w:lang w:bidi="ar-SA"/>
        </w:rPr>
        <w:t>إنّ من غير المعقول والبديهي أن يسأل خليل الله تعالى الإمامة لأصحاب القسمين الأوّل والرابع من ذرّيته، لوضوح أنّ الغارق في الظلم من بداية عمره إلى آخره أو المتّصف به أيام تصدّيه للإمامة لايصلح أن يؤتمن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الله تعالى قد نفى امتلاك الإمامة من قبل الظالم مطلقاً حتى لو كان الظالم فيما سبق وهو القسم الثالث، فلا مناص من الجزم بتعلّقها بالقسم الثاني وحده دون باقي الأقسام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049209_3650668749"/>
      <w:bookmarkStart w:id="188" w:name="_Toc69"/>
      <w:bookmarkEnd w:id="187"/>
      <w:r>
        <w:rPr>
          <w:rtl w:val="true"/>
        </w:rPr>
        <w:t>العصمة في القول والرأي‌</w:t>
      </w:r>
      <w:bookmarkEnd w:id="1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 معصومون عن العصيان والمخالفة أوّلًا وعن الخطأ والزلّة في القول ثانياً، وما ذلك إلّا لأنّ كلّ إمام من الأوّل إلى الثاني عشر قد أحاط إحاطة شاملة كاملة بكلّ ما في هذين الأصلين، بحيث لا يشذّ عن علمهم معنى آية من آي الذكر الحكيم تنزيلًا وتأويلًا، ولاشي‌ء من سنّة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وتقريراً، وكفي بمن أحاط بعلوم الكتاب والسّنة فضلًا وعلماً وقد أخذ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الكتاب والسّنة وفهموها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أخذها ووعاها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وكما وعاها جبرئيل عن الله، ولافرق أبداً في شي‌ءٍ إلّا بالواسطة، ومنهم انتقلت هذه العلوم إلى الآخرين</w:t>
      </w:r>
      <w:r>
        <w:rPr>
          <w:rFonts w:eastAsia="Amiri" w:cs="Amiri" w:ascii="Amiri" w:hAnsi="Amiri"/>
          <w:color w:val="111111"/>
          <w:sz w:val="28"/>
          <w:szCs w:val="28"/>
          <w:rtl w:val="true"/>
          <w:lang w:bidi="ar-SA"/>
        </w:rPr>
        <w:t>.</w:t>
      </w:r>
      <w:bookmarkStart w:id="189" w:name="pg1887_25536"/>
    </w:p>
    <w:p>
      <w:pPr>
        <w:pStyle w:val="Heading3"/>
        <w:numPr>
          <w:ilvl w:val="2"/>
          <w:numId w:val="1"/>
        </w:numPr>
        <w:rPr/>
      </w:pPr>
      <w:bookmarkStart w:id="190" w:name="__RefHeading___Toc3049211_3650668749"/>
      <w:bookmarkStart w:id="191" w:name="_Toc70"/>
      <w:bookmarkEnd w:id="189"/>
      <w:bookmarkEnd w:id="190"/>
      <w:r>
        <w:rPr>
          <w:rtl w:val="true"/>
        </w:rPr>
        <w:t>المسألة الثالثة</w:t>
      </w:r>
      <w:r>
        <w:rPr>
          <w:rtl w:val="true"/>
        </w:rPr>
        <w:t>: «</w:t>
      </w:r>
      <w:r>
        <w:rPr>
          <w:rtl w:val="true"/>
        </w:rPr>
        <w:t xml:space="preserve">الإمام المنتظر </w:t>
      </w:r>
      <w:r>
        <w:rPr>
          <w:rtl w:val="true"/>
        </w:rPr>
        <w:t>[»</w:t>
      </w:r>
      <w:bookmarkEnd w:id="191"/>
    </w:p>
    <w:p>
      <w:pPr>
        <w:pStyle w:val="BookText"/>
        <w:rPr/>
      </w:pPr>
      <w:r>
        <w:rPr>
          <w:rFonts w:ascii="Amiri" w:hAnsi="Amiri" w:eastAsia="Amiri" w:cs="Amiri"/>
          <w:color w:val="111111"/>
          <w:sz w:val="28"/>
          <w:sz w:val="28"/>
          <w:szCs w:val="28"/>
          <w:rtl w:val="true"/>
          <w:lang w:bidi="ar-SA"/>
        </w:rPr>
        <w:t xml:space="preserve">إنّ جميع المسلمين يتفقون أساساً على فكرة قيام المهدي وما سيعمّ الأرض في عهده من العدل والأمن والخير العميم وإن كان هناك اختلاف ما يذكر في مضمون هذا الأمرالعظيم؛ فإنّ الأكثرية من أهل السّنة يقولون بأنّه سيولد في آخرالزمان، وأمّا الشيعة ولاستنادهم على جملة واسعة من الروايات والأدلة الصحيحة يذهبون إلى أنّه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يحيى حياة طبيعية كسائرالناس غير أنّ الناس يرونه ولايعرفونه، وسوف يظهره الله سبحانه ليحق عدله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3"/>
        <w:numPr>
          <w:ilvl w:val="2"/>
          <w:numId w:val="1"/>
        </w:numPr>
        <w:rPr/>
      </w:pPr>
      <w:bookmarkStart w:id="192" w:name="__RefHeading___Toc3049213_3650668749"/>
      <w:bookmarkStart w:id="193" w:name="_Toc71"/>
      <w:bookmarkEnd w:id="192"/>
      <w:r>
        <w:rPr>
          <w:rtl w:val="true"/>
        </w:rPr>
        <w:t>المسألة الرابعة</w:t>
      </w:r>
      <w:r>
        <w:rPr>
          <w:rtl w:val="true"/>
        </w:rPr>
        <w:t xml:space="preserve">: </w:t>
      </w:r>
      <w:r>
        <w:rPr>
          <w:rtl w:val="true"/>
        </w:rPr>
        <w:t>التقية</w:t>
      </w:r>
      <w:bookmarkEnd w:id="193"/>
    </w:p>
    <w:p>
      <w:pPr>
        <w:pStyle w:val="Heading4"/>
        <w:numPr>
          <w:ilvl w:val="3"/>
          <w:numId w:val="1"/>
        </w:numPr>
        <w:rPr/>
      </w:pPr>
      <w:bookmarkStart w:id="194" w:name="__RefHeading___Toc3049215_3650668749"/>
      <w:bookmarkStart w:id="195" w:name="_Toc72"/>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مفهومها، غايتها، دليلها، حدّها في ضوء الكتاب والسنّة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التقية، اسم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بدل من الواو، 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إطلاق التقوى على إطاعة الله، لأنّ المطيع يتّخذها وقاية من النّار والعذاب، والمراد هو التحفّظ عن ضرر الغير بموافقته في قول أو فعل، مخالف للحقّ، وهو إظهار الكفر وإبطان الإيمان أو التظاهر بالباطل وإخفاء الحقّ، فهي تقابل</w:t>
      </w:r>
      <w:bookmarkStart w:id="196" w:name="pg1887_25538"/>
    </w:p>
    <w:p>
      <w:pPr>
        <w:pStyle w:val="BookText"/>
        <w:rPr/>
      </w:pPr>
      <w:bookmarkEnd w:id="196"/>
      <w:r>
        <w:rPr>
          <w:rFonts w:ascii="Amiri" w:hAnsi="Amiri" w:eastAsia="Amiri" w:cs="Amiri"/>
          <w:color w:val="111111"/>
          <w:sz w:val="28"/>
          <w:sz w:val="28"/>
          <w:szCs w:val="28"/>
          <w:rtl w:val="true"/>
          <w:lang w:bidi="ar-SA"/>
        </w:rPr>
        <w:t>النفاق؛ فانّ النفاق عبارة عن إظهار الإيمان وإبطان الكفر والتظاهر بالحقّ وإخفاء الباطل</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049217_3650668749"/>
      <w:bookmarkStart w:id="198" w:name="_Toc73"/>
      <w:bookmarkEnd w:id="197"/>
      <w:r>
        <w:rPr>
          <w:rtl w:val="true"/>
        </w:rPr>
        <w:t>«</w:t>
      </w:r>
      <w:r>
        <w:rPr>
          <w:rtl w:val="true"/>
        </w:rPr>
        <w:t>غايتها</w:t>
      </w:r>
      <w:r>
        <w:rPr>
          <w:rtl w:val="true"/>
        </w:rPr>
        <w:t>»</w:t>
      </w:r>
      <w:bookmarkEnd w:id="1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صيانة النّفس والعِرض والمال؛ وذلك في ظروف قاهرة لايستطيع فيها المؤمن أن يعلن عن موقفه الحقّ صريحاً خوفاً من أن يترتّب على ذلك مضارّ وتهلكة من قوى ظالمة غاشمة، كلجوء الحكومات الظالمة إلى الإرهاب والتشريد والنفي والقتل والتنكيل ومصادرة الأموال وسلب الحقوق الحقّة، فلا يكون لصاحب العقيدة الذي يرى نفسه محقّاً محيص عن إبطانها إلى أن يحدث الله بعد ذلك أمراً، كما كان عليه مؤمن آل فرعون الذي حكاه سبحانه في الذكر الحكيم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فإذا كان هذا معنى التقية ومفهومها وكانت هذه غايتها وهدفها، فهو أمر فطري يسوق الإنسان إليه قبل كلّ شي‌ءٍ عقله ولبّه، وتدعوه إليه فطرته؛ ولأجل دعم هذا الأصل الحيوي ندرس دليله من القرآن والسّنة</w:t>
      </w:r>
      <w:r>
        <w:rPr>
          <w:rFonts w:eastAsia="Amiri" w:cs="Amiri" w:ascii="Amiri" w:hAnsi="Amiri"/>
          <w:color w:val="111111"/>
          <w:sz w:val="28"/>
          <w:szCs w:val="28"/>
          <w:rtl w:val="true"/>
          <w:lang w:bidi="ar-SA"/>
        </w:rPr>
        <w:t>.</w:t>
      </w:r>
      <w:bookmarkStart w:id="199" w:name="pg1887_25540"/>
    </w:p>
    <w:p>
      <w:pPr>
        <w:pStyle w:val="Heading4"/>
        <w:numPr>
          <w:ilvl w:val="3"/>
          <w:numId w:val="1"/>
        </w:numPr>
        <w:rPr/>
      </w:pPr>
      <w:bookmarkStart w:id="200" w:name="__RefHeading___Toc3049219_3650668749"/>
      <w:bookmarkStart w:id="201" w:name="_Toc74"/>
      <w:bookmarkEnd w:id="199"/>
      <w:bookmarkEnd w:id="200"/>
      <w:r>
        <w:rPr>
          <w:rtl w:val="true"/>
        </w:rPr>
        <w:t>«</w:t>
      </w:r>
      <w:r>
        <w:rPr>
          <w:rtl w:val="true"/>
        </w:rPr>
        <w:t>دليلها في القرآن والسنّة</w:t>
      </w:r>
      <w:r>
        <w:rPr>
          <w:rtl w:val="true"/>
        </w:rPr>
        <w:t>»</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ترى أنّه سبحانه بجوّز إظهار الكفر كرهاً ومجاراةً للكافرين خوفاً منهم بشرط أن يكون القلب مطمئناً بالإيمان،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اكرهوا على الكفر وهم عمّار وأبوه ياسر وأمّه 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ويُحَذِّرُكُمُ اللَّهُ نَفْسَهُ وإِلَى اللَّهِ الْمَصِيرُ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وكلمات المفسّرين حول الآية تغنينا عن أيّ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لهم في موالاتهم إذا خافوهم، والمراد بتلك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ومعاشرة ظاهرة والقلب مطمئنّ بالعداوة والبغضاء وانتظار زوال المانع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مُؤْمِنٌ مِنْ آلِ فِرْعَوْنَ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وحاقَ بِآلِ فِرْعَوْنَ</w:t>
      </w:r>
      <w:bookmarkStart w:id="202" w:name="pg1887_25542"/>
    </w:p>
    <w:p>
      <w:pPr>
        <w:pStyle w:val="BookText"/>
        <w:rPr/>
      </w:pPr>
      <w:bookmarkEnd w:id="202"/>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وما كان ذلك إلّا لأنّه بتقيته إستطاع أن ينجي نبي الله من الموت</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049221_3650668749"/>
      <w:bookmarkStart w:id="204" w:name="_Toc75"/>
      <w:bookmarkEnd w:id="203"/>
      <w:r>
        <w:rPr>
          <w:rtl w:val="true"/>
        </w:rPr>
        <w:t>«</w:t>
      </w:r>
      <w:r>
        <w:rPr>
          <w:rtl w:val="true"/>
        </w:rPr>
        <w:t>الظروف العصيبة الّتي مرّت بها الشيعة</w:t>
      </w:r>
      <w:r>
        <w:rPr>
          <w:rtl w:val="true"/>
        </w:rPr>
        <w:t>»</w:t>
      </w:r>
      <w:bookmarkEnd w:id="204"/>
    </w:p>
    <w:p>
      <w:pPr>
        <w:pStyle w:val="Heading4"/>
        <w:numPr>
          <w:ilvl w:val="3"/>
          <w:numId w:val="1"/>
        </w:numPr>
        <w:rPr/>
      </w:pPr>
      <w:bookmarkStart w:id="205" w:name="__RefHeading___Toc3049223_3650668749"/>
      <w:bookmarkStart w:id="206" w:name="_Toc76"/>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الّذي دفع بالشيعة إلى التقية بين إخوانهم وأبناء دينهم إنّما هوالخوف من السلطات الغاشمة؛ فلو لم‌يكن هناك في غابرالقرون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عصرالأمويين ثمّ العباسيين والعثمانييّن أيّ ضغط على الشيعة، ولم‌تكن بلادهم وعقر دارهم مخضية بدمائهم والتاريخ خير شاهد على ذلك، فهل من المعقول أن تنسى الشيعة كلمة التقية وأن تحذفها من ديوان حياتها ولكن ياللأسف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شعار كلّ ضعيف مسلوب الحرّية، إنّ الشيعة قد اشتهرت بالتقية أكثر من غيرها، لأنّها منيت باستمرار الضغط عليها أكثر من أيّة أمّةٍ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استشعروا بشعار التقية أكثر من أيّ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متبعة في ذلك سيرة الأئمّة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وأحكامهم الصارمة حول وجوب التقية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صادق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لاتقية له لا دين له</w:t>
      </w:r>
      <w:r>
        <w:rPr>
          <w:rFonts w:eastAsia="Amiri" w:cs="Amiri" w:ascii="Amiri" w:hAnsi="Amiri"/>
          <w:color w:val="111111"/>
          <w:sz w:val="28"/>
          <w:szCs w:val="28"/>
          <w:rtl w:val="true"/>
          <w:lang w:bidi="ar-SA"/>
        </w:rPr>
        <w:t>».</w:t>
      </w:r>
      <w:bookmarkStart w:id="207" w:name="pg1887_25544"/>
    </w:p>
    <w:p>
      <w:pPr>
        <w:pStyle w:val="Heading4"/>
        <w:numPr>
          <w:ilvl w:val="3"/>
          <w:numId w:val="1"/>
        </w:numPr>
        <w:rPr/>
      </w:pPr>
      <w:bookmarkStart w:id="208" w:name="__RefHeading___Toc3049225_3650668749"/>
      <w:bookmarkStart w:id="209" w:name="_Toc77"/>
      <w:bookmarkEnd w:id="207"/>
      <w:bookmarkEnd w:id="208"/>
      <w:r>
        <w:rPr>
          <w:rtl w:val="true"/>
        </w:rPr>
        <w:t>حدّ التقية</w:t>
      </w:r>
      <w:bookmarkEnd w:id="209"/>
    </w:p>
    <w:p>
      <w:pPr>
        <w:pStyle w:val="BookText"/>
        <w:rPr/>
      </w:pPr>
      <w:r>
        <w:rPr>
          <w:rFonts w:ascii="Amiri" w:hAnsi="Amiri" w:eastAsia="Amiri" w:cs="Amiri"/>
          <w:color w:val="111111"/>
          <w:sz w:val="28"/>
          <w:sz w:val="28"/>
          <w:szCs w:val="28"/>
          <w:rtl w:val="true"/>
          <w:lang w:bidi="ar-SA"/>
        </w:rPr>
        <w:t>إنّ مجال التقية إنّما هو في حدود القضايا الشخصية الجزئية عند وجود خوف على النفس والنفيس، وأمّا الأمور الكلّية الخارجة عن إطار الخوف فلا تتصوّر فيها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إنّما كانت تتّقي في عصر لم تكن لهم دولة تحميهم ولا قدرة ولا منعة تدفع عنهم الأخطار، وأمّا هذه الأعصار فلا مسوّغ ولا مبرّر للتقية إلّا في موارد خاصّة؛ إذ أنّ الشيعة لم‌تلجأ إلى التقية إلّا بعد أن اضطرّت إلى ذلك</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049227_3650668749"/>
      <w:bookmarkStart w:id="211" w:name="_Toc78"/>
      <w:bookmarkEnd w:id="210"/>
      <w:r>
        <w:rPr>
          <w:rtl w:val="true"/>
        </w:rPr>
        <w:t>«</w:t>
      </w:r>
      <w:r>
        <w:rPr>
          <w:rtl w:val="true"/>
        </w:rPr>
        <w:t>التقية المحرّمة</w:t>
      </w:r>
      <w:r>
        <w:rPr>
          <w:rtl w:val="true"/>
        </w:rPr>
        <w:t>»</w:t>
      </w:r>
      <w:bookmarkEnd w:id="2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التقية تنقسم حسب الأحكام الخمسة، فكما أنّها تجب لحفظ النفوس والأعراض والأموال، فإنّها تحرم إذا ترتّب عليها مفسدة أعظم كهدم الدين وخفاء الحقيقة علي الأجيال الآتية وتسلّط الأعداء على شؤون المسلمين وحرماتهم ومقدّساتهم؛ فالتقية أمام الحاكم الجائر كيزيد بن معاوية مثلًا محرّمة، إذ فيها الذلّ والهوان ونسيان المثل والرجوع إلى الوراء، فليست التقية في جوازها ومنعها تابعة للقوّة والضعف، وإنّما تحدّدها جوازاً ومنعاً مصالح الإسلام والمسلمين</w:t>
      </w:r>
      <w:r>
        <w:rPr>
          <w:rFonts w:eastAsia="Amiri" w:cs="Amiri" w:ascii="Amiri" w:hAnsi="Amiri"/>
          <w:color w:val="111111"/>
          <w:sz w:val="28"/>
          <w:szCs w:val="28"/>
          <w:rtl w:val="true"/>
          <w:lang w:bidi="ar-SA"/>
        </w:rPr>
        <w:t>.</w:t>
      </w:r>
      <w:bookmarkStart w:id="212" w:name="pg1887_25546"/>
    </w:p>
    <w:p>
      <w:pPr>
        <w:pStyle w:val="BookText"/>
        <w:rPr/>
      </w:pPr>
      <w:bookmarkEnd w:id="212"/>
      <w:r>
        <w:rPr>
          <w:rFonts w:ascii="Amiri" w:hAnsi="Amiri" w:eastAsia="Amiri" w:cs="Amiri"/>
          <w:color w:val="111111"/>
          <w:sz w:val="28"/>
          <w:sz w:val="28"/>
          <w:szCs w:val="28"/>
          <w:rtl w:val="true"/>
          <w:lang w:bidi="ar-SA"/>
        </w:rPr>
        <w:t>و من هذا الباب ما إذا كان المتقّي ممّن له شأن وأهمية في نظر الخلق، بحيث يكون ارتكابه لبعض المحرّمات تقية أو تركه لبعض الواجبات كذلك ممّا يعدّ موهناً للمذهب وهاتكاً لحرمه؛ فانّ التقية في مثلها غير جائزة، ضرورة أنّ تشريعها لبقاء المذهب وحفظ الأصول وجمع شتات المسلمين لإقامة الدين واصوله، فإذا بلغ الأمر إلى هدمها فلا تجوز التقية، وهي فيما إذا كان الخوف قائماً، وأمّا إذا ارتفع الخوف والضغط فلا موضع للتقية لغاية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 وأن يعلموا قدر الإمكان على فسح المجال لإخوانهم في الدين، فإنّ لكلّ فقيه مسلم رأيه ونظره وجهده وطاقته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يقتفون أثر أئمّة أهل البيت في العقيدة والشريعة ويرون رأيهم؛ لأنّهم هم الذين أذهب الله عنهم الرجس وطهّرهم تطهيراً، وأحد الثقلين اللّذين أمر الرسول بالتمسّك بهما في مجال العقيدة والشريعة، وهما حجة على الجميع</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049229_3650668749"/>
      <w:bookmarkStart w:id="214" w:name="_Toc79"/>
      <w:bookmarkEnd w:id="213"/>
      <w:r>
        <w:rPr>
          <w:rtl w:val="true"/>
        </w:rPr>
        <w:t>المسألة الخامسة</w:t>
      </w:r>
      <w:r>
        <w:rPr>
          <w:rtl w:val="true"/>
        </w:rPr>
        <w:t>: «</w:t>
      </w:r>
      <w:r>
        <w:rPr>
          <w:rtl w:val="true"/>
        </w:rPr>
        <w:t>البداء عند الشيعة الإمامية</w:t>
      </w:r>
      <w:r>
        <w:rPr>
          <w:rtl w:val="true"/>
        </w:rPr>
        <w:t>»</w:t>
      </w:r>
      <w:bookmarkEnd w:id="214"/>
    </w:p>
    <w:p>
      <w:pPr>
        <w:pStyle w:val="Heading4"/>
        <w:numPr>
          <w:ilvl w:val="3"/>
          <w:numId w:val="1"/>
        </w:numPr>
        <w:rPr/>
      </w:pPr>
      <w:bookmarkStart w:id="215" w:name="__RefHeading___Toc3049231_3650668749"/>
      <w:bookmarkStart w:id="216" w:name="_Toc8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لتوضيح حقيقة البداء نأتي بمقدّمات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على أنه سبحانه عالم بالحوادث</w:t>
      </w:r>
    </w:p>
    <w:p>
      <w:pPr>
        <w:pStyle w:val="BookText"/>
        <w:rPr/>
      </w:pPr>
      <w:r>
        <w:rPr>
          <w:rFonts w:ascii="Amiri" w:hAnsi="Amiri" w:eastAsia="Amiri" w:cs="Amiri"/>
          <w:color w:val="111111"/>
          <w:sz w:val="28"/>
          <w:sz w:val="28"/>
          <w:szCs w:val="28"/>
          <w:rtl w:val="true"/>
          <w:lang w:bidi="ar-SA"/>
        </w:rPr>
        <w:t>كلّها غابرها وحاضرها ومستقبلها، لايخفى عليه شي‌ء في الأرض ولا في السّماء، فلا يتصوّر فيه الظهور بعد الخفاء ولا العلم بعد الجهل، ويدلّ عليه الكتاب والسّنة، مضافاً إلى البراهين الفلسفية المقررّة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امتناع البداء عليه بمعنى الظهور بعد الخفاء؛ لاستلزامه كون ذاته محلّاً للتغيّر والتبدّل المستلزم للتركيب والحدوث إلى غير ذلك ممّا يستحيل عليه سبحانه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الآيات والأحاديث على أنّه سبحانه لم‌يفرغ من أمر الخلق والإيجاد والتدبير والتربية، دلّت على أنّ مصير العباد يتغيّر بحسن أفعالهم وصلاح أعمالهم، من الصدقة والإحسان وصلة الأرحام وبرّ الوالدين من الأمور الّتي تغيّر</w:t>
      </w:r>
      <w:bookmarkStart w:id="217" w:name="pg1887_25550"/>
    </w:p>
    <w:p>
      <w:pPr>
        <w:pStyle w:val="BookText"/>
        <w:rPr/>
      </w:pPr>
      <w:bookmarkEnd w:id="217"/>
      <w:r>
        <w:rPr>
          <w:rFonts w:ascii="Amiri" w:hAnsi="Amiri" w:eastAsia="Amiri" w:cs="Amiri"/>
          <w:color w:val="111111"/>
          <w:sz w:val="28"/>
          <w:sz w:val="28"/>
          <w:szCs w:val="28"/>
          <w:rtl w:val="true"/>
          <w:lang w:bidi="ar-SA"/>
        </w:rPr>
        <w:t>المصير وتبدّل القضاء، كما أنّ المحرّم الأعمال وسيئها من قبيل البخل والتقصير وسوءالخلق وقطيعة رحم تأثيراً في تغيير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للإنسان مصير واحد ومقدّر فارد، يصيبه على وجه القطع والبتّ، ويناله شاء أو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لمن له أدنى علاقة بالكتاب والسنّة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049233_3650668749"/>
      <w:bookmarkStart w:id="219" w:name="_Toc81"/>
      <w:bookmarkEnd w:id="218"/>
      <w:r>
        <w:rPr>
          <w:rtl w:val="true"/>
        </w:rPr>
        <w:t>البداء في مقام الثبوت‌</w:t>
      </w:r>
      <w:bookmarkEnd w:id="2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حقيقة البداء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اعتقده اليهود والنصارى في حقه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ويثبت حسب مشيئته الحكيمة وإرادته النافذة، ومن شعب هذا الأمر هو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الرزق والعمر وينقص منهما </w:t>
      </w:r>
      <w:r>
        <w:rPr>
          <w:rStyle w:val="FootnoteAnchor"/>
          <w:rtl w:val="true"/>
        </w:rPr>
        <w:footnoteReference w:id="47"/>
      </w:r>
      <w:r>
        <w:rPr>
          <w:rFonts w:ascii="Amiri" w:hAnsi="Amiri" w:eastAsia="Amiri" w:cs="Amiri"/>
          <w:color w:val="111111"/>
          <w:sz w:val="28"/>
          <w:sz w:val="28"/>
          <w:szCs w:val="28"/>
          <w:rtl w:val="true"/>
          <w:lang w:bidi="ar-SA"/>
        </w:rPr>
        <w:t>وينزل الرحمة والبركة كما ينزل البلاء والنقمة، ولاتصدر عنه الأمور جزافاً واعتباطاً، بل حسب ما تقتضيها حال العباد من حسن الأفعال وقبحها وصالح الأعمال وطالحها؛ فرّبما يكون الإنسان مكتوباً في الأشقياء، ثم يُمحى فيكتب في السعداء أو على العكس بسبب ما يقوم به من أعمال؛ وبناء على ذلك</w:t>
      </w:r>
    </w:p>
    <w:p>
      <w:pPr>
        <w:pStyle w:val="BookText"/>
        <w:rPr/>
      </w:pPr>
      <w:r>
        <w:rPr>
          <w:rFonts w:ascii="Amiri" w:hAnsi="Amiri" w:eastAsia="Amiri" w:cs="Amiri"/>
          <w:color w:val="111111"/>
          <w:sz w:val="28"/>
          <w:sz w:val="28"/>
          <w:szCs w:val="28"/>
          <w:rtl w:val="true"/>
          <w:lang w:bidi="ar-SA"/>
        </w:rPr>
        <w:t>فالبداء بهذا المعنى ممّا يشترك فيه كلّ المسلمين، على مذاهبهم المختلفة، من دون اختصاص بالشيعة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الأصل يستفاد بوضوح من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وأنّه ليس كلّ تقدير حتمياً لا يغيّر ولايبدّل وأنّ لله سبحانه 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المحو والإثبات ولوح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لايتطرّق التغيير إليه هو الثاني دون الأوّل، وأنّ القول بسيادة القدر على اختيار الإنسان في مجال الطاعة والمعصية قول بالجبر الباطل بالعقل والضرورة ومحكمات الكتاب، فكما أنّه سبحانه يداه مبسوطتان، كذلك العبد مختار في أفعاله لامسيّر وحرّ في تصرّفاته لا مجبور، له أن يغيّر مسيره ومقدّره، فالله سبحانه كما يمحو ويثبت في التكوين فيحيي ويميت، كذلك يمحو مصير العبد ويغيره حسب ما يغيّر العبد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ليس في ذلك أيّ محذور ولا مخالفة لعقل ولا الكتاب والسنّة، بل تغيير القضاء بحسن الفعل وتغيير القدر بسوئه، هو أيضاً من قدره وقضائه وسننه الّتي لا تبديل لها ولا تغيير</w:t>
      </w:r>
      <w:r>
        <w:rPr>
          <w:rFonts w:eastAsia="Amiri" w:cs="Amiri" w:ascii="Amiri" w:hAnsi="Amiri"/>
          <w:color w:val="111111"/>
          <w:sz w:val="28"/>
          <w:szCs w:val="28"/>
          <w:rtl w:val="true"/>
          <w:lang w:bidi="ar-SA"/>
        </w:rPr>
        <w:t>.</w:t>
      </w:r>
      <w:bookmarkStart w:id="220" w:name="pg1887_25554"/>
    </w:p>
    <w:p>
      <w:pPr>
        <w:pStyle w:val="Heading4"/>
        <w:numPr>
          <w:ilvl w:val="3"/>
          <w:numId w:val="1"/>
        </w:numPr>
        <w:rPr/>
      </w:pPr>
      <w:bookmarkStart w:id="221" w:name="__RefHeading___Toc3049235_3650668749"/>
      <w:bookmarkStart w:id="222" w:name="_Toc82"/>
      <w:bookmarkEnd w:id="220"/>
      <w:bookmarkEnd w:id="221"/>
      <w:r>
        <w:rPr>
          <w:rtl w:val="true"/>
        </w:rPr>
        <w:t>الأثر التربوي للإعتقاد في البداء</w:t>
      </w:r>
      <w:r>
        <w:rPr>
          <w:rtl w:val="true"/>
        </w:rPr>
        <w:t>:</w:t>
      </w:r>
      <w:bookmarkEnd w:id="222"/>
    </w:p>
    <w:p>
      <w:pPr>
        <w:pStyle w:val="BookText"/>
        <w:rPr/>
      </w:pPr>
      <w:r>
        <w:rPr>
          <w:rFonts w:ascii="Amiri" w:hAnsi="Amiri" w:eastAsia="Amiri" w:cs="Amiri"/>
          <w:color w:val="111111"/>
          <w:sz w:val="28"/>
          <w:sz w:val="28"/>
          <w:szCs w:val="28"/>
          <w:rtl w:val="true"/>
          <w:lang w:bidi="ar-SA"/>
        </w:rPr>
        <w:t>الاعتقاد بالمحو والإثبات وأنّ العبد قادر على تغيير مصيره بأفعاله وأعماله، يبعث الرجاء في قلب من يريد أن يتطهّر وينمي نواة الخير الكامنة في نفسه، فتشريع البداء مثل تشريع قبول التوبة والشفاعة وتكفير الصغائر بالاجتناب عن الكبائر كلّها لأجل بعث الرجاء وإيقاد نوره في قلوب العصاة والعتاة حتّى لاييأسوا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هذا من باب الرحمة الإلهية لأجل بثّ الأمل في قلب الإنسان؛ وعلى هذا فالاعتقاد بذلك من ضروريات الكتاب وصريح آياته وأخبارالهداية</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049237_3650668749"/>
      <w:bookmarkStart w:id="224" w:name="_Toc83"/>
      <w:bookmarkEnd w:id="223"/>
      <w:r>
        <w:rPr>
          <w:rtl w:val="true"/>
        </w:rPr>
        <w:t>«</w:t>
      </w:r>
      <w:r>
        <w:rPr>
          <w:rtl w:val="true"/>
        </w:rPr>
        <w:t>البداء في مقام الإثبات</w:t>
      </w:r>
      <w:r>
        <w:rPr>
          <w:rtl w:val="true"/>
        </w:rPr>
        <w:t>»</w:t>
      </w:r>
      <w:bookmarkEnd w:id="2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أشار سبحانه إلى لوح المحو والإثبات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فالأحكام الثابتة فيه أحكام معلّقة على وجود شرطها أو عدم مانعها، فالتغيّر فيها لأجل إعواز شرطها أو لوجود مانعها، فمثلًا يمكن أن يكتب فيه الموت نظراً إلى مقتضياته في الوقت المعيّن المتّصل بالمقتضيات،</w:t>
      </w:r>
      <w:bookmarkStart w:id="225" w:name="pg1887_25556"/>
    </w:p>
    <w:p>
      <w:pPr>
        <w:pStyle w:val="BookText"/>
        <w:rPr/>
      </w:pPr>
      <w:bookmarkEnd w:id="225"/>
      <w:r>
        <w:rPr>
          <w:rFonts w:ascii="Amiri" w:hAnsi="Amiri" w:eastAsia="Amiri" w:cs="Amiri"/>
          <w:color w:val="111111"/>
          <w:sz w:val="28"/>
          <w:sz w:val="28"/>
          <w:szCs w:val="28"/>
          <w:rtl w:val="true"/>
          <w:lang w:bidi="ar-SA"/>
        </w:rPr>
        <w:t>إلّا أنّه ربمّا يُمحى ويؤجّل ويكتب بدله توفّر الصحّة لفقدان شرط التقدير الأوّل أو طروّ مانع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يتّصل النبي أو الولي بلوح المحو والإثبات فيقف على المقتضي من دون أن يقف على شرطه ومانعه، فيخبر عن وقوع شي ما، ولكنّه ربّما لايتحقّق لأجل عدم تحقّق شرطه أو عدم تحقّقه لوجود مانعه، وذلك هو البداء في عالم الإثبات</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049239_3650668749"/>
      <w:bookmarkStart w:id="227" w:name="_Toc84"/>
      <w:bookmarkEnd w:id="226"/>
      <w:r>
        <w:rPr>
          <w:rtl w:val="true"/>
        </w:rPr>
        <w:t>«</w:t>
      </w:r>
      <w:r>
        <w:rPr>
          <w:rtl w:val="true"/>
        </w:rPr>
        <w:t>تلميحات للبداء في الذكر الحكيم</w:t>
      </w:r>
      <w:r>
        <w:rPr>
          <w:rtl w:val="true"/>
        </w:rPr>
        <w:t>:»</w:t>
      </w:r>
      <w:bookmarkEnd w:id="227"/>
    </w:p>
    <w:p>
      <w:pPr>
        <w:pStyle w:val="Heading5"/>
        <w:numPr>
          <w:ilvl w:val="4"/>
          <w:numId w:val="1"/>
        </w:numPr>
        <w:rPr/>
      </w:pPr>
      <w:bookmarkStart w:id="228" w:name="__RefHeading___Toc3049241_3650668749"/>
      <w:bookmarkStart w:id="229" w:name="_Toc85"/>
      <w:bookmarkEnd w:id="228"/>
      <w:r>
        <w:rPr>
          <w:rtl w:val="true"/>
        </w:rPr>
        <w:t>اشارة</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بُنَيَّ إِنِّي أَرى فِي الْمَنامِ أَنِّي أَذْبَحُكَ</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Style w:val="FootnoteAnchor"/>
        </w:rPr>
        <w:footnoteReference w:id="5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وأَتْمَمْناها بِعَشْرٍ فَتَمَّ مِيقاتُ رَبِّهِ أَرْبَعِينَ لَيْلَةً</w:t>
      </w:r>
      <w:r>
        <w:rPr>
          <w:rFonts w:eastAsia="Amiri" w:cs="Amiri" w:ascii="Amiri" w:hAnsi="Amiri"/>
          <w:color w:val="111111"/>
          <w:sz w:val="28"/>
          <w:szCs w:val="28"/>
          <w:rtl w:val="true"/>
          <w:lang w:bidi="ar-SA"/>
        </w:rPr>
        <w:t xml:space="preserve">) </w:t>
      </w:r>
      <w:r>
        <w:rPr>
          <w:rStyle w:val="FootnoteAnchor"/>
          <w:rtl w:val="true"/>
        </w:rPr>
        <w:footnoteReference w:id="54"/>
      </w:r>
      <w:bookmarkStart w:id="230" w:name="pg1887_25558"/>
    </w:p>
    <w:p>
      <w:pPr>
        <w:pStyle w:val="BookText"/>
        <w:rPr/>
      </w:pPr>
      <w:bookmarkEnd w:id="230"/>
      <w:r>
        <w:rPr>
          <w:rFonts w:ascii="Amiri" w:hAnsi="Amiri" w:eastAsia="Amiri" w:cs="Amiri"/>
          <w:color w:val="111111"/>
          <w:sz w:val="28"/>
          <w:sz w:val="28"/>
          <w:szCs w:val="28"/>
          <w:rtl w:val="true"/>
          <w:lang w:bidi="ar-SA"/>
        </w:rPr>
        <w:t>هذه جملة الأخبار الّتي تحدّث بها الذكر الحكيم عن أحداث ووقائع كان النبيون قد أخبروا بحتمية وقوعها على حدّ علمهم، إلّا أنّها لم‌تتحقّق، وعندها لامناص من تفسيرها بوقوف أنبياء الله تعالى على المقتضي دون العلّة التّامة؛ فعندما يظهر عدم التحقّق يطلق عليه البداء، والمراد به أنّه بدا من الله لنبيه وللنّاس ما خفي عليهم، على غرار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فالبداء إذا نسب إلى الله سبحانه فهو بدا منه، وإذا نسب إلى الناس فهو بدا لهم؛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 الله هو إظهار ما خفي على الناس، والبداء من النّاس بمعنى ظهور ما خفي لهم، وهذا هو الحقّ الصراح الذي لايرتاب فيه أحد</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049243_3650668749"/>
      <w:bookmarkStart w:id="232" w:name="_Toc86"/>
      <w:bookmarkEnd w:id="231"/>
      <w:r>
        <w:rPr>
          <w:rtl w:val="true"/>
        </w:rPr>
        <w:t>تتمه البحث‌</w:t>
      </w:r>
      <w:bookmarkEnd w:id="232"/>
    </w:p>
    <w:p>
      <w:pPr>
        <w:pStyle w:val="Heading5"/>
        <w:numPr>
          <w:ilvl w:val="4"/>
          <w:numId w:val="1"/>
        </w:numPr>
        <w:rPr/>
      </w:pPr>
      <w:bookmarkStart w:id="233" w:name="__RefHeading___Toc3049245_3650668749"/>
      <w:bookmarkStart w:id="234" w:name="_Toc87"/>
      <w:bookmarkEnd w:id="233"/>
      <w:r>
        <w:rPr>
          <w:rtl w:val="true"/>
        </w:rPr>
        <w:t>الأمر الأول‌</w:t>
      </w:r>
      <w:bookmarkEnd w:id="2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يجب أن يكون وقوع البداء مقروناً بما يدلّ على صحّة إخبار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البداء على وجه يعدّ دليلًا على كذبه، ففي هذه الموارد دلّت القرائن على أنّ المخبر كان صادقاً في خبره</w:t>
      </w:r>
      <w:r>
        <w:rPr>
          <w:rFonts w:eastAsia="Amiri" w:cs="Amiri" w:ascii="Amiri" w:hAnsi="Amiri"/>
          <w:color w:val="111111"/>
          <w:sz w:val="28"/>
          <w:szCs w:val="28"/>
          <w:rtl w:val="true"/>
          <w:lang w:bidi="ar-SA"/>
        </w:rPr>
        <w:t>.</w:t>
      </w:r>
      <w:bookmarkStart w:id="235" w:name="pg1887_25560"/>
    </w:p>
    <w:p>
      <w:pPr>
        <w:pStyle w:val="Heading5"/>
        <w:numPr>
          <w:ilvl w:val="4"/>
          <w:numId w:val="1"/>
        </w:numPr>
        <w:rPr/>
      </w:pPr>
      <w:bookmarkStart w:id="236" w:name="__RefHeading___Toc3049247_3650668749"/>
      <w:bookmarkStart w:id="237" w:name="_Toc88"/>
      <w:bookmarkEnd w:id="235"/>
      <w:bookmarkEnd w:id="236"/>
      <w:r>
        <w:rPr>
          <w:rtl w:val="true"/>
        </w:rPr>
        <w:t>الأمرالثاني</w:t>
      </w:r>
      <w:r>
        <w:rPr>
          <w:rtl w:val="true"/>
        </w:rPr>
        <w:t>:</w:t>
      </w:r>
      <w:bookmarkEnd w:id="237"/>
    </w:p>
    <w:p>
      <w:pPr>
        <w:pStyle w:val="BookText"/>
        <w:rPr/>
      </w:pPr>
      <w:r>
        <w:rPr>
          <w:rFonts w:ascii="Amiri" w:hAnsi="Amiri" w:eastAsia="Amiri" w:cs="Amiri"/>
          <w:color w:val="111111"/>
          <w:sz w:val="28"/>
          <w:sz w:val="28"/>
          <w:szCs w:val="28"/>
          <w:rtl w:val="true"/>
          <w:lang w:bidi="ar-SA"/>
        </w:rPr>
        <w:t>إنّ البداء لا يتحقق فيما يتعلّق بنظام النبوّة والولاية والخاتمية والملاحم الغيبية التي تعدّ شعاراً للشريعة؛ لأنّ احتمال البداء فيه ناقض للحكمة وموجب لظلال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يستحيل على الله سبحانه؛ وانّما مصبّ البداء هو القضايا الجزئية أو الشخصية، كما هو الحال في الأخبار الماضية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049249_3650668749"/>
      <w:bookmarkStart w:id="239" w:name="_Toc89"/>
      <w:bookmarkEnd w:id="238"/>
      <w:r>
        <w:rPr>
          <w:rtl w:val="true"/>
        </w:rPr>
        <w:t>المسألة السادسة</w:t>
      </w:r>
      <w:r>
        <w:rPr>
          <w:rtl w:val="true"/>
        </w:rPr>
        <w:t>: «</w:t>
      </w:r>
      <w:r>
        <w:rPr>
          <w:rtl w:val="true"/>
        </w:rPr>
        <w:t>الرجعة في الكتاب والسّنة</w:t>
      </w:r>
      <w:r>
        <w:rPr>
          <w:rtl w:val="true"/>
        </w:rPr>
        <w:t>»</w:t>
      </w:r>
      <w:bookmarkEnd w:id="239"/>
    </w:p>
    <w:p>
      <w:pPr>
        <w:pStyle w:val="BookText"/>
        <w:rPr/>
      </w:pPr>
      <w:r>
        <w:rPr>
          <w:rFonts w:ascii="Amiri" w:hAnsi="Amiri" w:eastAsia="Amiri" w:cs="Amiri"/>
          <w:color w:val="111111"/>
          <w:sz w:val="28"/>
          <w:sz w:val="28"/>
          <w:szCs w:val="28"/>
          <w:rtl w:val="true"/>
          <w:lang w:bidi="ar-SA"/>
        </w:rPr>
        <w:t>إنّ فكرة الرجعة ممّا يشنّع بها على الشيعة غير أنّ هؤلاء نسوا أو تناسوا أنّ الرجعة بمعنى عود جماعة قليلة إلى الحياة الدنيوية قبل يوم القيامة ثمّ موتهم وحشرهم مجدّداً يوم القيامة ليس شيئاً يضادّ اصول الدين، وليس فيه إنكار لأيّ حكم ضروري، وليس القول برجعتهم إلى الدنيا يلغي بعثهم يوم القيامة، وكيف لايكون كذلك، وقد أخبر سبحانه عن رجوع جماعة إلى الحياة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جماعة من بني إسرائيل</w:t>
      </w:r>
      <w:r>
        <w:rPr>
          <w:rFonts w:eastAsia="Amiri" w:cs="Amiri" w:ascii="Amiri" w:hAnsi="Amiri"/>
          <w:color w:val="111111"/>
          <w:sz w:val="28"/>
          <w:szCs w:val="28"/>
          <w:rtl w:val="true"/>
          <w:lang w:bidi="ar-SA"/>
        </w:rPr>
        <w:t xml:space="preserve">. </w:t>
      </w:r>
      <w:r>
        <w:rPr>
          <w:rStyle w:val="FootnoteAnchor"/>
        </w:rPr>
        <w:footnoteReference w:id="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قتيل بني إسرائيل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ألوف من النّاس وبعثهم من جديد</w:t>
      </w:r>
      <w:r>
        <w:rPr>
          <w:rFonts w:eastAsia="Amiri" w:cs="Amiri" w:ascii="Amiri" w:hAnsi="Amiri"/>
          <w:color w:val="111111"/>
          <w:sz w:val="28"/>
          <w:szCs w:val="28"/>
          <w:rtl w:val="true"/>
          <w:lang w:bidi="ar-SA"/>
        </w:rPr>
        <w:t xml:space="preserve">. </w:t>
      </w:r>
      <w:r>
        <w:rPr>
          <w:rStyle w:val="FootnoteAnchor"/>
        </w:rPr>
        <w:footnoteReference w:id="5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عزير بعد مئة عام من موته</w:t>
      </w:r>
      <w:r>
        <w:rPr>
          <w:rFonts w:eastAsia="Amiri" w:cs="Amiri" w:ascii="Amiri" w:hAnsi="Amiri"/>
          <w:color w:val="111111"/>
          <w:sz w:val="28"/>
          <w:szCs w:val="28"/>
          <w:rtl w:val="true"/>
          <w:lang w:bidi="ar-SA"/>
        </w:rPr>
        <w:t xml:space="preserve">. </w:t>
      </w:r>
      <w:r>
        <w:rPr>
          <w:rStyle w:val="FootnoteAnchor"/>
        </w:rPr>
        <w:footnoteReference w:id="5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الموتى على يد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إنّ الإعتقاد بالذكر الحكيم يجرّنا إلى القول بأنّه ليس كلّ رجوع إلى الدنيا تناسخاً، وإنّما التناسخ الباطل عبارة عن رجوع الإنسان إلى الدنيا عن طريق النطفة والمرور بمراحل التكوّن البشري من جديد ليصير إنساناً مرّةً اخرى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الشيعة على بطلان التناسخ وامتناعه غير أنّ الرجوع إلى الدنيا من خلال دخول الروح إلى البدن الذي فارقه عند الموت لايعدّ تناسخاً، وإنّما هو إحياء للموتى الذي كان معجزة من معاجز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ممكن وأنّ بعض الآيات والروايات تدلّ على أنّه سيتحقّق،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w:t>
      </w:r>
      <w:bookmarkStart w:id="240" w:name="pg1887_25563"/>
    </w:p>
    <w:p>
      <w:pPr>
        <w:pStyle w:val="BookText"/>
        <w:rPr/>
      </w:pPr>
      <w:bookmarkEnd w:id="240"/>
      <w:r>
        <w:rPr>
          <w:rFonts w:ascii="Amiri" w:hAnsi="Amiri" w:eastAsia="Amiri" w:cs="Amiri"/>
          <w:color w:val="111111"/>
          <w:sz w:val="28"/>
          <w:sz w:val="28"/>
          <w:szCs w:val="28"/>
          <w:rtl w:val="true"/>
          <w:lang w:bidi="ar-SA"/>
        </w:rPr>
        <w:t>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لايشكّ من أمعن النظر في سياق الآيات وماذكره المفسّرون حولها في أنّ الآية الاولى تتعلّق بالحوادث التي تقع قبل يوم القيامة، وعليه تكون الآية الثانية مكمّلة لها وتدّل على حشر فوج من كلّ جماعة قبل يوم القيامة، والحال أنّ الحشر في يوم القيامة يتعلّق بالجميع لابالبعض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 وتَرَى الأَرْضَ بارِزَةً وحَشَرْناهُمْ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هذه الآيات تعرب عن الرجعة التي تعتقد بها الشيعة في حقّ جماعة خاصّة، وأمّا خصوصياتها فلم يحدّث عنها القرآن الكريم، وجاء التفصيل في السّنة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3049251_3650668749"/>
      <w:bookmarkStart w:id="242" w:name="_Toc90"/>
      <w:bookmarkEnd w:id="241"/>
      <w:r>
        <w:rPr>
          <w:rtl w:val="true"/>
        </w:rPr>
        <w:t>المسألة السابعة</w:t>
      </w:r>
      <w:r>
        <w:rPr>
          <w:rtl w:val="true"/>
        </w:rPr>
        <w:t xml:space="preserve">: </w:t>
      </w:r>
      <w:r>
        <w:rPr>
          <w:rtl w:val="true"/>
        </w:rPr>
        <w:t>زواج المتعة</w:t>
      </w:r>
      <w:bookmarkEnd w:id="2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عبارة عن تزويج المرأة الحرّة الكاملة نفسها إذا لم يكن بينها وبين الزوج مانع من نسب أو سبب أو رضاع أو إحصان أو عدّة أو غيرذلك من الموانع الشرعية بمهر مسمّى إلى أجل مسمّى بالرضا والاتّفاق؛ فإذا انتهى الأجل تبين منه من غير</w:t>
      </w:r>
    </w:p>
    <w:p>
      <w:pPr>
        <w:pStyle w:val="BookText"/>
        <w:rPr/>
      </w:pPr>
      <w:r>
        <w:rPr>
          <w:rFonts w:ascii="Amiri" w:hAnsi="Amiri" w:eastAsia="Amiri" w:cs="Amiri"/>
          <w:color w:val="111111"/>
          <w:sz w:val="28"/>
          <w:sz w:val="28"/>
          <w:szCs w:val="28"/>
          <w:rtl w:val="true"/>
          <w:lang w:bidi="ar-SA"/>
        </w:rPr>
        <w:t>طلاق، ويجب عليها مع الدخول بها إذا لم‌تكن يائسة أن‌تعتدّ عدّة الطلاق إذا كانت ممّن تحيض، وإلّا فبخمسة وأربعين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أجمع أهل القبلة على أنّه سبحانه شرّع هذا النكاح في صدر الإسلام، ولم‌يشك أحدٌ في أصل مشروعيته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 عن عمران بن الحصين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المتعة وما نسخها بآية اخرى وأمرنا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بالمتعة وما نهانا عنها، ثمّ قال رجل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عمر بن الخطّاب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الخليفة الثاني لم‌يدّع النسخ، وإنّما أسند التحريف إلى نفسه، ولو كان هناك ناسخ من الله عزّوجلّ أو من رسوله لأسند التحريم إليهما، وقد استفاض قول عمر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أنهى عنهما واعاقب عليهما متعة الحجّ ومتعة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حدّ ذاته يعتبر اجتهاداً قبالة النصّ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إجتهاده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تسميته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نفسه لا على غيره، على أنّ الأمر الذي ينبغي الإلتفات إليه وإدراكه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ورغم إدراكهم وإيمانهم بحلّية زواج المتعة</w:t>
      </w:r>
      <w:bookmarkStart w:id="243" w:name="pg1887_25567"/>
    </w:p>
    <w:p>
      <w:pPr>
        <w:pStyle w:val="BookText"/>
        <w:rPr/>
      </w:pPr>
      <w:bookmarkEnd w:id="243"/>
      <w:r>
        <w:rPr>
          <w:rFonts w:ascii="Amiri" w:hAnsi="Amiri" w:eastAsia="Amiri" w:cs="Amiri"/>
          <w:color w:val="111111"/>
          <w:sz w:val="28"/>
          <w:sz w:val="28"/>
          <w:szCs w:val="28"/>
          <w:rtl w:val="true"/>
          <w:lang w:bidi="ar-SA"/>
        </w:rPr>
        <w:t>وعدم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يعلنون عنه صراحةً ودون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عملياً لايلجأون إلى هذا الزواج إلّا في حدود ضيّقة وخاصّة، وليس كما يصوّره ويتصوّره البعض من كونه ظاهرة متفشية في مجتمعهم وبشكل مستهجن ممجوج</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049253_3650668749"/>
      <w:bookmarkStart w:id="245" w:name="_Toc91"/>
      <w:bookmarkEnd w:id="244"/>
      <w:r>
        <w:rPr>
          <w:rtl w:val="true"/>
        </w:rPr>
        <w:t>المسألة الثامنة</w:t>
      </w:r>
      <w:r>
        <w:rPr>
          <w:rtl w:val="true"/>
        </w:rPr>
        <w:t xml:space="preserve">: </w:t>
      </w:r>
      <w:r>
        <w:rPr>
          <w:rtl w:val="true"/>
        </w:rPr>
        <w:t>متعة الحجّ‌</w:t>
      </w:r>
      <w:bookmarkEnd w:id="2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أَمِنْتُمْ فَمَنْ تَمَتَّعَ بِالْعُمْرَةِ إِلَى الْحَجِّ واتَّقُوا اللَّهَ واعْلَمُوا أَنَّ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صريح في جوازالتمتعّ بمحظورات الإحرام بعد الإتيان بأعمال العمرة وقبل التوجّه إلى الحجّ، ولم‌يدّع أحد كونها منسوخة بآية أو قول أو فعل، بل أكّد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تشريعه بعمله في العام العاشر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الذكر الحكيم المدعم بالسنّة وإجماع الأمّة، ومع ذلك نرى أنّ بعض الصحابة لايروقه متعة الحجّ لا في عصر الرسالة ولا بعده، بل يفتي بتحريمها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الخليفة الثاني ومن لفّ لفّه الذين كانوا يقدّمون الآراء المزعومة على النصوص الشرعية مهما تضافرت وتواترت</w:t>
      </w:r>
      <w:r>
        <w:rPr>
          <w:rFonts w:eastAsia="Amiri" w:cs="Amiri" w:ascii="Amiri" w:hAnsi="Amiri"/>
          <w:color w:val="111111"/>
          <w:sz w:val="28"/>
          <w:szCs w:val="28"/>
          <w:rtl w:val="true"/>
          <w:lang w:bidi="ar-SA"/>
        </w:rPr>
        <w:t>!</w:t>
      </w:r>
      <w:bookmarkStart w:id="246" w:name="pg1887_25569"/>
    </w:p>
    <w:p>
      <w:pPr>
        <w:pStyle w:val="Heading3"/>
        <w:numPr>
          <w:ilvl w:val="2"/>
          <w:numId w:val="1"/>
        </w:numPr>
        <w:rPr/>
      </w:pPr>
      <w:bookmarkStart w:id="247" w:name="__RefHeading___Toc3049255_3650668749"/>
      <w:bookmarkStart w:id="248" w:name="_Toc92"/>
      <w:bookmarkEnd w:id="246"/>
      <w:bookmarkEnd w:id="247"/>
      <w:r>
        <w:rPr>
          <w:rtl w:val="true"/>
        </w:rPr>
        <w:t>المسألة التاسعة</w:t>
      </w:r>
      <w:r>
        <w:rPr>
          <w:rtl w:val="true"/>
        </w:rPr>
        <w:t xml:space="preserve">: </w:t>
      </w:r>
      <w:r>
        <w:rPr>
          <w:rtl w:val="true"/>
        </w:rPr>
        <w:t>مسح الأرجل في الوضوء</w:t>
      </w:r>
      <w:bookmarkEnd w:id="248"/>
    </w:p>
    <w:p>
      <w:pPr>
        <w:pStyle w:val="BookText"/>
        <w:rPr/>
      </w:pPr>
      <w:r>
        <w:rPr>
          <w:rFonts w:ascii="Amiri" w:hAnsi="Amiri" w:eastAsia="Amiri" w:cs="Amiri"/>
          <w:color w:val="111111"/>
          <w:sz w:val="28"/>
          <w:sz w:val="28"/>
          <w:szCs w:val="28"/>
          <w:rtl w:val="true"/>
          <w:lang w:bidi="ar-SA"/>
        </w:rPr>
        <w:t>اختلف المسلمون في غسل الرجلين ومسحهما، فذهب الأئمة الأربعة إلى أنّ الواجب هو الغسل وحده، وقالت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المسح، وقال داود بن علي والناصر للحقّ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وهو صريح الطبري في تفسيره، ونقل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يثيرالعجب اختلاف المسلمين في هذه المسألة، مع أنّهم رأوا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وليلة في موطنه ومهجره وفي حضره وسفره، ومع ذلك اختلفوا في أشدّ المسائل ابتلاءً، وهذا يعرب عن أنّ الاجتهاد لعب في هذا المسألة دوراً عظيماً، فجعل أوضح المسائل أبهمها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بالمسح هو المنصوص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يسندون المسح إلى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ويحكمون وضوءه به، قال أبوجعفر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كفّاً من الماء فصبّها على وجهه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وقدميه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ضوء هذه الروايات والمأثورات اتّفقت الشيعة الإمامية على أنّ الوضوء غسلتان ومسحتان</w:t>
      </w:r>
      <w:r>
        <w:rPr>
          <w:rFonts w:eastAsia="Amiri" w:cs="Amiri" w:ascii="Amiri" w:hAnsi="Amiri"/>
          <w:color w:val="111111"/>
          <w:sz w:val="28"/>
          <w:szCs w:val="28"/>
          <w:rtl w:val="true"/>
          <w:lang w:bidi="ar-SA"/>
        </w:rPr>
        <w:t>.</w:t>
      </w:r>
      <w:bookmarkStart w:id="249" w:name="pg1887_25571"/>
    </w:p>
    <w:p>
      <w:pPr>
        <w:pStyle w:val="Heading3"/>
        <w:numPr>
          <w:ilvl w:val="2"/>
          <w:numId w:val="1"/>
        </w:numPr>
        <w:rPr/>
      </w:pPr>
      <w:bookmarkStart w:id="250" w:name="__RefHeading___Toc3049257_3650668749"/>
      <w:bookmarkStart w:id="251" w:name="_Toc93"/>
      <w:bookmarkEnd w:id="249"/>
      <w:bookmarkEnd w:id="250"/>
      <w:r>
        <w:rPr>
          <w:rtl w:val="true"/>
        </w:rPr>
        <w:t>المسألة العاشرة</w:t>
      </w:r>
      <w:r>
        <w:rPr>
          <w:rtl w:val="true"/>
        </w:rPr>
        <w:t xml:space="preserve">: </w:t>
      </w:r>
      <w:r>
        <w:rPr>
          <w:rtl w:val="true"/>
        </w:rPr>
        <w:t>السجود على الأرض‌</w:t>
      </w:r>
      <w:bookmarkEnd w:id="251"/>
    </w:p>
    <w:p>
      <w:pPr>
        <w:pStyle w:val="BookText"/>
        <w:rPr/>
      </w:pPr>
      <w:r>
        <w:rPr>
          <w:rFonts w:ascii="Amiri" w:hAnsi="Amiri" w:eastAsia="Amiri" w:cs="Amiri"/>
          <w:color w:val="111111"/>
          <w:sz w:val="28"/>
          <w:sz w:val="28"/>
          <w:szCs w:val="28"/>
          <w:rtl w:val="true"/>
          <w:lang w:bidi="ar-SA"/>
        </w:rPr>
        <w:t xml:space="preserve">لعلّ من أوضح مظاهر العبودية والانقياد والتذلّل من قبل المخلوق لخالقه هو السجود، فليس هناك أوضح في إعلان التذلّل لله تعالى من السجود على التراب والرمل والحجر والحصى، لما فيه من تذلّل أوضح وأبين من السجود على الحصر والبواري، فضلًا عن السجود على الألبسة الفاخرة والفرش الوثيرة والذهب والفضّة، وإن كان الكلّ سجوداً إلا أنّ العبودية تتجلّى في الأوّل بما لاتتجلّى في غيره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الإمامية ملتزمة بالسجدة على الأرض في حضرهم وسفرهم، ولا يعدلون عنها إلّا إلى ما أنبت منها من الحصر والبواري بشرط أن لايؤكل ولا يلبس، ولايرون السجود على غيرهما صحيحاً في حال الصلاة أخذاً بالسّنة المتواترة عن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وصحبه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يتصوّر أن الالتزام بالسجود على الأرض أو ما أنبتت منها بدعة، ويتخيّل الحجر المسجود عليه وثناً، وهؤلاء هم الّذين لا يفرّقون بين المسجود له والمسجود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 أمر</w:t>
      </w:r>
    </w:p>
    <w:p>
      <w:pPr>
        <w:pStyle w:val="BookText"/>
        <w:rPr/>
      </w:pPr>
      <w:r>
        <w:rPr>
          <w:rFonts w:ascii="Amiri" w:hAnsi="Amiri" w:eastAsia="Amiri" w:cs="Amiri"/>
          <w:color w:val="111111"/>
          <w:sz w:val="28"/>
          <w:sz w:val="28"/>
          <w:szCs w:val="28"/>
          <w:rtl w:val="true"/>
          <w:lang w:bidi="ar-SA"/>
        </w:rPr>
        <w:t>الموحّد بأمر المشرك بحجّة المشاركة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الساجد على التربة غير عابد لها، بل يتذلّل إلى ربّه بالسجود عليها، ومن توهّم عكس ذلك فهو من البلاهة بمكان، وسيؤدّي إلى إرباك كلّ المصلّين والحكم بإشراكهم، فمن يسجد على الفرش والقماش وغيره لابدّ أن‌يكون عابداً لها علي هذه المنوال، فيا للعجب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كانوا ملتزمين بالسجود علي الأرض، وروى الفريقان عن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لي الأرض مسجداً وطهوراً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صهيباً يسجد كأنّه يتّقي التراب،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 وجهك يا صهيب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ميمونة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فيسجد</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إلى هنا تبيّن أنّ التزام الشيعة باتّخاذ التربة مسجداً ليس إلّا تسهيل الأمر للمصلّي في سفره وحضره خوفاً من أن لايجد أرضاً طاهرةً أو حصيراً طاهراً فيصعب الأمر عليه، وهذا كادّخار المسلم تربة طاهرة لغاية التيمّم عليها</w:t>
      </w:r>
      <w:r>
        <w:rPr>
          <w:rFonts w:eastAsia="Amiri" w:cs="Amiri" w:ascii="Amiri" w:hAnsi="Amiri"/>
          <w:color w:val="111111"/>
          <w:sz w:val="28"/>
          <w:szCs w:val="28"/>
          <w:rtl w:val="true"/>
          <w:lang w:bidi="ar-SA"/>
        </w:rPr>
        <w:t>.</w:t>
      </w:r>
      <w:bookmarkStart w:id="252" w:name="pg1887_25575"/>
    </w:p>
    <w:p>
      <w:pPr>
        <w:pStyle w:val="BookText"/>
        <w:rPr/>
      </w:pPr>
      <w:bookmarkEnd w:id="252"/>
      <w:r>
        <w:rPr>
          <w:rFonts w:ascii="Amiri" w:hAnsi="Amiri" w:eastAsia="Amiri" w:cs="Amiri"/>
          <w:color w:val="111111"/>
          <w:sz w:val="28"/>
          <w:sz w:val="28"/>
          <w:szCs w:val="28"/>
          <w:rtl w:val="true"/>
          <w:lang w:bidi="ar-SA"/>
        </w:rPr>
        <w:t>و أمّا السرّ في التزام الشيعة استحباباً بالسجود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بوضع جبهته على تلك التربة الزاكية أولئك الّذين جعلوا أجسامهم ضحايا للحقّ، وارتفعت أرواحهم إلى الملأ الأعلى، ليخشع ويخضع ويتلازم الوضع والرفع، وتحتقر هذه الدنيا الزائفة وزخارفها الزائلة، ولعلّ هذا هو المقصود من أنّ السجود عليها يخرق الحجب السبع كما في الخبر، فيكون حينئذٍ في السجود سرّ الصعود والعروج من التراب إلى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ذلك أية خزازة وتعسّف أو شي‌ء يضادّ نداء القرآن الكريم أو يخالف سنّة الله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خروج من حكم العقل والإعتبار</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049259_3650668749"/>
      <w:bookmarkStart w:id="254" w:name="_Toc94"/>
      <w:bookmarkEnd w:id="253"/>
      <w:r>
        <w:rPr>
          <w:rtl w:val="true"/>
        </w:rPr>
        <w:t>المسألة الحادية عشرة</w:t>
      </w:r>
      <w:r>
        <w:rPr>
          <w:rtl w:val="true"/>
        </w:rPr>
        <w:t xml:space="preserve">: </w:t>
      </w:r>
      <w:r>
        <w:rPr>
          <w:rtl w:val="true"/>
        </w:rPr>
        <w:t>عدالة الصحابة كلّهم</w:t>
      </w:r>
      <w:r>
        <w:rPr>
          <w:rtl w:val="true"/>
        </w:rPr>
        <w:t>!</w:t>
      </w:r>
      <w:bookmarkEnd w:id="254"/>
    </w:p>
    <w:p>
      <w:pPr>
        <w:pStyle w:val="Heading4"/>
        <w:numPr>
          <w:ilvl w:val="3"/>
          <w:numId w:val="1"/>
        </w:numPr>
        <w:rPr/>
      </w:pPr>
      <w:bookmarkStart w:id="255" w:name="__RefHeading___Toc3049261_3650668749"/>
      <w:bookmarkStart w:id="256" w:name="_Toc95"/>
      <w:bookmarkEnd w:id="255"/>
      <w:r>
        <w:rPr>
          <w:rtl w:val="true"/>
        </w:rPr>
        <w:t>اشارة</w:t>
      </w:r>
      <w:bookmarkEnd w:id="25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الأوائل الذين رأوا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وتشرّفوا بكرامة الصحبة وتحمّلوا جانباً مهمّاً في عملية نشر الدعوة الإسلامية، وبذل جمع منهم النّفس والنفيس في نشرالإسلام، حتّى امتدّ إلى أقاصي المعمورة، فأقاموا اسسه وشادوا بنيانه ورفعوا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تلا آيات الذكر الحكيم حول المهاجرين والذين اتبعوهم بإحسان لايملك نفسه إلّا أن</w:t>
      </w:r>
    </w:p>
    <w:p>
      <w:pPr>
        <w:pStyle w:val="BookText"/>
        <w:rPr/>
      </w:pPr>
      <w:r>
        <w:rPr>
          <w:rFonts w:ascii="Amiri" w:hAnsi="Amiri" w:eastAsia="Amiri" w:cs="Amiri"/>
          <w:color w:val="111111"/>
          <w:sz w:val="28"/>
          <w:sz w:val="28"/>
          <w:szCs w:val="28"/>
          <w:rtl w:val="true"/>
          <w:lang w:bidi="ar-SA"/>
        </w:rPr>
        <w:t>يغبط منزلتهم وعلوّ شأنهم بل ويتمنّى من صميم قلبه أن يكون أحدهم ويدرك شأنهم، فإذا كان هذا حال الصحابة في الذكر الحكيم فكيف يتجرّأ مسلم على تكفير الصحابة ورميهم بالردّة والزندقة أو تفسيقهم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لو أحصينا المهتدين في عصر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استشهدوا في عهد النبي الأكرم فهم يتجاوزون المئات، ولا يشك أيّ مسلم في أنّهم كانوا مثال المؤمنين الصادقين الأجلاء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صَدَقُوا ما عاهَدُوا اللَّهَ عَلَيْهِ فَمِنْهُمْ مَنْ قَضى نَحْبَهُ ومِنْهُمْ مَنْ يَنْتَظِرُ وما بَدَّلُوا تَبْدِيلًا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فإذا كان الحال كذلك واتّفق الشيعي والسنّي على إطراء الذكر الحكيم للصحابة والثناء عليهم، فما هو موضع الخلاف بين الطائفتين كي يعدّ ذلك من أعظم الخلاف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 الخلاف ليس إلّا في نقطة واحدة وهي أنّ أهل السنّة يقولون بأنّ كلّ من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وعاشره ولو يوماً أو يومين فهو محكوم بالعدالة منذ اللقاء إلى يوم ادرج في كفنه ولو صدر منه قتل أو نهب أوزني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محتجّين بما نسب إلى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bookmarkStart w:id="257" w:name="pg1887_25579"/>
    </w:p>
    <w:p>
      <w:pPr>
        <w:pStyle w:val="BookText"/>
        <w:rPr/>
      </w:pPr>
      <w:bookmarkEnd w:id="257"/>
      <w:r>
        <w:rPr>
          <w:rFonts w:ascii="Amiri" w:hAnsi="Amiri" w:eastAsia="Amiri" w:cs="Amiri"/>
          <w:color w:val="111111"/>
          <w:sz w:val="28"/>
          <w:sz w:val="28"/>
          <w:szCs w:val="28"/>
          <w:rtl w:val="true"/>
          <w:lang w:bidi="ar-SA"/>
        </w:rPr>
        <w:t>يلبسونهم ثوب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حدّ كان القدح بالصحابي أشدّ من القدح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فنفي العصمة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واتّهامه بالذنب قبل بعثه وبعده كان أمراً سهلًا يطرح بصورة عقيدة معقولة ولا يؤاخذ القائل بها، وأمّا من نسب صغيرة أو كبيرة إلى صحابي فأهون ما يواجهونه به هو الاستتابة وإلا فالقتل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تحليل المسألة على ضوء الكتاب والسنّة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049263_3650668749"/>
      <w:bookmarkStart w:id="259" w:name="_Toc96"/>
      <w:bookmarkEnd w:id="258"/>
      <w:r>
        <w:rPr>
          <w:rtl w:val="true"/>
        </w:rPr>
        <w:t>الصحابة في القرآن الكريم‌</w:t>
      </w:r>
      <w:bookmarkEnd w:id="25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يصنّف الصحابة إلى أصناف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يتكلّم عن السابقين الأوّلين والمبايعين تحت الشجرة والمهاجرين المهجّرين عن ديارهم وأموالهم وأصحاب الفتح إلى غير ذلك من الأصناف المثالية الذين يثني عليهم ويذكرهم بالفضل والفضيلة، وفي مقابل ذلك يذكر أصنافاً اخر يجب أن لا تغيب عن أذهاننا وتلك الأصناف هي التالية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المعروفون</w:t>
      </w:r>
      <w:r>
        <w:rPr>
          <w:rFonts w:eastAsia="IRNazanin" w:cs="IRNazanin"/>
          <w:color w:val="111111"/>
          <w:sz w:val="28"/>
          <w:szCs w:val="28"/>
          <w:rtl w:val="true"/>
          <w:lang w:bidi="fa-IR"/>
        </w:rPr>
        <w:t xml:space="preserve">. </w:t>
      </w:r>
      <w:r>
        <w:rPr>
          <w:rStyle w:val="FootnoteAnchor"/>
        </w:rPr>
        <w:footnoteReference w:id="7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المتستّرون الذين لايعرفهم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Pr>
        <w:footnoteReference w:id="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الإيمان ومرضى القلوب</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السمّاعون لأهل الفتنة</w:t>
      </w:r>
      <w:r>
        <w:rPr>
          <w:rFonts w:eastAsia="Amiri" w:cs="Amiri" w:ascii="Amiri" w:hAnsi="Amiri"/>
          <w:color w:val="111111"/>
          <w:sz w:val="28"/>
          <w:szCs w:val="28"/>
          <w:rtl w:val="true"/>
          <w:lang w:bidi="ar-SA"/>
        </w:rPr>
        <w:t xml:space="preserve">. </w:t>
      </w:r>
      <w:r>
        <w:rPr>
          <w:rStyle w:val="FootnoteAnchor"/>
        </w:rPr>
        <w:footnoteReference w:id="7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الذين خلطوا عملًا صالحاً وآخر سيئاً</w:t>
      </w:r>
      <w:r>
        <w:rPr>
          <w:rFonts w:eastAsia="Amiri" w:cs="Amiri" w:ascii="Amiri" w:hAnsi="Amiri"/>
          <w:color w:val="111111"/>
          <w:sz w:val="28"/>
          <w:szCs w:val="28"/>
          <w:rtl w:val="true"/>
          <w:lang w:bidi="ar-SA"/>
        </w:rPr>
        <w:t xml:space="preserve">. </w:t>
      </w:r>
      <w:r>
        <w:rPr>
          <w:rStyle w:val="FootnoteAnchor"/>
        </w:rPr>
        <w:footnoteReference w:id="7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المشرفون على الارتداد عندما دارت عليهم الدوائر</w:t>
      </w:r>
      <w:r>
        <w:rPr>
          <w:rFonts w:eastAsia="Amiri" w:cs="Amiri" w:ascii="Amiri" w:hAnsi="Amiri"/>
          <w:color w:val="111111"/>
          <w:sz w:val="28"/>
          <w:szCs w:val="28"/>
          <w:rtl w:val="true"/>
          <w:lang w:bidi="ar-SA"/>
        </w:rPr>
        <w:t xml:space="preserve">. </w:t>
      </w:r>
      <w:r>
        <w:rPr>
          <w:rStyle w:val="FootnoteAnchor"/>
        </w:rPr>
        <w:footnoteReference w:id="7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الفسّاق الّذين لا يصدّق قولهم ولا فعلهم</w:t>
      </w:r>
      <w:r>
        <w:rPr>
          <w:rFonts w:eastAsia="Amiri" w:cs="Amiri" w:ascii="Amiri" w:hAnsi="Amiri"/>
          <w:color w:val="111111"/>
          <w:sz w:val="28"/>
          <w:szCs w:val="28"/>
          <w:rtl w:val="true"/>
          <w:lang w:bidi="ar-SA"/>
        </w:rPr>
        <w:t xml:space="preserve">. </w:t>
      </w:r>
      <w:r>
        <w:rPr>
          <w:rStyle w:val="FootnoteAnchor"/>
        </w:rPr>
        <w:footnoteReference w:id="7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الّذين لم‌يدخل الإيمان في قلوبهم</w:t>
      </w:r>
      <w:r>
        <w:rPr>
          <w:rFonts w:eastAsia="Amiri" w:cs="Amiri" w:ascii="Amiri" w:hAnsi="Amiri"/>
          <w:color w:val="111111"/>
          <w:sz w:val="28"/>
          <w:szCs w:val="28"/>
          <w:rtl w:val="true"/>
          <w:lang w:bidi="ar-SA"/>
        </w:rPr>
        <w:t xml:space="preserve">. </w:t>
      </w:r>
      <w:r>
        <w:rPr>
          <w:rStyle w:val="FootnoteAnchor"/>
        </w:rPr>
        <w:footnoteReference w:id="7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المولّون أمام الكفار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فإنّ هذه الآيات الكريمة تعرب عن أنّ صحابة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على نمط واحد، وعندئذٍ يتحقّق أنّ الصحبة لا تعطي لصاحبها منقبة إلّا إذا كان أهلًا لها وهذا ما ذهبت إليه الشيعة، وهو نفس النتيجة الّتي يخرج بها الإنسان المتدبّر للقرآن الكريم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تناولت المهاجرين والأنصار وغيرهم بالمدح والثناء لاتدلّ على أكثر من أنّهم كانوا حين نزول القرآن</w:t>
      </w:r>
      <w:bookmarkStart w:id="260" w:name="pg1887_25583"/>
    </w:p>
    <w:p>
      <w:pPr>
        <w:pStyle w:val="BookText"/>
        <w:rPr/>
      </w:pPr>
      <w:bookmarkEnd w:id="260"/>
      <w:r>
        <w:rPr>
          <w:rFonts w:ascii="Amiri" w:hAnsi="Amiri" w:eastAsia="Amiri" w:cs="Amiri"/>
          <w:color w:val="111111"/>
          <w:sz w:val="28"/>
          <w:sz w:val="28"/>
          <w:szCs w:val="28"/>
          <w:rtl w:val="true"/>
          <w:lang w:bidi="ar-SA"/>
        </w:rPr>
        <w:t>مُثلًا للفضل والفضيلة ولكن الأمور إنّما تعتبر بخواتيمها، فكم من مؤمن زلّت قدمه في الحياة فعاد منافقاً أو مرتدّاً وكم من ضالّ شملته العناية الإلهية فبصر الطريق وصار رجلًا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سوء الحظّ أنّ شرذمة قليلة من الصحابة زلّت أقدامهم وانحرفوا عن الطريق، فلا تمسّ دراسة أحوال هؤلاء القليلين وتبيين مواقفهم وانحرافهم عن الطريق المستقيم بكرامة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علمنا عدالته حكمنا بها وقبلنا روايته ولزمنا له من التعظيم والتوقير بسبب شرف الصحبة ونصرة الإسلام والجهاد في سبيل الله ما هو أهله؛ ومن علمنا منه خلاف ذلك لم تقبل روايته أمثال مروان بن الحكم والمغيرة بن شعبة والوليد بن عقبة وبسر بن أرطاة وبعض بني‌أمية وأعوانهم؛ ومن جهلنا حاله في العدالة توقّفنا في قبول روايته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049265_3650668749"/>
      <w:bookmarkStart w:id="262" w:name="_Toc97"/>
      <w:bookmarkEnd w:id="261"/>
      <w:r>
        <w:rPr>
          <w:rtl w:val="true"/>
        </w:rPr>
        <w:t>المسألة الثانية عشرة</w:t>
      </w:r>
      <w:r>
        <w:rPr>
          <w:rtl w:val="true"/>
        </w:rPr>
        <w:t xml:space="preserve">: </w:t>
      </w:r>
      <w:r>
        <w:rPr>
          <w:rtl w:val="true"/>
        </w:rPr>
        <w:t xml:space="preserve">في عالمية رسالة النبي </w:t>
      </w:r>
      <w:r>
        <w:rPr/>
        <w:t>9</w:t>
      </w:r>
      <w:r>
        <w:rPr>
          <w:rtl w:val="true"/>
        </w:rPr>
        <w:t xml:space="preserve"> </w:t>
      </w:r>
      <w:r>
        <w:rPr>
          <w:rtl w:val="true"/>
        </w:rPr>
        <w:t>و خاتميتها</w:t>
      </w:r>
      <w:bookmarkEnd w:id="262"/>
    </w:p>
    <w:p>
      <w:pPr>
        <w:pStyle w:val="Heading4"/>
        <w:numPr>
          <w:ilvl w:val="3"/>
          <w:numId w:val="1"/>
        </w:numPr>
        <w:rPr/>
      </w:pPr>
      <w:bookmarkStart w:id="263" w:name="__RefHeading___Toc3049267_3650668749"/>
      <w:bookmarkStart w:id="264" w:name="_Toc98"/>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تمتاز الشريعة الإسلامية بنقطتين رئيسيتين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عالميتها وشموليتها،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خاتمة الشرائع</w:t>
      </w:r>
      <w:r>
        <w:rPr>
          <w:rFonts w:eastAsia="Amiri" w:cs="Amiri" w:ascii="Amiri" w:hAnsi="Amiri"/>
          <w:color w:val="111111"/>
          <w:sz w:val="28"/>
          <w:szCs w:val="28"/>
          <w:rtl w:val="true"/>
          <w:lang w:bidi="ar-SA"/>
        </w:rPr>
        <w:t>.</w:t>
      </w:r>
      <w:bookmarkStart w:id="265" w:name="pg1887_25585"/>
    </w:p>
    <w:p>
      <w:pPr>
        <w:pStyle w:val="BookText"/>
        <w:rPr/>
      </w:pPr>
      <w:bookmarkEnd w:id="265"/>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لقد بعث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سفراءه إلى أنحاء المعمورة لنشر دعوته فيها وبيد كلّ واحد منهم كتاب يعبّر عن عالمية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اجتياح جيوش المسلمين ورجالهم أرض غيرالعرب واستقرار الأمّة الإسلامية في أكثر مناطق المعمورة بل معظمها يومذاك، أيضاً يدلّ على عالميتها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والملمح الثاني هو خاتميتها،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آخر الشرائع وأنّ المبعوث بها هو خاتم الأنبياء</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049269_3650668749"/>
      <w:bookmarkStart w:id="267" w:name="_Toc99"/>
      <w:bookmarkEnd w:id="266"/>
      <w:r>
        <w:rPr>
          <w:rtl w:val="true"/>
        </w:rPr>
        <w:t>الخاتمية في الذكر الحكيم‌</w:t>
      </w:r>
      <w:bookmarkEnd w:id="2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يعاضدها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كتب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قيصر عند ما دعاه إلى الإسلام،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w:t>
      </w:r>
    </w:p>
    <w:p>
      <w:pPr>
        <w:pStyle w:val="BookText"/>
        <w:rPr/>
      </w:pPr>
      <w:r>
        <w:rPr>
          <w:rFonts w:ascii="Amiri" w:hAnsi="Amiri" w:eastAsia="Amiri" w:cs="Amiri"/>
          <w:color w:val="111111"/>
          <w:sz w:val="28"/>
          <w:sz w:val="28"/>
          <w:szCs w:val="28"/>
          <w:rtl w:val="true"/>
          <w:lang w:bidi="ar-SA"/>
        </w:rPr>
        <w:t>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ولقد قرئ لفظ الخاتم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وعليه قراءة عاصم، ويكون بمعنى الطابع الذي تختم به الرسائل والمواثيق، فكان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باب النبوّة كالطابع، ختم به باب النبوة واوصد واغلق فلايفتح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وعليه يكون اسم فاعل، أي الذي يختم باب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كلتا القرائتين فالآية صريحة في أنّ باب النبوة أو بعث الأنبياء ختم بمجي‌ء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كلمة ربك بظهور الدعوة المحمّدية ونزول الكتاب المهيمن على جميع الكتب وصارت مستقرّة في محلّها بعد ما كانت تسير</w:t>
      </w:r>
      <w:bookmarkStart w:id="268" w:name="pg1887_25589"/>
    </w:p>
    <w:p>
      <w:pPr>
        <w:pStyle w:val="BookText"/>
        <w:rPr/>
      </w:pPr>
      <w:bookmarkEnd w:id="268"/>
      <w:r>
        <w:rPr>
          <w:rFonts w:ascii="Amiri" w:hAnsi="Amiri" w:eastAsia="Amiri" w:cs="Amiri"/>
          <w:color w:val="111111"/>
          <w:sz w:val="28"/>
          <w:sz w:val="28"/>
          <w:szCs w:val="28"/>
          <w:rtl w:val="true"/>
          <w:lang w:bidi="ar-SA"/>
        </w:rPr>
        <w:t>دهراً طويلًا في مدارج التدرّج بنبوّة بعد نبوّة، وشريعة بعد شريعة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049271_3650668749"/>
      <w:bookmarkStart w:id="270" w:name="_Toc100"/>
      <w:bookmarkEnd w:id="269"/>
      <w:r>
        <w:rPr>
          <w:rtl w:val="true"/>
        </w:rPr>
        <w:t>الخاتمية في الأحاديث النبوية</w:t>
      </w:r>
      <w:bookmarkEnd w:id="270"/>
    </w:p>
    <w:p>
      <w:pPr>
        <w:pStyle w:val="BookText"/>
        <w:rPr/>
      </w:pPr>
      <w:r>
        <w:rPr>
          <w:rFonts w:ascii="Amiri" w:hAnsi="Amiri" w:eastAsia="Amiri" w:cs="Amiri"/>
          <w:color w:val="111111"/>
          <w:sz w:val="28"/>
          <w:sz w:val="28"/>
          <w:szCs w:val="28"/>
          <w:rtl w:val="true"/>
          <w:lang w:bidi="ar-SA"/>
        </w:rPr>
        <w:t>ورد على لسان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بعدي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على لسان المحدّثين حديث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ومثل الأنبياء كمثل رجل بنى داراً فأتمّها وأكملها إلّا موضع لبنة، فجعل الناس يدخلونها ويتعجّبون منها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لولاموضع هذه اللّبنة؛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موضع اللّبنة جئت فختمت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الرسالة والنبوّة قد انقطعت، ولا رسول بعدي ولا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ارسلت إلى الناس كافّة، وبي ختم النبيون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ونصرت بالرعب، وأحلّت لي الغنائم، وجعلت لي الأرضُ مسجداً وطهوراً، وارسلتُ إلى الخلق كافّة، وختم بي النبيون</w:t>
      </w:r>
      <w:r>
        <w:rPr>
          <w:rFonts w:eastAsia="Amiri" w:cs="Amiri" w:ascii="Amiri" w:hAnsi="Amiri"/>
          <w:color w:val="111111"/>
          <w:sz w:val="28"/>
          <w:szCs w:val="28"/>
          <w:rtl w:val="true"/>
          <w:lang w:bidi="ar-SA"/>
        </w:rPr>
        <w:t>»</w:t>
      </w:r>
      <w:bookmarkStart w:id="271" w:name="pg1887_25591"/>
    </w:p>
    <w:p>
      <w:pPr>
        <w:pStyle w:val="Heading4"/>
        <w:numPr>
          <w:ilvl w:val="3"/>
          <w:numId w:val="1"/>
        </w:numPr>
        <w:rPr/>
      </w:pPr>
      <w:bookmarkStart w:id="272" w:name="__RefHeading___Toc3049273_3650668749"/>
      <w:bookmarkStart w:id="273" w:name="_Toc101"/>
      <w:bookmarkEnd w:id="271"/>
      <w:bookmarkEnd w:id="272"/>
      <w:r>
        <w:rPr>
          <w:rtl w:val="true"/>
        </w:rPr>
        <w:t>الخاتمية في أحاديث العترة الطاهرة</w:t>
      </w:r>
      <w:bookmarkEnd w:id="273"/>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يلي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لقد انقطع بموتك مالم ينقطع بموت غيرك من النبوّة والأنباء وأخبارالسّماء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أبداً إلى يوم القيامة لايكون غيره ولا يجي‌ءُ غيره</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049275_3650668749"/>
      <w:bookmarkStart w:id="275" w:name="_Toc102"/>
      <w:bookmarkEnd w:id="274"/>
      <w:r>
        <w:rPr>
          <w:rtl w:val="true"/>
        </w:rPr>
        <w:t>أسئِلَة حول الخاتمية</w:t>
      </w:r>
      <w:bookmarkEnd w:id="275"/>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القرآن الكريم ينصّ على أنّ المؤمنين بالله وباليوم الآخر من جميع الشرائع سينالون ثواب الله وأنّه لاخوف عليهم ولا هم يحزنون </w:t>
      </w:r>
      <w:r>
        <w:rPr>
          <w:rStyle w:val="FootnoteAnchor"/>
          <w:rtl w:val="true"/>
        </w:rPr>
        <w:footnoteReference w:id="86"/>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أتباعها ناجون شأنهم شأن من اعترف بالإسلام وصار تحت لوائه تماماً، فكيف تكون رسالته خاتمة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غاية ما يتوخّاه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فقط نسف وإبطال عقيدة اليهود والنصارى، وليعلن مكانه بأنّ النجاة</w:t>
      </w:r>
    </w:p>
    <w:p>
      <w:pPr>
        <w:pStyle w:val="BookText"/>
        <w:rPr/>
      </w:pPr>
      <w:r>
        <w:rPr>
          <w:rFonts w:ascii="Amiri" w:hAnsi="Amiri" w:eastAsia="Amiri" w:cs="Amiri"/>
          <w:color w:val="111111"/>
          <w:sz w:val="28"/>
          <w:sz w:val="28"/>
          <w:szCs w:val="28"/>
          <w:rtl w:val="true"/>
          <w:lang w:bidi="ar-SA"/>
        </w:rPr>
        <w:t>إنّما هي بالإيمان الصادق والعمل الصالح، فليست الأسماء ولا الأنساب هي الّتي تنجي أحداً في العالم الآخر، وإنّما هو الإيمان والعمل الصالح، وهذا الباب مفتوح في وجه كلّ إنسان يهودياً كان أو نصرانياً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أهل الكتاب لو امنوا بما آمن به المسلمون لقبلنا إيمانهم وكفّرنا عنهم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دلالة لهذه الآيات الثلاث على إقرار الإسلام لشرعية الشرائع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ختمت النبوّة التبليغية؟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كانوا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كان صاحب شريعة، ومنهم من كان مبلّغاً لشريعة من قبله من الأنبياء، كأكثر أنبياء بني إسرائيل الّذين كانوا يبلّغون شريعة موسى بين أقوامهم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أنّه ختم باب النبوة التشريعية لكون الشريعة الإسلامية متكاملة، فلماذا ختم باب النبوّة التبليغية؟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الأمّة الإسلامية عن هذا النوع من النبوّة؛ وذلك لوجهين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بين الأمّة الكتاب والعترة وعرّفهما إليها بيّن أنّه لن تضّل الأمّة مادامت متمسّكة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الأمّة المأمورين بالتبليغ بعد التفقّه أغنوا الأمّة عن أيّة نبوّة تبليغية،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أُمَّةٌ يَدْعُونَ إِلَى الْخَيْرِ ويَأْمُرُونَ بِالْمَعْرُوفِ ويَنْهَوْنَ عَنِ الْمُنْكَر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 الخلف من المكاشفة الغيبية والاتصال بعالم الغيب واستطلاع ما هناك من المعارف والحقائق؟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الفتوحات الغيبية من المكاشفات والمشاهداة الروحية لم توصد بابها، وإنّما أوصد منها باب خاص وهو باب النبوّة، فالفتوحات الباطنية من المكاشفات والإلقاءات في الروع غير مسدود بنصّ الكتاب العزيز،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أي يجعل في قلوبكم نوراً تفرّقون به بين الحقّ والباطل،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لَكُمْ نُوراً تَمْشُونَ 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هناك روايات تدلّ بوضوح على انفتاح هذاالباب في وجه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الرسالة والنبوّة قد انقطعت ولارسول بعدي ولا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المبشّرات؟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المسلم، وهي جزء من أجزاء النبوّة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تكاملت جوانب الحضارة وتشابكت وتعدّدت ألوانها واجه المجتمع أوضاعاً وأحداثاً جديدة وطرحت عليه مشاكل طارئة لاعهد للأزمنة السابقة بها، وما جاء به الرسول لايجاوز قوانين محدودة، فكيف تفي النصوص المحدودة بالحوادث الطارئة 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خلود التشريع وبقاءه في جميع الأجيال ومسايرته للحضارات الإنسانية واستغناءه عن كلّ تشريع سواه، يتوقّف على وجود أمرين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التشريع ذا مادّة حيوّية خلّاقة للتفاصيل بحيث يقدر معها علماء الأمّة والأخصّائيون منهم على استنباط كلّ حكم يحتاج إليه المجتمع البشري في كلّ عصر من الأعصار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الكون والمجتمع بسعة وانطلاق مع مرونة خاصة تماشى جميع الأزمنة والأجيال وتسايرالحضارات</w:t>
      </w:r>
    </w:p>
    <w:p>
      <w:pPr>
        <w:pStyle w:val="BookText"/>
        <w:rPr/>
      </w:pPr>
      <w:r>
        <w:rPr>
          <w:rFonts w:ascii="Amiri" w:hAnsi="Amiri" w:eastAsia="Amiri" w:cs="Amiri"/>
          <w:color w:val="111111"/>
          <w:sz w:val="28"/>
          <w:sz w:val="28"/>
          <w:szCs w:val="28"/>
          <w:rtl w:val="true"/>
          <w:lang w:bidi="ar-SA"/>
        </w:rPr>
        <w:t>الإنسانية المتعاقبة، وقد أحرز التشريع الإسلامي كلا الأمرين؛ أمّا الأوّل فقد أحرزه بتنفيذ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بحجّية العقل في مجالات خاصّة من الأحكام الّتي تعدّ من ثمرات القول بالتحسين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تابعة للمصالح والمفاسد عند العدلية، فلا واجب إلّا لمصلحة في فعله ولا حرام إلّا لمفسدة في اقترافه، ويشهد بذلك كتاب الله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الصَّلاةَ إِنَّ الصَّلاةَ تَنْهى عَنِ الْفَحْشاءِ والْمُنْكَرِ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قد تضافرت النصوص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الأحكام الشرعية تخضع لملاكات، قال الإمام الطاهر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لم‌يبح أكلًا ولاشرباً إلّا</w:t>
      </w:r>
    </w:p>
    <w:p>
      <w:pPr>
        <w:pStyle w:val="BookText"/>
        <w:rPr/>
      </w:pPr>
      <w:r>
        <w:rPr>
          <w:rFonts w:ascii="Amiri" w:hAnsi="Amiri" w:eastAsia="Amiri" w:cs="Amiri"/>
          <w:color w:val="111111"/>
          <w:sz w:val="28"/>
          <w:sz w:val="28"/>
          <w:szCs w:val="28"/>
          <w:rtl w:val="true"/>
          <w:lang w:bidi="ar-SA"/>
        </w:rPr>
        <w:t>لما فيه المنفعة والصلاح، ولم‌يحرّم إلّا ما فيه الضرر والتلف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يسي‌ء الخُلق ويورث القسوة للقلب وقلّة الرأفة والرحمة، ولايؤمن أن يقتل ولده ووالده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الإسلامي في مختلف الأبواب مشتمل على أصول وقواعد عامة تفي باستنباط آلاف الفروع التي يحتاج إليها المجتمع البشري على امتداد القرون والأجيال، روى الكليني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w:t>
      </w:r>
    </w:p>
    <w:p>
      <w:pPr>
        <w:pStyle w:val="BookText"/>
        <w:rPr/>
      </w:pP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وفيه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حيوية مادة التشريع إذا أخذنا بسنّة رسول الله المروّية عن طريق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أغنوا الأمّة الإسلامية عن اعتماد الأدلّة الظنّية كالقياس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الاجتهاد وعدم غلق بابه عند الشيعة بعد رحيل صاحب الرسالة إلى يومنا هذا، وبذلك أنقذوا الشريعة من الانطماس، وأغنوا الأمّة الإسلامية عن التطلّع إلى موائد الغربيين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الحاكم الإسلامي أو ولاية الفقيه الّتي من شأنها أن توجّه المجتمع البشري إلى أرقى المستويات الحضارية؛ لأنّه</w:t>
      </w:r>
      <w:bookmarkStart w:id="276" w:name="pg1887_25603"/>
    </w:p>
    <w:p>
      <w:pPr>
        <w:pStyle w:val="BookText"/>
        <w:rPr/>
      </w:pPr>
      <w:bookmarkEnd w:id="276"/>
      <w:r>
        <w:rPr>
          <w:rFonts w:ascii="Amiri" w:hAnsi="Amiri" w:eastAsia="Amiri" w:cs="Amiri"/>
          <w:color w:val="111111"/>
          <w:sz w:val="28"/>
          <w:sz w:val="28"/>
          <w:szCs w:val="28"/>
          <w:rtl w:val="true"/>
          <w:lang w:bidi="ar-SA"/>
        </w:rPr>
        <w:t>يتمتّع بمثل ما يتمتّع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النفوذ المطلق إلّا ما كان من خصائص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049277_3650668749"/>
      <w:bookmarkStart w:id="278" w:name="_Toc103"/>
      <w:bookmarkEnd w:id="277"/>
      <w:r>
        <w:rPr>
          <w:rtl w:val="true"/>
        </w:rPr>
        <w:t>المرونة التشريع الإسلامي</w:t>
      </w:r>
      <w:r>
        <w:rPr>
          <w:rtl w:val="true"/>
        </w:rPr>
        <w:t>:</w:t>
      </w:r>
      <w:bookmarkEnd w:id="278"/>
    </w:p>
    <w:p>
      <w:pPr>
        <w:pStyle w:val="BookText"/>
        <w:rPr/>
      </w:pPr>
      <w:r>
        <w:rPr>
          <w:rFonts w:ascii="IRNazanin" w:hAnsi="IRNazanin" w:eastAsia="IRNazanin"/>
          <w:color w:val="111111"/>
          <w:sz w:val="28"/>
          <w:sz w:val="28"/>
          <w:szCs w:val="28"/>
          <w:rtl w:val="true"/>
          <w:lang w:bidi="fa-IR"/>
        </w:rPr>
        <w:t>و قد تمثّلت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جامعاً بين الدعوة إلى المادّة والروح على وجه يطابق الفطرة الإنسانية، وجعل الفطرة مقياساً للحلال والحرام، وشرّع للإنسان ما يسعده في الدنيا والآخرة على 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المعاني لا إلى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دعا إلى تأمين حاجات الإنسان من الملبس والمسكن وإشاعة العلم والتربية، وهذا هو اللبّ، وأمّا الأشكال والأنماط لهذا التشريع فمتروك إلى مقتضيات العصور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لها دورالتحديد، وقد اصطلح عليها الفقهاء بالأدلّة الحاكمة لأجل حكومتها وتقدّمها على كلّ حكم، مثلًا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حاكم على كلّ تشريع استلزم العمل به حرجاً لايتحمّله</w:t>
      </w:r>
    </w:p>
    <w:p>
      <w:pPr>
        <w:pStyle w:val="BookText"/>
        <w:rPr/>
      </w:pPr>
      <w:r>
        <w:rPr>
          <w:rFonts w:ascii="Amiri" w:hAnsi="Amiri" w:eastAsia="Amiri" w:cs="Amiri"/>
          <w:color w:val="111111"/>
          <w:sz w:val="28"/>
          <w:sz w:val="28"/>
          <w:szCs w:val="28"/>
          <w:rtl w:val="true"/>
          <w:lang w:bidi="ar-SA"/>
        </w:rPr>
        <w:t>للمكلّف عادة فهو مرفوع في الظروف الحرجة؛ ومثله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حكم استتبع العمل به ضرراً شديداً فهو مرفوع في تلك الشرائط نعم، تشخيص الحاكم من المحكوم وما يرجع إلى العمل بالحاكم من الشرائط يحتاج إلى الدّقة والإمعان والتفّقه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كون الإسلام ديناً خاتماً ثبات قوانينه وتشريعاته، ومن المعلوم أن المجتمع الإنساني لم يزل في تطوّر وتغير فكيف يمكن للقانون الثابت معالجة متطلّبات المجتمع المتغيّر؟</w:t>
      </w:r>
    </w:p>
    <w:p>
      <w:pPr>
        <w:pStyle w:val="BookText"/>
        <w:rPr/>
      </w:pPr>
      <w:r>
        <w:rPr>
          <w:rFonts w:ascii="Amiri" w:hAnsi="Amiri" w:eastAsia="Amiri" w:cs="Amiri"/>
          <w:color w:val="111111"/>
          <w:sz w:val="28"/>
          <w:sz w:val="28"/>
          <w:szCs w:val="28"/>
          <w:rtl w:val="true"/>
          <w:lang w:bidi="ar-SA"/>
        </w:rPr>
        <w:t>و الإجابة عنه تتوقّف على بيان ما هو الثابت من حياة الإنسان عن متغيّرها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الجانب الثابت من 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الغرائز الثابتة والروحيات الخالدة التّي لا تتغيّر ولا تتبدّل مادام الإنسان إنساناً، فإذا كان التشريع معدّلًا، إياها عن الإفراط والتفريط ومرتكزاً على العدل والاعتدال فذلك التشريع خالداً في ظلّ خلود الغرائز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الرجل والمرأة أمر لاينكر، فهما موجودان مختلفان اختلافاً عضوياً وروحياً رغم كلّ الدعايات السخيفة المنكرة لذلك الاختلاف، ولكلّ من الرجل والمرأة</w:t>
      </w:r>
    </w:p>
    <w:p>
      <w:pPr>
        <w:pStyle w:val="BookText"/>
        <w:rPr/>
      </w:pPr>
      <w:r>
        <w:rPr>
          <w:rFonts w:ascii="Amiri" w:hAnsi="Amiri" w:eastAsia="Amiri" w:cs="Amiri"/>
          <w:color w:val="111111"/>
          <w:sz w:val="28"/>
          <w:sz w:val="28"/>
          <w:szCs w:val="28"/>
          <w:rtl w:val="true"/>
          <w:lang w:bidi="ar-SA"/>
        </w:rPr>
        <w:t>متطلّب وفق تركيبه، فإذا كان التشريع متجاوباً مع التركيب والفطرة يكون خالداً حسب خلود الفطرة والتركيب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العائلية كعلاقة الأب بولده وبالعكس علاقات طبيعية مبنية على الفطرة، فالأحكام الموضوعية وفق هذه الروابط من التّوارث ولزوم التكريم ثابتة لاتتغيّر بتغيير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حياة الإنسان قضايا أخلاقية ثابتة عبرالزمان لايتسرّب إليها التغيير ككون الظلم قبيحاً والعدل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موضوعات في الحياة الإنسانية لن تزل ذات مصالح ومفاسد أبدية، فمادام الإنسان إنساناً فالخمر يزيل العقل والميسر ينبت العداوة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المتغيّر في الحياة الإنسانية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للإنسان جانباً آخر في حياته لايزال يتغيّر من حال إلى حالٍ، فمثل هذا يتطلّب تشريعات متغيّرة حسب تغيّره وتبدّله، ومن حسن الحظّ أنّه ليس في الإسلام الخاتم تشريع ثابت لهذا الجانب، وسوّغ للمجتمع البشري إدارة شؤون حياته في مجال العمران والبناء وتطور الحياة المختلفة في مجال الثقافة والدفاع والإقتصاد في ظلّ إطارعام يتجاوب مع التغيّر والتطوّر ضمن شروط معلومة في الفقه الإسلامي، وحدوده عبارة أن لايزاحم</w:t>
      </w:r>
      <w:bookmarkStart w:id="279" w:name="pg1887_25609"/>
    </w:p>
    <w:p>
      <w:pPr>
        <w:pStyle w:val="BookText"/>
        <w:rPr/>
      </w:pPr>
      <w:bookmarkEnd w:id="279"/>
      <w:r>
        <w:rPr>
          <w:rFonts w:ascii="Amiri" w:hAnsi="Amiri" w:eastAsia="Amiri" w:cs="Amiri"/>
          <w:color w:val="111111"/>
          <w:sz w:val="28"/>
          <w:sz w:val="28"/>
          <w:szCs w:val="28"/>
          <w:rtl w:val="true"/>
          <w:lang w:bidi="ar-SA"/>
        </w:rPr>
        <w:t>سعادة الإنسان وأن لايكون فيه ضرر على روحه وجسمه والقيم الّتي بها يمتاز عن الحيوان</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049279_3650668749"/>
      <w:bookmarkStart w:id="281" w:name="_Toc104"/>
      <w:bookmarkEnd w:id="280"/>
      <w:r>
        <w:rPr>
          <w:rtl w:val="true"/>
        </w:rPr>
        <w:t>الشيعة والخاتمية</w:t>
      </w:r>
      <w:r>
        <w:rPr>
          <w:rtl w:val="true"/>
        </w:rPr>
        <w:t>:</w:t>
      </w:r>
      <w:bookmarkEnd w:id="281"/>
    </w:p>
    <w:p>
      <w:pPr>
        <w:pStyle w:val="BookText"/>
        <w:rPr/>
      </w:pPr>
      <w:r>
        <w:rPr>
          <w:rFonts w:ascii="Amiri" w:hAnsi="Amiri" w:eastAsia="Amiri" w:cs="Amiri"/>
          <w:color w:val="111111"/>
          <w:sz w:val="28"/>
          <w:sz w:val="28"/>
          <w:szCs w:val="28"/>
          <w:rtl w:val="true"/>
          <w:lang w:bidi="ar-SA"/>
        </w:rPr>
        <w:t>إنّ هناك شبهات ضئيلة في المقام تطرح من جانب اناس لاعرفان لهم بمذهب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اتهام الشيعة بأنّ عندهم كتباً غير القرآن، ككتاب علي، وسنبيّن ذلك مفصّلًا</w:t>
      </w:r>
    </w:p>
    <w:p>
      <w:pPr>
        <w:pStyle w:val="Heading4"/>
        <w:numPr>
          <w:ilvl w:val="3"/>
          <w:numId w:val="1"/>
        </w:numPr>
        <w:rPr/>
      </w:pPr>
      <w:bookmarkStart w:id="282" w:name="__RefHeading___Toc3049281_3650668749"/>
      <w:bookmarkStart w:id="283" w:name="_Toc105"/>
      <w:bookmarkEnd w:id="282"/>
      <w:r>
        <w:rPr/>
        <w:t>1</w:t>
      </w:r>
      <w:r>
        <w:rPr>
          <w:rtl w:val="true"/>
        </w:rPr>
        <w:t xml:space="preserve">- </w:t>
      </w:r>
      <w:r>
        <w:rPr>
          <w:rtl w:val="true"/>
        </w:rPr>
        <w:t xml:space="preserve">كتاب علي </w:t>
      </w:r>
      <w:r>
        <w:rPr>
          <w:rtl w:val="true"/>
        </w:rPr>
        <w:t>(</w:t>
      </w:r>
      <w:r>
        <w:rPr>
          <w:rtl w:val="true"/>
        </w:rPr>
        <w:t>ع</w:t>
      </w:r>
      <w:r>
        <w:rPr>
          <w:rtl w:val="true"/>
        </w:rPr>
        <w:t xml:space="preserve">) </w:t>
      </w:r>
      <w:r>
        <w:rPr>
          <w:rtl w:val="true"/>
        </w:rPr>
        <w:t xml:space="preserve">وإملاء رسول الله </w:t>
      </w:r>
      <w:r>
        <w:rPr>
          <w:rtl w:val="true"/>
        </w:rPr>
        <w:t>(</w:t>
      </w:r>
      <w:r>
        <w:rPr>
          <w:rtl w:val="true"/>
        </w:rPr>
        <w:t>ص</w:t>
      </w:r>
      <w:r>
        <w:rPr>
          <w:rtl w:val="true"/>
        </w:rPr>
        <w:t>)</w:t>
      </w:r>
      <w:bookmarkEnd w:id="283"/>
    </w:p>
    <w:p>
      <w:pPr>
        <w:pStyle w:val="BookText"/>
        <w:rPr/>
      </w:pPr>
      <w:r>
        <w:rPr>
          <w:rFonts w:ascii="Amiri" w:hAnsi="Amiri" w:eastAsia="Amiri" w:cs="Amiri"/>
          <w:color w:val="111111"/>
          <w:sz w:val="28"/>
          <w:sz w:val="28"/>
          <w:szCs w:val="28"/>
          <w:rtl w:val="true"/>
          <w:lang w:bidi="ar-SA"/>
        </w:rPr>
        <w:t>إنّ الإمام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وليد البيت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 الرسول الأعظم منذ نعومة أظفاره إلى رحيل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وبذلك صار باب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ولمثل هذا النوع من التلاحم يصف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إذا كنت سألته أنبأني، وإذا سكتّ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كلّ ما يملي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أتخاف علي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وقد دعوت الله أن يحفظك ولا ينسيك، ولكن أكتب لشركائك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p>
    <w:p>
      <w:pPr>
        <w:pStyle w:val="BookText"/>
        <w:rPr/>
      </w:pP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جملة ما أملاه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كتاب طوله سبعون ذراعاً في عرض الأديم، وهذا هو المعروف بكتاب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وصحيفته، وكانت الأئمة بعد الإمام يصدرون عنه ويروون عنه ويستشهدون في مواقع خاصّة به، وبذلك صار الإمام هو المدوّن الرسمي للحديث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الصحابة شاركه في ضبط الحديث النبوي، لكن صحائفهم وكتبهم احرقت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للأسف في عصر الخلفاء، لكن بقي كتاب الإمام غضّاً طرياً مصوناً من الشرّ يرثه إمام بعد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تبين أنّ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جامعاً حديثياً وكان تدويناً مبكراً للسّنّة النبوّية المطهّرة، فتسمية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تارة بكتاب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بالجامعة وثالثة بصحيفة علي والكتاب يعرب عن عناية الإمام بضبط 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يعرب عن عناية سيدالثقلين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حديثه ليبقى على مر العصور والقرون، لا يعتريه الوضع والخدش</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مصحف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أنّه كان عند فاطمة مصحف، حسبما تضافرت عليه الروايات، ولكن المصحف ليس اسماً مختصاً بالقرآن، حتى تختص بنت‌المصطفى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بقرآن خاص، وإنّما كان كتاباً فيه الملاحم والأخبار، فقد روى أبوعبيدة عن</w:t>
      </w:r>
      <w:bookmarkStart w:id="284" w:name="pg1887_25613"/>
    </w:p>
    <w:p>
      <w:pPr>
        <w:pStyle w:val="BookText"/>
        <w:rPr/>
      </w:pPr>
      <w:bookmarkEnd w:id="284"/>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مكثت بعد رسول الله خمس وسبعين يوماً، وكان دخلها حزن شديد على أبيها، وكان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فيحسن عزاءها على أبيها ويطيب نفسها ويخبرها عن أبيها ومكانه ويخبرها بما يكون بعدها في ذرّيتها،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فهذا مصحف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القارئ يسأل نفسه عن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محدّثة تحدّثها الملائكة كما ورد في الرواية السابقة؟</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شأناً عن مريم البتول ولا عن امرأة الخليل </w:t>
      </w:r>
      <w:r>
        <w:rPr>
          <w:rStyle w:val="FootnoteAnchor"/>
          <w:rtl w:val="true"/>
        </w:rPr>
        <w:footnoteReference w:id="95"/>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إلى غير ذلك من الآيات الواردة في سورتي آل عمران ومريم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مريم وامرأة الخليل محدّثتين ففاطمة سيدة نساءالعالمين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تكون محدّثة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049283_3650668749"/>
      <w:bookmarkStart w:id="286" w:name="_Toc106"/>
      <w:bookmarkEnd w:id="285"/>
      <w:r>
        <w:rPr>
          <w:rtl w:val="true"/>
        </w:rPr>
        <w:t>ما هو مصدر روايات أهل البيت؟</w:t>
      </w:r>
      <w:bookmarkEnd w:id="286"/>
    </w:p>
    <w:p>
      <w:pPr>
        <w:pStyle w:val="BookText"/>
        <w:rPr/>
      </w:pPr>
      <w:r>
        <w:rPr>
          <w:rFonts w:ascii="Amiri" w:hAnsi="Amiri" w:eastAsia="Amiri" w:cs="Amiri"/>
          <w:color w:val="111111"/>
          <w:sz w:val="28"/>
          <w:sz w:val="28"/>
          <w:szCs w:val="28"/>
          <w:rtl w:val="true"/>
          <w:lang w:bidi="ar-SA"/>
        </w:rPr>
        <w:t>إنّ لعلوم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مختلفة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w:t>
      </w:r>
    </w:p>
    <w:p>
      <w:pPr>
        <w:pStyle w:val="BookText"/>
        <w:rPr/>
      </w:pPr>
      <w:r>
        <w:rPr>
          <w:rFonts w:ascii="Amiri" w:hAnsi="Amiri" w:eastAsia="Amiri" w:cs="Amiri"/>
          <w:color w:val="111111"/>
          <w:sz w:val="28"/>
          <w:sz w:val="28"/>
          <w:szCs w:val="28"/>
          <w:rtl w:val="true"/>
          <w:lang w:bidi="ar-SA"/>
        </w:rPr>
        <w:t>يتوّسط بين الأسانيد شخص بين آبائهم وأجدادهم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أو تحديث الملائكة، فما كان يخبرون به من الملاحم أو يجيبون عن الأسئلة، فالكلّ ممّا كان يلقي في 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المصدر وإن كان ثقيلًا على من لم‌يعرف مقاماتهم، إلّا أنّه صحيح لمن درس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تكلّمه الملائكة بلانبوّة ولا رؤية صورة، أو يلهم ويلقى في روعه شي‌ء من العلم على وجه الإلهام والمكاشفة من المبدأ الأعلى أو ينكت له في قلبه من حقائق تخفى على غيره، فالمحدَّث بهذا المعنى ممّن اتفق عليه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 ولو كان هناك خلاف فإنّما هو في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نجد المحدَّث في الامم السالفة، فهذا صاحب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ومريم البتول </w:t>
      </w:r>
      <w:r>
        <w:rPr>
          <w:rStyle w:val="FootnoteAnchor"/>
          <w:rtl w:val="true"/>
        </w:rPr>
        <w:footnoteReference w:id="98"/>
      </w:r>
      <w:r>
        <w:rPr>
          <w:rFonts w:ascii="Amiri" w:hAnsi="Amiri" w:eastAsia="Amiri" w:cs="Amiri"/>
          <w:color w:val="111111"/>
          <w:sz w:val="28"/>
          <w:sz w:val="28"/>
          <w:szCs w:val="28"/>
          <w:rtl w:val="true"/>
          <w:lang w:bidi="ar-SA"/>
        </w:rPr>
        <w:t>وأمّ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أنّ الإخبار عن الغيب بإذن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لايلازم كون المخبر نبياً، وأنّ تكلّم الملائكة مع إنسان لايصلح دليلًا على كونه مبعوثاً من الله سبحانه للنبوّة؛ ولو اعتمدت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على علم الأئمّة فلكونهم وارثين لعلم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ووارثين لما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الّتي كتبها بإملاء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محدَّثين تلقى في روعهم الإجابات على الأسئلة، فلا يدلّ على أنّهم أنبياء، ومن نسبهم إلى تلك الفرية الشائنة بحجة إخبارهم عن الملاحم فقد ضلّ عن سواء السبيل، ولم يفرّق بين النبوّة والرسالة والتحدّث</w:t>
      </w:r>
      <w:r>
        <w:rPr>
          <w:rFonts w:eastAsia="Amiri" w:cs="Amiri" w:ascii="Amiri" w:hAnsi="Amiri"/>
          <w:color w:val="111111"/>
          <w:sz w:val="28"/>
          <w:szCs w:val="28"/>
          <w:rtl w:val="true"/>
          <w:lang w:bidi="ar-SA"/>
        </w:rPr>
        <w:t>.</w:t>
      </w:r>
      <w:bookmarkStart w:id="287" w:name="pg1887_25621"/>
    </w:p>
    <w:p>
      <w:pPr>
        <w:pStyle w:val="Heading2"/>
        <w:numPr>
          <w:ilvl w:val="1"/>
          <w:numId w:val="1"/>
        </w:numPr>
        <w:rPr/>
      </w:pPr>
      <w:bookmarkStart w:id="288" w:name="__RefHeading___Toc3049285_3650668749"/>
      <w:bookmarkStart w:id="289" w:name="_Toc107"/>
      <w:bookmarkEnd w:id="287"/>
      <w:bookmarkEnd w:id="288"/>
      <w:r>
        <w:rPr>
          <w:rtl w:val="true"/>
        </w:rPr>
        <w:t>الفصل الخامس</w:t>
      </w:r>
      <w:r>
        <w:rPr>
          <w:rtl w:val="true"/>
        </w:rPr>
        <w:t>: «</w:t>
      </w:r>
      <w:r>
        <w:rPr>
          <w:rtl w:val="true"/>
        </w:rPr>
        <w:t>رؤية الله</w:t>
      </w:r>
      <w:r>
        <w:rPr>
          <w:rtl w:val="true"/>
        </w:rPr>
        <w:t xml:space="preserve">» </w:t>
      </w:r>
      <w:r>
        <w:rPr>
          <w:rtl w:val="true"/>
        </w:rPr>
        <w:t>في ضوء الكتاب‌</w:t>
      </w:r>
      <w:bookmarkEnd w:id="289"/>
    </w:p>
    <w:p>
      <w:pPr>
        <w:pStyle w:val="Heading3"/>
        <w:numPr>
          <w:ilvl w:val="2"/>
          <w:numId w:val="1"/>
        </w:numPr>
        <w:rPr/>
      </w:pPr>
      <w:bookmarkStart w:id="290" w:name="__RefHeading___Toc3049287_3650668749"/>
      <w:bookmarkStart w:id="291" w:name="_Toc108"/>
      <w:bookmarkEnd w:id="290"/>
      <w:r>
        <w:rPr>
          <w:rtl w:val="true"/>
        </w:rPr>
        <w:t>والسّنة والعقل‌</w:t>
      </w:r>
      <w:bookmarkEnd w:id="291"/>
    </w:p>
    <w:p>
      <w:pPr>
        <w:pStyle w:val="BookText"/>
        <w:rPr/>
      </w:pPr>
      <w:r>
        <w:rPr>
          <w:rFonts w:ascii="Amiri" w:hAnsi="Amiri" w:eastAsia="Amiri" w:cs="Amiri"/>
          <w:color w:val="111111"/>
          <w:sz w:val="28"/>
          <w:sz w:val="28"/>
          <w:szCs w:val="28"/>
          <w:rtl w:val="true"/>
          <w:lang w:bidi="ar-SA"/>
        </w:rPr>
        <w:t>إنّ فكرة الرؤية تسرّبت إلى المسلمين من المتظاهرين بالإسلام كالأحبار والرهبان، وصار ذلك سبباً لجرأة طوائف من المسلمين على جعلها في ضمن العقيدة الإسلامية بحيث يكفّر منكرها أحياناً أو يفسّق حتّى أنّ الإمام الأشعري قال في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وندين بأنّ الله تعالى يرى في الآخرة بالأبصار كما يرى القمر ليلة البدر، يراه المؤمنون، كما جاءت الروايات 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اختلفوا في الدليل على الرؤية؛ ففرقة منهم اعتمدوا على الأدلّة العقلية دون السمعية، كسيف الدين الآمدي أحد</w:t>
      </w:r>
      <w:bookmarkStart w:id="292" w:name="pg1887_25623"/>
    </w:p>
    <w:p>
      <w:pPr>
        <w:pStyle w:val="BookText"/>
        <w:rPr/>
      </w:pPr>
      <w:bookmarkEnd w:id="292"/>
      <w:r>
        <w:rPr>
          <w:rFonts w:ascii="Amiri" w:hAnsi="Amiri" w:eastAsia="Amiri" w:cs="Amiri"/>
          <w:color w:val="111111"/>
          <w:sz w:val="28"/>
          <w:sz w:val="28"/>
          <w:szCs w:val="28"/>
          <w:rtl w:val="true"/>
          <w:lang w:bidi="ar-SA"/>
        </w:rPr>
        <w:t>مشايخ الأشاعرة في القرن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وفرقة اخرى كالرازي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جواز الرؤية ووقوعها هو السمع، وعليه الشيخ الشهرستاني في نهاية الأقدام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049289_3650668749"/>
      <w:bookmarkStart w:id="294" w:name="_Toc109"/>
      <w:bookmarkEnd w:id="293"/>
      <w:r>
        <w:rPr>
          <w:rtl w:val="true"/>
        </w:rPr>
        <w:t>«</w:t>
      </w:r>
      <w:r>
        <w:rPr>
          <w:rtl w:val="true"/>
        </w:rPr>
        <w:t>الرؤية بالأبصار لا بالقلب ولا بالرؤيا</w:t>
      </w:r>
      <w:r>
        <w:rPr>
          <w:rtl w:val="true"/>
        </w:rPr>
        <w:t>»</w:t>
      </w:r>
      <w:bookmarkEnd w:id="294"/>
    </w:p>
    <w:p>
      <w:pPr>
        <w:pStyle w:val="BookText"/>
        <w:rPr/>
      </w:pPr>
      <w:r>
        <w:rPr>
          <w:rFonts w:ascii="Amiri" w:hAnsi="Amiri" w:eastAsia="Amiri" w:cs="Amiri"/>
          <w:color w:val="111111"/>
          <w:sz w:val="28"/>
          <w:sz w:val="28"/>
          <w:szCs w:val="28"/>
          <w:rtl w:val="true"/>
          <w:lang w:bidi="ar-SA"/>
        </w:rPr>
        <w:t>محل النزاع بين الأشاعرة ومن قبلهم الحنابلة وأصحاب الحديث وبين غيرهم من أهل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رؤية الله سبحانه بالأبصار، وأمّا الرؤية بغيرها فخارجة عن مجاله، فإذا كانت الحنابلة والأشاعرة مصرّين على جواز الرؤية، فأئمّة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تبعهم من الإمامية والمعتزلة والزيديه قائلون بامتناعها في الدنيا والآخرة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نجم في ظلّ العراك الفكري بين العلويين والأمويين منهاجان في مجال المعارف، كلّ يحمل شعاراً، فشيعة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شعار التنزيه والاختيار، والأمويون وشيعتهم يحملون شعار التشبيه والجبر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منذ قرون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والاختيار علوّيان والتشبيه والجبر أمويان قال الرازي في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00"/>
      </w:r>
      <w:bookmarkStart w:id="295" w:name="pg1887_25625"/>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علماء التوحيد قديماً وحديثاً بهذه الآية على نفي كونه جسماً مركبّاً من الأعضاء والأجزاء حاصلًا في المكان والجهة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محمّد بن إسحاق بن خزيمة ولد عام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وإثبات صفات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هذا مصدر المشبّهة والمجسّمة في العصور الأخيرة وقد اهتمّت به الحنابلة وخصوصاً الوهابية، فقاموا بنشره على نطاق واسع، وهم يظنّون أنّهم يحسنون صنعاً</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049291_3650668749"/>
      <w:bookmarkStart w:id="297" w:name="_Toc110"/>
      <w:bookmarkEnd w:id="296"/>
      <w:r>
        <w:rPr>
          <w:rtl w:val="true"/>
        </w:rPr>
        <w:t>«</w:t>
      </w:r>
      <w:r>
        <w:rPr>
          <w:rtl w:val="true"/>
        </w:rPr>
        <w:t xml:space="preserve">الرؤية في كلمات الإمام علي </w:t>
      </w:r>
      <w:r>
        <w:rPr/>
        <w:t>7</w:t>
      </w:r>
      <w:r>
        <w:rPr>
          <w:rtl w:val="true"/>
        </w:rPr>
        <w:t>»</w:t>
      </w:r>
      <w:bookmarkEnd w:id="297"/>
    </w:p>
    <w:p>
      <w:pPr>
        <w:pStyle w:val="BookText"/>
        <w:rPr/>
      </w:pPr>
      <w:r>
        <w:rPr>
          <w:rFonts w:ascii="Amiri" w:hAnsi="Amiri" w:eastAsia="Amiri" w:cs="Amiri"/>
          <w:color w:val="111111"/>
          <w:sz w:val="28"/>
          <w:sz w:val="28"/>
          <w:szCs w:val="28"/>
          <w:rtl w:val="true"/>
          <w:lang w:bidi="ar-SA"/>
        </w:rPr>
        <w:t>قد سأله الإمامَ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مالا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فكيف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العيون بمشاهدة العيان، ولكن تدركه القلوب بحقائق الإيمان؛ قريب من الأشياء غير ملابس، بعيد منها غير مباين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لاتدركه الشواهد، ولا تحويه المشاهد، ولاتراه النواظر، ولا تحجبه السواتر</w:t>
      </w:r>
      <w:r>
        <w:rPr>
          <w:rFonts w:eastAsia="Amiri" w:cs="Amiri" w:ascii="Amiri" w:hAnsi="Amiri"/>
          <w:color w:val="111111"/>
          <w:sz w:val="28"/>
          <w:szCs w:val="28"/>
          <w:rtl w:val="true"/>
          <w:lang w:bidi="ar-SA"/>
        </w:rPr>
        <w:t xml:space="preserve">» </w:t>
      </w:r>
      <w:r>
        <w:rPr>
          <w:rStyle w:val="FootnoteAnchor"/>
          <w:rtl w:val="true"/>
        </w:rPr>
        <w:footnoteReference w:id="103"/>
      </w:r>
      <w:bookmarkStart w:id="298" w:name="pg1887_25627"/>
    </w:p>
    <w:p>
      <w:pPr>
        <w:pStyle w:val="BookText"/>
        <w:rPr/>
      </w:pPr>
      <w:bookmarkEnd w:id="298"/>
      <w:r>
        <w:rPr>
          <w:rFonts w:ascii="Amiri" w:hAnsi="Amiri" w:eastAsia="Amiri" w:cs="Amiri"/>
          <w:color w:val="111111"/>
          <w:sz w:val="28"/>
          <w:sz w:val="28"/>
          <w:szCs w:val="28"/>
          <w:rtl w:val="true"/>
          <w:lang w:bidi="ar-SA"/>
        </w:rPr>
        <w:t>للإمام الطاهر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الرواية مخالفة للقرآن كذّبتها وما أجمع المسلمون عليه أنّه لايحيط به علماً ولاتدركه الأبصار وليس كمثله شي‌ء</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3049293_3650668749"/>
      <w:bookmarkStart w:id="300" w:name="_Toc111"/>
      <w:bookmarkEnd w:id="299"/>
      <w:r>
        <w:rPr>
          <w:rtl w:val="true"/>
        </w:rPr>
        <w:t>«</w:t>
      </w:r>
      <w:r>
        <w:rPr>
          <w:rtl w:val="true"/>
        </w:rPr>
        <w:t>الرؤية في منطق العلم والعقل</w:t>
      </w:r>
      <w:r>
        <w:rPr>
          <w:rtl w:val="true"/>
        </w:rPr>
        <w:t>»</w:t>
      </w:r>
      <w:bookmarkEnd w:id="300"/>
    </w:p>
    <w:p>
      <w:pPr>
        <w:pStyle w:val="BookText"/>
        <w:rPr/>
      </w:pPr>
      <w:r>
        <w:rPr>
          <w:rFonts w:ascii="Amiri" w:hAnsi="Amiri" w:eastAsia="Amiri" w:cs="Amiri"/>
          <w:color w:val="111111"/>
          <w:sz w:val="28"/>
          <w:sz w:val="28"/>
          <w:szCs w:val="28"/>
          <w:rtl w:val="true"/>
          <w:lang w:bidi="ar-SA"/>
        </w:rPr>
        <w:t>إنّ الرؤية في منطق العلم والعقل لا تتحقّق إلّا إذا كان الشي‌ء مقابلًا أو حالًّا في المقابل، كما في رؤية الصور في المرآة؛ وهذا أمر تحكم به الضرورة وإنكاره مكابرة واضحة، فإذا كانت ماهية الرؤية هي ما ذكرناه، فلا يمكن تحقّقها فيما إذا تنزّه الشي‌ء عن المقابلة أو الحلول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والنقل اتّفقا على كونه سبحانه ليس بجسم ولاجسماني ولا في جهة، والرؤية فرع كون الشي‌ء في جهة خاصّة، وما شأنه هذا يتعلّق بالمحسوس لا بالمجرّد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وقعت الرؤية على ذاته سبحانه فهل تقع على كلّه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وقعت على الكلّ تكون ذاته محاطة لا محيطة، وهذا باطل بالضرورة ولو وقعت على الجزء تكون ذاته ذات جزء مركّب</w:t>
      </w:r>
      <w:r>
        <w:rPr>
          <w:rFonts w:eastAsia="Amiri" w:cs="Amiri" w:ascii="Amiri" w:hAnsi="Amiri"/>
          <w:color w:val="111111"/>
          <w:sz w:val="28"/>
          <w:szCs w:val="28"/>
          <w:rtl w:val="true"/>
          <w:lang w:bidi="ar-SA"/>
        </w:rPr>
        <w:t>.</w:t>
      </w:r>
      <w:bookmarkStart w:id="301" w:name="pg1887_25629"/>
    </w:p>
    <w:p>
      <w:pPr>
        <w:pStyle w:val="Heading3"/>
        <w:numPr>
          <w:ilvl w:val="2"/>
          <w:numId w:val="1"/>
        </w:numPr>
        <w:rPr/>
      </w:pPr>
      <w:bookmarkStart w:id="302" w:name="__RefHeading___Toc3049295_3650668749"/>
      <w:bookmarkStart w:id="303" w:name="_Toc112"/>
      <w:bookmarkEnd w:id="301"/>
      <w:bookmarkEnd w:id="302"/>
      <w:r>
        <w:rPr>
          <w:rtl w:val="true"/>
        </w:rPr>
        <w:t>«</w:t>
      </w:r>
      <w:r>
        <w:rPr>
          <w:rtl w:val="true"/>
        </w:rPr>
        <w:t>محاولة يائسة في تجويز الرؤية</w:t>
      </w:r>
      <w:r>
        <w:rPr>
          <w:rtl w:val="true"/>
        </w:rPr>
        <w:t>»</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بلاكيف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العنوان هو الّذي يجده القارئ في كتب الأشاعرة، وربّما يعبّر عنه خصومهم بالبلكفه، ومعناه أن الله تعالى يرى بلا كيف وأنّ المؤمنين في الجنّة يرونه بلا كيف، أي منزّهاً عن المقابلة والجهة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الحنابلة والأشاعرة يصرّون على أنّ الصفات الخبرية كاليد والرجل والقدم والوجه في الكتاب والسّنة يجب أن تفسّر بنفس معانيها اللغوية، ولايجوز لنا حملها على معانيها المجازية كالقدرة في اليد مثلًا؛ ولمّا رأوا أنّ ذلك بلازم التجسيم التجأوا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بلاكيف، ولكنّهم خفي عنهم أنّ الكيفية في اليد والوجه وغيرهما مقوّمة لمفاهيمها، فنفي الكيفية يساوق نفي المعنى اللّغوي، فكيف يمكن الجمع بين المعنى اللغوي والحمل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حال الرؤية بالبصر والعين، فإنّ التقابل مقوّم لمفهومها، فإثباتها بلاكيف يلازم نفي أصل الرؤية، وقد عرفت أنّ الكلام في النظر بالبصر والرؤية بالعين، لا الرؤية بالقلب أو في النوم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الأحكام باختلاف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المثّقفين الجدد لمّا أدركوا بعقولهم أنّ الرؤية لاتنفكّ عن الجهة التجأوا</w:t>
      </w:r>
      <w:bookmarkStart w:id="304" w:name="pg1887_25631"/>
    </w:p>
    <w:p>
      <w:pPr>
        <w:pStyle w:val="BookText"/>
        <w:rPr/>
      </w:pPr>
      <w:bookmarkEnd w:id="304"/>
      <w:r>
        <w:rPr>
          <w:rFonts w:ascii="Amiri" w:hAnsi="Amiri" w:eastAsia="Amiri" w:cs="Amiri"/>
          <w:color w:val="111111"/>
          <w:sz w:val="28"/>
          <w:sz w:val="28"/>
          <w:szCs w:val="28"/>
          <w:rtl w:val="true"/>
          <w:lang w:bidi="ar-SA"/>
        </w:rPr>
        <w:t>إلى القول بأنّ كلّ شي‌ءٍ في الآخرة غيره في الدنيا، ولعلّ الرؤية تتحقّق في الآخرة بلاهذا اللازم السلبي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الإكتراث بإثبات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أحمد بن محمّد خرّيج جامعة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تخلّص عن الالتزام بإثبات الجهة 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صفة العلوّ لله تبارك وتعالى ورد في الكتاب والسّنة في مواضع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فلاحرج في إثبات رؤية الله تعالى من هذا العلوّ الثابت له تبارك وتعالى، ولايقدح هذا في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عليها ما يرد على الأولى مضافاً لها إلى ما سيوافك من الآيات القرآنية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049297_3650668749"/>
      <w:bookmarkStart w:id="306" w:name="_Toc113"/>
      <w:bookmarkEnd w:id="305"/>
      <w:r>
        <w:rPr>
          <w:rtl w:val="true"/>
        </w:rPr>
        <w:t>موقف الذكر الحكيم من أمر الرؤية</w:t>
      </w:r>
      <w:r>
        <w:rPr>
          <w:rtl w:val="true"/>
        </w:rPr>
        <w:t>:</w:t>
      </w:r>
      <w:bookmarkEnd w:id="3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يصف الله سبحانه بصفات تهدف جميعها إلى تنزيهه عن الجسم والجسمانية وأنّه ليس له مثل ولانظير ولا ندّ ولا كف‌ء، وأنّه محيط بكلّ شي‌ءٍ ولايحيطه شي‌ءٌ إلى غير ذلك من الصفات المنزّهه، نشير إلى بعض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w:t>
      </w:r>
    </w:p>
    <w:p>
      <w:pPr>
        <w:pStyle w:val="BookText"/>
        <w:rPr/>
      </w:pP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فهو مع الأشياء معية قيومية لامعية مكانية؛ وذلك مقتضى كونه قيوماً وما سواه قائماً به، ولايمكن للقيوم الغيبوبة عمّا قام به، فالجميع محاط وهو محيط، ومن كان بهذه المنزلة لاتدركه الأبصار الصغيرة الضعيفة ولايقع في أفقها، ولكنّه لكونه محيط،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تلا هذه الآيات وتدبّر فيها يحكم بأنّه سبحانه فوق أن يقع في وهم الإنسان وفكره ومجال بصره وعينه، مع أنّه كان ولاعلوّ ولاجهة، بل هو خالقهما، وهو محيط بكلّ شي‌ء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ومن جانب آخر نرى أنّه سبحانه كلّما طرح مسألة الرؤية في القرآن الكريم فانّما يطرحها ليؤكد عجزالإنسان عن نيلها، ويعتبر سؤالها وتمنّيها من الإنسان أمراً فظيعاً وقبيحاً وتطلّعاً إلى ما هو دونه،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 فَأَخَذَتْكُمُ الصَّاعِقَةُ وأَنْتُمْ تَنْظُرُونَ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bookmarkStart w:id="307" w:name="pg1887_25637"/>
    </w:p>
    <w:p>
      <w:pPr>
        <w:pStyle w:val="BookText"/>
        <w:rPr/>
      </w:pPr>
      <w:bookmarkEnd w:id="3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فالإمعان بما ورد فيها من عتاب وتنديد بل وإماتة وإنزال عذاب يدلّ بوضوح على أنّ الرؤية فوق قابلية الإنسان، وطلبه لها أشبه بالتطلّع إلى أمر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بغضّ النظر عن الدنيا والآخرة، ولاصلة لها بظرف السؤال</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049299_3650668749"/>
      <w:bookmarkStart w:id="309" w:name="_Toc114"/>
      <w:bookmarkEnd w:id="308"/>
      <w:r>
        <w:rPr>
          <w:rtl w:val="true"/>
        </w:rPr>
        <w:t>دراسة أدّلة النافين‌</w:t>
      </w:r>
      <w:bookmarkEnd w:id="309"/>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يتوقّف على البحث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مفهوم الدرك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الدرك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اللحوق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وأدركته ببصري أي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فالإدراك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إلتحاق من الرائي بالمرئي بالبصر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مفهوم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تعالى عن تعلّق الأبصار فقد خرج عن حيطة الأشياء،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الرقيق النافذ في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الخبرة الكاملة، فإذا كان</w:t>
      </w:r>
    </w:p>
    <w:p>
      <w:pPr>
        <w:pStyle w:val="BookText"/>
        <w:rPr/>
      </w:pPr>
      <w:r>
        <w:rPr>
          <w:rFonts w:ascii="Amiri" w:hAnsi="Amiri" w:eastAsia="Amiri" w:cs="Amiri"/>
          <w:color w:val="111111"/>
          <w:sz w:val="28"/>
          <w:sz w:val="28"/>
          <w:szCs w:val="28"/>
          <w:rtl w:val="true"/>
          <w:lang w:bidi="ar-SA"/>
        </w:rPr>
        <w:t>تعالى محيطاً بكلّ شي‌ءٍ لرقّته ونفوذه في الأشياء، كان شاهداً على كلّ شي‌ءٍ ومع ذلك فهو عالم بظواهر الأشياء وبواطنها من غيرأن يشغله شي‌ء عن شي‌ء أو يحتجب عنه شي‌ء بشي‌ءٍ، وإنّ لفظ الأبصار صيغة جمع دخل عليها الألف واللام فهو يفيد الاستغراق أي لايدركه أحد من ذوي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سواء أوقعت على جميع الذات أم على جزئها، فهي نوع إحاطة علمية من البشر به سبحانه،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تَرانِي</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المفهوم الصحيح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تعاليه سبحانه عن الرؤية، وأنّ سؤاله الرؤية أمر عظيم فظيع لايمحى أثره إلّا بالتوبة؛ وذلك لوجوه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بالنفي المؤبّد الدّال على عدم تحققها أبداً لا في</w:t>
      </w:r>
    </w:p>
    <w:p>
      <w:pPr>
        <w:pStyle w:val="BookText"/>
        <w:rPr/>
      </w:pPr>
      <w:r>
        <w:rPr>
          <w:rFonts w:ascii="Amiri" w:hAnsi="Amiri" w:eastAsia="Amiri" w:cs="Amiri"/>
          <w:color w:val="111111"/>
          <w:sz w:val="28"/>
          <w:sz w:val="28"/>
          <w:szCs w:val="28"/>
          <w:rtl w:val="true"/>
          <w:lang w:bidi="ar-SA"/>
        </w:rPr>
        <w:t>هذه الدّنيا ولا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الرؤية على أمر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سبحانه الرؤية على استقرار الجبل وبقائه على الحالة التي كان عليها عند التجلّي وعدم تحوّله إلى ذرّات ترابية صغار بعده، والمفروض أنّه لم يبق على حالته السابقة وبطلت هوّيته وصارت تراباً مدكوكاً، فإذا انتفى المعلّق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الجبل على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المعلّق، وهو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سبحانه بعد الإفاقة عن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الآية أنّ موسى لمّا أفاق فأوّل ما تكلّم به هو تسبيحه سبحانه وتنزيهه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الرّؤية لاتنفكّ عن الجهة والجسمية وغيرهما من النقائص؛ فنزّمه سبحانه عنها، فطلبها نوع تصديق لها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لأجل طلب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بعد ما أفاق أخذ بالتنزيه أوّلًا والتوبة والإنابة إلى ربّه ثانياً، وظاهرالآية أنّه تاب من سؤاله، كما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المصدّقين بأنّه لايرى بتاتاً</w:t>
      </w:r>
      <w:r>
        <w:rPr>
          <w:rFonts w:eastAsia="Amiri" w:cs="Amiri" w:ascii="Amiri" w:hAnsi="Amiri"/>
          <w:color w:val="111111"/>
          <w:sz w:val="28"/>
          <w:szCs w:val="28"/>
          <w:rtl w:val="true"/>
          <w:lang w:bidi="ar-SA"/>
        </w:rPr>
        <w:t>.</w:t>
      </w:r>
      <w:bookmarkStart w:id="310" w:name="pg1887_25647"/>
    </w:p>
    <w:p>
      <w:pPr>
        <w:pStyle w:val="Heading3"/>
        <w:numPr>
          <w:ilvl w:val="2"/>
          <w:numId w:val="1"/>
        </w:numPr>
        <w:rPr/>
      </w:pPr>
      <w:bookmarkStart w:id="311" w:name="__RefHeading___Toc3049301_3650668749"/>
      <w:bookmarkStart w:id="312" w:name="_Toc115"/>
      <w:bookmarkEnd w:id="310"/>
      <w:bookmarkEnd w:id="311"/>
      <w:r>
        <w:rPr>
          <w:rtl w:val="true"/>
        </w:rPr>
        <w:t>شبهات المخالفين‌</w:t>
      </w:r>
      <w:bookmarkEnd w:id="312"/>
    </w:p>
    <w:p>
      <w:pPr>
        <w:pStyle w:val="Heading3"/>
        <w:numPr>
          <w:ilvl w:val="2"/>
          <w:numId w:val="1"/>
        </w:numPr>
        <w:rPr/>
      </w:pPr>
      <w:bookmarkStart w:id="313" w:name="__RefHeading___Toc3049303_3650668749"/>
      <w:bookmarkStart w:id="314" w:name="_Toc116"/>
      <w:bookmarkEnd w:id="313"/>
      <w:r>
        <w:rPr>
          <w:rtl w:val="true"/>
        </w:rPr>
        <w:t>الشبهة الاولى</w:t>
      </w:r>
      <w:r>
        <w:rPr>
          <w:rtl w:val="true"/>
        </w:rPr>
        <w:t>:</w:t>
      </w:r>
      <w:bookmarkEnd w:id="314"/>
    </w:p>
    <w:p>
      <w:pPr>
        <w:pStyle w:val="BookText"/>
        <w:rPr/>
      </w:pPr>
      <w:r>
        <w:rPr>
          <w:rFonts w:ascii="Amiri" w:hAnsi="Amiri" w:eastAsia="Amiri" w:cs="Amiri"/>
          <w:color w:val="111111"/>
          <w:sz w:val="28"/>
          <w:sz w:val="28"/>
          <w:szCs w:val="28"/>
          <w:rtl w:val="true"/>
          <w:lang w:bidi="ar-SA"/>
        </w:rPr>
        <w:t>لو كانت الرؤية ممتنعة لما سألها الكليم، ولاشكّ في كون موسى عارفاً بما يجب ويجوز ويمتنع على الله تعالى، وحيث سألها علمنا أنّ الرؤية جائزة على الله 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القرائن تشهد على أنّه سأل الرؤية على لسان قومه حيث كانوا مصرّين على ذلك، انظر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لَوْ شِئْتَ أَهْلَكْتَهُمْ مِنْ قَبْلُ وإِيَّايَ أَ تُهْلِكُنا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الكليم لمّا أخبر قومه بأنّ الله كلّمه وقرّبه وناجاه،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بك حتّى نسمع كلامه كما سمعت، فاختارمنهم سبعين رجلًا لميقاته وسأله سبحانه أن يكلّمه؛ فلمّا كلّمه الله وسمع القوم كلامه،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bookmarkStart w:id="315" w:name="pg1887_25650"/>
    </w:p>
    <w:p>
      <w:pPr>
        <w:pStyle w:val="BookText"/>
        <w:rPr/>
      </w:pPr>
      <w:bookmarkEnd w:id="315"/>
      <w:r>
        <w:rPr>
          <w:rFonts w:ascii="Amiri" w:hAnsi="Amiri" w:eastAsia="Amiri" w:cs="Amiri"/>
          <w:color w:val="111111"/>
          <w:sz w:val="28"/>
          <w:sz w:val="28"/>
          <w:szCs w:val="28"/>
          <w:rtl w:val="true"/>
          <w:lang w:bidi="ar-SA"/>
        </w:rPr>
        <w:t>اتّضح ممّا ذكرنا عدم دلالة الآية على إمكان رؤيته سبحانه بطلب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3049305_3650668749"/>
      <w:bookmarkStart w:id="317" w:name="_Toc117"/>
      <w:bookmarkEnd w:id="316"/>
      <w:r>
        <w:rPr>
          <w:rtl w:val="true"/>
        </w:rPr>
        <w:t>الشبهة الثانية</w:t>
      </w:r>
      <w:r>
        <w:rPr>
          <w:rtl w:val="true"/>
        </w:rPr>
        <w:t>:</w:t>
      </w:r>
      <w:bookmarkEnd w:id="317"/>
    </w:p>
    <w:p>
      <w:pPr>
        <w:pStyle w:val="BookText"/>
        <w:rPr/>
      </w:pPr>
      <w:r>
        <w:rPr>
          <w:rFonts w:ascii="Amiri" w:hAnsi="Amiri" w:eastAsia="Amiri" w:cs="Amiri"/>
          <w:color w:val="111111"/>
          <w:sz w:val="28"/>
          <w:sz w:val="28"/>
          <w:szCs w:val="28"/>
          <w:rtl w:val="true"/>
          <w:lang w:bidi="ar-SA"/>
        </w:rPr>
        <w:t>إنّ تجلّيه سبحانه للجبل هو رؤية الجبل له، فلّما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اندكّت أجزاؤه، فإذا كان الأمر كذلك ثبت أنّه تعالى جائز الرؤية، وأقصى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خلق في ذلك الجبل الحياة والعقل والفهم، ثم خلق فيه الرؤية متعلّقة بذات الله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لكن يلاحظ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الآية أي دليل عليه، وظاهر الآية أنّه سبحانه تجلّى للجبل وهو لم يتحمّل تجلّيه، لا أنّه رآه وشاهده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التجلّي، فكما يحتمل أن يكون بالذات، كذلك يحتمل أن يكون بالفعل، فمن لم يتحمّل تجلّيه بفعله وقدرته، فالأولى أن لا يتحمّل تجلّيه بذاته، وعندئذٍ فمن المحتمل جدّاً أن يكون تجلّيه بآثاره وقدرته وأفعاله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لايمكن التمسّك به وطرح الدلائل القاطعة عقلًا ونقلًا على امتناع رؤيته</w:t>
      </w:r>
      <w:r>
        <w:rPr>
          <w:rFonts w:eastAsia="Amiri" w:cs="Amiri" w:ascii="Amiri" w:hAnsi="Amiri"/>
          <w:color w:val="111111"/>
          <w:sz w:val="28"/>
          <w:szCs w:val="28"/>
          <w:rtl w:val="true"/>
          <w:lang w:bidi="ar-SA"/>
        </w:rPr>
        <w:t>.</w:t>
      </w:r>
      <w:bookmarkStart w:id="318" w:name="pg1887_25653"/>
    </w:p>
    <w:p>
      <w:pPr>
        <w:pStyle w:val="Heading3"/>
        <w:numPr>
          <w:ilvl w:val="2"/>
          <w:numId w:val="1"/>
        </w:numPr>
        <w:rPr/>
      </w:pPr>
      <w:bookmarkStart w:id="319" w:name="__RefHeading___Toc3049307_3650668749"/>
      <w:bookmarkStart w:id="320" w:name="_Toc118"/>
      <w:bookmarkEnd w:id="318"/>
      <w:bookmarkEnd w:id="319"/>
      <w:r>
        <w:rPr>
          <w:rtl w:val="true"/>
        </w:rPr>
        <w:t>رؤية الله في الذكر الحكيم</w:t>
      </w:r>
      <w:r>
        <w:rPr>
          <w:rtl w:val="true"/>
        </w:rPr>
        <w:t>: «</w:t>
      </w:r>
      <w:r>
        <w:rPr>
          <w:rtl w:val="true"/>
        </w:rPr>
        <w:t>دراسة أدلة المثبتين</w:t>
      </w:r>
      <w:r>
        <w:rPr>
          <w:rtl w:val="true"/>
        </w:rPr>
        <w:t>»</w:t>
      </w:r>
      <w:bookmarkEnd w:id="320"/>
    </w:p>
    <w:p>
      <w:pPr>
        <w:pStyle w:val="BookText"/>
        <w:rPr/>
      </w:pPr>
      <w:r>
        <w:rPr>
          <w:rFonts w:ascii="Amiri" w:hAnsi="Amiri" w:eastAsia="Amiri" w:cs="Amiri"/>
          <w:color w:val="111111"/>
          <w:sz w:val="28"/>
          <w:sz w:val="28"/>
          <w:szCs w:val="28"/>
          <w:rtl w:val="true"/>
          <w:lang w:bidi="ar-SA"/>
        </w:rPr>
        <w:t>استدّل القائلون بجواز الرؤية بآيات متعدّدة، والمهّم فيها هو الآية الآتية، أعني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فإنّ المثبتين يركّزون على أنّ الناظرة بمعنى الرؤية، كما أنّ نافيها يفسّرونها بمعنى الانتظار، مع أنّ تسليم كونه بمعنى الرّؤية غير مؤثّر في إثبات مدّعيها كما سيظهر؛ والحقّ عدم دلالتها على جواز رؤية الله بتاتاً؛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والعجب أنّ المستدلّ غفل عن هذه النكتة التّي تحدّد معنى الآية وتخرجها عن الإبهام والتردّد بين المعنيين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نوافق المثبتين بأنّ النظر إذا استعمل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الرؤية لكن الذي يجب أن نلفت إليه نظر المستدلّ هو أنّه ربّما يكون المعنى اللغوي ذريعة لتفهيم معنى كنائي ويكون هو المقصود بالأصالة لا المدلول اللغوي،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المراد هنا جوده وسخاؤه وكثرة إطعامه، وهذه هي القاعدة الكلية في تفسير كلمات الفصحاء والبلغاء، فلاشك أنّ</w:t>
      </w:r>
      <w:bookmarkStart w:id="321" w:name="pg1887_25656"/>
    </w:p>
    <w:p>
      <w:pPr>
        <w:pStyle w:val="BookText"/>
        <w:rPr/>
      </w:pPr>
      <w:bookmarkEnd w:id="321"/>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رحمته، والمراد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إِلَيْهِمْ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هو طردهم عن ساحته وعدم شمول رحمته لهم وعدم تعطّفه عليهم، لاعدم مشاهدته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إذا اسند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المراد الاستعمالي والجدّي هو الرؤية على أقسامها، وإذا اسند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الرؤية استعمالًا والانتظار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لصاحب الكشاف هنا كلمة جيدة، حيث يقال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إلى فلان ناظر ما يصنع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معنى التوقّع والرّجاء</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3"/>
        <w:numPr>
          <w:ilvl w:val="2"/>
          <w:numId w:val="1"/>
        </w:numPr>
        <w:rPr/>
      </w:pPr>
      <w:bookmarkStart w:id="322" w:name="__RefHeading___Toc3049309_3650668749"/>
      <w:bookmarkStart w:id="323" w:name="_Toc119"/>
      <w:bookmarkEnd w:id="322"/>
      <w:r>
        <w:rPr>
          <w:rtl w:val="true"/>
        </w:rPr>
        <w:t>«</w:t>
      </w:r>
      <w:r>
        <w:rPr>
          <w:rtl w:val="true"/>
        </w:rPr>
        <w:t>خمس آيات على مائدة التفسير</w:t>
      </w:r>
      <w:r>
        <w:rPr>
          <w:rtl w:val="true"/>
        </w:rPr>
        <w:t>»</w:t>
      </w:r>
      <w:bookmarkEnd w:id="323"/>
    </w:p>
    <w:p>
      <w:pPr>
        <w:pStyle w:val="BookText"/>
        <w:rPr/>
      </w:pPr>
      <w:r>
        <w:rPr>
          <w:rFonts w:ascii="Amiri" w:hAnsi="Amiri" w:eastAsia="Amiri" w:cs="Amiri"/>
          <w:color w:val="111111"/>
          <w:sz w:val="28"/>
          <w:sz w:val="28"/>
          <w:szCs w:val="28"/>
          <w:rtl w:val="true"/>
          <w:lang w:bidi="ar-SA"/>
        </w:rPr>
        <w:t>إنّ أصحاب القول بالرؤية يتمسّكون ببعض الآيات مما لا دلالة له على مدّعاهم، بل لا صلة بينه وبين القول بالرؤية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إِنِّي اصْطَفَيْتُكَ عَلَى النَّاسِ بِرِسالاتِي وبِكَلامِي فَخُذْ ما آتَيْتُكَ وكُنْ مِنَ الشَّاكِرِينَ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الآية على جواز الرؤية قوي؛ لأنّ الله تعالى عدّد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النعم التي أنعم الله بها عليه لما منعه من حصول جائز طلبه منه، فذكر ما ذكر تسلية له، ولو منعه من ممتنع لكان بخطاب آخر وذلك مثل خطابه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الرؤية بها تحميل للنظرية على الآية، وليس تفسيراً لها؛ لو لم‌نقل إنّ الآية وردت على خلاف ما يدّعيه، فإنّما وردت في مورد الامتنان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وموعظة له أن يكتفي بما اصطفاه الله به من رسالاته وكلامه ويشكره ولايزيد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فقد فسّرت الحسنى بالجنّة والزيادة بالنظر إلى وجه الله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سياق الآية يدلّ على أنّ المراد من الزيادة هو الزيادة على الاستحقاق،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w:t>
      </w:r>
    </w:p>
    <w:p>
      <w:pPr>
        <w:pStyle w:val="BookText"/>
        <w:rPr/>
      </w:pPr>
      <w:r>
        <w:rPr>
          <w:rFonts w:ascii="Amiri" w:hAnsi="Amiri" w:eastAsia="Amiri" w:cs="Amiri"/>
          <w:color w:val="111111"/>
          <w:sz w:val="28"/>
          <w:sz w:val="28"/>
          <w:szCs w:val="28"/>
          <w:rtl w:val="true"/>
          <w:lang w:bidi="ar-SA"/>
        </w:rPr>
        <w:t>الصَّالِحاتِ فَيُوَفِّيهِمْ أُجُورَهُمْ ويَزِيدُهُمْ مِنْ فَضْلِهِ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يَشاؤُنَ فِيها ولَدَيْنا مَزِيدٌ</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فإنّ المراد أحد المعنيين، إمّا زيادة على ما يشاؤونه مالم يخطر ببالهم ولم‌تبلغه أمانيهم، أو الزيادة على مقدار استحقاقهم من الثواب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ثَمَّ رَأَيْتَ نَعِيماً ومُلْكاً كَبِيرا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إحدى القراءات في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ميم وكسر اللام وأجمع المسلمون على أنّ ذلك الملك ليس إلّا الله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يلاحظ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العقائدية يستدلّ عليها بالأدلّة القطعية لا بالقراءات الشاذّة، وسياق الآية يدلّ على أنّه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رميت ببصرك الجنة رأيت نعيماً لايوصف وملكاً كبيراً لا يقدّر قدره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مُلاقُوهُ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تنسب اللقاء إلى الله تعالى، ومقتضى الأخذ بالظاهر هو تحققّ اللقاء بالمشاهدة والمعاينة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الاستدلال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اللقاء كما أضيف في هذه الآيات إليه سبحانه اضيف إلى غيره في آيات أخرى، فتارة أضيف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مِنْ قَوْمِهِ الَّذِينَ كَفَرُوا وكَذَّبُوا بِلِقاءِ الآْخِرَةِ</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وأخرى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وَيُنْذِرُونَكُمْ لِقاءَ يَوْمِكُمْ هذا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الْيَوْمَ نَنْساكُمْ كَما نَسِيتُمْ لِقاءَ يَوْمِكُمْ هذا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وعلى ذلك يكون المراد من الجميع هو لقاء الناس يوم الجزاء، وإنّما سمّي هذا بلقاء الرّب أو لقاء الله لما تعلّقت المشيئته على مجازاة المحسنين والمسيئين في ذلك اليوم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أنّ المراد من اللقاء ليس هو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تختصّ بالمؤمنين ولا تعمّ الكافرين، مع أنّه سبحانه يعمّم اللقاء بالمؤمن والكافر، فلم‌تبق أيّة فضيلة وزيادة</w:t>
      </w:r>
    </w:p>
    <w:p>
      <w:pPr>
        <w:pStyle w:val="BookText"/>
        <w:rPr/>
      </w:pPr>
      <w:r>
        <w:rPr>
          <w:rFonts w:ascii="Amiri" w:hAnsi="Amiri" w:eastAsia="Amiri" w:cs="Amiri"/>
          <w:color w:val="111111"/>
          <w:sz w:val="28"/>
          <w:sz w:val="28"/>
          <w:szCs w:val="28"/>
          <w:rtl w:val="true"/>
          <w:lang w:bidi="ar-SA"/>
        </w:rPr>
        <w:t>تختصّ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منزلة آيات اللقاء هي منزلة آيات الرجوع إلى الله،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ولم نر سلفياً أو أشعرياً يستدلّ بها على رؤية الله سبحانه، مع أنّ وزان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لايرونه تعالى وهو حاضر ناظر لهم بخلاف المؤمنين، فالحجاب مجاز عن عدم الرؤية؛ لأنّ المحجوب لايرى ما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بالآية مالك والشافعي وأنس ابن مالك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تهديد المجرمين، وهذا لايحصل إلّا بتحذيرهم وحرمانهم من رحمته وتعذيبهم في جحيمه، فالمراد أنّ هؤلاء محجوبون يوم القيامة عن رحمته وإحسانه وكرمه، وبعد ما منعوا من الثواب والكرامة يكون مصير هؤلاء إلى الجحيم وإنّ الله سبحانه ذكر نعم الجنّة الكثيرة ومقامات المؤمنين ولو كانت الرؤية من أماثل نعمه سبحانه فلماذا لم‌يذكرها بوضوح كسائر النعم؟</w:t>
      </w:r>
      <w:r>
        <w:rPr>
          <w:rFonts w:eastAsia="Amiri" w:cs="Amiri" w:ascii="Amiri" w:hAnsi="Amiri"/>
          <w:color w:val="111111"/>
          <w:sz w:val="28"/>
          <w:szCs w:val="28"/>
          <w:rtl w:val="true"/>
          <w:lang w:bidi="ar-SA"/>
        </w:rPr>
        <w:t>!</w:t>
      </w:r>
      <w:bookmarkStart w:id="324" w:name="pg1887_25672"/>
    </w:p>
    <w:p>
      <w:pPr>
        <w:pStyle w:val="Heading3"/>
        <w:numPr>
          <w:ilvl w:val="2"/>
          <w:numId w:val="1"/>
        </w:numPr>
        <w:rPr/>
      </w:pPr>
      <w:bookmarkStart w:id="325" w:name="__RefHeading___Toc3049311_3650668749"/>
      <w:bookmarkStart w:id="326" w:name="_Toc120"/>
      <w:bookmarkEnd w:id="324"/>
      <w:bookmarkEnd w:id="325"/>
      <w:r>
        <w:rPr>
          <w:rtl w:val="true"/>
        </w:rPr>
        <w:t>رؤية الله في الأحاديث النبوية</w:t>
      </w:r>
      <w:bookmarkEnd w:id="326"/>
    </w:p>
    <w:p>
      <w:pPr>
        <w:pStyle w:val="BookText"/>
        <w:rPr/>
      </w:pPr>
      <w:r>
        <w:rPr>
          <w:rFonts w:ascii="Amiri" w:hAnsi="Amiri" w:eastAsia="Amiri" w:cs="Amiri"/>
          <w:color w:val="111111"/>
          <w:sz w:val="28"/>
          <w:sz w:val="28"/>
          <w:szCs w:val="28"/>
          <w:rtl w:val="true"/>
          <w:lang w:bidi="ar-SA"/>
        </w:rPr>
        <w:t>بقي الكلام في الروايات الواردة حول الرؤية في الصّحاح والمسانيد ودلالتها علي المطلوب، لكنّ الكلام في حجية الروايات الّتي تعارض الذكر الحكيم وتباينه؛ فإذا كان الكتاب العزيز مهيمناً على سائر الكتب، فلِماذا لايكون مهيمناً على السنن المروية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دوّنت بعد مضى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ولم‌تصن عن دسّ الأحبار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 بِما أَنْزَلَ اللَّهُ ولا تَتَّبِعْ أَهْواءَهُمْ عَمَّا جاءَكَ مِنَ الْحَقِّ</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 لا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السّنة من الشريعة ورفع شعار حسبنا كتاب الله، بل يعني التأكد من صحّتها ثمّ التمسّك بها في مقام العمل والاعتقاد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xml:space="preserve">) </w:t>
      </w:r>
      <w:r>
        <w:rPr>
          <w:rStyle w:val="FootnoteAnchor"/>
          <w:rtl w:val="true"/>
        </w:rPr>
        <w:footnoteReference w:id="140"/>
      </w:r>
      <w:bookmarkStart w:id="327" w:name="pg1887_25676"/>
    </w:p>
    <w:p>
      <w:pPr>
        <w:pStyle w:val="Heading3"/>
        <w:numPr>
          <w:ilvl w:val="2"/>
          <w:numId w:val="1"/>
        </w:numPr>
        <w:rPr/>
      </w:pPr>
      <w:bookmarkStart w:id="328" w:name="__RefHeading___Toc3049313_3650668749"/>
      <w:bookmarkStart w:id="329" w:name="_Toc121"/>
      <w:bookmarkEnd w:id="327"/>
      <w:bookmarkEnd w:id="328"/>
      <w:r>
        <w:rPr>
          <w:rtl w:val="true"/>
        </w:rPr>
        <w:t>الرؤية القلبية</w:t>
      </w:r>
      <w:bookmarkEnd w:id="329"/>
    </w:p>
    <w:p>
      <w:pPr>
        <w:pStyle w:val="BookText"/>
        <w:rPr/>
      </w:pPr>
      <w:r>
        <w:rPr>
          <w:rFonts w:ascii="Amiri" w:hAnsi="Amiri" w:eastAsia="Amiri" w:cs="Amiri"/>
          <w:color w:val="111111"/>
          <w:sz w:val="28"/>
          <w:sz w:val="28"/>
          <w:szCs w:val="28"/>
          <w:rtl w:val="true"/>
          <w:lang w:bidi="ar-SA"/>
        </w:rPr>
        <w:t>كان المرتقب من أئمّة الحديث والكلام الإشارة إلى قسم آخر من الرؤية الّذي ليس هو بعين مادية ولا بصر جسماني، إنّما هي رؤية أخبر عنها الكتاب ولا تتوقّف على الجهة والمقابلة ولاالتجسيم والمشابهة،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يثبت في كلامه قسماً للرؤية والمشاهدة وراء الرؤية البصرّية الحسّية؛ وهي نوع شعور في الإنسان يشعر بالشي‌ء بنفسه من غير استعمال آلة حسّية أو فكرية، بل يجده وجداناً من غير أن يحجبه عنه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يتجلّى من كلامه سبحانه أنّ هذاالعلم المسمّى بالرؤية واللقاء يتمّ للصالحين من عبادالله يوم القيامة،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فهذا هو العلم الضروري الخاص</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الذّي لايتردّد إليه الريب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الرؤية بالقلب كالرؤية بالعين، تعالى الله عمّا يصفه المشبّهون والملحدون</w:t>
      </w:r>
      <w:r>
        <w:rPr>
          <w:rFonts w:eastAsia="Amiri" w:cs="Amiri" w:ascii="Amiri" w:hAnsi="Amiri"/>
          <w:color w:val="111111"/>
          <w:sz w:val="28"/>
          <w:szCs w:val="28"/>
          <w:rtl w:val="true"/>
          <w:lang w:bidi="ar-SA"/>
        </w:rPr>
        <w:t>».</w:t>
      </w:r>
      <w:bookmarkStart w:id="330" w:name="pg1887_25679"/>
    </w:p>
    <w:p>
      <w:pPr>
        <w:pStyle w:val="Heading3"/>
        <w:numPr>
          <w:ilvl w:val="2"/>
          <w:numId w:val="1"/>
        </w:numPr>
        <w:rPr/>
      </w:pPr>
      <w:bookmarkStart w:id="331" w:name="__RefHeading___Toc3049315_3650668749"/>
      <w:bookmarkStart w:id="332" w:name="_Toc122"/>
      <w:bookmarkEnd w:id="330"/>
      <w:bookmarkEnd w:id="331"/>
      <w:r>
        <w:rPr>
          <w:rtl w:val="true"/>
        </w:rPr>
        <w:t xml:space="preserve">تكفير </w:t>
      </w:r>
      <w:r>
        <w:rPr>
          <w:rtl w:val="true"/>
        </w:rPr>
        <w:t>«</w:t>
      </w:r>
      <w:r>
        <w:rPr>
          <w:rtl w:val="true"/>
        </w:rPr>
        <w:t>إبن باز</w:t>
      </w:r>
      <w:r>
        <w:rPr>
          <w:rtl w:val="true"/>
        </w:rPr>
        <w:t xml:space="preserve">» </w:t>
      </w:r>
      <w:r>
        <w:rPr>
          <w:rtl w:val="true"/>
        </w:rPr>
        <w:t>لمن لايقول بالرؤية</w:t>
      </w:r>
      <w:bookmarkEnd w:id="332"/>
    </w:p>
    <w:p>
      <w:pPr>
        <w:pStyle w:val="BookText"/>
        <w:rPr/>
      </w:pPr>
      <w:r>
        <w:rPr>
          <w:rFonts w:ascii="Amiri" w:hAnsi="Amiri" w:eastAsia="Amiri" w:cs="Amiri"/>
          <w:color w:val="111111"/>
          <w:sz w:val="28"/>
          <w:sz w:val="28"/>
          <w:szCs w:val="28"/>
          <w:rtl w:val="true"/>
          <w:lang w:bidi="ar-SA"/>
        </w:rPr>
        <w:t xml:space="preserve">غير أنّ مفتي السعودية عبدالعزيز بن باز غالي في الموضوع؛ وذلك في الفتوى الصادرة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سؤال وجّهه عبدالله بن عبدالرحمن يتعلّق بجواز الاقتداء والائتمام بمن لايعتقد بمسألة الرؤية في يوم القيامة؛ فأفتى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ينكر رؤية الله سبحانه وتعالى في الآخرة لايصلّى خلفه وهو كافر عند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أبوبكر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لايري في الآخرة فقد كفر، وقال من لم يؤمن بالرؤية فهو جهمي، والجهمي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زياد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من كذّب بها فهو زنديق،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لا يرى فقد 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وإلّا قتل</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049317_3650668749"/>
      <w:bookmarkStart w:id="334" w:name="_Toc123"/>
      <w:bookmarkEnd w:id="333"/>
      <w:r>
        <w:rPr>
          <w:rtl w:val="true"/>
        </w:rPr>
        <w:t>تحليل هذه الفتيا</w:t>
      </w:r>
      <w:r>
        <w:rPr>
          <w:rtl w:val="true"/>
        </w:rPr>
        <w:t>:</w:t>
      </w:r>
      <w:bookmarkEnd w:id="3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الفتوى لاتصدر عمّن يجمع بين الرواية والدّراية، وإنّما متفرّعة على القول بأنّ الله مستقرّ على عرشه فوق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إسلام من شهد بوحدانيته سبحانه ورسالة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البخاري يروي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بني علي خمس، وليس فيه شي‌ءٌ من الإقرار بالرؤية، وهل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هو مقوّم الإيمان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مسألة اجتهادية تضاربت فيها أقوال الباحثين من المتكلّمين والمفسّرين وكلّ طائفة تتمسّك بلفيف من الآيات؛ فتمسّك المثبت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النافي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إنكار النافي ردّاً للقرآن، ولا يكون إثبات المثبت ردّاً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التأويل لطائفة، فكيف لايسوغ لطائفة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من يقول في مقابل المنكر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الدراسة، الحوار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طبيعة عدوانية قاسية ونفسية خالية من الرحمة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أُجلّ إمام دارالهجرة عن هذه الكلمة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الرؤية شعارُ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 الإمام 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وكلماته قبل أن يولد جهم وأذنابه، ولأجل ذلك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والتنزيه علوّيان والجبر والتشبيه أموّيان</w:t>
      </w:r>
      <w:r>
        <w:rPr>
          <w:rFonts w:eastAsia="Amiri" w:cs="Amiri" w:ascii="Amiri" w:hAnsi="Amiri"/>
          <w:color w:val="111111"/>
          <w:sz w:val="28"/>
          <w:szCs w:val="28"/>
          <w:rtl w:val="true"/>
          <w:lang w:bidi="ar-SA"/>
        </w:rPr>
        <w:t>»!</w:t>
      </w:r>
      <w:bookmarkStart w:id="335" w:name="pg1887_25685"/>
    </w:p>
    <w:p>
      <w:pPr>
        <w:pStyle w:val="Heading2"/>
        <w:numPr>
          <w:ilvl w:val="1"/>
          <w:numId w:val="1"/>
        </w:numPr>
        <w:rPr/>
      </w:pPr>
      <w:bookmarkStart w:id="336" w:name="__RefHeading___Toc3049319_3650668749"/>
      <w:bookmarkStart w:id="337" w:name="_Toc124"/>
      <w:bookmarkEnd w:id="335"/>
      <w:bookmarkEnd w:id="336"/>
      <w:r>
        <w:rPr>
          <w:rtl w:val="true"/>
        </w:rPr>
        <w:t>الخاتمة</w:t>
      </w:r>
      <w:bookmarkEnd w:id="337"/>
    </w:p>
    <w:p>
      <w:pPr>
        <w:pStyle w:val="BookText"/>
        <w:rPr/>
      </w:pPr>
      <w:r>
        <w:rPr>
          <w:rFonts w:ascii="Amiri" w:hAnsi="Amiri" w:eastAsia="Amiri" w:cs="Amiri"/>
          <w:color w:val="111111"/>
          <w:sz w:val="28"/>
          <w:sz w:val="28"/>
          <w:szCs w:val="28"/>
          <w:rtl w:val="true"/>
          <w:lang w:bidi="ar-SA"/>
        </w:rPr>
        <w:t>لقد تجلّت الحقيقة بأجلى مظاهرها، وهي أصفى من أن تكدّر صفوها الشُّبه؛ ومن قرأ مباحث هذا الفصل بإمعان وتأمّل وقف على أنّ الحقّ مع النافين للرؤية وأنّه ليس للمثبتين دليل لا عقلي ولا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مادام له حجّة على عقيدته ولم يكن مقصّراً في سلوكها لايحكم عليه بشي‌ءٍ من الكفر والفسق ولاالعقاب ولا العذاب وأظنّ أنّه لو انعقد مؤتمر علمي في جوّ هادئ واستعدّت الطائفتان للتّأمل في براهين النافين والمثبتين لقلّ الخلاف وتقاربت الطائفتان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خلافاً دام قروناً لاينتهي بأسبوع أو شهراً وبعقد مؤتمر ومؤتمرين، ولكن الرجاء تقريب الخطى وعدم تكفير إحدى الطائفتين للطائفة الأخرى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كتب حول الرؤية من إخواننا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p>
    <w:p>
      <w:pPr>
        <w:pStyle w:val="BookText"/>
        <w:rPr/>
      </w:pPr>
      <w:r>
        <w:rPr>
          <w:rFonts w:ascii="Amiri" w:hAnsi="Amiri" w:eastAsia="Amiri" w:cs="Amiri"/>
          <w:color w:val="111111"/>
          <w:sz w:val="28"/>
          <w:sz w:val="28"/>
          <w:szCs w:val="28"/>
          <w:rtl w:val="true"/>
          <w:lang w:bidi="ar-SA"/>
        </w:rPr>
        <w:t>فرق بين النافي والمثبت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دقّ كلّ باب ورجع إلى كلّ صحابي وتابعي ومتكلّم وفيلسوف، ولم يدقّ باب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مقدّمتهم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وأقضى الأئمّة وأحد الثقلين اللّذين تركهما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طفحت خطبه التوحيدية بتنزيهه سبحانه عن رائحة التجسيم وشوب الجهة وإمكان الرؤية، فبلّغ رسالات الله الّتي تعلّمها في أحضان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بأبلغ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ذهبت العدلية كالمعتزلة والإمامية إلى امتناع الرؤية فمنه أخذوا ومن منهجه تعلّموا، فبلغوا الغاية في التنزيه حسب إرشاداته، كما صرّح بذلك غير واحد من أئمّة العدلية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بعض خطبه فيما مضى، ومن أراد التفصيل فليرجع إلى خطبه في نهج البلاغة، وإلى كلمات أبنائه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التوحيد 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أميرالمؤمنين، علي بن أبي‌طالب،</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التلخيص في مدينة قم المشرفة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الثاني من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ومثلهما عن عائشة و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أصل الكتاب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الأرض للزرع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دكتور 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عبدالله 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المتقى الهندي،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أيضاً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أيضا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في الرؤية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23347</Words>
  <Characters>110110</Characters>
  <CharactersWithSpaces>132433</CharactersWithSpaces>
  <Paragraphs>1293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2026-08-16T19:24:19Z</dcterms:created>
  <dc:creator>ghaemiyeh.com</dc:creator>
  <dc:description/>
  <dc:language>en-US</dc:language>
  <cp:lastModifiedBy/>
  <dcterms:modified xsi:type="dcterms:W3CDTF">2026-08-16T22:54:23Z</dcterms:modified>
  <cp:revision>1</cp:revision>
  <dc:subject/>
  <dc:title>تاریخ الشیعه و عقیدتهم</dc:title>
</cp:coreProperties>
</file>

<file path=docProps/custom.xml><?xml version="1.0" encoding="utf-8"?>
<Properties xmlns="http://schemas.openxmlformats.org/officeDocument/2006/custom-properties" xmlns:vt="http://schemas.openxmlformats.org/officeDocument/2006/docPropsVTypes"/>
</file>